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B2D2" w14:textId="77777777" w:rsidR="00C34808" w:rsidRPr="007A4DED" w:rsidRDefault="007A4DED" w:rsidP="006C612F">
      <w:pPr>
        <w:jc w:val="center"/>
        <w:rPr>
          <w:b/>
          <w:sz w:val="32"/>
          <w:szCs w:val="32"/>
        </w:rPr>
      </w:pPr>
      <w:r w:rsidRPr="007A4DED">
        <w:rPr>
          <w:b/>
          <w:sz w:val="32"/>
          <w:szCs w:val="32"/>
        </w:rPr>
        <w:t xml:space="preserve">Module Name: </w:t>
      </w:r>
      <w:r w:rsidRPr="007A4DED">
        <w:rPr>
          <w:sz w:val="32"/>
          <w:szCs w:val="32"/>
        </w:rPr>
        <w:t>Community Engagement</w:t>
      </w:r>
    </w:p>
    <w:p w14:paraId="1999D94A" w14:textId="77777777" w:rsidR="007A4DED" w:rsidRPr="007A4DED" w:rsidRDefault="007A4DED" w:rsidP="006C612F">
      <w:pPr>
        <w:jc w:val="center"/>
        <w:rPr>
          <w:b/>
          <w:sz w:val="32"/>
          <w:szCs w:val="32"/>
        </w:rPr>
      </w:pPr>
      <w:r w:rsidRPr="007A4DED">
        <w:rPr>
          <w:b/>
          <w:sz w:val="32"/>
          <w:szCs w:val="32"/>
        </w:rPr>
        <w:t>Module Code:</w:t>
      </w:r>
      <w:r>
        <w:rPr>
          <w:b/>
          <w:sz w:val="32"/>
          <w:szCs w:val="32"/>
        </w:rPr>
        <w:t xml:space="preserve"> </w:t>
      </w:r>
      <w:r w:rsidRPr="007A4DED">
        <w:rPr>
          <w:sz w:val="32"/>
          <w:szCs w:val="32"/>
        </w:rPr>
        <w:t>LCBB4002</w:t>
      </w:r>
    </w:p>
    <w:p w14:paraId="3E31ABCC" w14:textId="77777777" w:rsidR="007A4DED" w:rsidRDefault="007A4DED" w:rsidP="006C612F">
      <w:pPr>
        <w:tabs>
          <w:tab w:val="right" w:pos="3194"/>
        </w:tabs>
        <w:spacing w:after="0" w:line="259" w:lineRule="auto"/>
        <w:jc w:val="center"/>
        <w:rPr>
          <w:b/>
          <w:sz w:val="32"/>
          <w:szCs w:val="32"/>
        </w:rPr>
      </w:pPr>
      <w:r w:rsidRPr="007A4DED">
        <w:rPr>
          <w:b/>
          <w:sz w:val="32"/>
          <w:szCs w:val="32"/>
        </w:rPr>
        <w:t>Assignment Title:</w:t>
      </w:r>
      <w:r>
        <w:rPr>
          <w:b/>
          <w:sz w:val="32"/>
          <w:szCs w:val="32"/>
        </w:rPr>
        <w:t xml:space="preserve"> </w:t>
      </w:r>
      <w:r w:rsidRPr="007A4DED">
        <w:rPr>
          <w:sz w:val="32"/>
          <w:szCs w:val="32"/>
        </w:rPr>
        <w:t>Community Engagement Assignment 1-Essay</w:t>
      </w:r>
    </w:p>
    <w:p w14:paraId="129888A1" w14:textId="77777777" w:rsidR="006C612F" w:rsidRDefault="006C612F" w:rsidP="006C612F">
      <w:pPr>
        <w:jc w:val="center"/>
        <w:rPr>
          <w:b/>
          <w:sz w:val="28"/>
          <w:szCs w:val="28"/>
        </w:rPr>
      </w:pPr>
    </w:p>
    <w:p w14:paraId="00BE41F6" w14:textId="77777777" w:rsidR="006C612F" w:rsidRDefault="006C612F" w:rsidP="006C612F">
      <w:pPr>
        <w:jc w:val="center"/>
        <w:rPr>
          <w:b/>
          <w:sz w:val="28"/>
          <w:szCs w:val="28"/>
        </w:rPr>
      </w:pPr>
    </w:p>
    <w:p w14:paraId="1DF53A0F" w14:textId="77777777" w:rsidR="006C612F" w:rsidRDefault="006C612F" w:rsidP="006C612F">
      <w:pPr>
        <w:jc w:val="center"/>
        <w:rPr>
          <w:b/>
          <w:sz w:val="28"/>
          <w:szCs w:val="28"/>
        </w:rPr>
      </w:pPr>
    </w:p>
    <w:p w14:paraId="63C1140F" w14:textId="768FF2E9" w:rsidR="007A4DED" w:rsidRDefault="007A4DED" w:rsidP="006C612F">
      <w:pPr>
        <w:jc w:val="center"/>
        <w:rPr>
          <w:b/>
          <w:sz w:val="28"/>
          <w:szCs w:val="28"/>
        </w:rPr>
      </w:pPr>
      <w:r w:rsidRPr="007A4DED">
        <w:rPr>
          <w:b/>
          <w:sz w:val="28"/>
          <w:szCs w:val="28"/>
        </w:rPr>
        <w:t>Student ID:</w:t>
      </w:r>
      <w:r w:rsidR="00810244">
        <w:rPr>
          <w:b/>
          <w:sz w:val="28"/>
          <w:szCs w:val="28"/>
        </w:rPr>
        <w:t xml:space="preserve">  2027510</w:t>
      </w:r>
    </w:p>
    <w:p w14:paraId="012B7B27" w14:textId="77777777" w:rsidR="006C612F" w:rsidRPr="007A4DED" w:rsidRDefault="006C612F" w:rsidP="006C612F">
      <w:pPr>
        <w:jc w:val="center"/>
        <w:rPr>
          <w:b/>
          <w:sz w:val="28"/>
          <w:szCs w:val="28"/>
        </w:rPr>
      </w:pPr>
    </w:p>
    <w:p w14:paraId="7C202DFA" w14:textId="77777777" w:rsidR="007A4DED" w:rsidRDefault="007A4DED" w:rsidP="006C612F">
      <w:pPr>
        <w:jc w:val="center"/>
        <w:rPr>
          <w:b/>
        </w:rPr>
      </w:pPr>
      <w:r w:rsidRPr="007A4DED">
        <w:rPr>
          <w:b/>
        </w:rPr>
        <w:t>Word count:</w:t>
      </w:r>
      <w:r w:rsidR="00E455BF">
        <w:rPr>
          <w:b/>
        </w:rPr>
        <w:t xml:space="preserve"> </w:t>
      </w:r>
      <w:r w:rsidR="00E455BF" w:rsidRPr="00E455BF">
        <w:t>2049</w:t>
      </w:r>
    </w:p>
    <w:p w14:paraId="7990D378" w14:textId="77777777" w:rsidR="00EF57E3" w:rsidRDefault="00EF57E3">
      <w:pPr>
        <w:rPr>
          <w:b/>
        </w:rPr>
      </w:pPr>
    </w:p>
    <w:p w14:paraId="440D8D84" w14:textId="77777777" w:rsidR="00EF57E3" w:rsidRDefault="00EF57E3">
      <w:pPr>
        <w:rPr>
          <w:b/>
        </w:rPr>
      </w:pPr>
    </w:p>
    <w:p w14:paraId="56FAE295" w14:textId="77777777" w:rsidR="00EF57E3" w:rsidRDefault="00EF57E3">
      <w:pPr>
        <w:rPr>
          <w:b/>
        </w:rPr>
      </w:pPr>
    </w:p>
    <w:p w14:paraId="71D361F7" w14:textId="77777777" w:rsidR="00EF57E3" w:rsidRDefault="00EF57E3">
      <w:pPr>
        <w:rPr>
          <w:b/>
        </w:rPr>
      </w:pPr>
    </w:p>
    <w:p w14:paraId="556239E3" w14:textId="77777777" w:rsidR="00EF57E3" w:rsidRDefault="00EF57E3">
      <w:pPr>
        <w:rPr>
          <w:b/>
        </w:rPr>
      </w:pPr>
    </w:p>
    <w:p w14:paraId="3453AEBB" w14:textId="77777777" w:rsidR="00EF57E3" w:rsidRDefault="00EF57E3">
      <w:pPr>
        <w:rPr>
          <w:b/>
        </w:rPr>
      </w:pPr>
    </w:p>
    <w:p w14:paraId="0962F9AE" w14:textId="77777777" w:rsidR="00EF57E3" w:rsidRDefault="00EF57E3">
      <w:pPr>
        <w:rPr>
          <w:b/>
        </w:rPr>
      </w:pPr>
    </w:p>
    <w:p w14:paraId="35112F1A" w14:textId="77777777" w:rsidR="00EF57E3" w:rsidRDefault="00EF57E3">
      <w:pPr>
        <w:rPr>
          <w:b/>
        </w:rPr>
      </w:pPr>
    </w:p>
    <w:p w14:paraId="6F48B655" w14:textId="77777777" w:rsidR="00EF57E3" w:rsidRDefault="00EF57E3">
      <w:pPr>
        <w:rPr>
          <w:b/>
        </w:rPr>
      </w:pPr>
    </w:p>
    <w:p w14:paraId="5387DC6E" w14:textId="77777777" w:rsidR="00EF57E3" w:rsidRDefault="00EF57E3">
      <w:pPr>
        <w:rPr>
          <w:b/>
        </w:rPr>
      </w:pPr>
    </w:p>
    <w:p w14:paraId="1E20440D" w14:textId="77777777" w:rsidR="00EF57E3" w:rsidRDefault="00EF57E3">
      <w:pPr>
        <w:rPr>
          <w:b/>
        </w:rPr>
      </w:pPr>
    </w:p>
    <w:p w14:paraId="56DF6343" w14:textId="77777777" w:rsidR="00EF57E3" w:rsidRDefault="00EF57E3">
      <w:pPr>
        <w:rPr>
          <w:b/>
        </w:rPr>
      </w:pPr>
    </w:p>
    <w:p w14:paraId="52EFF88D" w14:textId="77777777" w:rsidR="00EF57E3" w:rsidRDefault="00EF57E3">
      <w:pPr>
        <w:rPr>
          <w:b/>
        </w:rPr>
      </w:pPr>
    </w:p>
    <w:p w14:paraId="5B1F12B0" w14:textId="77777777" w:rsidR="00EF57E3" w:rsidRDefault="00EF57E3">
      <w:pPr>
        <w:rPr>
          <w:b/>
        </w:rPr>
      </w:pPr>
    </w:p>
    <w:p w14:paraId="521CBF21" w14:textId="77777777" w:rsidR="00EF57E3" w:rsidRDefault="00EF57E3">
      <w:pPr>
        <w:rPr>
          <w:b/>
        </w:rPr>
      </w:pPr>
    </w:p>
    <w:p w14:paraId="33DD42FC" w14:textId="77777777" w:rsidR="00EF57E3" w:rsidRDefault="00EF57E3">
      <w:pPr>
        <w:rPr>
          <w:b/>
        </w:rPr>
      </w:pPr>
    </w:p>
    <w:p w14:paraId="4A5F89E6" w14:textId="77777777" w:rsidR="00EF57E3" w:rsidRDefault="00EF57E3">
      <w:pPr>
        <w:rPr>
          <w:b/>
        </w:rPr>
      </w:pPr>
    </w:p>
    <w:p w14:paraId="4E3A19EA" w14:textId="77777777" w:rsidR="00EF57E3" w:rsidRDefault="00EF57E3">
      <w:pPr>
        <w:rPr>
          <w:b/>
        </w:rPr>
      </w:pPr>
    </w:p>
    <w:p w14:paraId="26010C49" w14:textId="77777777" w:rsidR="00EF57E3" w:rsidRDefault="00EF57E3">
      <w:pPr>
        <w:rPr>
          <w:b/>
        </w:rPr>
      </w:pPr>
    </w:p>
    <w:p w14:paraId="1141240A" w14:textId="77777777" w:rsidR="00615814" w:rsidRPr="00EC65DA" w:rsidRDefault="004C1893" w:rsidP="0077051A">
      <w:pPr>
        <w:spacing w:line="360" w:lineRule="auto"/>
        <w:rPr>
          <w:rFonts w:eastAsiaTheme="majorEastAsia" w:cstheme="majorBidi"/>
          <w:bCs/>
        </w:rPr>
      </w:pPr>
      <w:r w:rsidRPr="004C1893">
        <w:rPr>
          <w:rFonts w:eastAsiaTheme="majorEastAsia" w:cstheme="majorBidi"/>
          <w:bCs/>
        </w:rPr>
        <w:t xml:space="preserve">Community engagement is attaching and participating with an organization or a group to work for </w:t>
      </w:r>
      <w:r w:rsidR="003B1999">
        <w:rPr>
          <w:rFonts w:eastAsiaTheme="majorEastAsia" w:cstheme="majorBidi"/>
          <w:bCs/>
        </w:rPr>
        <w:t xml:space="preserve">the </w:t>
      </w:r>
      <w:r w:rsidRPr="004C1893">
        <w:rPr>
          <w:rFonts w:eastAsiaTheme="majorEastAsia" w:cstheme="majorBidi"/>
          <w:bCs/>
        </w:rPr>
        <w:t>welfare of the community</w:t>
      </w:r>
      <w:r w:rsidR="0077051A">
        <w:rPr>
          <w:rFonts w:eastAsiaTheme="majorEastAsia" w:cstheme="majorBidi"/>
          <w:bCs/>
        </w:rPr>
        <w:t xml:space="preserve"> </w:t>
      </w:r>
      <w:r w:rsidR="0077051A">
        <w:rPr>
          <w:shd w:val="clear" w:color="auto" w:fill="FFFFFF"/>
        </w:rPr>
        <w:t>(Mosconi et al, 2017)</w:t>
      </w:r>
      <w:r w:rsidRPr="004C1893">
        <w:rPr>
          <w:rFonts w:eastAsiaTheme="majorEastAsia" w:cstheme="majorBidi"/>
          <w:bCs/>
        </w:rPr>
        <w:t>. The essay is prepared for developing an understanding of community engagement</w:t>
      </w:r>
      <w:r>
        <w:rPr>
          <w:rFonts w:eastAsiaTheme="majorEastAsia" w:cstheme="majorBidi"/>
          <w:bCs/>
        </w:rPr>
        <w:t>, transferable skills used in community engagement</w:t>
      </w:r>
      <w:r w:rsidR="003B1999">
        <w:rPr>
          <w:rFonts w:eastAsiaTheme="majorEastAsia" w:cstheme="majorBidi"/>
          <w:bCs/>
        </w:rPr>
        <w:t>,</w:t>
      </w:r>
      <w:r>
        <w:rPr>
          <w:rFonts w:eastAsiaTheme="majorEastAsia" w:cstheme="majorBidi"/>
          <w:bCs/>
        </w:rPr>
        <w:t xml:space="preserve"> and increase creativity to solve a problem. A discussion and </w:t>
      </w:r>
      <w:r w:rsidR="00AE71B7">
        <w:rPr>
          <w:rFonts w:eastAsiaTheme="majorEastAsia" w:cstheme="majorBidi"/>
          <w:bCs/>
        </w:rPr>
        <w:t xml:space="preserve">analysis of a case study will be provided which is the example of community engagement where an organization named </w:t>
      </w:r>
      <w:proofErr w:type="spellStart"/>
      <w:r w:rsidR="00AE71B7">
        <w:t>Howden</w:t>
      </w:r>
      <w:proofErr w:type="spellEnd"/>
      <w:r w:rsidR="00AE71B7">
        <w:t xml:space="preserve"> Joinery</w:t>
      </w:r>
      <w:r w:rsidR="00AE71B7">
        <w:rPr>
          <w:rFonts w:eastAsiaTheme="majorEastAsia" w:cstheme="majorBidi"/>
          <w:bCs/>
        </w:rPr>
        <w:t xml:space="preserve"> works as </w:t>
      </w:r>
      <w:r w:rsidR="003B1999">
        <w:rPr>
          <w:rFonts w:eastAsiaTheme="majorEastAsia" w:cstheme="majorBidi"/>
          <w:bCs/>
        </w:rPr>
        <w:t xml:space="preserve">a </w:t>
      </w:r>
      <w:r w:rsidR="00AE71B7">
        <w:rPr>
          <w:rFonts w:eastAsiaTheme="majorEastAsia" w:cstheme="majorBidi"/>
          <w:bCs/>
        </w:rPr>
        <w:t xml:space="preserve">firefighter for turning out fire and rescue people from the spot. Mr. Clark is the leader and entrepreneur of the </w:t>
      </w:r>
      <w:proofErr w:type="gramStart"/>
      <w:r w:rsidR="00AE71B7">
        <w:rPr>
          <w:rFonts w:eastAsiaTheme="majorEastAsia" w:cstheme="majorBidi"/>
          <w:bCs/>
        </w:rPr>
        <w:t>organization</w:t>
      </w:r>
      <w:proofErr w:type="gramEnd"/>
      <w:r w:rsidR="00AE71B7">
        <w:rPr>
          <w:rFonts w:eastAsiaTheme="majorEastAsia" w:cstheme="majorBidi"/>
          <w:bCs/>
        </w:rPr>
        <w:t xml:space="preserve"> and the organization has received </w:t>
      </w:r>
      <w:r w:rsidR="003B1999">
        <w:rPr>
          <w:rFonts w:eastAsiaTheme="majorEastAsia" w:cstheme="majorBidi"/>
          <w:bCs/>
        </w:rPr>
        <w:t xml:space="preserve">the </w:t>
      </w:r>
      <w:r w:rsidR="00AE71B7">
        <w:rPr>
          <w:rFonts w:eastAsiaTheme="majorEastAsia" w:cstheme="majorBidi"/>
          <w:bCs/>
        </w:rPr>
        <w:t xml:space="preserve">award for </w:t>
      </w:r>
      <w:r w:rsidR="003B1999">
        <w:rPr>
          <w:rFonts w:eastAsiaTheme="majorEastAsia" w:cstheme="majorBidi"/>
          <w:bCs/>
        </w:rPr>
        <w:t>its</w:t>
      </w:r>
      <w:r w:rsidR="00AE71B7">
        <w:rPr>
          <w:rFonts w:eastAsiaTheme="majorEastAsia" w:cstheme="majorBidi"/>
          <w:bCs/>
        </w:rPr>
        <w:t xml:space="preserve"> community engagement. Community engagement has various benefits as it works for the welfare of the community. Both local government and the community can get benefit from community engagement. Transferable skills are crucial for community standard as the skills helps to works for the community by using the skills</w:t>
      </w:r>
      <w:r w:rsidR="0077051A">
        <w:rPr>
          <w:rFonts w:eastAsiaTheme="majorEastAsia" w:cstheme="majorBidi"/>
          <w:bCs/>
        </w:rPr>
        <w:t xml:space="preserve"> (</w:t>
      </w:r>
      <w:r w:rsidR="0077051A">
        <w:rPr>
          <w:shd w:val="clear" w:color="auto" w:fill="FFFFFF"/>
        </w:rPr>
        <w:t>Hart, 2018)</w:t>
      </w:r>
      <w:r w:rsidR="00AE71B7">
        <w:rPr>
          <w:rFonts w:eastAsiaTheme="majorEastAsia" w:cstheme="majorBidi"/>
          <w:bCs/>
        </w:rPr>
        <w:t xml:space="preserve">. People can use their transferable skills to work for the community. Some common transferable skills will be described </w:t>
      </w:r>
      <w:r w:rsidR="00EC65DA">
        <w:rPr>
          <w:rFonts w:eastAsiaTheme="majorEastAsia" w:cstheme="majorBidi"/>
          <w:bCs/>
        </w:rPr>
        <w:t>in the essay</w:t>
      </w:r>
      <w:r w:rsidR="00AE71B7">
        <w:rPr>
          <w:rFonts w:eastAsiaTheme="majorEastAsia" w:cstheme="majorBidi"/>
          <w:bCs/>
        </w:rPr>
        <w:t xml:space="preserve"> with the evidence f</w:t>
      </w:r>
      <w:r w:rsidR="003B1999">
        <w:rPr>
          <w:rFonts w:eastAsiaTheme="majorEastAsia" w:cstheme="majorBidi"/>
          <w:bCs/>
        </w:rPr>
        <w:t>ro</w:t>
      </w:r>
      <w:r w:rsidR="00AE71B7">
        <w:rPr>
          <w:rFonts w:eastAsiaTheme="majorEastAsia" w:cstheme="majorBidi"/>
          <w:bCs/>
        </w:rPr>
        <w:t xml:space="preserve">m the case study. Moreover, </w:t>
      </w:r>
      <w:r w:rsidR="00EC65DA">
        <w:rPr>
          <w:rFonts w:eastAsiaTheme="majorEastAsia" w:cstheme="majorBidi"/>
          <w:bCs/>
        </w:rPr>
        <w:t>some suggestion</w:t>
      </w:r>
      <w:r w:rsidR="003B1999">
        <w:rPr>
          <w:rFonts w:eastAsiaTheme="majorEastAsia" w:cstheme="majorBidi"/>
          <w:bCs/>
        </w:rPr>
        <w:t>s</w:t>
      </w:r>
      <w:r w:rsidR="00EC65DA">
        <w:rPr>
          <w:rFonts w:eastAsiaTheme="majorEastAsia" w:cstheme="majorBidi"/>
          <w:bCs/>
        </w:rPr>
        <w:t xml:space="preserve"> will be provided for Mr. Clark and his employer </w:t>
      </w:r>
      <w:r w:rsidR="003B1999">
        <w:rPr>
          <w:rFonts w:eastAsiaTheme="majorEastAsia" w:cstheme="majorBidi"/>
          <w:bCs/>
        </w:rPr>
        <w:t xml:space="preserve">on </w:t>
      </w:r>
      <w:r w:rsidR="00EC65DA">
        <w:rPr>
          <w:rFonts w:eastAsiaTheme="majorEastAsia" w:cstheme="majorBidi"/>
          <w:bCs/>
        </w:rPr>
        <w:t xml:space="preserve">what needs to do for taking community engagement in their next step.  </w:t>
      </w:r>
      <w:r w:rsidR="00AE71B7">
        <w:rPr>
          <w:rFonts w:eastAsiaTheme="majorEastAsia" w:cstheme="majorBidi"/>
          <w:bCs/>
        </w:rPr>
        <w:t xml:space="preserve">           </w:t>
      </w:r>
      <w:r>
        <w:rPr>
          <w:rFonts w:eastAsiaTheme="majorEastAsia" w:cstheme="majorBidi"/>
          <w:bCs/>
        </w:rPr>
        <w:t xml:space="preserve"> </w:t>
      </w:r>
    </w:p>
    <w:p w14:paraId="0B104D1B" w14:textId="77777777" w:rsidR="00615814" w:rsidRPr="006431E7" w:rsidRDefault="00615814" w:rsidP="0077051A">
      <w:pPr>
        <w:spacing w:line="360" w:lineRule="auto"/>
      </w:pPr>
      <w:r>
        <w:t xml:space="preserve">Tony clerk is the organizer of the community firefighter scheme named </w:t>
      </w:r>
      <w:proofErr w:type="spellStart"/>
      <w:r>
        <w:t>Howden</w:t>
      </w:r>
      <w:proofErr w:type="spellEnd"/>
      <w:r>
        <w:t xml:space="preserve"> Joinery</w:t>
      </w:r>
      <w:r w:rsidR="0077051A">
        <w:t xml:space="preserve"> (</w:t>
      </w:r>
      <w:r w:rsidR="0077051A">
        <w:rPr>
          <w:shd w:val="clear" w:color="auto" w:fill="FFFFFF"/>
        </w:rPr>
        <w:t xml:space="preserve">Holmes and </w:t>
      </w:r>
      <w:proofErr w:type="spellStart"/>
      <w:r w:rsidR="0077051A">
        <w:rPr>
          <w:shd w:val="clear" w:color="auto" w:fill="FFFFFF"/>
        </w:rPr>
        <w:t>Schaffarczyk</w:t>
      </w:r>
      <w:proofErr w:type="spellEnd"/>
      <w:r w:rsidR="0077051A">
        <w:rPr>
          <w:shd w:val="clear" w:color="auto" w:fill="FFFFFF"/>
        </w:rPr>
        <w:t>, 2013)</w:t>
      </w:r>
      <w:r>
        <w:t xml:space="preserve">. He and the employers of his organization have received an award from Humberside Fire and Rescue Service for saving 60 lives. Tony clerk built a group at the factory where he works a decade ago when </w:t>
      </w:r>
      <w:r w:rsidR="003B1999">
        <w:t xml:space="preserve">the </w:t>
      </w:r>
      <w:r>
        <w:t>fire service was failed to immediate</w:t>
      </w:r>
      <w:r w:rsidR="003B1999">
        <w:t>ly</w:t>
      </w:r>
      <w:r>
        <w:t xml:space="preserve"> respond. In </w:t>
      </w:r>
      <w:r w:rsidR="003B1999">
        <w:t xml:space="preserve">the </w:t>
      </w:r>
      <w:r>
        <w:t>last 10 years</w:t>
      </w:r>
      <w:r w:rsidR="003B1999">
        <w:t>,</w:t>
      </w:r>
      <w:r>
        <w:t xml:space="preserve"> the organization ha</w:t>
      </w:r>
      <w:r w:rsidR="003B1999">
        <w:t>s</w:t>
      </w:r>
      <w:r>
        <w:t xml:space="preserve"> respon</w:t>
      </w:r>
      <w:r w:rsidR="003B1999">
        <w:t>de</w:t>
      </w:r>
      <w:r>
        <w:t xml:space="preserve">d </w:t>
      </w:r>
      <w:r w:rsidR="003B1999">
        <w:t xml:space="preserve">to </w:t>
      </w:r>
      <w:r>
        <w:t>more than 2500 calls. The organizers of the organization said that he is privileged for getting the Queen Fire Service Model and he received the award on behalf of his coordinators. Mr. Clark was who was an on-call firefighter in North Yorkshire 10 year</w:t>
      </w:r>
      <w:r w:rsidR="003B1999">
        <w:t>s</w:t>
      </w:r>
      <w:r>
        <w:t xml:space="preserve"> ago before creating the scheme</w:t>
      </w:r>
      <w:r w:rsidR="0077051A">
        <w:t xml:space="preserve"> (</w:t>
      </w:r>
      <w:r w:rsidR="0077051A">
        <w:rPr>
          <w:shd w:val="clear" w:color="auto" w:fill="FFFFFF"/>
        </w:rPr>
        <w:t>Shenton, 2012)</w:t>
      </w:r>
      <w:r>
        <w:t xml:space="preserve">. He was responsible for dealing with incidents inside the factory and the team supported </w:t>
      </w:r>
      <w:r w:rsidR="003B1999">
        <w:t xml:space="preserve">the </w:t>
      </w:r>
      <w:r>
        <w:t xml:space="preserve">local fire station </w:t>
      </w:r>
      <w:r w:rsidR="003B1999">
        <w:t>on</w:t>
      </w:r>
      <w:r>
        <w:t xml:space="preserve"> evening</w:t>
      </w:r>
      <w:r w:rsidR="003B1999">
        <w:t>s</w:t>
      </w:r>
      <w:r>
        <w:t xml:space="preserve"> and weekend</w:t>
      </w:r>
      <w:r w:rsidR="003B1999">
        <w:t>s</w:t>
      </w:r>
      <w:r>
        <w:t xml:space="preserve"> and they attended 1,791 fire calls and 1,037 medical calls. Mr. Clark encourages all other compan</w:t>
      </w:r>
      <w:r w:rsidR="003B1999">
        <w:t>ies</w:t>
      </w:r>
      <w:r>
        <w:t xml:space="preserve"> </w:t>
      </w:r>
      <w:r w:rsidR="003B1999">
        <w:t>to</w:t>
      </w:r>
      <w:r>
        <w:t xml:space="preserve"> lunch the same scheme which will support the local station and community engagement. The Scheme of Mr. Clark tackled fires and accident</w:t>
      </w:r>
      <w:r w:rsidR="003B1999">
        <w:t>s</w:t>
      </w:r>
      <w:r>
        <w:t xml:space="preserve"> and tried to deal with medical emergencies like a first responder. Yorkshire Ambulance Service has been supporting them for a decade to conduct their activities. The Scheme has provided </w:t>
      </w:r>
      <w:r>
        <w:lastRenderedPageBreak/>
        <w:t xml:space="preserve">more than 4 million items of PPE and Covid-19 tests. He has been provided an award from Humberside Fire and Rescue Service and Queen for their greatest work. </w:t>
      </w:r>
    </w:p>
    <w:p w14:paraId="0B6AC480" w14:textId="77777777" w:rsidR="00615814" w:rsidRDefault="00615814" w:rsidP="0077051A">
      <w:pPr>
        <w:spacing w:line="360" w:lineRule="auto"/>
      </w:pPr>
      <w:r>
        <w:t xml:space="preserve">Community </w:t>
      </w:r>
      <w:r w:rsidR="0077051A">
        <w:t xml:space="preserve">engagement </w:t>
      </w:r>
      <w:r>
        <w:t>is related to involvement and take</w:t>
      </w:r>
      <w:r w:rsidR="003B1999">
        <w:t>s</w:t>
      </w:r>
      <w:r>
        <w:t xml:space="preserve"> part in an organization for the welfare of the people</w:t>
      </w:r>
      <w:r w:rsidR="0077051A">
        <w:t xml:space="preserve"> (Questa et al, 2020)</w:t>
      </w:r>
      <w:r>
        <w:t>. The term community engagement searches to better engage with people for achieving long-term and strong result</w:t>
      </w:r>
      <w:r w:rsidR="003B1999">
        <w:t>s</w:t>
      </w:r>
      <w:r>
        <w:t xml:space="preserve">, processes, discourse, relationships, decision–making, implementation. An organization creates </w:t>
      </w:r>
      <w:r w:rsidR="003B1999">
        <w:t xml:space="preserve">a </w:t>
      </w:r>
      <w:r>
        <w:t xml:space="preserve">solution by using local knowledge from a large and diverse group of people for the welfare of </w:t>
      </w:r>
      <w:r w:rsidR="003B1999">
        <w:t xml:space="preserve">the </w:t>
      </w:r>
      <w:r>
        <w:t>community through community engagement</w:t>
      </w:r>
      <w:r w:rsidR="0077051A">
        <w:t xml:space="preserve"> (</w:t>
      </w:r>
      <w:r w:rsidR="0077051A">
        <w:rPr>
          <w:shd w:val="clear" w:color="auto" w:fill="FFFFFF"/>
        </w:rPr>
        <w:t>Lovell and Taylor, 2013)</w:t>
      </w:r>
      <w:r>
        <w:t xml:space="preserve">. There have various benefits of community engagement. It develops the community skills to solve a problem and work for the welfare of </w:t>
      </w:r>
      <w:r w:rsidR="003B1999">
        <w:t xml:space="preserve">the </w:t>
      </w:r>
      <w:r>
        <w:t>community. Community engagement creates a local network in an area where people</w:t>
      </w:r>
      <w:r w:rsidRPr="00ED5C23">
        <w:t xml:space="preserve"> </w:t>
      </w:r>
      <w:r>
        <w:t>discuss the welfare of the</w:t>
      </w:r>
      <w:r w:rsidRPr="00ED5C23">
        <w:t xml:space="preserve"> </w:t>
      </w:r>
      <w:r>
        <w:t>community. It increase</w:t>
      </w:r>
      <w:r w:rsidR="003B1999">
        <w:t>s</w:t>
      </w:r>
      <w:r>
        <w:t xml:space="preserve"> trust between community volunteer organization</w:t>
      </w:r>
      <w:r w:rsidR="003B1999">
        <w:t>s</w:t>
      </w:r>
      <w:r>
        <w:t xml:space="preserve"> and local people which helps to reduce conflict. It helps to empower and unite people from different background</w:t>
      </w:r>
      <w:r w:rsidR="003B1999">
        <w:t>s</w:t>
      </w:r>
      <w:r>
        <w:t xml:space="preserve"> to coordinate </w:t>
      </w:r>
      <w:r w:rsidR="003B1999">
        <w:t xml:space="preserve">with </w:t>
      </w:r>
      <w:r>
        <w:t xml:space="preserve">each other to work for the people and to achieve common goals. In the case study, Mr. Clark has organized people in his organization to work for the community where he and his employers respond as </w:t>
      </w:r>
      <w:r w:rsidR="003B1999">
        <w:t xml:space="preserve">a </w:t>
      </w:r>
      <w:r>
        <w:t xml:space="preserve">firefighter to rescue people. </w:t>
      </w:r>
    </w:p>
    <w:p w14:paraId="1A01251D" w14:textId="77777777" w:rsidR="00615814" w:rsidRPr="00A06FDA" w:rsidRDefault="00615814" w:rsidP="0077051A">
      <w:pPr>
        <w:spacing w:line="360" w:lineRule="auto"/>
      </w:pPr>
      <w:r>
        <w:t>Community engagement enables better understanding amongst the communities’ needs and appetite</w:t>
      </w:r>
      <w:r w:rsidR="0077051A">
        <w:t xml:space="preserve"> (</w:t>
      </w:r>
      <w:proofErr w:type="spellStart"/>
      <w:r w:rsidR="0077051A">
        <w:rPr>
          <w:shd w:val="clear" w:color="auto" w:fill="FFFFFF"/>
        </w:rPr>
        <w:t>Glackin</w:t>
      </w:r>
      <w:proofErr w:type="spellEnd"/>
      <w:r w:rsidR="0077051A">
        <w:rPr>
          <w:shd w:val="clear" w:color="auto" w:fill="FFFFFF"/>
        </w:rPr>
        <w:t xml:space="preserve"> and Dionisio, 2016)</w:t>
      </w:r>
      <w:r>
        <w:t xml:space="preserve">. It builds and maintains connective communities and communities can make their decision for making social capital. Community engagement leads </w:t>
      </w:r>
      <w:r w:rsidR="003B1999">
        <w:t>to</w:t>
      </w:r>
      <w:r>
        <w:t xml:space="preserve"> developing outcomes for communities in which people and local government can make decision</w:t>
      </w:r>
      <w:r w:rsidR="003B1999">
        <w:t>s</w:t>
      </w:r>
      <w:r>
        <w:t>, concern</w:t>
      </w:r>
      <w:r w:rsidR="003B1999">
        <w:t>,</w:t>
      </w:r>
      <w:r>
        <w:t xml:space="preserve"> and values communities. </w:t>
      </w:r>
      <w:r w:rsidR="003B1999">
        <w:t>The l</w:t>
      </w:r>
      <w:r>
        <w:t xml:space="preserve">ocal government can meet the needs of </w:t>
      </w:r>
      <w:r w:rsidR="003B1999">
        <w:t xml:space="preserve">the </w:t>
      </w:r>
      <w:r>
        <w:t xml:space="preserve">community </w:t>
      </w:r>
      <w:r w:rsidR="003B1999">
        <w:t>through</w:t>
      </w:r>
      <w:r>
        <w:t xml:space="preserve"> community engagement. Community engagement creates a partnership between people and local people and government which is the greater sense of community ownership. It drives social transformation by promoting advocacy which raises awareness. Mr. Clark suggested for all other organization</w:t>
      </w:r>
      <w:r w:rsidR="003B1999">
        <w:t>s</w:t>
      </w:r>
      <w:r>
        <w:t xml:space="preserve"> for creating an organization to work as </w:t>
      </w:r>
      <w:r w:rsidR="003B1999">
        <w:t xml:space="preserve">a </w:t>
      </w:r>
      <w:r>
        <w:t xml:space="preserve">firefighter for the community.  Community engagement makes sure access and community empowerment. Community engagement supports local government </w:t>
      </w:r>
      <w:r w:rsidR="003B1999">
        <w:t>in</w:t>
      </w:r>
      <w:r>
        <w:t xml:space="preserve"> promoting sustainable decisions for the community. It helps </w:t>
      </w:r>
      <w:r w:rsidR="003B1999">
        <w:t xml:space="preserve">the </w:t>
      </w:r>
      <w:r>
        <w:t>government to develop efficiency, legitimacy</w:t>
      </w:r>
      <w:r w:rsidR="003B1999">
        <w:t>,</w:t>
      </w:r>
      <w:r>
        <w:t xml:space="preserve"> and transparency </w:t>
      </w:r>
      <w:r w:rsidR="003B1999">
        <w:t>in</w:t>
      </w:r>
      <w:r>
        <w:t xml:space="preserve"> making </w:t>
      </w:r>
      <w:r w:rsidR="003B1999">
        <w:t xml:space="preserve">the </w:t>
      </w:r>
      <w:r>
        <w:t xml:space="preserve">decision. It encourages policymakers to make informed decisions. Therefore, community engagement is important for both local government and </w:t>
      </w:r>
      <w:r w:rsidR="003B1999">
        <w:t xml:space="preserve">the </w:t>
      </w:r>
      <w:r>
        <w:t xml:space="preserve">community as it works for their welfare. </w:t>
      </w:r>
    </w:p>
    <w:p w14:paraId="38F98F5E" w14:textId="77777777" w:rsidR="00615814" w:rsidRPr="00091311" w:rsidRDefault="00615814" w:rsidP="0077051A">
      <w:pPr>
        <w:spacing w:line="360" w:lineRule="auto"/>
      </w:pPr>
      <w:r w:rsidRPr="00091311">
        <w:t>People have pick</w:t>
      </w:r>
      <w:r w:rsidR="003B1999">
        <w:t>ed</w:t>
      </w:r>
      <w:r w:rsidRPr="00091311">
        <w:t xml:space="preserve"> up habits, skills</w:t>
      </w:r>
      <w:r w:rsidR="003B1999">
        <w:t>,</w:t>
      </w:r>
      <w:r w:rsidRPr="00091311">
        <w:t xml:space="preserve"> and abilit</w:t>
      </w:r>
      <w:r w:rsidR="003B1999">
        <w:t>ies</w:t>
      </w:r>
      <w:r w:rsidRPr="00091311">
        <w:t xml:space="preserve"> to make them employees which are called transferable skills</w:t>
      </w:r>
      <w:r w:rsidR="0077051A">
        <w:t xml:space="preserve"> (</w:t>
      </w:r>
      <w:proofErr w:type="spellStart"/>
      <w:r w:rsidR="0077051A">
        <w:rPr>
          <w:shd w:val="clear" w:color="auto" w:fill="FFFFFF"/>
        </w:rPr>
        <w:t>Manuti</w:t>
      </w:r>
      <w:proofErr w:type="spellEnd"/>
      <w:r w:rsidR="0077051A">
        <w:rPr>
          <w:shd w:val="clear" w:color="auto" w:fill="FFFFFF"/>
        </w:rPr>
        <w:t xml:space="preserve"> et al, 2015)</w:t>
      </w:r>
      <w:r w:rsidRPr="00091311">
        <w:t xml:space="preserve">. Transferable skills are proficiencies </w:t>
      </w:r>
      <w:r w:rsidR="003B1999">
        <w:t>that</w:t>
      </w:r>
      <w:r w:rsidRPr="00091311">
        <w:t xml:space="preserve"> are beneficial for </w:t>
      </w:r>
      <w:r w:rsidRPr="00091311">
        <w:lastRenderedPageBreak/>
        <w:t xml:space="preserve">doing </w:t>
      </w:r>
      <w:r w:rsidR="003B1999">
        <w:t xml:space="preserve">the </w:t>
      </w:r>
      <w:r w:rsidRPr="00091311">
        <w:t>job and for industries. For example</w:t>
      </w:r>
      <w:r w:rsidR="003B1999">
        <w:t>,</w:t>
      </w:r>
      <w:r w:rsidRPr="00091311">
        <w:t xml:space="preserve"> </w:t>
      </w:r>
      <w:r w:rsidR="003B1999">
        <w:t xml:space="preserve">an </w:t>
      </w:r>
      <w:r w:rsidRPr="00091311">
        <w:t xml:space="preserve">organization seeks candidates with critical thinking skills. There are some transferable skills are needed for community engagement. It contributes </w:t>
      </w:r>
      <w:r w:rsidR="003B1999">
        <w:t xml:space="preserve">to </w:t>
      </w:r>
      <w:r w:rsidRPr="00091311">
        <w:t xml:space="preserve">the success of an organization </w:t>
      </w:r>
      <w:r w:rsidR="003B1999">
        <w:t>that</w:t>
      </w:r>
      <w:r w:rsidRPr="00091311">
        <w:t xml:space="preserve"> works for the welfare of </w:t>
      </w:r>
      <w:r w:rsidR="003B1999">
        <w:t xml:space="preserve">the </w:t>
      </w:r>
      <w:r w:rsidRPr="00091311">
        <w:t xml:space="preserve">community. In community engagement, an organization works as a team for solving a critical problem. Transferable skills of the team members help to solve them the critical problem. Transferable skills can be improved by taking training which can be used for the welfare of the community. </w:t>
      </w:r>
      <w:r>
        <w:t>C</w:t>
      </w:r>
      <w:r w:rsidRPr="00091311">
        <w:t>ommunication skills help the organizations to respond community’s call for providing them the immediate services. Through their communication skills</w:t>
      </w:r>
      <w:r w:rsidR="003B1999">
        <w:t>,</w:t>
      </w:r>
      <w:r w:rsidRPr="00091311">
        <w:t xml:space="preserve"> they can con</w:t>
      </w:r>
      <w:r>
        <w:t>tact the community. Mr. Cla</w:t>
      </w:r>
      <w:r w:rsidRPr="00091311">
        <w:t xml:space="preserve">rks has a strong skill to taking initiative and so he could create the Scheme organization. He could assess the situation and the common problem of the community and so he could take suitable initiative for the community. </w:t>
      </w:r>
    </w:p>
    <w:p w14:paraId="58FDEE13" w14:textId="77777777" w:rsidR="00615814" w:rsidRDefault="00615814" w:rsidP="0077051A">
      <w:pPr>
        <w:spacing w:line="360" w:lineRule="auto"/>
      </w:pPr>
      <w:r w:rsidRPr="00091311">
        <w:t xml:space="preserve">Critical thinking helps to solve a critical problem. The Scheme organization could solve various critical problems when the community has needed urgent support. They could find </w:t>
      </w:r>
      <w:r w:rsidR="003B1999">
        <w:t xml:space="preserve">an </w:t>
      </w:r>
      <w:r w:rsidRPr="00091311">
        <w:t xml:space="preserve">urgent solution </w:t>
      </w:r>
      <w:r w:rsidR="003B1999">
        <w:t>to</w:t>
      </w:r>
      <w:r w:rsidRPr="00091311">
        <w:t xml:space="preserve"> the problems through their critical thinking and innovative skill. Creativity and innovation help to innovate an idea for the welfare of the community. People can innovate an idea </w:t>
      </w:r>
      <w:r w:rsidR="003B1999">
        <w:t>that</w:t>
      </w:r>
      <w:r w:rsidRPr="00091311">
        <w:t xml:space="preserve"> can help to solve the comment problem of the community through creativity and innovation</w:t>
      </w:r>
      <w:r w:rsidR="0077051A">
        <w:t xml:space="preserve"> (</w:t>
      </w:r>
      <w:r w:rsidR="0077051A">
        <w:rPr>
          <w:shd w:val="clear" w:color="auto" w:fill="FFFFFF"/>
        </w:rPr>
        <w:t>Evers and Ewert, 2018)</w:t>
      </w:r>
      <w:r w:rsidRPr="00091311">
        <w:t xml:space="preserve">. Leadership is </w:t>
      </w:r>
      <w:r w:rsidR="003B1999">
        <w:t>a</w:t>
      </w:r>
      <w:r w:rsidRPr="00091311">
        <w:t xml:space="preserve"> crucial skill for community engagement as a leader leads an organization </w:t>
      </w:r>
      <w:r w:rsidR="003B1999">
        <w:t>that</w:t>
      </w:r>
      <w:r w:rsidRPr="00091311">
        <w:t xml:space="preserve"> works for the community. In the case study, </w:t>
      </w:r>
      <w:r>
        <w:t>Mr. Cla</w:t>
      </w:r>
      <w:r w:rsidRPr="00091311">
        <w:t xml:space="preserve">rk is a perfect leader for community engagement. Teamwork and collaborative skills help a person to work with various people </w:t>
      </w:r>
      <w:r w:rsidR="003B1999">
        <w:t>in</w:t>
      </w:r>
      <w:r w:rsidRPr="00091311">
        <w:t xml:space="preserve"> a team. Teamwork and collaboration help to solve any critical problem through discussion which can be seen in the case study. Scheme organization works with </w:t>
      </w:r>
      <w:r w:rsidR="003B1999">
        <w:t xml:space="preserve">the </w:t>
      </w:r>
      <w:r w:rsidRPr="00091311">
        <w:t xml:space="preserve">team </w:t>
      </w:r>
      <w:r w:rsidR="003B1999">
        <w:t>to</w:t>
      </w:r>
      <w:r w:rsidRPr="00091311">
        <w:t xml:space="preserve"> rescue people and turn out </w:t>
      </w:r>
      <w:r w:rsidR="003B1999">
        <w:t xml:space="preserve">the </w:t>
      </w:r>
      <w:r w:rsidRPr="00091311">
        <w:t>fire. Therefore, transferable skills are crucial for community engagement</w:t>
      </w:r>
      <w:r>
        <w:t xml:space="preserve">. </w:t>
      </w:r>
    </w:p>
    <w:p w14:paraId="20A34272" w14:textId="77777777" w:rsidR="00615814" w:rsidRDefault="00615814" w:rsidP="0077051A">
      <w:pPr>
        <w:spacing w:line="360" w:lineRule="auto"/>
      </w:pPr>
      <w:r>
        <w:t xml:space="preserve">There are various types of transferable skills have seen in the case study. The employers and leader, Mr. Clark of the Scheme organization are doing their activities through their transferable skills. </w:t>
      </w:r>
      <w:r w:rsidR="003B1999">
        <w:t>The i</w:t>
      </w:r>
      <w:r>
        <w:t xml:space="preserve">nitiative is the common and crucial transferable skill </w:t>
      </w:r>
      <w:r w:rsidR="003B1999">
        <w:t>that</w:t>
      </w:r>
      <w:r>
        <w:t xml:space="preserve"> helps to take initiative for community engagement. A person who can take initiative can measure a condition, problem </w:t>
      </w:r>
      <w:r w:rsidR="003B1999">
        <w:t>by</w:t>
      </w:r>
      <w:r>
        <w:t xml:space="preserve"> </w:t>
      </w:r>
      <w:proofErr w:type="gramStart"/>
      <w:r>
        <w:t>taking action</w:t>
      </w:r>
      <w:proofErr w:type="gramEnd"/>
      <w:r>
        <w:t xml:space="preserve"> before </w:t>
      </w:r>
      <w:r w:rsidR="003B1999">
        <w:t xml:space="preserve">the </w:t>
      </w:r>
      <w:r>
        <w:t>community needs to be told</w:t>
      </w:r>
      <w:r w:rsidR="0077051A">
        <w:t xml:space="preserve"> (</w:t>
      </w:r>
      <w:r w:rsidR="0077051A">
        <w:rPr>
          <w:shd w:val="clear" w:color="auto" w:fill="FFFFFF"/>
        </w:rPr>
        <w:t>Patrizi et al, 2013)</w:t>
      </w:r>
      <w:r>
        <w:t xml:space="preserve">. </w:t>
      </w:r>
      <w:r w:rsidR="003B1999">
        <w:t>The i</w:t>
      </w:r>
      <w:r>
        <w:t xml:space="preserve">nitiative takes to solve any problems or conduct any operation. Mr. Clark has taken the initiative a decade ago for creating an organization for working as </w:t>
      </w:r>
      <w:r w:rsidR="003B1999">
        <w:t xml:space="preserve">a </w:t>
      </w:r>
      <w:r>
        <w:t>firefighter as he has excellent initiative skill</w:t>
      </w:r>
      <w:r w:rsidR="003B1999">
        <w:t>s</w:t>
      </w:r>
      <w:r>
        <w:t>. Problem-solving skills help identify a problem and solve the problem by finding the way of solution. The team members and the leader of the organization described in the case have problem</w:t>
      </w:r>
      <w:r w:rsidR="003B1999">
        <w:t>-</w:t>
      </w:r>
      <w:r>
        <w:t xml:space="preserve">solving skills by which they solve any critical problem as </w:t>
      </w:r>
      <w:r w:rsidR="003B1999">
        <w:t xml:space="preserve">a </w:t>
      </w:r>
      <w:r>
        <w:t xml:space="preserve">firefighter. The employers of the organization </w:t>
      </w:r>
      <w:r>
        <w:lastRenderedPageBreak/>
        <w:t xml:space="preserve">can identify </w:t>
      </w:r>
      <w:r w:rsidR="003B1999">
        <w:t xml:space="preserve">the </w:t>
      </w:r>
      <w:r>
        <w:t>problem of emerging situation</w:t>
      </w:r>
      <w:r w:rsidR="003B1999">
        <w:t>s</w:t>
      </w:r>
      <w:r>
        <w:t xml:space="preserve"> and solve them </w:t>
      </w:r>
      <w:r w:rsidR="003B1999">
        <w:t xml:space="preserve">on </w:t>
      </w:r>
      <w:r>
        <w:t xml:space="preserve">an urgent basis. Critical thinking also helps to solve any problems which have employers of the organization. </w:t>
      </w:r>
      <w:r w:rsidR="003B1999">
        <w:t>E</w:t>
      </w:r>
      <w:r>
        <w:t xml:space="preserve">mployers can find the way of what needs to do in </w:t>
      </w:r>
      <w:r w:rsidR="003B1999">
        <w:t xml:space="preserve">the </w:t>
      </w:r>
      <w:r>
        <w:t xml:space="preserve">emerging situation through their critical thinking skills. </w:t>
      </w:r>
    </w:p>
    <w:p w14:paraId="3238C656" w14:textId="77777777" w:rsidR="00615814" w:rsidRDefault="00615814" w:rsidP="0077051A">
      <w:pPr>
        <w:spacing w:line="360" w:lineRule="auto"/>
      </w:pPr>
      <w:r>
        <w:t xml:space="preserve">Teamwork is working together as </w:t>
      </w:r>
      <w:r w:rsidR="003B1999">
        <w:t xml:space="preserve">a </w:t>
      </w:r>
      <w:r>
        <w:t>group for achieving a common goal</w:t>
      </w:r>
      <w:r w:rsidR="0077051A">
        <w:t xml:space="preserve"> (</w:t>
      </w:r>
      <w:r w:rsidR="0077051A">
        <w:rPr>
          <w:shd w:val="clear" w:color="auto" w:fill="FFFFFF"/>
        </w:rPr>
        <w:t>Dirks, 2019)</w:t>
      </w:r>
      <w:r>
        <w:t xml:space="preserve">. Through team working, people can solve any problem easily and learn new skills, knowledge and gain experience from other team members. Teamwork helps to solve any project in a short through the cooperation of the team members. Scheme organization has </w:t>
      </w:r>
      <w:r w:rsidR="003B1999">
        <w:t xml:space="preserve">been </w:t>
      </w:r>
      <w:r>
        <w:t>created for working with firefighting which help</w:t>
      </w:r>
      <w:r w:rsidR="003B1999">
        <w:t>s</w:t>
      </w:r>
      <w:r>
        <w:t xml:space="preserve"> them to solve any problem easily. The team members of organizations coordinate with each other </w:t>
      </w:r>
      <w:r w:rsidR="003B1999">
        <w:t>to</w:t>
      </w:r>
      <w:r>
        <w:t xml:space="preserve"> rescue people and turn out </w:t>
      </w:r>
      <w:r w:rsidR="003B1999">
        <w:t xml:space="preserve">the </w:t>
      </w:r>
      <w:r>
        <w:t>fire. Communication skills help to share ideas, information with others</w:t>
      </w:r>
      <w:r w:rsidR="0077051A">
        <w:t xml:space="preserve"> (</w:t>
      </w:r>
      <w:proofErr w:type="spellStart"/>
      <w:r w:rsidR="0077051A">
        <w:rPr>
          <w:shd w:val="clear" w:color="auto" w:fill="FFFFFF"/>
        </w:rPr>
        <w:t>Hidayati</w:t>
      </w:r>
      <w:proofErr w:type="spellEnd"/>
      <w:r w:rsidR="0077051A">
        <w:rPr>
          <w:shd w:val="clear" w:color="auto" w:fill="FFFFFF"/>
        </w:rPr>
        <w:t xml:space="preserve"> et al, 2020)</w:t>
      </w:r>
      <w:r>
        <w:t xml:space="preserve">. In Scheme organization, team members can quickly respond to call </w:t>
      </w:r>
      <w:r w:rsidR="003B1999">
        <w:t>from</w:t>
      </w:r>
      <w:r>
        <w:t xml:space="preserve"> the community. They communicate with the community repeatedly for knowing the information to solve their problems. Team leader</w:t>
      </w:r>
      <w:r w:rsidR="003B1999">
        <w:t>s</w:t>
      </w:r>
      <w:r>
        <w:t xml:space="preserve"> communicate with other team members for </w:t>
      </w:r>
      <w:proofErr w:type="gramStart"/>
      <w:r>
        <w:t>taking action</w:t>
      </w:r>
      <w:proofErr w:type="gramEnd"/>
      <w:r>
        <w:t xml:space="preserve"> in emerging situation</w:t>
      </w:r>
      <w:r w:rsidR="003B1999">
        <w:t>s</w:t>
      </w:r>
      <w:r>
        <w:t xml:space="preserve">. Leadership skills help to lead a group of people for achieving a goal. Mr. Clark is </w:t>
      </w:r>
      <w:r w:rsidR="003B1999">
        <w:t xml:space="preserve">a </w:t>
      </w:r>
      <w:r>
        <w:t xml:space="preserve">great leader who leads a group of people in </w:t>
      </w:r>
      <w:r w:rsidR="003B1999">
        <w:t xml:space="preserve">the </w:t>
      </w:r>
      <w:r>
        <w:t xml:space="preserve">Scheme organization </w:t>
      </w:r>
      <w:r w:rsidR="003B1999">
        <w:t>that</w:t>
      </w:r>
      <w:r>
        <w:t xml:space="preserve"> works for community engagement. He has also a good level of management skill</w:t>
      </w:r>
      <w:r w:rsidR="003B1999">
        <w:t>s</w:t>
      </w:r>
      <w:r>
        <w:t xml:space="preserve"> which helps him to manage every operation of his organization. Therefore, transferable skills have supported every member of </w:t>
      </w:r>
      <w:r w:rsidR="003B1999">
        <w:t xml:space="preserve">the </w:t>
      </w:r>
      <w:r>
        <w:t xml:space="preserve">Scheme organization for community engagement. </w:t>
      </w:r>
    </w:p>
    <w:p w14:paraId="471DB08D" w14:textId="77777777" w:rsidR="00E76911" w:rsidRDefault="00615814" w:rsidP="0077051A">
      <w:pPr>
        <w:spacing w:line="360" w:lineRule="auto"/>
      </w:pPr>
      <w:r>
        <w:t>In my viewpoint, Mr. Clark’s employers can take some action to take community engagement to the next level.</w:t>
      </w:r>
      <w:r w:rsidR="00E76911">
        <w:t xml:space="preserve"> They need to focus on community moderation and allow the community to express the organization. To prevent trolling, bullying</w:t>
      </w:r>
      <w:r w:rsidR="0077051A">
        <w:t>,</w:t>
      </w:r>
      <w:r w:rsidR="00E76911">
        <w:t xml:space="preserve"> and wrong behavior, they need to moderate the community. </w:t>
      </w:r>
      <w:r w:rsidR="0077051A">
        <w:t>Employers can provide the opportunity to the community to</w:t>
      </w:r>
      <w:r w:rsidR="00E76911">
        <w:t xml:space="preserve"> express </w:t>
      </w:r>
      <w:r w:rsidR="0077051A">
        <w:t>their</w:t>
      </w:r>
      <w:r w:rsidR="00E76911">
        <w:t xml:space="preserve"> organization so that people can be motivated </w:t>
      </w:r>
      <w:r w:rsidR="0077051A">
        <w:t>by</w:t>
      </w:r>
      <w:r w:rsidR="00E76911">
        <w:t xml:space="preserve"> the activities of the organization</w:t>
      </w:r>
      <w:r w:rsidR="0077051A">
        <w:t xml:space="preserve"> (</w:t>
      </w:r>
      <w:r w:rsidR="0077051A">
        <w:rPr>
          <w:shd w:val="clear" w:color="auto" w:fill="FFFFFF"/>
        </w:rPr>
        <w:t>Mostafa et al, 2015)</w:t>
      </w:r>
      <w:r w:rsidR="00E76911">
        <w:t xml:space="preserve">. The organization needs to be more responsive </w:t>
      </w:r>
      <w:r w:rsidR="00265073">
        <w:t>and more interacti</w:t>
      </w:r>
      <w:r w:rsidR="0077051A">
        <w:t>ve</w:t>
      </w:r>
      <w:r w:rsidR="00265073">
        <w:t xml:space="preserve"> with the community. The organization cannot implement its strategies if it is unresponsive. The employers of the organization need to welcome new members in the organization to provide an opportunity </w:t>
      </w:r>
      <w:r w:rsidR="0077051A">
        <w:t>to work</w:t>
      </w:r>
      <w:r w:rsidR="00265073">
        <w:t xml:space="preserve"> with them. If the </w:t>
      </w:r>
      <w:proofErr w:type="gramStart"/>
      <w:r w:rsidR="00265073">
        <w:t>employers</w:t>
      </w:r>
      <w:proofErr w:type="gramEnd"/>
      <w:r w:rsidR="00265073">
        <w:t xml:space="preserve"> welcome new members, it will add new talent and ideas </w:t>
      </w:r>
      <w:r w:rsidR="0077051A">
        <w:t>to</w:t>
      </w:r>
      <w:r w:rsidR="00265073">
        <w:t xml:space="preserve"> the organization. Moreover, the organization will be a big platform </w:t>
      </w:r>
      <w:r w:rsidR="0077051A">
        <w:t>for</w:t>
      </w:r>
      <w:r w:rsidR="00265073">
        <w:t xml:space="preserve"> community engagement and more people will be motivated to work for the community</w:t>
      </w:r>
      <w:r w:rsidR="0077051A">
        <w:t xml:space="preserve"> (</w:t>
      </w:r>
      <w:r w:rsidR="0077051A">
        <w:rPr>
          <w:shd w:val="clear" w:color="auto" w:fill="FFFFFF"/>
        </w:rPr>
        <w:t>Habibi et al, 2014)</w:t>
      </w:r>
      <w:r w:rsidR="00265073">
        <w:t>. The employers can thank new people to acknowledge and for joining the organization. They need to make feel welcome and a valuable part of the organization. The employers can use welcome message opportunit</w:t>
      </w:r>
      <w:r w:rsidR="0077051A">
        <w:t>ies</w:t>
      </w:r>
      <w:r w:rsidR="00265073">
        <w:t xml:space="preserve"> for explaining the aim of the organization provide them </w:t>
      </w:r>
      <w:r w:rsidR="0077051A">
        <w:t xml:space="preserve">with </w:t>
      </w:r>
      <w:r w:rsidR="00265073">
        <w:lastRenderedPageBreak/>
        <w:t>idea</w:t>
      </w:r>
      <w:r w:rsidR="0077051A">
        <w:t>s</w:t>
      </w:r>
      <w:r w:rsidR="00265073">
        <w:t xml:space="preserve"> </w:t>
      </w:r>
      <w:r w:rsidR="0077051A">
        <w:t>to work with the organization. E</w:t>
      </w:r>
      <w:r w:rsidR="009701CD">
        <w:t>mployers need</w:t>
      </w:r>
      <w:r w:rsidR="0010501E">
        <w:t xml:space="preserve"> to encourage people to invest their time and effort to work for the community</w:t>
      </w:r>
      <w:r w:rsidR="009701CD">
        <w:t xml:space="preserve">. They can use visual content like photos videos to post </w:t>
      </w:r>
      <w:r w:rsidR="0077051A">
        <w:t>o</w:t>
      </w:r>
      <w:r w:rsidR="009701CD">
        <w:t>n social media which is so much engaging than paragraph</w:t>
      </w:r>
      <w:r w:rsidR="0077051A">
        <w:t>s</w:t>
      </w:r>
      <w:r w:rsidR="009701CD">
        <w:t xml:space="preserve"> or text. Visual content encourage</w:t>
      </w:r>
      <w:r w:rsidR="0077051A">
        <w:t>s</w:t>
      </w:r>
      <w:r w:rsidR="009701CD">
        <w:t xml:space="preserve"> people more than paragraph</w:t>
      </w:r>
      <w:r w:rsidR="0077051A">
        <w:t>s</w:t>
      </w:r>
      <w:r w:rsidR="009701CD">
        <w:t xml:space="preserve"> and text</w:t>
      </w:r>
      <w:r w:rsidR="0077051A">
        <w:t xml:space="preserve"> (</w:t>
      </w:r>
      <w:r w:rsidR="0077051A">
        <w:rPr>
          <w:shd w:val="clear" w:color="auto" w:fill="FFFFFF"/>
        </w:rPr>
        <w:t>Bingham et al, 2016)</w:t>
      </w:r>
      <w:r w:rsidR="009701CD">
        <w:t xml:space="preserve">. </w:t>
      </w:r>
      <w:r w:rsidR="003B2EE6">
        <w:t xml:space="preserve">Finally, the employers need to make thoughtful decisions with the managers of the organization. </w:t>
      </w:r>
      <w:r w:rsidR="0077051A">
        <w:t>A t</w:t>
      </w:r>
      <w:r w:rsidR="003B2EE6">
        <w:t xml:space="preserve">houghtful decision will help the organization to sustain </w:t>
      </w:r>
      <w:r w:rsidR="0077051A">
        <w:t xml:space="preserve">itself </w:t>
      </w:r>
      <w:r w:rsidR="003B2EE6">
        <w:t xml:space="preserve">in long-time.    </w:t>
      </w:r>
    </w:p>
    <w:p w14:paraId="590AECDC" w14:textId="77777777" w:rsidR="008F43D4" w:rsidRDefault="00EC65DA" w:rsidP="0077051A">
      <w:pPr>
        <w:spacing w:line="360" w:lineRule="auto"/>
      </w:pPr>
      <w:proofErr w:type="gramStart"/>
      <w:r>
        <w:t>After analyzing the essay, it</w:t>
      </w:r>
      <w:proofErr w:type="gramEnd"/>
      <w:r>
        <w:t xml:space="preserve"> can be stated that community engagement is crucial for every society for their welfare. Community engagement helps </w:t>
      </w:r>
      <w:r w:rsidR="003B1999">
        <w:t xml:space="preserve">the </w:t>
      </w:r>
      <w:r>
        <w:t xml:space="preserve">local community to create </w:t>
      </w:r>
      <w:r w:rsidR="003B1999">
        <w:t xml:space="preserve">a </w:t>
      </w:r>
      <w:r>
        <w:t xml:space="preserve">network so that people can discuss the common problem of the community. It creates an opportunity to coordinate </w:t>
      </w:r>
      <w:r w:rsidR="003B1999">
        <w:t xml:space="preserve">with </w:t>
      </w:r>
      <w:r>
        <w:t xml:space="preserve">each other and works for a common goal. People can understand the needs of the community and take action to fulfill the needs through community engagement. </w:t>
      </w:r>
      <w:r w:rsidR="009E5DA5">
        <w:t xml:space="preserve">It creates </w:t>
      </w:r>
      <w:r w:rsidR="003B1999">
        <w:t xml:space="preserve">the </w:t>
      </w:r>
      <w:r w:rsidR="009E5DA5">
        <w:t xml:space="preserve">opportunity for both local government and community to works for </w:t>
      </w:r>
      <w:r w:rsidR="003B1999">
        <w:t xml:space="preserve">the </w:t>
      </w:r>
      <w:r w:rsidR="009E5DA5">
        <w:t>welfare and make</w:t>
      </w:r>
      <w:r w:rsidR="003B1999">
        <w:t>s</w:t>
      </w:r>
      <w:r w:rsidR="009E5DA5">
        <w:t xml:space="preserve"> </w:t>
      </w:r>
      <w:r w:rsidR="003B1999">
        <w:t xml:space="preserve">the </w:t>
      </w:r>
      <w:r w:rsidR="009E5DA5">
        <w:t>relation between them. Transferable skills can be used to build community engagement. By using the skills, the Scheme organization works for the community. To build community engagement, transferable skills are crucial. Some transferable skills are initiative, teamwork, creativity, problem-solving, critical thinking, strong communication skills leadership</w:t>
      </w:r>
      <w:r w:rsidR="003B1999">
        <w:t>,</w:t>
      </w:r>
      <w:r w:rsidR="009E5DA5">
        <w:t xml:space="preserve"> and management skills</w:t>
      </w:r>
      <w:r w:rsidR="002A6E53">
        <w:t xml:space="preserve"> which can be used for building community engagement. </w:t>
      </w:r>
      <w:r w:rsidR="009E5DA5">
        <w:t xml:space="preserve">In the case study, Mr. Clarks and his employers used transferable skills to build community engagement and </w:t>
      </w:r>
      <w:r w:rsidR="00885692">
        <w:t>work for the welfare of the community.</w:t>
      </w:r>
      <w:r w:rsidR="0015338B">
        <w:t xml:space="preserve"> Moreover, the </w:t>
      </w:r>
      <w:r w:rsidR="006A07C8">
        <w:t>employers of the organization need</w:t>
      </w:r>
      <w:r w:rsidR="0015338B">
        <w:t xml:space="preserve"> to take some steps </w:t>
      </w:r>
      <w:r w:rsidR="0077051A">
        <w:t>at</w:t>
      </w:r>
      <w:r w:rsidR="0015338B">
        <w:t xml:space="preserve"> </w:t>
      </w:r>
      <w:r w:rsidR="0077051A">
        <w:t xml:space="preserve">the </w:t>
      </w:r>
      <w:r w:rsidR="0015338B">
        <w:t xml:space="preserve">next level to </w:t>
      </w:r>
      <w:r w:rsidR="006A07C8">
        <w:t xml:space="preserve">enhance the organization and for its sustainability. </w:t>
      </w:r>
      <w:r w:rsidR="008F43D4">
        <w:t xml:space="preserve">Therefore, Community engagement helps a community to lead a peaceful and comfortable life. </w:t>
      </w:r>
    </w:p>
    <w:p w14:paraId="132D9362" w14:textId="77777777" w:rsidR="00AF0488" w:rsidRDefault="006A07C8" w:rsidP="0077051A">
      <w:pPr>
        <w:spacing w:line="360" w:lineRule="auto"/>
      </w:pPr>
      <w:r>
        <w:t xml:space="preserve">  </w:t>
      </w:r>
      <w:r w:rsidR="005D5032">
        <w:t xml:space="preserve"> </w:t>
      </w:r>
      <w:r w:rsidR="00885692">
        <w:t xml:space="preserve"> </w:t>
      </w:r>
      <w:r w:rsidR="009E5DA5">
        <w:t xml:space="preserve">   </w:t>
      </w:r>
    </w:p>
    <w:p w14:paraId="567BD9D0" w14:textId="77777777" w:rsidR="00615814" w:rsidRPr="006B5139" w:rsidRDefault="009E5DA5" w:rsidP="0077051A">
      <w:pPr>
        <w:spacing w:line="360" w:lineRule="auto"/>
      </w:pPr>
      <w:r>
        <w:t xml:space="preserve">   </w:t>
      </w:r>
      <w:r w:rsidR="00EC65DA">
        <w:t xml:space="preserve">    </w:t>
      </w:r>
    </w:p>
    <w:p w14:paraId="685FD7C7" w14:textId="77777777" w:rsidR="0077051A" w:rsidRDefault="0077051A" w:rsidP="0077051A">
      <w:pPr>
        <w:pStyle w:val="Heading1"/>
        <w:spacing w:line="360" w:lineRule="auto"/>
      </w:pPr>
    </w:p>
    <w:p w14:paraId="3FE5D79E" w14:textId="77777777" w:rsidR="0077051A" w:rsidRDefault="0077051A" w:rsidP="0077051A">
      <w:pPr>
        <w:pStyle w:val="Heading1"/>
        <w:spacing w:line="360" w:lineRule="auto"/>
      </w:pPr>
    </w:p>
    <w:p w14:paraId="6F8D9892" w14:textId="77777777" w:rsidR="0077051A" w:rsidRDefault="0077051A" w:rsidP="0077051A">
      <w:pPr>
        <w:pStyle w:val="Heading1"/>
        <w:spacing w:line="360" w:lineRule="auto"/>
      </w:pPr>
    </w:p>
    <w:p w14:paraId="26230084" w14:textId="77777777" w:rsidR="0077051A" w:rsidRDefault="0077051A" w:rsidP="0077051A">
      <w:pPr>
        <w:spacing w:line="360" w:lineRule="auto"/>
        <w:rPr>
          <w:shd w:val="clear" w:color="auto" w:fill="FFFFFF"/>
        </w:rPr>
      </w:pPr>
    </w:p>
    <w:p w14:paraId="27D79BF3" w14:textId="77777777" w:rsidR="0077051A" w:rsidRDefault="0077051A" w:rsidP="0077051A">
      <w:pPr>
        <w:pStyle w:val="Heading1"/>
        <w:spacing w:line="360" w:lineRule="auto"/>
      </w:pPr>
      <w:r>
        <w:lastRenderedPageBreak/>
        <w:t xml:space="preserve">References </w:t>
      </w:r>
    </w:p>
    <w:p w14:paraId="15868482" w14:textId="77777777" w:rsidR="0077051A" w:rsidRPr="0077051A" w:rsidRDefault="0077051A" w:rsidP="0077051A">
      <w:pPr>
        <w:spacing w:line="360" w:lineRule="auto"/>
      </w:pPr>
      <w:r>
        <w:rPr>
          <w:shd w:val="clear" w:color="auto" w:fill="FFFFFF"/>
        </w:rPr>
        <w:t>Bingham, T., Reid, S. and Ivanovic, V., (2016). Paint me a picture: translating academic integrity policies and regulations into visual content for an online course. </w:t>
      </w:r>
      <w:r>
        <w:rPr>
          <w:i/>
          <w:iCs/>
          <w:shd w:val="clear" w:color="auto" w:fill="FFFFFF"/>
        </w:rPr>
        <w:t>International Journal for Educational Integrity</w:t>
      </w:r>
      <w:r>
        <w:rPr>
          <w:shd w:val="clear" w:color="auto" w:fill="FFFFFF"/>
        </w:rPr>
        <w:t>, </w:t>
      </w:r>
      <w:r>
        <w:rPr>
          <w:i/>
          <w:iCs/>
          <w:shd w:val="clear" w:color="auto" w:fill="FFFFFF"/>
        </w:rPr>
        <w:t>12</w:t>
      </w:r>
      <w:r>
        <w:rPr>
          <w:shd w:val="clear" w:color="auto" w:fill="FFFFFF"/>
        </w:rPr>
        <w:t>(1), pp.1-13.</w:t>
      </w:r>
    </w:p>
    <w:p w14:paraId="649630C9" w14:textId="77777777" w:rsidR="0077051A" w:rsidRPr="0077051A" w:rsidRDefault="0077051A" w:rsidP="0077051A">
      <w:pPr>
        <w:spacing w:line="360" w:lineRule="auto"/>
      </w:pPr>
      <w:r>
        <w:rPr>
          <w:shd w:val="clear" w:color="auto" w:fill="FFFFFF"/>
        </w:rPr>
        <w:t>Dirks, J.L., (2019). Effective strategies for teaching teamwork. </w:t>
      </w:r>
      <w:r>
        <w:rPr>
          <w:i/>
          <w:iCs/>
          <w:shd w:val="clear" w:color="auto" w:fill="FFFFFF"/>
        </w:rPr>
        <w:t>Critical care nurse</w:t>
      </w:r>
      <w:r>
        <w:rPr>
          <w:shd w:val="clear" w:color="auto" w:fill="FFFFFF"/>
        </w:rPr>
        <w:t>, </w:t>
      </w:r>
      <w:r>
        <w:rPr>
          <w:i/>
          <w:iCs/>
          <w:shd w:val="clear" w:color="auto" w:fill="FFFFFF"/>
        </w:rPr>
        <w:t>39</w:t>
      </w:r>
      <w:r>
        <w:rPr>
          <w:shd w:val="clear" w:color="auto" w:fill="FFFFFF"/>
        </w:rPr>
        <w:t>(4), pp.40-47.</w:t>
      </w:r>
    </w:p>
    <w:p w14:paraId="70DA8CBF" w14:textId="77777777" w:rsidR="0077051A" w:rsidRDefault="0077051A" w:rsidP="0077051A">
      <w:pPr>
        <w:spacing w:line="360" w:lineRule="auto"/>
        <w:rPr>
          <w:shd w:val="clear" w:color="auto" w:fill="FFFFFF"/>
        </w:rPr>
      </w:pPr>
      <w:r>
        <w:rPr>
          <w:shd w:val="clear" w:color="auto" w:fill="FFFFFF"/>
        </w:rPr>
        <w:t>Evers, A. and Ewert, B., (2015) Social innovation for social cohesion. In </w:t>
      </w:r>
      <w:r>
        <w:rPr>
          <w:i/>
          <w:iCs/>
          <w:shd w:val="clear" w:color="auto" w:fill="FFFFFF"/>
        </w:rPr>
        <w:t>New frontiers in social innovation research</w:t>
      </w:r>
      <w:r>
        <w:rPr>
          <w:shd w:val="clear" w:color="auto" w:fill="FFFFFF"/>
        </w:rPr>
        <w:t> (pp. 107-127). Palgrave Macmillan, London.</w:t>
      </w:r>
    </w:p>
    <w:p w14:paraId="0B5673A6" w14:textId="77777777" w:rsidR="0077051A" w:rsidRPr="0077051A" w:rsidRDefault="0077051A" w:rsidP="0077051A">
      <w:pPr>
        <w:spacing w:line="360" w:lineRule="auto"/>
      </w:pPr>
      <w:r>
        <w:rPr>
          <w:shd w:val="clear" w:color="auto" w:fill="FFFFFF"/>
        </w:rPr>
        <w:t>Habibi, M.R., Laroche, M. and Richard, M.O., (2014). The roles of brand community and community engagement in building brand trust on social media. </w:t>
      </w:r>
      <w:r>
        <w:rPr>
          <w:i/>
          <w:iCs/>
          <w:shd w:val="clear" w:color="auto" w:fill="FFFFFF"/>
        </w:rPr>
        <w:t>Computers in human behavior</w:t>
      </w:r>
      <w:r>
        <w:rPr>
          <w:shd w:val="clear" w:color="auto" w:fill="FFFFFF"/>
        </w:rPr>
        <w:t>, </w:t>
      </w:r>
      <w:r>
        <w:rPr>
          <w:i/>
          <w:iCs/>
          <w:shd w:val="clear" w:color="auto" w:fill="FFFFFF"/>
        </w:rPr>
        <w:t>37</w:t>
      </w:r>
      <w:r>
        <w:rPr>
          <w:shd w:val="clear" w:color="auto" w:fill="FFFFFF"/>
        </w:rPr>
        <w:t>, pp.152-161.</w:t>
      </w:r>
    </w:p>
    <w:p w14:paraId="0E9F6F50" w14:textId="77777777" w:rsidR="0077051A" w:rsidRPr="0077051A" w:rsidRDefault="0077051A" w:rsidP="0077051A">
      <w:pPr>
        <w:spacing w:line="360" w:lineRule="auto"/>
      </w:pPr>
      <w:proofErr w:type="spellStart"/>
      <w:r>
        <w:rPr>
          <w:shd w:val="clear" w:color="auto" w:fill="FFFFFF"/>
        </w:rPr>
        <w:t>Glackin</w:t>
      </w:r>
      <w:proofErr w:type="spellEnd"/>
      <w:r>
        <w:rPr>
          <w:shd w:val="clear" w:color="auto" w:fill="FFFFFF"/>
        </w:rPr>
        <w:t>, S. and Dionisio, M.R., (2016). ‘Deep engagement and urban regeneration: tea, trust, and the quest for co-design at the precinct scale. </w:t>
      </w:r>
      <w:r>
        <w:rPr>
          <w:i/>
          <w:iCs/>
          <w:shd w:val="clear" w:color="auto" w:fill="FFFFFF"/>
        </w:rPr>
        <w:t>Land Use Policy</w:t>
      </w:r>
      <w:r>
        <w:rPr>
          <w:shd w:val="clear" w:color="auto" w:fill="FFFFFF"/>
        </w:rPr>
        <w:t>, </w:t>
      </w:r>
      <w:r>
        <w:rPr>
          <w:i/>
          <w:iCs/>
          <w:shd w:val="clear" w:color="auto" w:fill="FFFFFF"/>
        </w:rPr>
        <w:t>52</w:t>
      </w:r>
      <w:r>
        <w:rPr>
          <w:shd w:val="clear" w:color="auto" w:fill="FFFFFF"/>
        </w:rPr>
        <w:t>, pp.363-373.</w:t>
      </w:r>
    </w:p>
    <w:p w14:paraId="157E18E5" w14:textId="77777777" w:rsidR="0077051A" w:rsidRDefault="0077051A" w:rsidP="0077051A">
      <w:pPr>
        <w:spacing w:line="360" w:lineRule="auto"/>
        <w:rPr>
          <w:shd w:val="clear" w:color="auto" w:fill="FFFFFF"/>
        </w:rPr>
      </w:pPr>
      <w:r>
        <w:rPr>
          <w:shd w:val="clear" w:color="auto" w:fill="FFFFFF"/>
        </w:rPr>
        <w:t>Hart, C., (2018). Doing a literature review: Releasing the research imagination.</w:t>
      </w:r>
    </w:p>
    <w:p w14:paraId="218DD1F3" w14:textId="77777777" w:rsidR="0077051A" w:rsidRDefault="0077051A" w:rsidP="0077051A">
      <w:pPr>
        <w:spacing w:line="360" w:lineRule="auto"/>
        <w:rPr>
          <w:shd w:val="clear" w:color="auto" w:fill="FFFFFF"/>
        </w:rPr>
      </w:pPr>
      <w:proofErr w:type="spellStart"/>
      <w:r>
        <w:rPr>
          <w:shd w:val="clear" w:color="auto" w:fill="FFFFFF"/>
        </w:rPr>
        <w:t>Hidayati</w:t>
      </w:r>
      <w:proofErr w:type="spellEnd"/>
      <w:r>
        <w:rPr>
          <w:shd w:val="clear" w:color="auto" w:fill="FFFFFF"/>
        </w:rPr>
        <w:t xml:space="preserve">, N., </w:t>
      </w:r>
      <w:proofErr w:type="spellStart"/>
      <w:r>
        <w:rPr>
          <w:shd w:val="clear" w:color="auto" w:fill="FFFFFF"/>
        </w:rPr>
        <w:t>Zubaidah</w:t>
      </w:r>
      <w:proofErr w:type="spellEnd"/>
      <w:r>
        <w:rPr>
          <w:shd w:val="clear" w:color="auto" w:fill="FFFFFF"/>
        </w:rPr>
        <w:t xml:space="preserve">, S., </w:t>
      </w:r>
      <w:proofErr w:type="spellStart"/>
      <w:r>
        <w:rPr>
          <w:shd w:val="clear" w:color="auto" w:fill="FFFFFF"/>
        </w:rPr>
        <w:t>Suarsini</w:t>
      </w:r>
      <w:proofErr w:type="spellEnd"/>
      <w:r>
        <w:rPr>
          <w:shd w:val="clear" w:color="auto" w:fill="FFFFFF"/>
        </w:rPr>
        <w:t xml:space="preserve">, E. and </w:t>
      </w:r>
      <w:proofErr w:type="spellStart"/>
      <w:r>
        <w:rPr>
          <w:shd w:val="clear" w:color="auto" w:fill="FFFFFF"/>
        </w:rPr>
        <w:t>Praherdhiono</w:t>
      </w:r>
      <w:proofErr w:type="spellEnd"/>
      <w:r>
        <w:rPr>
          <w:shd w:val="clear" w:color="auto" w:fill="FFFFFF"/>
        </w:rPr>
        <w:t xml:space="preserve">, H., (2020). Cognitive learning outcomes: Its relationship with communication skills and collaboration skills through digital mind </w:t>
      </w:r>
      <w:proofErr w:type="gramStart"/>
      <w:r>
        <w:rPr>
          <w:shd w:val="clear" w:color="auto" w:fill="FFFFFF"/>
        </w:rPr>
        <w:t>maps-integrated</w:t>
      </w:r>
      <w:proofErr w:type="gramEnd"/>
      <w:r>
        <w:rPr>
          <w:shd w:val="clear" w:color="auto" w:fill="FFFFFF"/>
        </w:rPr>
        <w:t xml:space="preserve"> PBL. </w:t>
      </w:r>
      <w:r>
        <w:rPr>
          <w:i/>
          <w:iCs/>
          <w:shd w:val="clear" w:color="auto" w:fill="FFFFFF"/>
        </w:rPr>
        <w:t>International Journal of Information and Education Technology</w:t>
      </w:r>
      <w:r>
        <w:rPr>
          <w:shd w:val="clear" w:color="auto" w:fill="FFFFFF"/>
        </w:rPr>
        <w:t>, </w:t>
      </w:r>
      <w:r>
        <w:rPr>
          <w:i/>
          <w:iCs/>
          <w:shd w:val="clear" w:color="auto" w:fill="FFFFFF"/>
        </w:rPr>
        <w:t>10</w:t>
      </w:r>
      <w:r>
        <w:rPr>
          <w:shd w:val="clear" w:color="auto" w:fill="FFFFFF"/>
        </w:rPr>
        <w:t>(6), pp.433-448.</w:t>
      </w:r>
    </w:p>
    <w:p w14:paraId="58BC1910" w14:textId="77777777" w:rsidR="0077051A" w:rsidRDefault="0077051A" w:rsidP="0077051A">
      <w:pPr>
        <w:spacing w:line="360" w:lineRule="auto"/>
        <w:rPr>
          <w:shd w:val="clear" w:color="auto" w:fill="FFFFFF"/>
        </w:rPr>
      </w:pPr>
      <w:r>
        <w:rPr>
          <w:shd w:val="clear" w:color="auto" w:fill="FFFFFF"/>
        </w:rPr>
        <w:t xml:space="preserve">Holmes, P. and </w:t>
      </w:r>
      <w:proofErr w:type="spellStart"/>
      <w:r>
        <w:rPr>
          <w:shd w:val="clear" w:color="auto" w:fill="FFFFFF"/>
        </w:rPr>
        <w:t>Schaffarczyk</w:t>
      </w:r>
      <w:proofErr w:type="spellEnd"/>
      <w:r>
        <w:rPr>
          <w:shd w:val="clear" w:color="auto" w:fill="FFFFFF"/>
        </w:rPr>
        <w:t>, P.W., (2013). </w:t>
      </w:r>
      <w:r>
        <w:rPr>
          <w:i/>
          <w:iCs/>
          <w:shd w:val="clear" w:color="auto" w:fill="FFFFFF"/>
        </w:rPr>
        <w:t>Warm Springs, Fremont</w:t>
      </w:r>
      <w:r>
        <w:rPr>
          <w:shd w:val="clear" w:color="auto" w:fill="FFFFFF"/>
        </w:rPr>
        <w:t>. Arcadia Publishing.</w:t>
      </w:r>
    </w:p>
    <w:p w14:paraId="431A6716" w14:textId="77777777" w:rsidR="0077051A" w:rsidRDefault="0077051A" w:rsidP="0077051A">
      <w:pPr>
        <w:spacing w:line="360" w:lineRule="auto"/>
        <w:rPr>
          <w:shd w:val="clear" w:color="auto" w:fill="FFFFFF"/>
        </w:rPr>
      </w:pPr>
      <w:r>
        <w:rPr>
          <w:shd w:val="clear" w:color="auto" w:fill="FFFFFF"/>
        </w:rPr>
        <w:t xml:space="preserve">Lovell, </w:t>
      </w:r>
      <w:proofErr w:type="gramStart"/>
      <w:r>
        <w:rPr>
          <w:shd w:val="clear" w:color="auto" w:fill="FFFFFF"/>
        </w:rPr>
        <w:t>S.T.</w:t>
      </w:r>
      <w:proofErr w:type="gramEnd"/>
      <w:r>
        <w:rPr>
          <w:shd w:val="clear" w:color="auto" w:fill="FFFFFF"/>
        </w:rPr>
        <w:t xml:space="preserve"> and Taylor, J.R., (2013). Supplying urban ecosystem services through multifunctional green infrastructure in the United States. </w:t>
      </w:r>
      <w:r>
        <w:rPr>
          <w:i/>
          <w:iCs/>
          <w:shd w:val="clear" w:color="auto" w:fill="FFFFFF"/>
        </w:rPr>
        <w:t>Landscape ecology</w:t>
      </w:r>
      <w:r>
        <w:rPr>
          <w:shd w:val="clear" w:color="auto" w:fill="FFFFFF"/>
        </w:rPr>
        <w:t>, </w:t>
      </w:r>
      <w:r>
        <w:rPr>
          <w:i/>
          <w:iCs/>
          <w:shd w:val="clear" w:color="auto" w:fill="FFFFFF"/>
        </w:rPr>
        <w:t>28</w:t>
      </w:r>
      <w:r>
        <w:rPr>
          <w:shd w:val="clear" w:color="auto" w:fill="FFFFFF"/>
        </w:rPr>
        <w:t>(8), pp.1447-1463.</w:t>
      </w:r>
    </w:p>
    <w:p w14:paraId="66F17C86" w14:textId="77777777" w:rsidR="0077051A" w:rsidRPr="0077051A" w:rsidRDefault="0077051A" w:rsidP="0077051A">
      <w:pPr>
        <w:spacing w:line="360" w:lineRule="auto"/>
      </w:pPr>
      <w:proofErr w:type="spellStart"/>
      <w:r>
        <w:rPr>
          <w:shd w:val="clear" w:color="auto" w:fill="FFFFFF"/>
        </w:rPr>
        <w:t>Manuti</w:t>
      </w:r>
      <w:proofErr w:type="spellEnd"/>
      <w:r>
        <w:rPr>
          <w:shd w:val="clear" w:color="auto" w:fill="FFFFFF"/>
        </w:rPr>
        <w:t xml:space="preserve">, A., Pastore, S., </w:t>
      </w:r>
      <w:proofErr w:type="spellStart"/>
      <w:r>
        <w:rPr>
          <w:shd w:val="clear" w:color="auto" w:fill="FFFFFF"/>
        </w:rPr>
        <w:t>Scardigno</w:t>
      </w:r>
      <w:proofErr w:type="spellEnd"/>
      <w:r>
        <w:rPr>
          <w:shd w:val="clear" w:color="auto" w:fill="FFFFFF"/>
        </w:rPr>
        <w:t xml:space="preserve">, A.F., </w:t>
      </w:r>
      <w:proofErr w:type="spellStart"/>
      <w:r>
        <w:rPr>
          <w:shd w:val="clear" w:color="auto" w:fill="FFFFFF"/>
        </w:rPr>
        <w:t>Giancaspro</w:t>
      </w:r>
      <w:proofErr w:type="spellEnd"/>
      <w:r>
        <w:rPr>
          <w:shd w:val="clear" w:color="auto" w:fill="FFFFFF"/>
        </w:rPr>
        <w:t xml:space="preserve">, M.L. and </w:t>
      </w:r>
      <w:proofErr w:type="spellStart"/>
      <w:r>
        <w:rPr>
          <w:shd w:val="clear" w:color="auto" w:fill="FFFFFF"/>
        </w:rPr>
        <w:t>Morciano</w:t>
      </w:r>
      <w:proofErr w:type="spellEnd"/>
      <w:r>
        <w:rPr>
          <w:shd w:val="clear" w:color="auto" w:fill="FFFFFF"/>
        </w:rPr>
        <w:t>, D., (2015). Formal and informal learning in the workplace: A research review. </w:t>
      </w:r>
      <w:r>
        <w:rPr>
          <w:i/>
          <w:iCs/>
          <w:shd w:val="clear" w:color="auto" w:fill="FFFFFF"/>
        </w:rPr>
        <w:t>International journal of training and development</w:t>
      </w:r>
      <w:r>
        <w:rPr>
          <w:shd w:val="clear" w:color="auto" w:fill="FFFFFF"/>
        </w:rPr>
        <w:t>, </w:t>
      </w:r>
      <w:r>
        <w:rPr>
          <w:i/>
          <w:iCs/>
          <w:shd w:val="clear" w:color="auto" w:fill="FFFFFF"/>
        </w:rPr>
        <w:t>19</w:t>
      </w:r>
      <w:r>
        <w:rPr>
          <w:shd w:val="clear" w:color="auto" w:fill="FFFFFF"/>
        </w:rPr>
        <w:t>(1), pp.1-17.</w:t>
      </w:r>
    </w:p>
    <w:p w14:paraId="59431019" w14:textId="77777777" w:rsidR="008F43D4" w:rsidRDefault="0077051A" w:rsidP="0077051A">
      <w:pPr>
        <w:spacing w:line="360" w:lineRule="auto"/>
        <w:rPr>
          <w:shd w:val="clear" w:color="auto" w:fill="FFFFFF"/>
        </w:rPr>
      </w:pPr>
      <w:r>
        <w:rPr>
          <w:shd w:val="clear" w:color="auto" w:fill="FFFFFF"/>
        </w:rPr>
        <w:t xml:space="preserve">Mosconi, G., Korn, M., Reuter, C., Tolmie, P., </w:t>
      </w:r>
      <w:proofErr w:type="spellStart"/>
      <w:r>
        <w:rPr>
          <w:shd w:val="clear" w:color="auto" w:fill="FFFFFF"/>
        </w:rPr>
        <w:t>Teli</w:t>
      </w:r>
      <w:proofErr w:type="spellEnd"/>
      <w:r>
        <w:rPr>
          <w:shd w:val="clear" w:color="auto" w:fill="FFFFFF"/>
        </w:rPr>
        <w:t xml:space="preserve">, M. and </w:t>
      </w:r>
      <w:proofErr w:type="spellStart"/>
      <w:r>
        <w:rPr>
          <w:shd w:val="clear" w:color="auto" w:fill="FFFFFF"/>
        </w:rPr>
        <w:t>Pipek</w:t>
      </w:r>
      <w:proofErr w:type="spellEnd"/>
      <w:r>
        <w:rPr>
          <w:shd w:val="clear" w:color="auto" w:fill="FFFFFF"/>
        </w:rPr>
        <w:t xml:space="preserve">, V., (2017). From Facebook to the neighborhood: </w:t>
      </w:r>
      <w:proofErr w:type="spellStart"/>
      <w:r>
        <w:rPr>
          <w:shd w:val="clear" w:color="auto" w:fill="FFFFFF"/>
        </w:rPr>
        <w:t>Infrastructuring</w:t>
      </w:r>
      <w:proofErr w:type="spellEnd"/>
      <w:r>
        <w:rPr>
          <w:shd w:val="clear" w:color="auto" w:fill="FFFFFF"/>
        </w:rPr>
        <w:t xml:space="preserve"> of hybrid community engagement. </w:t>
      </w:r>
      <w:r>
        <w:rPr>
          <w:i/>
          <w:iCs/>
          <w:shd w:val="clear" w:color="auto" w:fill="FFFFFF"/>
        </w:rPr>
        <w:t>Computer Supported Cooperative Work (CSCW)</w:t>
      </w:r>
      <w:r>
        <w:rPr>
          <w:shd w:val="clear" w:color="auto" w:fill="FFFFFF"/>
        </w:rPr>
        <w:t>, </w:t>
      </w:r>
      <w:r>
        <w:rPr>
          <w:i/>
          <w:iCs/>
          <w:shd w:val="clear" w:color="auto" w:fill="FFFFFF"/>
        </w:rPr>
        <w:t>26</w:t>
      </w:r>
      <w:r>
        <w:rPr>
          <w:shd w:val="clear" w:color="auto" w:fill="FFFFFF"/>
        </w:rPr>
        <w:t>(4), pp.959-1003.</w:t>
      </w:r>
    </w:p>
    <w:p w14:paraId="7CCD6CBD" w14:textId="77777777" w:rsidR="0077051A" w:rsidRDefault="0077051A" w:rsidP="0077051A">
      <w:pPr>
        <w:spacing w:line="360" w:lineRule="auto"/>
        <w:rPr>
          <w:shd w:val="clear" w:color="auto" w:fill="FFFFFF"/>
        </w:rPr>
      </w:pPr>
      <w:r>
        <w:rPr>
          <w:shd w:val="clear" w:color="auto" w:fill="FFFFFF"/>
        </w:rPr>
        <w:lastRenderedPageBreak/>
        <w:t>Mostafa, A.M.S., Gould</w:t>
      </w:r>
      <w:r>
        <w:rPr>
          <w:rFonts w:ascii="Cambria Math" w:hAnsi="Cambria Math" w:cs="Cambria Math"/>
          <w:shd w:val="clear" w:color="auto" w:fill="FFFFFF"/>
        </w:rPr>
        <w:t>‐</w:t>
      </w:r>
      <w:r>
        <w:rPr>
          <w:shd w:val="clear" w:color="auto" w:fill="FFFFFF"/>
        </w:rPr>
        <w:t>Williams, J.S. and Bottomley, P., (2015). High</w:t>
      </w:r>
      <w:r>
        <w:rPr>
          <w:rFonts w:ascii="Cambria Math" w:hAnsi="Cambria Math" w:cs="Cambria Math"/>
          <w:shd w:val="clear" w:color="auto" w:fill="FFFFFF"/>
        </w:rPr>
        <w:t>‐</w:t>
      </w:r>
      <w:r>
        <w:rPr>
          <w:shd w:val="clear" w:color="auto" w:fill="FFFFFF"/>
        </w:rPr>
        <w:t>performance human resource practices and employee outcomes: the mediating role of public service motivation. </w:t>
      </w:r>
      <w:r>
        <w:rPr>
          <w:i/>
          <w:iCs/>
          <w:shd w:val="clear" w:color="auto" w:fill="FFFFFF"/>
        </w:rPr>
        <w:t>Public administration review</w:t>
      </w:r>
      <w:r>
        <w:rPr>
          <w:shd w:val="clear" w:color="auto" w:fill="FFFFFF"/>
        </w:rPr>
        <w:t>, </w:t>
      </w:r>
      <w:r>
        <w:rPr>
          <w:i/>
          <w:iCs/>
          <w:shd w:val="clear" w:color="auto" w:fill="FFFFFF"/>
        </w:rPr>
        <w:t>75</w:t>
      </w:r>
      <w:r>
        <w:rPr>
          <w:shd w:val="clear" w:color="auto" w:fill="FFFFFF"/>
        </w:rPr>
        <w:t>(5), pp.747-757.</w:t>
      </w:r>
    </w:p>
    <w:p w14:paraId="6FD190CF" w14:textId="77777777" w:rsidR="0077051A" w:rsidRDefault="0077051A" w:rsidP="0077051A">
      <w:pPr>
        <w:spacing w:line="360" w:lineRule="auto"/>
        <w:rPr>
          <w:shd w:val="clear" w:color="auto" w:fill="FFFFFF"/>
        </w:rPr>
      </w:pPr>
      <w:r>
        <w:rPr>
          <w:shd w:val="clear" w:color="auto" w:fill="FFFFFF"/>
        </w:rPr>
        <w:t>Patrizi, P., Heid Thompson, E., Coffman, J. and Beer, T., (2013). Eyes wide open: Learning as strategy under conditions of complexity and uncertainty. </w:t>
      </w:r>
      <w:r>
        <w:rPr>
          <w:i/>
          <w:iCs/>
          <w:shd w:val="clear" w:color="auto" w:fill="FFFFFF"/>
        </w:rPr>
        <w:t>The Foundation Review</w:t>
      </w:r>
      <w:r>
        <w:rPr>
          <w:shd w:val="clear" w:color="auto" w:fill="FFFFFF"/>
        </w:rPr>
        <w:t>, </w:t>
      </w:r>
      <w:r>
        <w:rPr>
          <w:i/>
          <w:iCs/>
          <w:shd w:val="clear" w:color="auto" w:fill="FFFFFF"/>
        </w:rPr>
        <w:t>5</w:t>
      </w:r>
      <w:r>
        <w:rPr>
          <w:shd w:val="clear" w:color="auto" w:fill="FFFFFF"/>
        </w:rPr>
        <w:t>(3), p.7.</w:t>
      </w:r>
    </w:p>
    <w:p w14:paraId="55AD42AB" w14:textId="77777777" w:rsidR="0077051A" w:rsidRPr="0077051A" w:rsidRDefault="0077051A" w:rsidP="0077051A">
      <w:pPr>
        <w:spacing w:line="360" w:lineRule="auto"/>
      </w:pPr>
      <w:r w:rsidRPr="0077051A">
        <w:t xml:space="preserve">Questa, K., Das, M., King, R., Everitt, M., </w:t>
      </w:r>
      <w:proofErr w:type="spellStart"/>
      <w:r w:rsidRPr="0077051A">
        <w:t>Rassi</w:t>
      </w:r>
      <w:proofErr w:type="spellEnd"/>
      <w:r w:rsidRPr="0077051A">
        <w:t xml:space="preserve">, C., Cartwright, C., Ferdous, T., Barua, D., </w:t>
      </w:r>
      <w:proofErr w:type="spellStart"/>
      <w:r w:rsidRPr="0077051A">
        <w:t>Putnis</w:t>
      </w:r>
      <w:proofErr w:type="spellEnd"/>
      <w:r w:rsidRPr="0077051A">
        <w:t>, N., Snell, A.C.</w:t>
      </w:r>
      <w:r>
        <w:t>,</w:t>
      </w:r>
      <w:r w:rsidRPr="0077051A">
        <w:t xml:space="preserve"> and </w:t>
      </w:r>
      <w:proofErr w:type="spellStart"/>
      <w:r w:rsidRPr="0077051A">
        <w:t>Huque</w:t>
      </w:r>
      <w:proofErr w:type="spellEnd"/>
      <w:r w:rsidRPr="0077051A">
        <w:t xml:space="preserve">, R., </w:t>
      </w:r>
      <w:r>
        <w:t>(</w:t>
      </w:r>
      <w:r w:rsidRPr="0077051A">
        <w:t>2020</w:t>
      </w:r>
      <w:r>
        <w:t>)</w:t>
      </w:r>
      <w:r w:rsidRPr="0077051A">
        <w:t xml:space="preserve">. Community engagement interventions for communicable disease control in low-and lower-middle-income countries: evidence from a review of systematic reviews. </w:t>
      </w:r>
      <w:r w:rsidRPr="0077051A">
        <w:rPr>
          <w:i/>
          <w:iCs/>
        </w:rPr>
        <w:t>International journal for equity in health</w:t>
      </w:r>
      <w:r w:rsidRPr="0077051A">
        <w:t xml:space="preserve">, </w:t>
      </w:r>
      <w:r w:rsidRPr="0077051A">
        <w:rPr>
          <w:i/>
          <w:iCs/>
        </w:rPr>
        <w:t>19</w:t>
      </w:r>
      <w:r w:rsidRPr="0077051A">
        <w:t>(1), pp.1-20.</w:t>
      </w:r>
    </w:p>
    <w:p w14:paraId="72E3827E" w14:textId="77777777" w:rsidR="004312CD" w:rsidRDefault="0077051A" w:rsidP="0077051A">
      <w:pPr>
        <w:spacing w:line="360" w:lineRule="auto"/>
      </w:pPr>
      <w:r>
        <w:rPr>
          <w:shd w:val="clear" w:color="auto" w:fill="FFFFFF"/>
        </w:rPr>
        <w:t>Shenton, C., (2012). </w:t>
      </w:r>
      <w:r>
        <w:rPr>
          <w:i/>
          <w:iCs/>
          <w:shd w:val="clear" w:color="auto" w:fill="FFFFFF"/>
        </w:rPr>
        <w:t>The day parliament burned down</w:t>
      </w:r>
      <w:r>
        <w:rPr>
          <w:shd w:val="clear" w:color="auto" w:fill="FFFFFF"/>
        </w:rPr>
        <w:t>. Oxford University Press.</w:t>
      </w:r>
    </w:p>
    <w:sectPr w:rsidR="004312CD" w:rsidSect="00C348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zAyNzAxMzI0MDE3NbRQ0lEKTi0uzszPAymwqAUAVE00DywAAAA="/>
  </w:docVars>
  <w:rsids>
    <w:rsidRoot w:val="00833ED4"/>
    <w:rsid w:val="00033209"/>
    <w:rsid w:val="00055221"/>
    <w:rsid w:val="0010501E"/>
    <w:rsid w:val="00107E63"/>
    <w:rsid w:val="0015338B"/>
    <w:rsid w:val="00265073"/>
    <w:rsid w:val="002A6E53"/>
    <w:rsid w:val="003024DC"/>
    <w:rsid w:val="00345306"/>
    <w:rsid w:val="003B1999"/>
    <w:rsid w:val="003B2EE6"/>
    <w:rsid w:val="004312CD"/>
    <w:rsid w:val="004C0B32"/>
    <w:rsid w:val="004C1893"/>
    <w:rsid w:val="00500BFE"/>
    <w:rsid w:val="005D5032"/>
    <w:rsid w:val="00615814"/>
    <w:rsid w:val="006A07C8"/>
    <w:rsid w:val="006C612F"/>
    <w:rsid w:val="0077051A"/>
    <w:rsid w:val="00770CC1"/>
    <w:rsid w:val="007A4DED"/>
    <w:rsid w:val="00810244"/>
    <w:rsid w:val="00833ED4"/>
    <w:rsid w:val="00885692"/>
    <w:rsid w:val="008F43D4"/>
    <w:rsid w:val="009453FA"/>
    <w:rsid w:val="009701CD"/>
    <w:rsid w:val="009E5DA5"/>
    <w:rsid w:val="00A83854"/>
    <w:rsid w:val="00AE2734"/>
    <w:rsid w:val="00AE71B7"/>
    <w:rsid w:val="00AF0488"/>
    <w:rsid w:val="00C34808"/>
    <w:rsid w:val="00D626EC"/>
    <w:rsid w:val="00E455BF"/>
    <w:rsid w:val="00E76911"/>
    <w:rsid w:val="00EC65DA"/>
    <w:rsid w:val="00EE4B85"/>
    <w:rsid w:val="00EF57E3"/>
    <w:rsid w:val="00F13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F85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DED"/>
    <w:pPr>
      <w:jc w:val="both"/>
    </w:pPr>
    <w:rPr>
      <w:rFonts w:ascii="Arial" w:hAnsi="Arial"/>
    </w:rPr>
  </w:style>
  <w:style w:type="paragraph" w:styleId="Heading1">
    <w:name w:val="heading 1"/>
    <w:basedOn w:val="Normal"/>
    <w:next w:val="Normal"/>
    <w:link w:val="Heading1Char"/>
    <w:uiPriority w:val="9"/>
    <w:qFormat/>
    <w:rsid w:val="007A4DED"/>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7A4DED"/>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DED"/>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7A4DED"/>
    <w:rPr>
      <w:rFonts w:ascii="Arial" w:eastAsiaTheme="majorEastAsia" w:hAnsi="Arial" w:cstheme="majorBidi"/>
      <w:b/>
      <w:bCs/>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355044">
      <w:bodyDiv w:val="1"/>
      <w:marLeft w:val="0"/>
      <w:marRight w:val="0"/>
      <w:marTop w:val="0"/>
      <w:marBottom w:val="0"/>
      <w:divBdr>
        <w:top w:val="none" w:sz="0" w:space="0" w:color="auto"/>
        <w:left w:val="none" w:sz="0" w:space="0" w:color="auto"/>
        <w:bottom w:val="none" w:sz="0" w:space="0" w:color="auto"/>
        <w:right w:val="none" w:sz="0" w:space="0" w:color="auto"/>
      </w:divBdr>
      <w:divsChild>
        <w:div w:id="353192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2</cp:revision>
  <dcterms:created xsi:type="dcterms:W3CDTF">2021-10-17T12:40:00Z</dcterms:created>
  <dcterms:modified xsi:type="dcterms:W3CDTF">2021-10-17T12:40:00Z</dcterms:modified>
  <cp:category/>
</cp:coreProperties>
</file>