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F3C6E30" w:rsidP="2F3C6E30" w:rsidRDefault="2F3C6E30" w14:paraId="5F8AB4FD" w14:textId="4C36B927">
      <w:pPr>
        <w:jc w:val="center"/>
        <w:rPr>
          <w:rFonts w:ascii="Trebuchet MS" w:hAnsi="Trebuchet MS" w:eastAsia="Trebuchet MS" w:cs="Trebuchet MS"/>
          <w:noProof w:val="0"/>
          <w:sz w:val="24"/>
          <w:szCs w:val="24"/>
          <w:u w:val="single"/>
          <w:lang w:val="en-GB"/>
        </w:rPr>
      </w:pPr>
      <w:r w:rsidRPr="2F3C6E30" w:rsidR="2F3C6E30">
        <w:rPr>
          <w:rFonts w:ascii="Trebuchet MS" w:hAnsi="Trebuchet MS" w:eastAsia="Trebuchet MS" w:cs="Trebuchet MS"/>
          <w:noProof w:val="0"/>
          <w:sz w:val="24"/>
          <w:szCs w:val="24"/>
          <w:u w:val="single"/>
          <w:lang w:val="en-GB"/>
        </w:rPr>
        <w:t>Part B (</w:t>
      </w:r>
      <w:proofErr w:type="spellStart"/>
      <w:r w:rsidRPr="2F3C6E30" w:rsidR="2F3C6E30">
        <w:rPr>
          <w:rFonts w:ascii="Trebuchet MS" w:hAnsi="Trebuchet MS" w:eastAsia="Trebuchet MS" w:cs="Trebuchet MS"/>
          <w:noProof w:val="0"/>
          <w:sz w:val="24"/>
          <w:szCs w:val="24"/>
          <w:u w:val="single"/>
          <w:lang w:val="en-GB"/>
        </w:rPr>
        <w:t>i</w:t>
      </w:r>
      <w:proofErr w:type="spellEnd"/>
      <w:r w:rsidRPr="2F3C6E30" w:rsidR="2F3C6E30">
        <w:rPr>
          <w:rFonts w:ascii="Trebuchet MS" w:hAnsi="Trebuchet MS" w:eastAsia="Trebuchet MS" w:cs="Trebuchet MS"/>
          <w:noProof w:val="0"/>
          <w:sz w:val="24"/>
          <w:szCs w:val="24"/>
          <w:u w:val="single"/>
          <w:lang w:val="en-GB"/>
        </w:rPr>
        <w:t>)</w:t>
      </w:r>
    </w:p>
    <w:p w:rsidR="2F3C6E30" w:rsidP="2F3C6E30" w:rsidRDefault="2F3C6E30" w14:paraId="32CC8363" w14:textId="523C0AB2">
      <w:pPr>
        <w:ind w:firstLine="540"/>
        <w:rPr>
          <w:rFonts w:ascii="Trebuchet MS" w:hAnsi="Trebuchet MS" w:eastAsia="Trebuchet MS" w:cs="Trebuchet MS"/>
          <w:noProof w:val="0"/>
          <w:sz w:val="24"/>
          <w:szCs w:val="24"/>
          <w:lang w:val="en-GB"/>
        </w:rPr>
      </w:pPr>
      <w:r w:rsidRPr="2F3C6E30" w:rsidR="2F3C6E30">
        <w:rPr>
          <w:rFonts w:ascii="Trebuchet MS" w:hAnsi="Trebuchet MS" w:eastAsia="Trebuchet MS" w:cs="Trebuchet MS"/>
          <w:noProof w:val="0"/>
          <w:sz w:val="24"/>
          <w:szCs w:val="24"/>
          <w:lang w:val="en-GB"/>
        </w:rPr>
        <w:t>This first part of the assignment will be going over my micro teach, including, lesson plan and scheme of work (SOW). Selected literature and professional documents will be used to illustrate the learning principles on which the lesson plan, resources and SOW are based.  In other words, the why behind the different aspects of the work will be examined and explained. Some of the issues which will be touched upon include; Assessment for Learning (</w:t>
      </w:r>
      <w:proofErr w:type="spellStart"/>
      <w:r w:rsidRPr="2F3C6E30" w:rsidR="2F3C6E30">
        <w:rPr>
          <w:rFonts w:ascii="Trebuchet MS" w:hAnsi="Trebuchet MS" w:eastAsia="Trebuchet MS" w:cs="Trebuchet MS"/>
          <w:noProof w:val="0"/>
          <w:sz w:val="24"/>
          <w:szCs w:val="24"/>
          <w:lang w:val="en-GB"/>
        </w:rPr>
        <w:t>AfL</w:t>
      </w:r>
      <w:proofErr w:type="spellEnd"/>
      <w:r w:rsidRPr="2F3C6E30" w:rsidR="2F3C6E30">
        <w:rPr>
          <w:rFonts w:ascii="Trebuchet MS" w:hAnsi="Trebuchet MS" w:eastAsia="Trebuchet MS" w:cs="Trebuchet MS"/>
          <w:noProof w:val="0"/>
          <w:sz w:val="24"/>
          <w:szCs w:val="24"/>
          <w:lang w:val="en-GB"/>
        </w:rPr>
        <w:t>), differentiation and Behaviourist and Constructivist learning theory. (</w:t>
      </w:r>
      <w:proofErr w:type="spellStart"/>
      <w:r w:rsidRPr="2F3C6E30" w:rsidR="2F3C6E30">
        <w:rPr>
          <w:rFonts w:ascii="Trebuchet MS" w:hAnsi="Trebuchet MS" w:eastAsia="Trebuchet MS" w:cs="Trebuchet MS"/>
          <w:noProof w:val="0"/>
          <w:color w:val="212121"/>
          <w:sz w:val="24"/>
          <w:szCs w:val="24"/>
          <w:lang w:val="en-GB"/>
        </w:rPr>
        <w:t>Yr</w:t>
      </w:r>
      <w:proofErr w:type="spellEnd"/>
      <w:r w:rsidRPr="2F3C6E30" w:rsidR="2F3C6E30">
        <w:rPr>
          <w:rFonts w:ascii="Trebuchet MS" w:hAnsi="Trebuchet MS" w:eastAsia="Trebuchet MS" w:cs="Trebuchet MS"/>
          <w:noProof w:val="0"/>
          <w:color w:val="212121"/>
          <w:sz w:val="24"/>
          <w:szCs w:val="24"/>
          <w:lang w:val="en-GB"/>
        </w:rPr>
        <w:t xml:space="preserve"> </w:t>
      </w:r>
      <w:proofErr w:type="spellStart"/>
      <w:r w:rsidRPr="2F3C6E30" w:rsidR="2F3C6E30">
        <w:rPr>
          <w:rFonts w:ascii="Trebuchet MS" w:hAnsi="Trebuchet MS" w:eastAsia="Trebuchet MS" w:cs="Trebuchet MS"/>
          <w:noProof w:val="0"/>
          <w:color w:val="212121"/>
          <w:sz w:val="24"/>
          <w:szCs w:val="24"/>
          <w:lang w:val="en-GB"/>
        </w:rPr>
        <w:t>Athrofa</w:t>
      </w:r>
      <w:proofErr w:type="spellEnd"/>
      <w:r w:rsidRPr="2F3C6E30" w:rsidR="2F3C6E30">
        <w:rPr>
          <w:rFonts w:ascii="Trebuchet MS" w:hAnsi="Trebuchet MS" w:eastAsia="Trebuchet MS" w:cs="Trebuchet MS"/>
          <w:noProof w:val="0"/>
          <w:color w:val="212121"/>
          <w:sz w:val="24"/>
          <w:szCs w:val="24"/>
          <w:lang w:val="en-GB"/>
        </w:rPr>
        <w:t>, 2018</w:t>
      </w:r>
      <w:r w:rsidRPr="2F3C6E30" w:rsidR="2F3C6E30">
        <w:rPr>
          <w:rFonts w:ascii="Trebuchet MS" w:hAnsi="Trebuchet MS" w:eastAsia="Trebuchet MS" w:cs="Trebuchet MS"/>
          <w:noProof w:val="0"/>
          <w:sz w:val="24"/>
          <w:szCs w:val="24"/>
          <w:lang w:val="en-GB"/>
        </w:rPr>
        <w:t>).</w:t>
      </w:r>
    </w:p>
    <w:p w:rsidR="2F3C6E30" w:rsidP="2F3C6E30" w:rsidRDefault="2F3C6E30" w14:noSpellErr="1" w14:paraId="61969B82" w14:textId="1111CADC">
      <w:pPr>
        <w:ind w:firstLine="540"/>
        <w:rPr>
          <w:rFonts w:ascii="Trebuchet MS" w:hAnsi="Trebuchet MS" w:eastAsia="Trebuchet MS" w:cs="Trebuchet MS"/>
          <w:noProof w:val="0"/>
          <w:sz w:val="24"/>
          <w:szCs w:val="24"/>
          <w:lang w:val="en-GB"/>
        </w:rPr>
      </w:pPr>
      <w:r w:rsidRPr="2F3C6E30" w:rsidR="2F3C6E30">
        <w:rPr>
          <w:rFonts w:ascii="Trebuchet MS" w:hAnsi="Trebuchet MS" w:eastAsia="Trebuchet MS" w:cs="Trebuchet MS"/>
          <w:noProof w:val="0"/>
          <w:sz w:val="24"/>
          <w:szCs w:val="24"/>
          <w:lang w:val="en-GB"/>
        </w:rPr>
        <w:t xml:space="preserve">The first step taken, when planning the SOW, was to ascertain what learners were expected to be able to do by the end. Having an objective, or end goal, was essential as all lessons could then be </w:t>
      </w:r>
      <w:proofErr w:type="gramStart"/>
      <w:r w:rsidRPr="2F3C6E30" w:rsidR="2F3C6E30">
        <w:rPr>
          <w:rFonts w:ascii="Trebuchet MS" w:hAnsi="Trebuchet MS" w:eastAsia="Trebuchet MS" w:cs="Trebuchet MS"/>
          <w:noProof w:val="0"/>
          <w:sz w:val="24"/>
          <w:szCs w:val="24"/>
          <w:lang w:val="en-GB"/>
        </w:rPr>
        <w:t>planned with this in mind</w:t>
      </w:r>
      <w:proofErr w:type="gramEnd"/>
      <w:r w:rsidRPr="2F3C6E30" w:rsidR="2F3C6E30">
        <w:rPr>
          <w:rFonts w:ascii="Trebuchet MS" w:hAnsi="Trebuchet MS" w:eastAsia="Trebuchet MS" w:cs="Trebuchet MS"/>
          <w:noProof w:val="0"/>
          <w:sz w:val="24"/>
          <w:szCs w:val="24"/>
          <w:lang w:val="en-GB"/>
        </w:rPr>
        <w:t xml:space="preserve">. Not only was it crucial to identify what knowledge learners would need but also, the skills. Thus, each lesson was constructed to allow for an increase in subject knowledge, for example, vocabulary and conjugation of verbs, but also a refining of skills, such as, reading and writing in target language (TL) and the ability to peer assess work effectively.   </w:t>
      </w:r>
    </w:p>
    <w:p w:rsidR="2F3C6E30" w:rsidP="2F3C6E30" w:rsidRDefault="2F3C6E30" w14:noSpellErr="1" w14:paraId="5A088CA0" w14:textId="4F3AA93F">
      <w:pPr>
        <w:ind w:firstLine="540"/>
        <w:rPr>
          <w:rFonts w:ascii="Trebuchet MS" w:hAnsi="Trebuchet MS" w:eastAsia="Trebuchet MS" w:cs="Trebuchet MS"/>
          <w:noProof w:val="0"/>
          <w:sz w:val="24"/>
          <w:szCs w:val="24"/>
          <w:lang w:val="en-GB"/>
        </w:rPr>
      </w:pPr>
      <w:r w:rsidRPr="2F3C6E30" w:rsidR="2F3C6E30">
        <w:rPr>
          <w:rFonts w:ascii="Trebuchet MS" w:hAnsi="Trebuchet MS" w:eastAsia="Trebuchet MS" w:cs="Trebuchet MS"/>
          <w:noProof w:val="0"/>
          <w:sz w:val="24"/>
          <w:szCs w:val="24"/>
          <w:lang w:val="en-GB"/>
        </w:rPr>
        <w:t xml:space="preserve">In conjunction with establishing an end goal or objective, it is also essential to establish where the learner is. Moreover, Dylan Wiliam puts it best when he asserts that, “we need to start from where the learner is, not where we would like the learner to be” (Wiliam, 2016, p. 13). The SOW was designed to ensure that lessons and activities could be modified based on learners’ levels of understanding. For example, if in the first lesson learners demonstrated a low level of understanding of the vocabulary, I would not simply introduce new vocabulary in the second lesson, but would instead, go over the original list first and insure understanding before moving on. </w:t>
      </w:r>
    </w:p>
    <w:p w:rsidR="2F3C6E30" w:rsidP="2F3C6E30" w:rsidRDefault="2F3C6E30" w14:paraId="0EDD2FB9" w14:textId="38EC608E">
      <w:pPr>
        <w:ind w:firstLine="540"/>
        <w:rPr>
          <w:rFonts w:ascii="Trebuchet MS" w:hAnsi="Trebuchet MS" w:eastAsia="Trebuchet MS" w:cs="Trebuchet MS"/>
          <w:noProof w:val="0"/>
          <w:sz w:val="24"/>
          <w:szCs w:val="24"/>
          <w:lang w:val="en-GB"/>
        </w:rPr>
      </w:pPr>
      <w:r w:rsidRPr="2F3C6E30" w:rsidR="2F3C6E30">
        <w:rPr>
          <w:rFonts w:ascii="Trebuchet MS" w:hAnsi="Trebuchet MS" w:eastAsia="Trebuchet MS" w:cs="Trebuchet MS"/>
          <w:noProof w:val="0"/>
          <w:sz w:val="24"/>
          <w:szCs w:val="24"/>
          <w:lang w:val="en-GB"/>
        </w:rPr>
        <w:t>Assessment for learning, or formative assessment, is a central feature of this SOW. A key feature of this, as mentioned above, is assessing where learners are in order to, decide where to go next (</w:t>
      </w:r>
      <w:proofErr w:type="spellStart"/>
      <w:r w:rsidRPr="2F3C6E30" w:rsidR="2F3C6E30">
        <w:rPr>
          <w:rFonts w:ascii="Trebuchet MS" w:hAnsi="Trebuchet MS" w:eastAsia="Trebuchet MS" w:cs="Trebuchet MS"/>
          <w:noProof w:val="0"/>
          <w:sz w:val="24"/>
          <w:szCs w:val="24"/>
          <w:lang w:val="en-GB"/>
        </w:rPr>
        <w:t>Pachler</w:t>
      </w:r>
      <w:proofErr w:type="spellEnd"/>
      <w:r w:rsidRPr="2F3C6E30" w:rsidR="2F3C6E30">
        <w:rPr>
          <w:rFonts w:ascii="Trebuchet MS" w:hAnsi="Trebuchet MS" w:eastAsia="Trebuchet MS" w:cs="Trebuchet MS"/>
          <w:noProof w:val="0"/>
          <w:sz w:val="24"/>
          <w:szCs w:val="24"/>
          <w:lang w:val="en-GB"/>
        </w:rPr>
        <w:t xml:space="preserve"> </w:t>
      </w:r>
      <w:r w:rsidRPr="2F3C6E30" w:rsidR="2F3C6E30">
        <w:rPr>
          <w:rFonts w:ascii="Trebuchet MS" w:hAnsi="Trebuchet MS" w:eastAsia="Trebuchet MS" w:cs="Trebuchet MS"/>
          <w:i w:val="1"/>
          <w:iCs w:val="1"/>
          <w:noProof w:val="0"/>
          <w:sz w:val="24"/>
          <w:szCs w:val="24"/>
          <w:lang w:val="en-GB"/>
        </w:rPr>
        <w:t>et al</w:t>
      </w:r>
      <w:r w:rsidRPr="2F3C6E30" w:rsidR="2F3C6E30">
        <w:rPr>
          <w:rFonts w:ascii="Trebuchet MS" w:hAnsi="Trebuchet MS" w:eastAsia="Trebuchet MS" w:cs="Trebuchet MS"/>
          <w:noProof w:val="0"/>
          <w:sz w:val="24"/>
          <w:szCs w:val="24"/>
          <w:lang w:val="en-GB"/>
        </w:rPr>
        <w:t>, 2014). In various lessons learners are to participate in online games, such as Kahoot and Quizlet. These are designed to test learners’ knowledge and understanding of lesson content. The statistics from each game allow for, not only a general assessment of the group’s understanding but also, that of each individual learner. This is a useful tool in identifying any general misunderstandings or difficulties but also, for identifying those individuals having the most difficulties. The results from other activities planned throughout other lessons will act in a similar way. Moreover, most will be corrected in class thus, giving both teacher and learner, a clearer idea of how successfully objectives are being met. This style of assessment is also useful as they avoid the issues surrounding certain questioning styles such as, IRF (initiation-response-feedback). Issues with this style of questioning include the fact that, only a select number of learners answer the questions which only assess the understanding of certain individuals (</w:t>
      </w:r>
      <w:proofErr w:type="spellStart"/>
      <w:r w:rsidRPr="2F3C6E30" w:rsidR="2F3C6E30">
        <w:rPr>
          <w:rFonts w:ascii="Trebuchet MS" w:hAnsi="Trebuchet MS" w:eastAsia="Trebuchet MS" w:cs="Trebuchet MS"/>
          <w:noProof w:val="0"/>
          <w:sz w:val="24"/>
          <w:szCs w:val="24"/>
          <w:lang w:val="en-GB"/>
        </w:rPr>
        <w:t>Pachler</w:t>
      </w:r>
      <w:proofErr w:type="spellEnd"/>
      <w:r w:rsidRPr="2F3C6E30" w:rsidR="2F3C6E30">
        <w:rPr>
          <w:rFonts w:ascii="Trebuchet MS" w:hAnsi="Trebuchet MS" w:eastAsia="Trebuchet MS" w:cs="Trebuchet MS"/>
          <w:noProof w:val="0"/>
          <w:sz w:val="24"/>
          <w:szCs w:val="24"/>
          <w:lang w:val="en-GB"/>
        </w:rPr>
        <w:t xml:space="preserve"> et al. 2014. Wiliam, 2014, p. 16). Also, this style tends to lean on a voluntary basis for answering, meaning that often the same pupils are called on. This leads to, what Keith Stanovich labelled an educational ‘Mathew effect’ and, psychologists have named the ‘multiplier effect’ (Wiliam, 2014, pp. 16-17). This can be damaging, especially, to lower attaining learners (ibid).</w:t>
      </w:r>
    </w:p>
    <w:p w:rsidR="2F3C6E30" w:rsidP="2F3C6E30" w:rsidRDefault="2F3C6E30" w14:paraId="7EE852C2" w14:textId="30F37335">
      <w:pPr>
        <w:ind w:firstLine="540"/>
        <w:rPr>
          <w:rFonts w:ascii="Trebuchet MS" w:hAnsi="Trebuchet MS" w:eastAsia="Trebuchet MS" w:cs="Trebuchet MS"/>
          <w:noProof w:val="0"/>
          <w:sz w:val="24"/>
          <w:szCs w:val="24"/>
          <w:lang w:val="en-GB"/>
        </w:rPr>
      </w:pPr>
      <w:r w:rsidRPr="2F3C6E30" w:rsidR="2F3C6E30">
        <w:rPr>
          <w:rFonts w:ascii="Trebuchet MS" w:hAnsi="Trebuchet MS" w:eastAsia="Trebuchet MS" w:cs="Trebuchet MS"/>
          <w:noProof w:val="0"/>
          <w:sz w:val="24"/>
          <w:szCs w:val="24"/>
          <w:lang w:val="en-GB"/>
        </w:rPr>
        <w:t xml:space="preserve">Self and peer assessment also play a central role in this SOW. Traffic light cards used in the first two lessons are an example of self-assessment. When asked by the teacher, learners must hold up a card which most closely shows their level of understanding; green for very good, yellow for moderate and red for little understanding. Similarly, exit tickets are used as a form of self-assessment. Learners must identify any areas of difficulty and assess their level of understanding of content covered. Furthermore, learners are encouraged to use learning objectives as a reference for exit tickets. As for peer assessment, it is most present in lessons 5, 6 and 9, were learners must assess a range of tasks including, a speaking exercise, presentation and a written piece. For each of these tasks, learners create a </w:t>
      </w:r>
      <w:proofErr w:type="gramStart"/>
      <w:r w:rsidRPr="2F3C6E30" w:rsidR="2F3C6E30">
        <w:rPr>
          <w:rFonts w:ascii="Trebuchet MS" w:hAnsi="Trebuchet MS" w:eastAsia="Trebuchet MS" w:cs="Trebuchet MS"/>
          <w:noProof w:val="0"/>
          <w:sz w:val="24"/>
          <w:szCs w:val="24"/>
          <w:lang w:val="en-GB"/>
        </w:rPr>
        <w:t>success criteria</w:t>
      </w:r>
      <w:proofErr w:type="gramEnd"/>
      <w:r w:rsidRPr="2F3C6E30" w:rsidR="2F3C6E30">
        <w:rPr>
          <w:rFonts w:ascii="Trebuchet MS" w:hAnsi="Trebuchet MS" w:eastAsia="Trebuchet MS" w:cs="Trebuchet MS"/>
          <w:noProof w:val="0"/>
          <w:sz w:val="24"/>
          <w:szCs w:val="24"/>
          <w:lang w:val="en-GB"/>
        </w:rPr>
        <w:t xml:space="preserve"> with guidance from the teacher. This is to be followed when learners are completing the task </w:t>
      </w:r>
      <w:proofErr w:type="gramStart"/>
      <w:r w:rsidRPr="2F3C6E30" w:rsidR="2F3C6E30">
        <w:rPr>
          <w:rFonts w:ascii="Trebuchet MS" w:hAnsi="Trebuchet MS" w:eastAsia="Trebuchet MS" w:cs="Trebuchet MS"/>
          <w:noProof w:val="0"/>
          <w:sz w:val="24"/>
          <w:szCs w:val="24"/>
          <w:lang w:val="en-GB"/>
        </w:rPr>
        <w:t>and also</w:t>
      </w:r>
      <w:proofErr w:type="gramEnd"/>
      <w:r w:rsidRPr="2F3C6E30" w:rsidR="2F3C6E30">
        <w:rPr>
          <w:rFonts w:ascii="Trebuchet MS" w:hAnsi="Trebuchet MS" w:eastAsia="Trebuchet MS" w:cs="Trebuchet MS"/>
          <w:noProof w:val="0"/>
          <w:sz w:val="24"/>
          <w:szCs w:val="24"/>
          <w:lang w:val="en-GB"/>
        </w:rPr>
        <w:t>, peer-assessing it. Success criteria are very important for assessment (</w:t>
      </w:r>
      <w:proofErr w:type="spellStart"/>
      <w:r w:rsidRPr="2F3C6E30" w:rsidR="2F3C6E30">
        <w:rPr>
          <w:rFonts w:ascii="Trebuchet MS" w:hAnsi="Trebuchet MS" w:eastAsia="Trebuchet MS" w:cs="Trebuchet MS"/>
          <w:noProof w:val="0"/>
          <w:sz w:val="24"/>
          <w:szCs w:val="24"/>
          <w:lang w:val="en-GB"/>
        </w:rPr>
        <w:t>Pachler</w:t>
      </w:r>
      <w:proofErr w:type="spellEnd"/>
      <w:r w:rsidRPr="2F3C6E30" w:rsidR="2F3C6E30">
        <w:rPr>
          <w:rFonts w:ascii="Trebuchet MS" w:hAnsi="Trebuchet MS" w:eastAsia="Trebuchet MS" w:cs="Trebuchet MS"/>
          <w:noProof w:val="0"/>
          <w:sz w:val="24"/>
          <w:szCs w:val="24"/>
          <w:lang w:val="en-GB"/>
        </w:rPr>
        <w:t xml:space="preserve"> et al. 2014). Additionally, presenting learners with an example of ‘what good looks like’, further enables learners to successfully identify a good piece of work from that of a lower level (Fletcher-Wood. 2018). All this, along with practice, will allow learners to effectively assess each other’s work. Furthermore, it could be argued that by mastering peer-assessment, learners will in turn be able to apply this knowledge to improving the level of their own work (ibid). If they can identify positive aspects of a peer’s work, then surely, they will then be able to replicate this in their own work in the future. </w:t>
      </w:r>
    </w:p>
    <w:p w:rsidR="2F3C6E30" w:rsidP="2F3C6E30" w:rsidRDefault="2F3C6E30" w14:paraId="71A58AE9" w14:textId="5A145C12">
      <w:pPr>
        <w:ind w:firstLine="540"/>
        <w:rPr>
          <w:rFonts w:ascii="Trebuchet MS" w:hAnsi="Trebuchet MS" w:eastAsia="Trebuchet MS" w:cs="Trebuchet MS"/>
          <w:noProof w:val="0"/>
          <w:sz w:val="24"/>
          <w:szCs w:val="24"/>
          <w:lang w:val="en-GB"/>
        </w:rPr>
      </w:pPr>
      <w:r w:rsidRPr="2F3C6E30" w:rsidR="2F3C6E30">
        <w:rPr>
          <w:rFonts w:ascii="Trebuchet MS" w:hAnsi="Trebuchet MS" w:eastAsia="Trebuchet MS" w:cs="Trebuchet MS"/>
          <w:noProof w:val="0"/>
          <w:sz w:val="24"/>
          <w:szCs w:val="24"/>
          <w:lang w:val="en-GB"/>
        </w:rPr>
        <w:t>This SOW is not wholly based on one learning theory over another, but rather, a mixture. Moreover, toward the beginning of the SOW, a partly behaviourist approach is taken as lessons are more teacher led (</w:t>
      </w:r>
      <w:proofErr w:type="spellStart"/>
      <w:r w:rsidRPr="2F3C6E30" w:rsidR="2F3C6E30">
        <w:rPr>
          <w:rFonts w:ascii="Trebuchet MS" w:hAnsi="Trebuchet MS" w:eastAsia="Trebuchet MS" w:cs="Trebuchet MS"/>
          <w:noProof w:val="0"/>
          <w:sz w:val="24"/>
          <w:szCs w:val="24"/>
          <w:lang w:val="en-GB"/>
        </w:rPr>
        <w:t>Yr</w:t>
      </w:r>
      <w:proofErr w:type="spellEnd"/>
      <w:r w:rsidRPr="2F3C6E30" w:rsidR="2F3C6E30">
        <w:rPr>
          <w:rFonts w:ascii="Trebuchet MS" w:hAnsi="Trebuchet MS" w:eastAsia="Trebuchet MS" w:cs="Trebuchet MS"/>
          <w:noProof w:val="0"/>
          <w:sz w:val="24"/>
          <w:szCs w:val="24"/>
          <w:lang w:val="en-GB"/>
        </w:rPr>
        <w:t xml:space="preserve"> </w:t>
      </w:r>
      <w:proofErr w:type="spellStart"/>
      <w:r w:rsidRPr="2F3C6E30" w:rsidR="2F3C6E30">
        <w:rPr>
          <w:rFonts w:ascii="Trebuchet MS" w:hAnsi="Trebuchet MS" w:eastAsia="Trebuchet MS" w:cs="Trebuchet MS"/>
          <w:noProof w:val="0"/>
          <w:sz w:val="24"/>
          <w:szCs w:val="24"/>
          <w:lang w:val="en-GB"/>
        </w:rPr>
        <w:t>Athrofa</w:t>
      </w:r>
      <w:proofErr w:type="spellEnd"/>
      <w:r w:rsidRPr="2F3C6E30" w:rsidR="2F3C6E30">
        <w:rPr>
          <w:rFonts w:ascii="Trebuchet MS" w:hAnsi="Trebuchet MS" w:eastAsia="Trebuchet MS" w:cs="Trebuchet MS"/>
          <w:noProof w:val="0"/>
          <w:sz w:val="24"/>
          <w:szCs w:val="24"/>
          <w:lang w:val="en-GB"/>
        </w:rPr>
        <w:t>, lecture. 2018).</w:t>
      </w:r>
      <w:r w:rsidRPr="2F3C6E30" w:rsidR="2F3C6E30">
        <w:rPr>
          <w:rFonts w:ascii="Trebuchet MS" w:hAnsi="Trebuchet MS" w:eastAsia="Trebuchet MS" w:cs="Trebuchet MS"/>
          <w:noProof w:val="0"/>
          <w:sz w:val="24"/>
          <w:szCs w:val="24"/>
          <w:lang w:val="en-GB"/>
        </w:rPr>
        <w:t xml:space="preserve"> This is principally because new content is presented to learners or content, which learners may have forgotten, is revisited. This is, for example, the case in lesson 2 where learners are introduced to new vocabulary. In this case, where learners are not familiar with the vocabulary, teachers must play a more central role in order to, get learners to understand it and then, get to a stage where they can use it on their own. In MFL teaching, a good tactic to use when introducing vocabulary is drilling (Smith and Conti, 2016). This can be connected to Skinner’s idea that repetition is the first step in learning something (</w:t>
      </w:r>
      <w:proofErr w:type="spellStart"/>
      <w:r w:rsidRPr="2F3C6E30" w:rsidR="2F3C6E30">
        <w:rPr>
          <w:rFonts w:ascii="Trebuchet MS" w:hAnsi="Trebuchet MS" w:eastAsia="Trebuchet MS" w:cs="Trebuchet MS"/>
          <w:noProof w:val="0"/>
          <w:color w:val="212121"/>
          <w:sz w:val="24"/>
          <w:szCs w:val="24"/>
          <w:lang w:val="en-GB"/>
        </w:rPr>
        <w:t>Yr</w:t>
      </w:r>
      <w:proofErr w:type="spellEnd"/>
      <w:r w:rsidRPr="2F3C6E30" w:rsidR="2F3C6E30">
        <w:rPr>
          <w:rFonts w:ascii="Trebuchet MS" w:hAnsi="Trebuchet MS" w:eastAsia="Trebuchet MS" w:cs="Trebuchet MS"/>
          <w:noProof w:val="0"/>
          <w:color w:val="212121"/>
          <w:sz w:val="24"/>
          <w:szCs w:val="24"/>
          <w:lang w:val="en-GB"/>
        </w:rPr>
        <w:t xml:space="preserve"> </w:t>
      </w:r>
      <w:proofErr w:type="spellStart"/>
      <w:r w:rsidRPr="2F3C6E30" w:rsidR="2F3C6E30">
        <w:rPr>
          <w:rFonts w:ascii="Trebuchet MS" w:hAnsi="Trebuchet MS" w:eastAsia="Trebuchet MS" w:cs="Trebuchet MS"/>
          <w:noProof w:val="0"/>
          <w:color w:val="212121"/>
          <w:sz w:val="24"/>
          <w:szCs w:val="24"/>
          <w:lang w:val="en-GB"/>
        </w:rPr>
        <w:t>Athrofa</w:t>
      </w:r>
      <w:proofErr w:type="spellEnd"/>
      <w:r w:rsidRPr="2F3C6E30" w:rsidR="2F3C6E30">
        <w:rPr>
          <w:rFonts w:ascii="Trebuchet MS" w:hAnsi="Trebuchet MS" w:eastAsia="Trebuchet MS" w:cs="Trebuchet MS"/>
          <w:noProof w:val="0"/>
          <w:color w:val="212121"/>
          <w:sz w:val="24"/>
          <w:szCs w:val="24"/>
          <w:lang w:val="en-GB"/>
        </w:rPr>
        <w:t>, lecture. 2018</w:t>
      </w:r>
      <w:r w:rsidRPr="2F3C6E30" w:rsidR="2F3C6E30">
        <w:rPr>
          <w:rFonts w:ascii="Trebuchet MS" w:hAnsi="Trebuchet MS" w:eastAsia="Trebuchet MS" w:cs="Trebuchet MS"/>
          <w:noProof w:val="0"/>
          <w:sz w:val="24"/>
          <w:szCs w:val="24"/>
          <w:lang w:val="en-GB"/>
        </w:rPr>
        <w:t xml:space="preserve">). </w:t>
      </w:r>
    </w:p>
    <w:p w:rsidR="2F3C6E30" w:rsidP="2F3C6E30" w:rsidRDefault="2F3C6E30" w14:noSpellErr="1" w14:paraId="1AFF00B4" w14:textId="4E1C261F">
      <w:pPr>
        <w:ind w:firstLine="540"/>
        <w:rPr>
          <w:rFonts w:ascii="Trebuchet MS" w:hAnsi="Trebuchet MS" w:eastAsia="Trebuchet MS" w:cs="Trebuchet MS"/>
          <w:noProof w:val="0"/>
          <w:sz w:val="24"/>
          <w:szCs w:val="24"/>
          <w:lang w:val="en-GB"/>
        </w:rPr>
      </w:pPr>
      <w:r w:rsidRPr="2F3C6E30" w:rsidR="2F3C6E30">
        <w:rPr>
          <w:rFonts w:ascii="Trebuchet MS" w:hAnsi="Trebuchet MS" w:eastAsia="Trebuchet MS" w:cs="Trebuchet MS"/>
          <w:noProof w:val="0"/>
          <w:sz w:val="24"/>
          <w:szCs w:val="24"/>
          <w:lang w:val="en-GB"/>
        </w:rPr>
        <w:t xml:space="preserve">Although parts of lessons are teacher led, the SOW aims to get learners working more independently. At the beginning the teacher holds the knowledge, I.e. meaning of vocabulary, but </w:t>
      </w:r>
      <w:proofErr w:type="gramStart"/>
      <w:r w:rsidRPr="2F3C6E30" w:rsidR="2F3C6E30">
        <w:rPr>
          <w:rFonts w:ascii="Trebuchet MS" w:hAnsi="Trebuchet MS" w:eastAsia="Trebuchet MS" w:cs="Trebuchet MS"/>
          <w:noProof w:val="0"/>
          <w:sz w:val="24"/>
          <w:szCs w:val="24"/>
          <w:lang w:val="en-GB"/>
        </w:rPr>
        <w:t>later on</w:t>
      </w:r>
      <w:proofErr w:type="gramEnd"/>
      <w:r w:rsidRPr="2F3C6E30" w:rsidR="2F3C6E30">
        <w:rPr>
          <w:rFonts w:ascii="Trebuchet MS" w:hAnsi="Trebuchet MS" w:eastAsia="Trebuchet MS" w:cs="Trebuchet MS"/>
          <w:noProof w:val="0"/>
          <w:sz w:val="24"/>
          <w:szCs w:val="24"/>
          <w:lang w:val="en-GB"/>
        </w:rPr>
        <w:t xml:space="preserve">, armed with this knowledge, learners are now encouraged to demonstrate and expand their understanding of this on their own (Vygotsky, 1978). The role of the teacher here is to provide support but not to do it for them. This is where factors such as scaffolding come in (Simply Psychology, 2012). For example, in lesson 3 learners are given word matts to help them structure and their own sentences. Here learners can construct their own sentences using this support, but later, in the writing task in lesson 5 for example, they will be able to do this without the support (scaffolding). The project at the end of the SOW, is completed by learners in groups. Learners are given a success criterion and an example of ‘what good looks like’ and then the project is in their hands. They must distribute the work load amongst themselves, they must find, collect and evaluate information as well as putting the project together to be presented. Learners have a high level of autonomy. </w:t>
      </w:r>
    </w:p>
    <w:p w:rsidR="2F3C6E30" w:rsidP="2F3C6E30" w:rsidRDefault="2F3C6E30" w14:noSpellErr="1" w14:paraId="0A0EEA63" w14:textId="65E774EA">
      <w:pPr>
        <w:ind w:firstLine="540"/>
        <w:rPr>
          <w:rFonts w:ascii="Trebuchet MS" w:hAnsi="Trebuchet MS" w:eastAsia="Trebuchet MS" w:cs="Trebuchet MS"/>
          <w:noProof w:val="0"/>
          <w:sz w:val="24"/>
          <w:szCs w:val="24"/>
          <w:lang w:val="en-GB"/>
        </w:rPr>
      </w:pPr>
      <w:r w:rsidRPr="2F3C6E30" w:rsidR="2F3C6E30">
        <w:rPr>
          <w:rFonts w:ascii="Trebuchet MS" w:hAnsi="Trebuchet MS" w:eastAsia="Trebuchet MS" w:cs="Trebuchet MS"/>
          <w:noProof w:val="0"/>
          <w:sz w:val="24"/>
          <w:szCs w:val="24"/>
          <w:lang w:val="en-GB"/>
        </w:rPr>
        <w:t xml:space="preserve">Differentiation was a key concern when designing the SOW. Moreover, in the class there is a learner who is visually impaired (learner Y), an ASD learner (learner X) </w:t>
      </w:r>
      <w:proofErr w:type="gramStart"/>
      <w:r w:rsidRPr="2F3C6E30" w:rsidR="2F3C6E30">
        <w:rPr>
          <w:rFonts w:ascii="Trebuchet MS" w:hAnsi="Trebuchet MS" w:eastAsia="Trebuchet MS" w:cs="Trebuchet MS"/>
          <w:noProof w:val="0"/>
          <w:sz w:val="24"/>
          <w:szCs w:val="24"/>
          <w:lang w:val="en-GB"/>
        </w:rPr>
        <w:t>and also</w:t>
      </w:r>
      <w:proofErr w:type="gramEnd"/>
      <w:r w:rsidRPr="2F3C6E30" w:rsidR="2F3C6E30">
        <w:rPr>
          <w:rFonts w:ascii="Trebuchet MS" w:hAnsi="Trebuchet MS" w:eastAsia="Trebuchet MS" w:cs="Trebuchet MS"/>
          <w:noProof w:val="0"/>
          <w:sz w:val="24"/>
          <w:szCs w:val="24"/>
          <w:lang w:val="en-GB"/>
        </w:rPr>
        <w:t xml:space="preserve"> two MAT learners. For learner Y, all worksheets were printed in size 24 font and on buff coloured paper. They also had a laptop with software built in that enlarges the font of any work of website visited. Learner X was seated at the end of a row near the exit and given facial expression cards, in order to indicate levels of anxiety. They also have two allocated ‘safe spaces’ which they can go to at any time when feeling overwhelmed. As for the MAT learners and other high attaining learners, most of the tasks in lessons were designed to increase in difficulty to offer challenge. </w:t>
      </w:r>
    </w:p>
    <w:p w:rsidR="2F3C6E30" w:rsidP="2F3C6E30" w:rsidRDefault="2F3C6E30" w14:noSpellErr="1" w14:paraId="7E984ECD" w14:textId="5B4D50B5">
      <w:pPr>
        <w:ind w:firstLine="540"/>
        <w:rPr>
          <w:sz w:val="24"/>
          <w:szCs w:val="24"/>
        </w:rPr>
      </w:pPr>
      <w:r>
        <w:br/>
      </w:r>
    </w:p>
    <w:p w:rsidR="2F3C6E30" w:rsidP="2F3C6E30" w:rsidRDefault="2F3C6E30" w14:noSpellErr="1" w14:paraId="4ABE9771" w14:textId="1B47DA20">
      <w:pPr>
        <w:ind w:firstLine="540"/>
        <w:jc w:val="center"/>
        <w:rPr>
          <w:rFonts w:ascii="Trebuchet MS" w:hAnsi="Trebuchet MS" w:eastAsia="Trebuchet MS" w:cs="Trebuchet MS"/>
          <w:noProof w:val="0"/>
          <w:sz w:val="24"/>
          <w:szCs w:val="24"/>
          <w:u w:val="single"/>
          <w:lang w:val="en-GB"/>
        </w:rPr>
      </w:pPr>
      <w:r w:rsidRPr="2F3C6E30" w:rsidR="2F3C6E30">
        <w:rPr>
          <w:rFonts w:ascii="Trebuchet MS" w:hAnsi="Trebuchet MS" w:eastAsia="Trebuchet MS" w:cs="Trebuchet MS"/>
          <w:noProof w:val="0"/>
          <w:sz w:val="24"/>
          <w:szCs w:val="24"/>
          <w:u w:val="single"/>
          <w:lang w:val="en-GB"/>
        </w:rPr>
        <w:t>Part B (ii)</w:t>
      </w:r>
    </w:p>
    <w:p w:rsidR="2F3C6E30" w:rsidP="2F3C6E30" w:rsidRDefault="2F3C6E30" w14:noSpellErr="1" w14:paraId="0E4C9FA6" w14:textId="03E4F6A2">
      <w:pPr>
        <w:ind w:firstLine="540"/>
        <w:jc w:val="center"/>
        <w:rPr>
          <w:sz w:val="24"/>
          <w:szCs w:val="24"/>
        </w:rPr>
      </w:pPr>
      <w:r>
        <w:br/>
      </w:r>
    </w:p>
    <w:p w:rsidR="2F3C6E30" w:rsidP="2F3C6E30" w:rsidRDefault="2F3C6E30" w14:paraId="05BB72B5" w14:textId="4F196A96">
      <w:pPr>
        <w:ind w:firstLine="540"/>
        <w:rPr>
          <w:rFonts w:ascii="Trebuchet MS" w:hAnsi="Trebuchet MS" w:eastAsia="Trebuchet MS" w:cs="Trebuchet MS"/>
          <w:noProof w:val="0"/>
          <w:sz w:val="24"/>
          <w:szCs w:val="24"/>
          <w:lang w:val="en-GB"/>
        </w:rPr>
      </w:pPr>
      <w:r w:rsidRPr="2F3C6E30" w:rsidR="2F3C6E30">
        <w:rPr>
          <w:rFonts w:ascii="Trebuchet MS" w:hAnsi="Trebuchet MS" w:eastAsia="Trebuchet MS" w:cs="Trebuchet MS"/>
          <w:noProof w:val="0"/>
          <w:sz w:val="24"/>
          <w:szCs w:val="24"/>
          <w:lang w:val="en-GB"/>
        </w:rPr>
        <w:t xml:space="preserve">In the second part of this assignment I will be revisiting and critically evaluating my micro teach lesson and SOW, in view of my first professional teaching experience. Furthermore, I will outline how I would approach this task differently, </w:t>
      </w:r>
      <w:proofErr w:type="gramStart"/>
      <w:r w:rsidRPr="2F3C6E30" w:rsidR="2F3C6E30">
        <w:rPr>
          <w:rFonts w:ascii="Trebuchet MS" w:hAnsi="Trebuchet MS" w:eastAsia="Trebuchet MS" w:cs="Trebuchet MS"/>
          <w:noProof w:val="0"/>
          <w:sz w:val="24"/>
          <w:szCs w:val="24"/>
          <w:lang w:val="en-GB"/>
        </w:rPr>
        <w:t>in light of</w:t>
      </w:r>
      <w:proofErr w:type="gramEnd"/>
      <w:r w:rsidRPr="2F3C6E30" w:rsidR="2F3C6E30">
        <w:rPr>
          <w:rFonts w:ascii="Trebuchet MS" w:hAnsi="Trebuchet MS" w:eastAsia="Trebuchet MS" w:cs="Trebuchet MS"/>
          <w:noProof w:val="0"/>
          <w:sz w:val="24"/>
          <w:szCs w:val="24"/>
          <w:lang w:val="en-GB"/>
        </w:rPr>
        <w:t xml:space="preserve"> this experience and how this may improve my own teaching style and methods. (</w:t>
      </w:r>
      <w:proofErr w:type="spellStart"/>
      <w:r w:rsidRPr="2F3C6E30" w:rsidR="2F3C6E30">
        <w:rPr>
          <w:rFonts w:ascii="Trebuchet MS" w:hAnsi="Trebuchet MS" w:eastAsia="Trebuchet MS" w:cs="Trebuchet MS"/>
          <w:noProof w:val="0"/>
          <w:color w:val="212121"/>
          <w:sz w:val="24"/>
          <w:szCs w:val="24"/>
          <w:lang w:val="en-GB"/>
        </w:rPr>
        <w:t>Yr</w:t>
      </w:r>
      <w:proofErr w:type="spellEnd"/>
      <w:r w:rsidRPr="2F3C6E30" w:rsidR="2F3C6E30">
        <w:rPr>
          <w:rFonts w:ascii="Trebuchet MS" w:hAnsi="Trebuchet MS" w:eastAsia="Trebuchet MS" w:cs="Trebuchet MS"/>
          <w:noProof w:val="0"/>
          <w:color w:val="212121"/>
          <w:sz w:val="24"/>
          <w:szCs w:val="24"/>
          <w:lang w:val="en-GB"/>
        </w:rPr>
        <w:t xml:space="preserve"> </w:t>
      </w:r>
      <w:proofErr w:type="spellStart"/>
      <w:r w:rsidRPr="2F3C6E30" w:rsidR="2F3C6E30">
        <w:rPr>
          <w:rFonts w:ascii="Trebuchet MS" w:hAnsi="Trebuchet MS" w:eastAsia="Trebuchet MS" w:cs="Trebuchet MS"/>
          <w:noProof w:val="0"/>
          <w:color w:val="212121"/>
          <w:sz w:val="24"/>
          <w:szCs w:val="24"/>
          <w:lang w:val="en-GB"/>
        </w:rPr>
        <w:t>Athrofa</w:t>
      </w:r>
      <w:proofErr w:type="spellEnd"/>
      <w:r w:rsidRPr="2F3C6E30" w:rsidR="2F3C6E30">
        <w:rPr>
          <w:rFonts w:ascii="Trebuchet MS" w:hAnsi="Trebuchet MS" w:eastAsia="Trebuchet MS" w:cs="Trebuchet MS"/>
          <w:noProof w:val="0"/>
          <w:color w:val="212121"/>
          <w:sz w:val="24"/>
          <w:szCs w:val="24"/>
          <w:lang w:val="en-GB"/>
        </w:rPr>
        <w:t>, 2018</w:t>
      </w:r>
      <w:r w:rsidRPr="2F3C6E30" w:rsidR="2F3C6E30">
        <w:rPr>
          <w:rFonts w:ascii="Trebuchet MS" w:hAnsi="Trebuchet MS" w:eastAsia="Trebuchet MS" w:cs="Trebuchet MS"/>
          <w:noProof w:val="0"/>
          <w:sz w:val="24"/>
          <w:szCs w:val="24"/>
          <w:lang w:val="en-GB"/>
        </w:rPr>
        <w:t>).</w:t>
      </w:r>
    </w:p>
    <w:p w:rsidR="2F3C6E30" w:rsidP="2F3C6E30" w:rsidRDefault="2F3C6E30" w14:paraId="5C8D1837" w14:textId="19102DE4">
      <w:pPr>
        <w:ind w:firstLine="540"/>
        <w:rPr>
          <w:rFonts w:ascii="Trebuchet MS" w:hAnsi="Trebuchet MS" w:eastAsia="Trebuchet MS" w:cs="Trebuchet MS"/>
          <w:noProof w:val="0"/>
          <w:sz w:val="24"/>
          <w:szCs w:val="24"/>
          <w:lang w:val="en-GB"/>
        </w:rPr>
      </w:pPr>
      <w:r w:rsidRPr="2F3C6E30" w:rsidR="2F3C6E30">
        <w:rPr>
          <w:rFonts w:ascii="Trebuchet MS" w:hAnsi="Trebuchet MS" w:eastAsia="Trebuchet MS" w:cs="Trebuchet MS"/>
          <w:noProof w:val="0"/>
          <w:sz w:val="24"/>
          <w:szCs w:val="24"/>
          <w:lang w:val="en-GB"/>
        </w:rPr>
        <w:t xml:space="preserve">The first issue I will tackle is the lack of inclusion of the Y </w:t>
      </w:r>
      <w:proofErr w:type="spellStart"/>
      <w:r w:rsidRPr="2F3C6E30" w:rsidR="2F3C6E30">
        <w:rPr>
          <w:rFonts w:ascii="Trebuchet MS" w:hAnsi="Trebuchet MS" w:eastAsia="Trebuchet MS" w:cs="Trebuchet MS"/>
          <w:noProof w:val="0"/>
          <w:sz w:val="24"/>
          <w:szCs w:val="24"/>
          <w:lang w:val="en-GB"/>
        </w:rPr>
        <w:t>Cwricwlwm</w:t>
      </w:r>
      <w:proofErr w:type="spellEnd"/>
      <w:r w:rsidRPr="2F3C6E30" w:rsidR="2F3C6E30">
        <w:rPr>
          <w:rFonts w:ascii="Trebuchet MS" w:hAnsi="Trebuchet MS" w:eastAsia="Trebuchet MS" w:cs="Trebuchet MS"/>
          <w:noProof w:val="0"/>
          <w:sz w:val="24"/>
          <w:szCs w:val="24"/>
          <w:lang w:val="en-GB"/>
        </w:rPr>
        <w:t xml:space="preserve"> </w:t>
      </w:r>
      <w:proofErr w:type="spellStart"/>
      <w:r w:rsidRPr="2F3C6E30" w:rsidR="2F3C6E30">
        <w:rPr>
          <w:rFonts w:ascii="Trebuchet MS" w:hAnsi="Trebuchet MS" w:eastAsia="Trebuchet MS" w:cs="Trebuchet MS"/>
          <w:noProof w:val="0"/>
          <w:sz w:val="24"/>
          <w:szCs w:val="24"/>
          <w:lang w:val="en-GB"/>
        </w:rPr>
        <w:t>Cymreig</w:t>
      </w:r>
      <w:proofErr w:type="spellEnd"/>
      <w:r w:rsidRPr="2F3C6E30" w:rsidR="2F3C6E30">
        <w:rPr>
          <w:rFonts w:ascii="Trebuchet MS" w:hAnsi="Trebuchet MS" w:eastAsia="Trebuchet MS" w:cs="Trebuchet MS"/>
          <w:noProof w:val="0"/>
          <w:sz w:val="24"/>
          <w:szCs w:val="24"/>
          <w:lang w:val="en-GB"/>
        </w:rPr>
        <w:t xml:space="preserve"> (YCC) in the SOW. While planning the SOW, I found it difficult to address this factor and see how it could be included in a modern foreign language (MFL) lesson, where another culture and language is already being taught. However, </w:t>
      </w:r>
      <w:proofErr w:type="gramStart"/>
      <w:r w:rsidRPr="2F3C6E30" w:rsidR="2F3C6E30">
        <w:rPr>
          <w:rFonts w:ascii="Trebuchet MS" w:hAnsi="Trebuchet MS" w:eastAsia="Trebuchet MS" w:cs="Trebuchet MS"/>
          <w:noProof w:val="0"/>
          <w:sz w:val="24"/>
          <w:szCs w:val="24"/>
          <w:lang w:val="en-GB"/>
        </w:rPr>
        <w:t>in light of</w:t>
      </w:r>
      <w:proofErr w:type="gramEnd"/>
      <w:r w:rsidRPr="2F3C6E30" w:rsidR="2F3C6E30">
        <w:rPr>
          <w:rFonts w:ascii="Trebuchet MS" w:hAnsi="Trebuchet MS" w:eastAsia="Trebuchet MS" w:cs="Trebuchet MS"/>
          <w:noProof w:val="0"/>
          <w:sz w:val="24"/>
          <w:szCs w:val="24"/>
          <w:lang w:val="en-GB"/>
        </w:rPr>
        <w:t xml:space="preserve"> my experience at the school (to be referred to as School A from now on), I now understand how the SOW could be modified (BERA, 2018). As a bilingual school, it takes great steps to include YCC in lessons across all departments. In the MFL department, all teachers include both Welsh and English in all resources including, power points, worksheet and vocabulary lists. While about half of the MFL lessons are taught in Welsh, those taught through the medium of English, are planned with the YCC in mind. That said, this is more clearly evidenced in French lessons than Spanish, as there are clear connections between French culture and language, especially that of Brittany, and that of Wales (ACCAC ,2003). I saw an example of this in a year 7 French lesson where the linguistic connection between the days of the week in French and Welsh was made.  Considering this experience </w:t>
      </w:r>
      <w:proofErr w:type="gramStart"/>
      <w:r w:rsidRPr="2F3C6E30" w:rsidR="2F3C6E30">
        <w:rPr>
          <w:rFonts w:ascii="Trebuchet MS" w:hAnsi="Trebuchet MS" w:eastAsia="Trebuchet MS" w:cs="Trebuchet MS"/>
          <w:noProof w:val="0"/>
          <w:sz w:val="24"/>
          <w:szCs w:val="24"/>
          <w:lang w:val="en-GB"/>
        </w:rPr>
        <w:t>and also</w:t>
      </w:r>
      <w:proofErr w:type="gramEnd"/>
      <w:r w:rsidRPr="2F3C6E30" w:rsidR="2F3C6E30">
        <w:rPr>
          <w:rFonts w:ascii="Trebuchet MS" w:hAnsi="Trebuchet MS" w:eastAsia="Trebuchet MS" w:cs="Trebuchet MS"/>
          <w:noProof w:val="0"/>
          <w:sz w:val="24"/>
          <w:szCs w:val="24"/>
          <w:lang w:val="en-GB"/>
        </w:rPr>
        <w:t xml:space="preserve">, the significance place on Welsh culture and language in the ‘Successful Futures’ document and the Welsh national curriculum, it is clear how integral the YCC is to the planning of any lesson or SOW across all departments (QTS S2.2 (iii). Donaldson, 2015). </w:t>
      </w:r>
    </w:p>
    <w:p w:rsidR="2F3C6E30" w:rsidP="2F3C6E30" w:rsidRDefault="2F3C6E30" w14:paraId="5029CD14" w14:textId="7C97F53D">
      <w:pPr>
        <w:ind w:firstLine="540"/>
        <w:rPr>
          <w:rFonts w:ascii="Trebuchet MS" w:hAnsi="Trebuchet MS" w:eastAsia="Trebuchet MS" w:cs="Trebuchet MS"/>
          <w:noProof w:val="0"/>
          <w:sz w:val="24"/>
          <w:szCs w:val="24"/>
          <w:lang w:val="en-GB"/>
        </w:rPr>
      </w:pPr>
      <w:r w:rsidRPr="2F3C6E30" w:rsidR="2F3C6E30">
        <w:rPr>
          <w:rFonts w:ascii="Trebuchet MS" w:hAnsi="Trebuchet MS" w:eastAsia="Trebuchet MS" w:cs="Trebuchet MS"/>
          <w:noProof w:val="0"/>
          <w:sz w:val="24"/>
          <w:szCs w:val="24"/>
          <w:lang w:val="en-GB"/>
        </w:rPr>
        <w:t xml:space="preserve">A key feature of the ‘Successful Futures’ document, on which the future Welsh curriculum is to be based, is digital competency (Donaldson, 2015. Educational Wales, 2018). In a society and world that is increasingly dependent on technology, it is essential, for their futures, that learners’ skills in this area be sufficiently developed (ibid). Furthermore, as advised by the Donaldson report, the new Welsh curriculum will be designed with the aim, of arming learners with the skills they will need to be successful in life after school. Gone is the learning of facts and knowledge solely for the sake of exams. Now schools and teachers need to teach subject knowledge as well as key transferable life skills (QTS S2.1(d)(iv)). In school A I have observed technology being used in several instances. Each department in the school has a set of iPads which can be used by learners in lessons. Not all teachers, however, make use of them. I have only observed them being used to play online games, such as Kahoot, to test learners on vocab </w:t>
      </w:r>
      <w:proofErr w:type="gramStart"/>
      <w:r w:rsidRPr="2F3C6E30" w:rsidR="2F3C6E30">
        <w:rPr>
          <w:rFonts w:ascii="Trebuchet MS" w:hAnsi="Trebuchet MS" w:eastAsia="Trebuchet MS" w:cs="Trebuchet MS"/>
          <w:noProof w:val="0"/>
          <w:sz w:val="24"/>
          <w:szCs w:val="24"/>
          <w:lang w:val="en-GB"/>
        </w:rPr>
        <w:t>and also</w:t>
      </w:r>
      <w:proofErr w:type="gramEnd"/>
      <w:r w:rsidRPr="2F3C6E30" w:rsidR="2F3C6E30">
        <w:rPr>
          <w:rFonts w:ascii="Trebuchet MS" w:hAnsi="Trebuchet MS" w:eastAsia="Trebuchet MS" w:cs="Trebuchet MS"/>
          <w:noProof w:val="0"/>
          <w:sz w:val="24"/>
          <w:szCs w:val="24"/>
          <w:lang w:val="en-GB"/>
        </w:rPr>
        <w:t xml:space="preserve">, for looking up words or phrases in target language using ‘word reference’. The MFL department also uses a system called ‘memorise’ where they set work for learners to complete outside of school. This tool is especially used with GCSE and </w:t>
      </w:r>
      <w:proofErr w:type="spellStart"/>
      <w:r w:rsidRPr="2F3C6E30" w:rsidR="2F3C6E30">
        <w:rPr>
          <w:rFonts w:ascii="Trebuchet MS" w:hAnsi="Trebuchet MS" w:eastAsia="Trebuchet MS" w:cs="Trebuchet MS"/>
          <w:noProof w:val="0"/>
          <w:sz w:val="24"/>
          <w:szCs w:val="24"/>
          <w:lang w:val="en-GB"/>
        </w:rPr>
        <w:t>ALevel</w:t>
      </w:r>
      <w:proofErr w:type="spellEnd"/>
      <w:r w:rsidRPr="2F3C6E30" w:rsidR="2F3C6E30">
        <w:rPr>
          <w:rFonts w:ascii="Trebuchet MS" w:hAnsi="Trebuchet MS" w:eastAsia="Trebuchet MS" w:cs="Trebuchet MS"/>
          <w:noProof w:val="0"/>
          <w:sz w:val="24"/>
          <w:szCs w:val="24"/>
          <w:lang w:val="en-GB"/>
        </w:rPr>
        <w:t xml:space="preserve"> groups, who are encouraged, but not obligated, to use memorise to boost their learning independently. During the planning of my SOW the digital competency framework was </w:t>
      </w:r>
      <w:proofErr w:type="gramStart"/>
      <w:r w:rsidRPr="2F3C6E30" w:rsidR="2F3C6E30">
        <w:rPr>
          <w:rFonts w:ascii="Trebuchet MS" w:hAnsi="Trebuchet MS" w:eastAsia="Trebuchet MS" w:cs="Trebuchet MS"/>
          <w:noProof w:val="0"/>
          <w:sz w:val="24"/>
          <w:szCs w:val="24"/>
          <w:lang w:val="en-GB"/>
        </w:rPr>
        <w:t>taken into account</w:t>
      </w:r>
      <w:proofErr w:type="gramEnd"/>
      <w:r w:rsidRPr="2F3C6E30" w:rsidR="2F3C6E30">
        <w:rPr>
          <w:rFonts w:ascii="Trebuchet MS" w:hAnsi="Trebuchet MS" w:eastAsia="Trebuchet MS" w:cs="Trebuchet MS"/>
          <w:noProof w:val="0"/>
          <w:sz w:val="24"/>
          <w:szCs w:val="24"/>
          <w:lang w:val="en-GB"/>
        </w:rPr>
        <w:t xml:space="preserve">, which can especially be seen in the end of unite project where learners had to research and organise their own school trip.  Moreover, in my future planning of lessons at school A, and later in my second placement, Digital competency, along with the Literacy and Numeracy Framework and YCC, will be central. </w:t>
      </w:r>
    </w:p>
    <w:p w:rsidR="2F3C6E30" w:rsidP="2F3C6E30" w:rsidRDefault="2F3C6E30" w14:noSpellErr="1" w14:paraId="5FEB487A" w14:textId="1C803A18">
      <w:pPr>
        <w:ind w:firstLine="540"/>
        <w:rPr>
          <w:rFonts w:ascii="Trebuchet MS" w:hAnsi="Trebuchet MS" w:eastAsia="Trebuchet MS" w:cs="Trebuchet MS"/>
          <w:noProof w:val="0"/>
          <w:sz w:val="24"/>
          <w:szCs w:val="24"/>
          <w:lang w:val="en-GB"/>
        </w:rPr>
      </w:pPr>
      <w:r w:rsidRPr="2F3C6E30" w:rsidR="2F3C6E30">
        <w:rPr>
          <w:rFonts w:ascii="Trebuchet MS" w:hAnsi="Trebuchet MS" w:eastAsia="Trebuchet MS" w:cs="Trebuchet MS"/>
          <w:noProof w:val="0"/>
          <w:sz w:val="24"/>
          <w:szCs w:val="24"/>
          <w:lang w:val="en-GB"/>
        </w:rPr>
        <w:t xml:space="preserve">On that point, I will now address the issue of the Literacy and Numeracy Framework (Welsh Government, 2013). Points of Literacy were present in most if not all lessons observed in school A. Numeracy, however, has not be observed in the MFL department thus far. While it is a little more difficult to incorporate numeracy into a more humanities led subject, it is not impossible. Furthermore, it is one of the four pillars of the upcoming curriculum, which are to be included in all subjects across the curriculum (Donaldson, 2015). In my SOW I included numeracy in several lessons, most notably in the first lesson where learners use a frequency table to check their answers </w:t>
      </w:r>
      <w:proofErr w:type="gramStart"/>
      <w:r w:rsidRPr="2F3C6E30" w:rsidR="2F3C6E30">
        <w:rPr>
          <w:rFonts w:ascii="Trebuchet MS" w:hAnsi="Trebuchet MS" w:eastAsia="Trebuchet MS" w:cs="Trebuchet MS"/>
          <w:noProof w:val="0"/>
          <w:sz w:val="24"/>
          <w:szCs w:val="24"/>
          <w:lang w:val="en-GB"/>
        </w:rPr>
        <w:t>and also</w:t>
      </w:r>
      <w:proofErr w:type="gramEnd"/>
      <w:r w:rsidRPr="2F3C6E30" w:rsidR="2F3C6E30">
        <w:rPr>
          <w:rFonts w:ascii="Trebuchet MS" w:hAnsi="Trebuchet MS" w:eastAsia="Trebuchet MS" w:cs="Trebuchet MS"/>
          <w:noProof w:val="0"/>
          <w:sz w:val="24"/>
          <w:szCs w:val="24"/>
          <w:lang w:val="en-GB"/>
        </w:rPr>
        <w:t xml:space="preserve">, in the final project were learners have to calculate discounts and costs. Just as with digital competency, it is vital that as teachers we promote the development of literacy and numeracy skills, in order to better equip learners for their lives outside of school (Donaldson, 2015. Welsh Government, 2013).  </w:t>
      </w:r>
    </w:p>
    <w:p w:rsidR="2F3C6E30" w:rsidP="2F3C6E30" w:rsidRDefault="2F3C6E30" w14:noSpellErr="1" w14:paraId="0FD75E46" w14:textId="580ECFC6">
      <w:pPr>
        <w:ind w:firstLine="540"/>
        <w:rPr>
          <w:rFonts w:ascii="Trebuchet MS" w:hAnsi="Trebuchet MS" w:eastAsia="Trebuchet MS" w:cs="Trebuchet MS"/>
          <w:noProof w:val="0"/>
          <w:sz w:val="24"/>
          <w:szCs w:val="24"/>
          <w:lang w:val="en-GB"/>
        </w:rPr>
      </w:pPr>
      <w:r w:rsidRPr="2F3C6E30" w:rsidR="2F3C6E30">
        <w:rPr>
          <w:rFonts w:ascii="Trebuchet MS" w:hAnsi="Trebuchet MS" w:eastAsia="Trebuchet MS" w:cs="Trebuchet MS"/>
          <w:noProof w:val="0"/>
          <w:sz w:val="24"/>
          <w:szCs w:val="24"/>
          <w:lang w:val="en-GB"/>
        </w:rPr>
        <w:t xml:space="preserve">An area of criticism of my SOW which has arisen from by experience at school A is, the structure of my lessons. More specifically, the order in which activities are set, especially when new content, e.g. vocabulary, is introduced to learners. As advised by the MFL teachers at school A, and witnessed in their lessons, there is a specific logical order in which activities should be set, in order to, facilitate learning of new material. This is for example; introduce new vocabulary then, drilling (or method with similar outcome), listening exercise, followed by reading then, speaking and finally, writing (Smith and Conti, 2016). This order sees to an increase in learners’ understanding and ability to use new vocabulary in context. Furthermore, as well as using different skills, each exercise increases in difficulty. There is logic to this organisation as, for example, it is unreasonable to get students to create their own writing examples in TL using the vocabulary, when they haven’t first understood what the words mean or seen them used in context. These ideas can be linked to blooms taxonomy, where remembering and understanding are the first steps while creating is the last (Teach Thought, 2018). In my limited time at school A I have modified my lesson plans according to this model and have seen a marked improvement, in learners’ ability to complete tasks set for them. </w:t>
      </w:r>
    </w:p>
    <w:p w:rsidR="2F3C6E30" w:rsidP="2F3C6E30" w:rsidRDefault="2F3C6E30" w14:noSpellErr="1" w14:paraId="3876736C" w14:textId="66FB3BA3">
      <w:pPr>
        <w:ind w:firstLine="540"/>
        <w:rPr>
          <w:rFonts w:ascii="Trebuchet MS" w:hAnsi="Trebuchet MS" w:eastAsia="Trebuchet MS" w:cs="Trebuchet MS"/>
          <w:noProof w:val="0"/>
          <w:sz w:val="24"/>
          <w:szCs w:val="24"/>
          <w:lang w:val="en-GB"/>
        </w:rPr>
      </w:pPr>
      <w:r w:rsidRPr="2F3C6E30" w:rsidR="2F3C6E30">
        <w:rPr>
          <w:rFonts w:ascii="Trebuchet MS" w:hAnsi="Trebuchet MS" w:eastAsia="Trebuchet MS" w:cs="Trebuchet MS"/>
          <w:noProof w:val="0"/>
          <w:sz w:val="24"/>
          <w:szCs w:val="24"/>
          <w:lang w:val="en-GB"/>
        </w:rPr>
        <w:t xml:space="preserve">Additionally, I have also observed that more time needs to be awarded to the introduction and explanation of new content before moving onto activities where learners </w:t>
      </w:r>
      <w:proofErr w:type="gramStart"/>
      <w:r w:rsidRPr="2F3C6E30" w:rsidR="2F3C6E30">
        <w:rPr>
          <w:rFonts w:ascii="Trebuchet MS" w:hAnsi="Trebuchet MS" w:eastAsia="Trebuchet MS" w:cs="Trebuchet MS"/>
          <w:noProof w:val="0"/>
          <w:sz w:val="24"/>
          <w:szCs w:val="24"/>
          <w:lang w:val="en-GB"/>
        </w:rPr>
        <w:t>have to</w:t>
      </w:r>
      <w:proofErr w:type="gramEnd"/>
      <w:r w:rsidRPr="2F3C6E30" w:rsidR="2F3C6E30">
        <w:rPr>
          <w:rFonts w:ascii="Trebuchet MS" w:hAnsi="Trebuchet MS" w:eastAsia="Trebuchet MS" w:cs="Trebuchet MS"/>
          <w:noProof w:val="0"/>
          <w:sz w:val="24"/>
          <w:szCs w:val="24"/>
          <w:lang w:val="en-GB"/>
        </w:rPr>
        <w:t xml:space="preserve"> put this new knowledge into practice. In the SOW lesson 4, for example, I now see that more time should have been allotted to teaching the past and future tenses in context of the ‘holidays’ module. Although, always conscious of time management in lessons and for the amount that needs to be covered in the </w:t>
      </w:r>
      <w:proofErr w:type="gramStart"/>
      <w:r w:rsidRPr="2F3C6E30" w:rsidR="2F3C6E30">
        <w:rPr>
          <w:rFonts w:ascii="Trebuchet MS" w:hAnsi="Trebuchet MS" w:eastAsia="Trebuchet MS" w:cs="Trebuchet MS"/>
          <w:noProof w:val="0"/>
          <w:sz w:val="24"/>
          <w:szCs w:val="24"/>
          <w:lang w:val="en-GB"/>
        </w:rPr>
        <w:t>curriculum as a whole, it</w:t>
      </w:r>
      <w:proofErr w:type="gramEnd"/>
      <w:r w:rsidRPr="2F3C6E30" w:rsidR="2F3C6E30">
        <w:rPr>
          <w:rFonts w:ascii="Trebuchet MS" w:hAnsi="Trebuchet MS" w:eastAsia="Trebuchet MS" w:cs="Trebuchet MS"/>
          <w:noProof w:val="0"/>
          <w:sz w:val="24"/>
          <w:szCs w:val="24"/>
          <w:lang w:val="en-GB"/>
        </w:rPr>
        <w:t xml:space="preserve"> is important to ensure that learners understand what is being taught before moving on</w:t>
      </w:r>
      <w:r w:rsidRPr="2F3C6E30" w:rsidR="2F3C6E30">
        <w:rPr>
          <w:rFonts w:ascii="Trebuchet MS" w:hAnsi="Trebuchet MS" w:eastAsia="Trebuchet MS" w:cs="Trebuchet MS"/>
          <w:noProof w:val="0"/>
          <w:sz w:val="24"/>
          <w:szCs w:val="24"/>
          <w:lang w:val="en-GB"/>
        </w:rPr>
        <w:t xml:space="preserve">. </w:t>
      </w:r>
    </w:p>
    <w:p w:rsidR="2F3C6E30" w:rsidP="2F3C6E30" w:rsidRDefault="2F3C6E30" w14:paraId="5CEA3CAB" w14:textId="7CD884C7">
      <w:pPr>
        <w:ind w:firstLine="540"/>
        <w:rPr>
          <w:rFonts w:ascii="Trebuchet MS" w:hAnsi="Trebuchet MS" w:eastAsia="Trebuchet MS" w:cs="Trebuchet MS"/>
          <w:noProof w:val="0"/>
          <w:sz w:val="24"/>
          <w:szCs w:val="24"/>
          <w:lang w:val="en-GB"/>
        </w:rPr>
      </w:pPr>
      <w:r w:rsidRPr="2F3C6E30" w:rsidR="2F3C6E30">
        <w:rPr>
          <w:rFonts w:ascii="Trebuchet MS" w:hAnsi="Trebuchet MS" w:eastAsia="Trebuchet MS" w:cs="Trebuchet MS"/>
          <w:noProof w:val="0"/>
          <w:sz w:val="24"/>
          <w:szCs w:val="24"/>
          <w:lang w:val="en-GB"/>
        </w:rPr>
        <w:t xml:space="preserve">This leads to my next point on, assessment. This is how, as teachers, we ensure that learners have indeed understood what is being taught and how well they can use this knowledge in context. At school A I have observed several assessment methods including; vocab tests (written and online games), hands up &amp; hands down (random name picker) questioning, mock GCSE writing and oral, correcting activities produced by learners (both during and after lesson) etc. The MFL department uses a combination of both formative and summative assessment. In a country where learners’ grades, or success in a subject, is ultimately determined by exams (summative assessment), it would be counterproductive, as teachers, to concentrate solely of formative assessment. </w:t>
      </w:r>
      <w:proofErr w:type="gramStart"/>
      <w:r w:rsidRPr="2F3C6E30" w:rsidR="2F3C6E30">
        <w:rPr>
          <w:rFonts w:ascii="Trebuchet MS" w:hAnsi="Trebuchet MS" w:eastAsia="Trebuchet MS" w:cs="Trebuchet MS"/>
          <w:noProof w:val="0"/>
          <w:sz w:val="24"/>
          <w:szCs w:val="24"/>
          <w:lang w:val="en-GB"/>
        </w:rPr>
        <w:t>That being said, formative</w:t>
      </w:r>
      <w:proofErr w:type="gramEnd"/>
      <w:r w:rsidRPr="2F3C6E30" w:rsidR="2F3C6E30">
        <w:rPr>
          <w:rFonts w:ascii="Trebuchet MS" w:hAnsi="Trebuchet MS" w:eastAsia="Trebuchet MS" w:cs="Trebuchet MS"/>
          <w:noProof w:val="0"/>
          <w:sz w:val="24"/>
          <w:szCs w:val="24"/>
          <w:lang w:val="en-GB"/>
        </w:rPr>
        <w:t xml:space="preserve"> assessment, or </w:t>
      </w:r>
      <w:proofErr w:type="spellStart"/>
      <w:r w:rsidRPr="2F3C6E30" w:rsidR="2F3C6E30">
        <w:rPr>
          <w:rFonts w:ascii="Trebuchet MS" w:hAnsi="Trebuchet MS" w:eastAsia="Trebuchet MS" w:cs="Trebuchet MS"/>
          <w:noProof w:val="0"/>
          <w:sz w:val="24"/>
          <w:szCs w:val="24"/>
          <w:lang w:val="en-GB"/>
        </w:rPr>
        <w:t>AfL</w:t>
      </w:r>
      <w:proofErr w:type="spellEnd"/>
      <w:r w:rsidRPr="2F3C6E30" w:rsidR="2F3C6E30">
        <w:rPr>
          <w:rFonts w:ascii="Trebuchet MS" w:hAnsi="Trebuchet MS" w:eastAsia="Trebuchet MS" w:cs="Trebuchet MS"/>
          <w:noProof w:val="0"/>
          <w:sz w:val="24"/>
          <w:szCs w:val="24"/>
          <w:lang w:val="en-GB"/>
        </w:rPr>
        <w:t>, has an important role to play in the classroom. When used correctly it is a useful tool which, can make teaching more responsive and effective (</w:t>
      </w:r>
      <w:proofErr w:type="spellStart"/>
      <w:r w:rsidRPr="2F3C6E30" w:rsidR="2F3C6E30">
        <w:rPr>
          <w:rFonts w:ascii="Trebuchet MS" w:hAnsi="Trebuchet MS" w:eastAsia="Trebuchet MS" w:cs="Trebuchet MS"/>
          <w:noProof w:val="0"/>
          <w:sz w:val="24"/>
          <w:szCs w:val="24"/>
          <w:lang w:val="en-GB"/>
        </w:rPr>
        <w:t>Pachler</w:t>
      </w:r>
      <w:proofErr w:type="spellEnd"/>
      <w:r w:rsidRPr="2F3C6E30" w:rsidR="2F3C6E30">
        <w:rPr>
          <w:rFonts w:ascii="Trebuchet MS" w:hAnsi="Trebuchet MS" w:eastAsia="Trebuchet MS" w:cs="Trebuchet MS"/>
          <w:noProof w:val="0"/>
          <w:sz w:val="24"/>
          <w:szCs w:val="24"/>
          <w:lang w:val="en-GB"/>
        </w:rPr>
        <w:t xml:space="preserve"> </w:t>
      </w:r>
      <w:r w:rsidRPr="2F3C6E30" w:rsidR="2F3C6E30">
        <w:rPr>
          <w:rFonts w:ascii="Trebuchet MS" w:hAnsi="Trebuchet MS" w:eastAsia="Trebuchet MS" w:cs="Trebuchet MS"/>
          <w:i w:val="1"/>
          <w:iCs w:val="1"/>
          <w:noProof w:val="0"/>
          <w:sz w:val="24"/>
          <w:szCs w:val="24"/>
          <w:lang w:val="en-GB"/>
        </w:rPr>
        <w:t>et al</w:t>
      </w:r>
      <w:r w:rsidRPr="2F3C6E30" w:rsidR="2F3C6E30">
        <w:rPr>
          <w:rFonts w:ascii="Trebuchet MS" w:hAnsi="Trebuchet MS" w:eastAsia="Trebuchet MS" w:cs="Trebuchet MS"/>
          <w:noProof w:val="0"/>
          <w:sz w:val="24"/>
          <w:szCs w:val="24"/>
          <w:lang w:val="en-GB"/>
        </w:rPr>
        <w:t xml:space="preserve">. 2014. Wiliam and Jones, 2008). From my extensive reading and experience at school A thus far, </w:t>
      </w:r>
      <w:proofErr w:type="gramStart"/>
      <w:r w:rsidRPr="2F3C6E30" w:rsidR="2F3C6E30">
        <w:rPr>
          <w:rFonts w:ascii="Trebuchet MS" w:hAnsi="Trebuchet MS" w:eastAsia="Trebuchet MS" w:cs="Trebuchet MS"/>
          <w:noProof w:val="0"/>
          <w:sz w:val="24"/>
          <w:szCs w:val="24"/>
          <w:lang w:val="en-GB"/>
        </w:rPr>
        <w:t>it is clear that how</w:t>
      </w:r>
      <w:proofErr w:type="gramEnd"/>
      <w:r w:rsidRPr="2F3C6E30" w:rsidR="2F3C6E30">
        <w:rPr>
          <w:rFonts w:ascii="Trebuchet MS" w:hAnsi="Trebuchet MS" w:eastAsia="Trebuchet MS" w:cs="Trebuchet MS"/>
          <w:noProof w:val="0"/>
          <w:sz w:val="24"/>
          <w:szCs w:val="24"/>
          <w:lang w:val="en-GB"/>
        </w:rPr>
        <w:t xml:space="preserve"> teachers use information gathered in assessments is more significant than which type of assessment they use (QTS S3.2.2.). </w:t>
      </w:r>
    </w:p>
    <w:p w:rsidR="2F3C6E30" w:rsidP="2F3C6E30" w:rsidRDefault="2F3C6E30" w14:paraId="5F6E39C2" w14:textId="766BD9FF">
      <w:pPr>
        <w:ind w:firstLine="540"/>
        <w:rPr>
          <w:rFonts w:ascii="Trebuchet MS" w:hAnsi="Trebuchet MS" w:eastAsia="Trebuchet MS" w:cs="Trebuchet MS"/>
          <w:noProof w:val="0"/>
          <w:sz w:val="24"/>
          <w:szCs w:val="24"/>
          <w:lang w:val="en-GB"/>
        </w:rPr>
      </w:pPr>
      <w:r w:rsidRPr="2F3C6E30" w:rsidR="2F3C6E30">
        <w:rPr>
          <w:rFonts w:ascii="Trebuchet MS" w:hAnsi="Trebuchet MS" w:eastAsia="Trebuchet MS" w:cs="Trebuchet MS"/>
          <w:noProof w:val="0"/>
          <w:sz w:val="24"/>
          <w:szCs w:val="24"/>
          <w:lang w:val="en-GB"/>
        </w:rPr>
        <w:t xml:space="preserve">At this point it is important to highlight a point of debate surrounding the use of </w:t>
      </w:r>
      <w:proofErr w:type="spellStart"/>
      <w:r w:rsidRPr="2F3C6E30" w:rsidR="2F3C6E30">
        <w:rPr>
          <w:rFonts w:ascii="Trebuchet MS" w:hAnsi="Trebuchet MS" w:eastAsia="Trebuchet MS" w:cs="Trebuchet MS"/>
          <w:noProof w:val="0"/>
          <w:sz w:val="24"/>
          <w:szCs w:val="24"/>
          <w:lang w:val="en-GB"/>
        </w:rPr>
        <w:t>AfL</w:t>
      </w:r>
      <w:proofErr w:type="spellEnd"/>
      <w:r w:rsidRPr="2F3C6E30" w:rsidR="2F3C6E30">
        <w:rPr>
          <w:rFonts w:ascii="Trebuchet MS" w:hAnsi="Trebuchet MS" w:eastAsia="Trebuchet MS" w:cs="Trebuchet MS"/>
          <w:noProof w:val="0"/>
          <w:sz w:val="24"/>
          <w:szCs w:val="24"/>
          <w:lang w:val="en-GB"/>
        </w:rPr>
        <w:t xml:space="preserve"> in the classroom. While individuals such as Dylan Wiliam, Jane Jones and Paul Black support the use of </w:t>
      </w:r>
      <w:proofErr w:type="spellStart"/>
      <w:r w:rsidRPr="2F3C6E30" w:rsidR="2F3C6E30">
        <w:rPr>
          <w:rFonts w:ascii="Trebuchet MS" w:hAnsi="Trebuchet MS" w:eastAsia="Trebuchet MS" w:cs="Trebuchet MS"/>
          <w:noProof w:val="0"/>
          <w:sz w:val="24"/>
          <w:szCs w:val="24"/>
          <w:lang w:val="en-GB"/>
        </w:rPr>
        <w:t>AfL</w:t>
      </w:r>
      <w:proofErr w:type="spellEnd"/>
      <w:r w:rsidRPr="2F3C6E30" w:rsidR="2F3C6E30">
        <w:rPr>
          <w:rFonts w:ascii="Trebuchet MS" w:hAnsi="Trebuchet MS" w:eastAsia="Trebuchet MS" w:cs="Trebuchet MS"/>
          <w:noProof w:val="0"/>
          <w:sz w:val="24"/>
          <w:szCs w:val="24"/>
          <w:lang w:val="en-GB"/>
        </w:rPr>
        <w:t xml:space="preserve"> in classroom and have outlined its many benefits, there are those who argue against its perceived success (Wiliam and Jones, 2008. Black and Wiliam, 1998). David </w:t>
      </w:r>
      <w:proofErr w:type="spellStart"/>
      <w:r w:rsidRPr="2F3C6E30" w:rsidR="2F3C6E30">
        <w:rPr>
          <w:rFonts w:ascii="Trebuchet MS" w:hAnsi="Trebuchet MS" w:eastAsia="Trebuchet MS" w:cs="Trebuchet MS"/>
          <w:noProof w:val="0"/>
          <w:sz w:val="24"/>
          <w:szCs w:val="24"/>
          <w:lang w:val="en-GB"/>
        </w:rPr>
        <w:t>Didau</w:t>
      </w:r>
      <w:proofErr w:type="spellEnd"/>
      <w:r w:rsidRPr="2F3C6E30" w:rsidR="2F3C6E30">
        <w:rPr>
          <w:rFonts w:ascii="Trebuchet MS" w:hAnsi="Trebuchet MS" w:eastAsia="Trebuchet MS" w:cs="Trebuchet MS"/>
          <w:noProof w:val="0"/>
          <w:sz w:val="24"/>
          <w:szCs w:val="24"/>
          <w:lang w:val="en-GB"/>
        </w:rPr>
        <w:t>, for example, argues that while teachers should of course be reflective “of the process of teaching and learning” and that, decisions in teaching should be based on evidence, he questions “what evidence? What learning?” (</w:t>
      </w:r>
      <w:proofErr w:type="spellStart"/>
      <w:r w:rsidRPr="2F3C6E30" w:rsidR="2F3C6E30">
        <w:rPr>
          <w:rFonts w:ascii="Trebuchet MS" w:hAnsi="Trebuchet MS" w:eastAsia="Trebuchet MS" w:cs="Trebuchet MS"/>
          <w:noProof w:val="0"/>
          <w:sz w:val="24"/>
          <w:szCs w:val="24"/>
          <w:lang w:val="en-GB"/>
        </w:rPr>
        <w:t>Didau</w:t>
      </w:r>
      <w:proofErr w:type="spellEnd"/>
      <w:r w:rsidRPr="2F3C6E30" w:rsidR="2F3C6E30">
        <w:rPr>
          <w:rFonts w:ascii="Trebuchet MS" w:hAnsi="Trebuchet MS" w:eastAsia="Trebuchet MS" w:cs="Trebuchet MS"/>
          <w:noProof w:val="0"/>
          <w:sz w:val="24"/>
          <w:szCs w:val="24"/>
          <w:lang w:val="en-GB"/>
        </w:rPr>
        <w:t xml:space="preserve">, 2014). </w:t>
      </w:r>
      <w:proofErr w:type="spellStart"/>
      <w:r w:rsidRPr="2F3C6E30" w:rsidR="2F3C6E30">
        <w:rPr>
          <w:rFonts w:ascii="Trebuchet MS" w:hAnsi="Trebuchet MS" w:eastAsia="Trebuchet MS" w:cs="Trebuchet MS"/>
          <w:noProof w:val="0"/>
          <w:sz w:val="24"/>
          <w:szCs w:val="24"/>
          <w:lang w:val="en-GB"/>
        </w:rPr>
        <w:t>Didau</w:t>
      </w:r>
      <w:proofErr w:type="spellEnd"/>
      <w:r w:rsidRPr="2F3C6E30" w:rsidR="2F3C6E30">
        <w:rPr>
          <w:rFonts w:ascii="Trebuchet MS" w:hAnsi="Trebuchet MS" w:eastAsia="Trebuchet MS" w:cs="Trebuchet MS"/>
          <w:noProof w:val="0"/>
          <w:sz w:val="24"/>
          <w:szCs w:val="24"/>
          <w:lang w:val="en-GB"/>
        </w:rPr>
        <w:t xml:space="preserve"> argues that the quality of evidence collected from these methods is not representative of what has </w:t>
      </w:r>
      <w:proofErr w:type="gramStart"/>
      <w:r w:rsidRPr="2F3C6E30" w:rsidR="2F3C6E30">
        <w:rPr>
          <w:rFonts w:ascii="Trebuchet MS" w:hAnsi="Trebuchet MS" w:eastAsia="Trebuchet MS" w:cs="Trebuchet MS"/>
          <w:noProof w:val="0"/>
          <w:sz w:val="24"/>
          <w:szCs w:val="24"/>
          <w:lang w:val="en-GB"/>
        </w:rPr>
        <w:t>actually been</w:t>
      </w:r>
      <w:proofErr w:type="gramEnd"/>
      <w:r w:rsidRPr="2F3C6E30" w:rsidR="2F3C6E30">
        <w:rPr>
          <w:rFonts w:ascii="Trebuchet MS" w:hAnsi="Trebuchet MS" w:eastAsia="Trebuchet MS" w:cs="Trebuchet MS"/>
          <w:noProof w:val="0"/>
          <w:sz w:val="24"/>
          <w:szCs w:val="24"/>
          <w:lang w:val="en-GB"/>
        </w:rPr>
        <w:t xml:space="preserve"> learned and thus, it can be quiet “damaging to use formative assessment...as justification for believing we can ‘move on’ in the belief that we know...students are making progress” (ibid).  Additionally, Daisy Christodoulou in her book “Making Good Progress? The Future of Assessment for Learning”, highlights that while </w:t>
      </w:r>
      <w:proofErr w:type="spellStart"/>
      <w:r w:rsidRPr="2F3C6E30" w:rsidR="2F3C6E30">
        <w:rPr>
          <w:rFonts w:ascii="Trebuchet MS" w:hAnsi="Trebuchet MS" w:eastAsia="Trebuchet MS" w:cs="Trebuchet MS"/>
          <w:noProof w:val="0"/>
          <w:sz w:val="24"/>
          <w:szCs w:val="24"/>
          <w:lang w:val="en-GB"/>
        </w:rPr>
        <w:t>AfL</w:t>
      </w:r>
      <w:proofErr w:type="spellEnd"/>
      <w:r w:rsidRPr="2F3C6E30" w:rsidR="2F3C6E30">
        <w:rPr>
          <w:rFonts w:ascii="Trebuchet MS" w:hAnsi="Trebuchet MS" w:eastAsia="Trebuchet MS" w:cs="Trebuchet MS"/>
          <w:noProof w:val="0"/>
          <w:sz w:val="24"/>
          <w:szCs w:val="24"/>
          <w:lang w:val="en-GB"/>
        </w:rPr>
        <w:t xml:space="preserve"> is a promising idea it has</w:t>
      </w:r>
      <w:proofErr w:type="gramStart"/>
      <w:r w:rsidRPr="2F3C6E30" w:rsidR="2F3C6E30">
        <w:rPr>
          <w:rFonts w:ascii="Trebuchet MS" w:hAnsi="Trebuchet MS" w:eastAsia="Trebuchet MS" w:cs="Trebuchet MS"/>
          <w:noProof w:val="0"/>
          <w:sz w:val="24"/>
          <w:szCs w:val="24"/>
          <w:lang w:val="en-GB"/>
        </w:rPr>
        <w:t>, generally speaking, thus</w:t>
      </w:r>
      <w:proofErr w:type="gramEnd"/>
      <w:r w:rsidRPr="2F3C6E30" w:rsidR="2F3C6E30">
        <w:rPr>
          <w:rFonts w:ascii="Trebuchet MS" w:hAnsi="Trebuchet MS" w:eastAsia="Trebuchet MS" w:cs="Trebuchet MS"/>
          <w:noProof w:val="0"/>
          <w:sz w:val="24"/>
          <w:szCs w:val="24"/>
          <w:lang w:val="en-GB"/>
        </w:rPr>
        <w:t xml:space="preserve"> far been implemented unsuccessfully (Christodoulou, 2016). </w:t>
      </w:r>
    </w:p>
    <w:p w:rsidR="2F3C6E30" w:rsidP="2F3C6E30" w:rsidRDefault="2F3C6E30" w14:paraId="3E50B8ED" w14:textId="371E5B05">
      <w:pPr>
        <w:ind w:firstLine="540"/>
        <w:rPr>
          <w:rFonts w:ascii="Trebuchet MS" w:hAnsi="Trebuchet MS" w:eastAsia="Trebuchet MS" w:cs="Trebuchet MS"/>
          <w:noProof w:val="0"/>
          <w:sz w:val="24"/>
          <w:szCs w:val="24"/>
          <w:lang w:val="en-GB"/>
        </w:rPr>
      </w:pPr>
      <w:r w:rsidRPr="2F3C6E30" w:rsidR="2F3C6E30">
        <w:rPr>
          <w:rFonts w:ascii="Trebuchet MS" w:hAnsi="Trebuchet MS" w:eastAsia="Trebuchet MS" w:cs="Trebuchet MS"/>
          <w:noProof w:val="0"/>
          <w:sz w:val="24"/>
          <w:szCs w:val="24"/>
          <w:lang w:val="en-GB"/>
        </w:rPr>
        <w:t>Self and peer- assessment is a key feature of most departments at school A. Pupils are encouraged to assess each other's work from the beginning of their time at the school. Moreover, I have observed that giving learners a success criterion is essential to the effective use of both peer and self-assessment (</w:t>
      </w:r>
      <w:proofErr w:type="spellStart"/>
      <w:r w:rsidRPr="2F3C6E30" w:rsidR="2F3C6E30">
        <w:rPr>
          <w:rFonts w:ascii="Trebuchet MS" w:hAnsi="Trebuchet MS" w:eastAsia="Trebuchet MS" w:cs="Trebuchet MS"/>
          <w:noProof w:val="0"/>
          <w:sz w:val="24"/>
          <w:szCs w:val="24"/>
          <w:lang w:val="en-GB"/>
        </w:rPr>
        <w:t>Pachler</w:t>
      </w:r>
      <w:proofErr w:type="spellEnd"/>
      <w:r w:rsidRPr="2F3C6E30" w:rsidR="2F3C6E30">
        <w:rPr>
          <w:rFonts w:ascii="Trebuchet MS" w:hAnsi="Trebuchet MS" w:eastAsia="Trebuchet MS" w:cs="Trebuchet MS"/>
          <w:noProof w:val="0"/>
          <w:sz w:val="24"/>
          <w:szCs w:val="24"/>
          <w:lang w:val="en-GB"/>
        </w:rPr>
        <w:t xml:space="preserve">, 2014). If learners are aware of what is expected of them in a task then, they can more easily identify what qualifies as a good piece of work. Additionally, it is also useful to present learners with an example of what good looks like (Fletcher-Wood, 2018. </w:t>
      </w:r>
      <w:proofErr w:type="spellStart"/>
      <w:r w:rsidRPr="2F3C6E30" w:rsidR="2F3C6E30">
        <w:rPr>
          <w:rFonts w:ascii="Trebuchet MS" w:hAnsi="Trebuchet MS" w:eastAsia="Trebuchet MS" w:cs="Trebuchet MS"/>
          <w:noProof w:val="0"/>
          <w:sz w:val="24"/>
          <w:szCs w:val="24"/>
          <w:lang w:val="en-GB"/>
        </w:rPr>
        <w:t>Pachler</w:t>
      </w:r>
      <w:proofErr w:type="spellEnd"/>
      <w:r w:rsidRPr="2F3C6E30" w:rsidR="2F3C6E30">
        <w:rPr>
          <w:rFonts w:ascii="Trebuchet MS" w:hAnsi="Trebuchet MS" w:eastAsia="Trebuchet MS" w:cs="Trebuchet MS"/>
          <w:noProof w:val="0"/>
          <w:sz w:val="24"/>
          <w:szCs w:val="24"/>
          <w:lang w:val="en-GB"/>
        </w:rPr>
        <w:t xml:space="preserve">, 2014). This along with a success criterion gives learners a good idea of what is expected of them in the task, thus, giving them </w:t>
      </w:r>
      <w:proofErr w:type="gramStart"/>
      <w:r w:rsidRPr="2F3C6E30" w:rsidR="2F3C6E30">
        <w:rPr>
          <w:rFonts w:ascii="Trebuchet MS" w:hAnsi="Trebuchet MS" w:eastAsia="Trebuchet MS" w:cs="Trebuchet MS"/>
          <w:noProof w:val="0"/>
          <w:sz w:val="24"/>
          <w:szCs w:val="24"/>
          <w:lang w:val="en-GB"/>
        </w:rPr>
        <w:t>the tools</w:t>
      </w:r>
      <w:proofErr w:type="gramEnd"/>
      <w:r w:rsidRPr="2F3C6E30" w:rsidR="2F3C6E30">
        <w:rPr>
          <w:rFonts w:ascii="Trebuchet MS" w:hAnsi="Trebuchet MS" w:eastAsia="Trebuchet MS" w:cs="Trebuchet MS"/>
          <w:noProof w:val="0"/>
          <w:sz w:val="24"/>
          <w:szCs w:val="24"/>
          <w:lang w:val="en-GB"/>
        </w:rPr>
        <w:t xml:space="preserve"> they need to successfully complete the task whilst also, being able to identify positive and negative points in their peers work. Getting learners used to effectively assessing their peers’ work should then allow them to improve their own (Fletcher-Wood, 2018). </w:t>
      </w:r>
    </w:p>
    <w:p w:rsidR="2F3C6E30" w:rsidP="2F3C6E30" w:rsidRDefault="2F3C6E30" w14:noSpellErr="1" w14:paraId="0C0D6E37" w14:textId="453330DE">
      <w:pPr>
        <w:ind w:firstLine="540"/>
        <w:rPr>
          <w:rFonts w:ascii="Trebuchet MS" w:hAnsi="Trebuchet MS" w:eastAsia="Trebuchet MS" w:cs="Trebuchet MS"/>
          <w:noProof w:val="0"/>
          <w:sz w:val="24"/>
          <w:szCs w:val="24"/>
          <w:lang w:val="en-GB"/>
        </w:rPr>
      </w:pPr>
      <w:r w:rsidRPr="2F3C6E30" w:rsidR="2F3C6E30">
        <w:rPr>
          <w:rFonts w:ascii="Trebuchet MS" w:hAnsi="Trebuchet MS" w:eastAsia="Trebuchet MS" w:cs="Trebuchet MS"/>
          <w:noProof w:val="0"/>
          <w:sz w:val="24"/>
          <w:szCs w:val="24"/>
          <w:lang w:val="en-GB"/>
        </w:rPr>
        <w:t xml:space="preserve">A form of self-assessment used in the SOW, I now see could be improved upon, is exit tickets. This could have been done by designing the exit ticket myself, so that questions were less generic, i.e. ‘write three things you have learned this lesson’, and more directly linked to the learning objectives of the lesson (Fletcher-Wood, 2016). </w:t>
      </w:r>
    </w:p>
    <w:p w:rsidR="2F3C6E30" w:rsidP="2F3C6E30" w:rsidRDefault="2F3C6E30" w14:paraId="11339A80" w14:textId="7C18B5F4">
      <w:pPr>
        <w:ind w:firstLine="540"/>
        <w:rPr>
          <w:rFonts w:ascii="Trebuchet MS" w:hAnsi="Trebuchet MS" w:eastAsia="Trebuchet MS" w:cs="Trebuchet MS"/>
          <w:noProof w:val="0"/>
          <w:sz w:val="24"/>
          <w:szCs w:val="24"/>
          <w:lang w:val="en-GB"/>
        </w:rPr>
      </w:pPr>
      <w:r w:rsidRPr="2F3C6E30" w:rsidR="2F3C6E30">
        <w:rPr>
          <w:rFonts w:ascii="Trebuchet MS" w:hAnsi="Trebuchet MS" w:eastAsia="Trebuchet MS" w:cs="Trebuchet MS"/>
          <w:noProof w:val="0"/>
          <w:sz w:val="24"/>
          <w:szCs w:val="24"/>
          <w:lang w:val="en-GB"/>
        </w:rPr>
        <w:t>As already highlighted earlier, differentiation was a key aspect of the SOW I created. My time at school A has given me insights into how this aspect of the SOW could have been improved. Moreover, I feel that although due consideration was given to the learning needs of both learn X and Y, those more able in the class, including the two MAT learners, may not have been sufficiently challenge. Although I did make efforts to include suitably challenging work for these learners, as referenced in part B (</w:t>
      </w:r>
      <w:proofErr w:type="spellStart"/>
      <w:r w:rsidRPr="2F3C6E30" w:rsidR="2F3C6E30">
        <w:rPr>
          <w:rFonts w:ascii="Trebuchet MS" w:hAnsi="Trebuchet MS" w:eastAsia="Trebuchet MS" w:cs="Trebuchet MS"/>
          <w:noProof w:val="0"/>
          <w:sz w:val="24"/>
          <w:szCs w:val="24"/>
          <w:lang w:val="en-GB"/>
        </w:rPr>
        <w:t>i</w:t>
      </w:r>
      <w:proofErr w:type="spellEnd"/>
      <w:r w:rsidRPr="2F3C6E30" w:rsidR="2F3C6E30">
        <w:rPr>
          <w:rFonts w:ascii="Trebuchet MS" w:hAnsi="Trebuchet MS" w:eastAsia="Trebuchet MS" w:cs="Trebuchet MS"/>
          <w:noProof w:val="0"/>
          <w:sz w:val="24"/>
          <w:szCs w:val="24"/>
          <w:lang w:val="en-GB"/>
        </w:rPr>
        <w:t xml:space="preserve">), I now see how this could have been improved. For example, had extension task resources ready at the back of the classroom for those who finish the work set and/or any extension task already in place (Smith and Conti, 2016). It is important to remember that all learners’ educational needs must be met and that, learning is made accessible to all (ref QTS) (Thomlinson, 2014).  </w:t>
      </w:r>
    </w:p>
    <w:p w:rsidR="2F3C6E30" w:rsidP="2F3C6E30" w:rsidRDefault="2F3C6E30" w14:paraId="7AF8E8D6" w14:textId="368A41B1">
      <w:pPr>
        <w:pStyle w:val="Normal"/>
        <w:ind w:firstLine="540"/>
        <w:rPr>
          <w:rFonts w:ascii="Trebuchet MS" w:hAnsi="Trebuchet MS" w:eastAsia="Trebuchet MS" w:cs="Trebuchet MS"/>
          <w:noProof w:val="0"/>
          <w:sz w:val="24"/>
          <w:szCs w:val="24"/>
          <w:lang w:val="en-GB"/>
        </w:rPr>
      </w:pPr>
      <w:r w:rsidRPr="2F3C6E30" w:rsidR="2F3C6E30">
        <w:rPr>
          <w:rFonts w:ascii="Trebuchet MS" w:hAnsi="Trebuchet MS" w:eastAsia="Trebuchet MS" w:cs="Trebuchet MS"/>
          <w:noProof w:val="0"/>
          <w:sz w:val="24"/>
          <w:szCs w:val="24"/>
          <w:lang w:val="en-GB"/>
        </w:rPr>
        <w:t>As far as behaviourist and constructivist approaches to education, I have observed both working in MFL lessons at school A.  As already stated earlier in this assignment, both have a place in MFL teaching. Furthermore, I observed a more behaviourist, teacher led approach, being adopted during the introduction of new content but, when learners are more confident in their understanding of said content, teachers take a more backseat role. I have also observed that a behaviourist approach is perhaps more useful when it comes to the issue of behaviour management (</w:t>
      </w:r>
      <w:proofErr w:type="spellStart"/>
      <w:r w:rsidRPr="2F3C6E30" w:rsidR="2F3C6E30">
        <w:rPr>
          <w:rFonts w:ascii="Trebuchet MS" w:hAnsi="Trebuchet MS" w:eastAsia="Trebuchet MS" w:cs="Trebuchet MS"/>
          <w:noProof w:val="0"/>
          <w:color w:val="212121"/>
          <w:sz w:val="24"/>
          <w:szCs w:val="24"/>
          <w:lang w:val="en-GB"/>
        </w:rPr>
        <w:t>Yr</w:t>
      </w:r>
      <w:proofErr w:type="spellEnd"/>
      <w:r w:rsidRPr="2F3C6E30" w:rsidR="2F3C6E30">
        <w:rPr>
          <w:rFonts w:ascii="Trebuchet MS" w:hAnsi="Trebuchet MS" w:eastAsia="Trebuchet MS" w:cs="Trebuchet MS"/>
          <w:noProof w:val="0"/>
          <w:color w:val="212121"/>
          <w:sz w:val="24"/>
          <w:szCs w:val="24"/>
          <w:lang w:val="en-GB"/>
        </w:rPr>
        <w:t xml:space="preserve"> </w:t>
      </w:r>
      <w:proofErr w:type="spellStart"/>
      <w:r w:rsidRPr="2F3C6E30" w:rsidR="2F3C6E30">
        <w:rPr>
          <w:rFonts w:ascii="Trebuchet MS" w:hAnsi="Trebuchet MS" w:eastAsia="Trebuchet MS" w:cs="Trebuchet MS"/>
          <w:noProof w:val="0"/>
          <w:color w:val="212121"/>
          <w:sz w:val="24"/>
          <w:szCs w:val="24"/>
          <w:lang w:val="en-GB"/>
        </w:rPr>
        <w:t>Athrofa</w:t>
      </w:r>
      <w:proofErr w:type="spellEnd"/>
      <w:r w:rsidRPr="2F3C6E30" w:rsidR="2F3C6E30">
        <w:rPr>
          <w:rFonts w:ascii="Trebuchet MS" w:hAnsi="Trebuchet MS" w:eastAsia="Trebuchet MS" w:cs="Trebuchet MS"/>
          <w:noProof w:val="0"/>
          <w:color w:val="212121"/>
          <w:sz w:val="24"/>
          <w:szCs w:val="24"/>
          <w:lang w:val="en-GB"/>
        </w:rPr>
        <w:t>, 2018</w:t>
      </w:r>
      <w:r w:rsidRPr="2F3C6E30" w:rsidR="2F3C6E30">
        <w:rPr>
          <w:rFonts w:ascii="Trebuchet MS" w:hAnsi="Trebuchet MS" w:eastAsia="Trebuchet MS" w:cs="Trebuchet MS"/>
          <w:noProof w:val="0"/>
          <w:sz w:val="24"/>
          <w:szCs w:val="24"/>
          <w:lang w:val="en-GB"/>
        </w:rPr>
        <w:t xml:space="preserve">). Teachers in the department, and I myself, reward good behaviour with positive points and negative behaviour with negative points or red notes (3 of which result in an automatic detention). I have seen how this system of rewarding, to promote what is seen as good behaviour and punishing, to dissuade from bad behaviour works well, especially with KS3. Behaviour management is not something that was planned for in my SOW but now, after my first teaching experience, I see how essential it is. Good classroom behaviour management is key to pupils’ learning. Disruptive behaviour can be damaging as it distracts both teacher and learners, thus effecting the amount covered in the lesson. At school A I have observed how little pupils seem to learn in classes where the teacher has poor classroom management. </w:t>
      </w:r>
      <w:proofErr w:type="gramStart"/>
      <w:r w:rsidRPr="2F3C6E30" w:rsidR="2F3C6E30">
        <w:rPr>
          <w:rFonts w:ascii="Trebuchet MS" w:hAnsi="Trebuchet MS" w:eastAsia="Trebuchet MS" w:cs="Trebuchet MS"/>
          <w:noProof w:val="0"/>
          <w:sz w:val="24"/>
          <w:szCs w:val="24"/>
          <w:lang w:val="en-GB"/>
        </w:rPr>
        <w:t>That being said, it</w:t>
      </w:r>
      <w:proofErr w:type="gramEnd"/>
      <w:r w:rsidRPr="2F3C6E30" w:rsidR="2F3C6E30">
        <w:rPr>
          <w:rFonts w:ascii="Trebuchet MS" w:hAnsi="Trebuchet MS" w:eastAsia="Trebuchet MS" w:cs="Trebuchet MS"/>
          <w:noProof w:val="0"/>
          <w:sz w:val="24"/>
          <w:szCs w:val="24"/>
          <w:lang w:val="en-GB"/>
        </w:rPr>
        <w:t xml:space="preserve"> is important to note that a quiet and well-behaved class is not necessarily learning (</w:t>
      </w:r>
      <w:proofErr w:type="spellStart"/>
      <w:r w:rsidRPr="2F3C6E30" w:rsidR="2F3C6E30">
        <w:rPr>
          <w:rFonts w:ascii="Trebuchet MS" w:hAnsi="Trebuchet MS" w:eastAsia="Trebuchet MS" w:cs="Trebuchet MS"/>
          <w:noProof w:val="0"/>
          <w:color w:val="212121"/>
          <w:sz w:val="24"/>
          <w:szCs w:val="24"/>
          <w:lang w:val="en-GB"/>
        </w:rPr>
        <w:t>Yr</w:t>
      </w:r>
      <w:proofErr w:type="spellEnd"/>
      <w:r w:rsidRPr="2F3C6E30" w:rsidR="2F3C6E30">
        <w:rPr>
          <w:rFonts w:ascii="Trebuchet MS" w:hAnsi="Trebuchet MS" w:eastAsia="Trebuchet MS" w:cs="Trebuchet MS"/>
          <w:noProof w:val="0"/>
          <w:color w:val="212121"/>
          <w:sz w:val="24"/>
          <w:szCs w:val="24"/>
          <w:lang w:val="en-GB"/>
        </w:rPr>
        <w:t xml:space="preserve"> </w:t>
      </w:r>
      <w:proofErr w:type="spellStart"/>
      <w:r w:rsidRPr="2F3C6E30" w:rsidR="2F3C6E30">
        <w:rPr>
          <w:rFonts w:ascii="Trebuchet MS" w:hAnsi="Trebuchet MS" w:eastAsia="Trebuchet MS" w:cs="Trebuchet MS"/>
          <w:noProof w:val="0"/>
          <w:color w:val="212121"/>
          <w:sz w:val="24"/>
          <w:szCs w:val="24"/>
          <w:lang w:val="en-GB"/>
        </w:rPr>
        <w:t>Athrofa</w:t>
      </w:r>
      <w:proofErr w:type="spellEnd"/>
      <w:r w:rsidRPr="2F3C6E30" w:rsidR="2F3C6E30">
        <w:rPr>
          <w:rFonts w:ascii="Trebuchet MS" w:hAnsi="Trebuchet MS" w:eastAsia="Trebuchet MS" w:cs="Trebuchet MS"/>
          <w:noProof w:val="0"/>
          <w:color w:val="212121"/>
          <w:sz w:val="24"/>
          <w:szCs w:val="24"/>
          <w:lang w:val="en-GB"/>
        </w:rPr>
        <w:t>, 2018</w:t>
      </w:r>
      <w:r w:rsidRPr="2F3C6E30" w:rsidR="2F3C6E30">
        <w:rPr>
          <w:rFonts w:ascii="Trebuchet MS" w:hAnsi="Trebuchet MS" w:eastAsia="Trebuchet MS" w:cs="Trebuchet MS"/>
          <w:noProof w:val="0"/>
          <w:sz w:val="24"/>
          <w:szCs w:val="24"/>
          <w:lang w:val="en-GB"/>
        </w:rPr>
        <w:t xml:space="preserve">). This is where </w:t>
      </w:r>
      <w:proofErr w:type="spellStart"/>
      <w:r w:rsidRPr="2F3C6E30" w:rsidR="2F3C6E30">
        <w:rPr>
          <w:rFonts w:ascii="Trebuchet MS" w:hAnsi="Trebuchet MS" w:eastAsia="Trebuchet MS" w:cs="Trebuchet MS"/>
          <w:noProof w:val="0"/>
          <w:sz w:val="24"/>
          <w:szCs w:val="24"/>
          <w:lang w:val="en-GB"/>
        </w:rPr>
        <w:t>AfL</w:t>
      </w:r>
      <w:proofErr w:type="spellEnd"/>
      <w:r w:rsidRPr="2F3C6E30" w:rsidR="2F3C6E30">
        <w:rPr>
          <w:rFonts w:ascii="Trebuchet MS" w:hAnsi="Trebuchet MS" w:eastAsia="Trebuchet MS" w:cs="Trebuchet MS"/>
          <w:noProof w:val="0"/>
          <w:sz w:val="24"/>
          <w:szCs w:val="24"/>
          <w:lang w:val="en-GB"/>
        </w:rPr>
        <w:t xml:space="preserve"> and checking for understanding comes in.</w:t>
      </w:r>
    </w:p>
    <w:p w:rsidR="2F3C6E30" w:rsidP="2F3C6E30" w:rsidRDefault="2F3C6E30" w14:noSpellErr="1" w14:paraId="2D4064ED" w14:textId="45E10482">
      <w:pPr>
        <w:ind w:firstLine="540"/>
        <w:jc w:val="center"/>
        <w:rPr>
          <w:rFonts w:ascii="Trebuchet MS" w:hAnsi="Trebuchet MS" w:eastAsia="Trebuchet MS" w:cs="Trebuchet MS"/>
          <w:noProof w:val="0"/>
          <w:sz w:val="24"/>
          <w:szCs w:val="24"/>
          <w:u w:val="single"/>
          <w:lang w:val="en-GB"/>
        </w:rPr>
      </w:pPr>
      <w:r w:rsidRPr="2F3C6E30" w:rsidR="2F3C6E30">
        <w:rPr>
          <w:rFonts w:ascii="Trebuchet MS" w:hAnsi="Trebuchet MS" w:eastAsia="Trebuchet MS" w:cs="Trebuchet MS"/>
          <w:noProof w:val="0"/>
          <w:sz w:val="24"/>
          <w:szCs w:val="24"/>
          <w:u w:val="single"/>
          <w:lang w:val="en-GB"/>
        </w:rPr>
        <w:t>Conclusion:</w:t>
      </w:r>
    </w:p>
    <w:p w:rsidR="2F3C6E30" w:rsidP="2F3C6E30" w:rsidRDefault="2F3C6E30" w14:noSpellErr="1" w14:paraId="3DC51F70" w14:textId="24FF4C23">
      <w:pPr>
        <w:ind w:firstLine="540"/>
      </w:pPr>
      <w:r w:rsidRPr="2F3C6E30" w:rsidR="2F3C6E30">
        <w:rPr>
          <w:rFonts w:ascii="Trebuchet MS" w:hAnsi="Trebuchet MS" w:eastAsia="Trebuchet MS" w:cs="Trebuchet MS"/>
          <w:noProof w:val="0"/>
          <w:sz w:val="24"/>
          <w:szCs w:val="24"/>
          <w:lang w:val="en-GB"/>
        </w:rPr>
        <w:t xml:space="preserve">The SOW created at the beginning of this assignment, was done so by a PGCE students starting out on the course. It was based solely on research and academic reading around the topic of pedagogy and not, on first-hand experience of the profession or classroom. For this </w:t>
      </w:r>
      <w:proofErr w:type="gramStart"/>
      <w:r w:rsidRPr="2F3C6E30" w:rsidR="2F3C6E30">
        <w:rPr>
          <w:rFonts w:ascii="Trebuchet MS" w:hAnsi="Trebuchet MS" w:eastAsia="Trebuchet MS" w:cs="Trebuchet MS"/>
          <w:noProof w:val="0"/>
          <w:sz w:val="24"/>
          <w:szCs w:val="24"/>
          <w:lang w:val="en-GB"/>
        </w:rPr>
        <w:t>reason</w:t>
      </w:r>
      <w:proofErr w:type="gramEnd"/>
      <w:r w:rsidRPr="2F3C6E30" w:rsidR="2F3C6E30">
        <w:rPr>
          <w:rFonts w:ascii="Trebuchet MS" w:hAnsi="Trebuchet MS" w:eastAsia="Trebuchet MS" w:cs="Trebuchet MS"/>
          <w:noProof w:val="0"/>
          <w:sz w:val="24"/>
          <w:szCs w:val="24"/>
          <w:lang w:val="en-GB"/>
        </w:rPr>
        <w:t xml:space="preserve"> the first teaching experience at School A was invaluable. This allowed for a deeper and more well informed, evaluation of the micro teach episode and </w:t>
      </w:r>
      <w:proofErr w:type="gramStart"/>
      <w:r w:rsidRPr="2F3C6E30" w:rsidR="2F3C6E30">
        <w:rPr>
          <w:rFonts w:ascii="Trebuchet MS" w:hAnsi="Trebuchet MS" w:eastAsia="Trebuchet MS" w:cs="Trebuchet MS"/>
          <w:noProof w:val="0"/>
          <w:sz w:val="24"/>
          <w:szCs w:val="24"/>
          <w:lang w:val="en-GB"/>
        </w:rPr>
        <w:t>SOW as a whole</w:t>
      </w:r>
      <w:proofErr w:type="gramEnd"/>
      <w:r w:rsidRPr="2F3C6E30" w:rsidR="2F3C6E30">
        <w:rPr>
          <w:rFonts w:ascii="Trebuchet MS" w:hAnsi="Trebuchet MS" w:eastAsia="Trebuchet MS" w:cs="Trebuchet MS"/>
          <w:noProof w:val="0"/>
          <w:sz w:val="24"/>
          <w:szCs w:val="24"/>
          <w:lang w:val="en-GB"/>
        </w:rPr>
        <w:t xml:space="preserve">. While the SOW was a good starting point it was incredibly useful to see how it could be improved to fit ‘a real life’ lesson. This evaluation has also been valuable to my future experiences at the school, as I am aware of the weaknesses in the SOW and conscious of not repeating them. Furthermore, I will be taking the SOW evaluation along with, key readings, theories and debates and using this to reflect, assess and improve on all future lessons and School A and into the next placement. </w:t>
      </w:r>
    </w:p>
    <w:p w:rsidR="2F3C6E30" w:rsidP="2F3C6E30" w:rsidRDefault="2F3C6E30" w14:paraId="419A1050" w14:textId="02F91D7B">
      <w:pPr>
        <w:pStyle w:val="Normal"/>
      </w:pPr>
    </w:p>
    <w:p w:rsidR="2F3C6E30" w:rsidP="2F3C6E30" w:rsidRDefault="2F3C6E30" w14:paraId="64925126" w14:textId="553C78AE">
      <w:pPr>
        <w:pStyle w:val="Normal"/>
      </w:pPr>
    </w:p>
    <w:p w:rsidR="2F3C6E30" w:rsidP="2F3C6E30" w:rsidRDefault="2F3C6E30" w14:paraId="39273BDA" w14:textId="18F58543">
      <w:pPr>
        <w:pStyle w:val="Normal"/>
      </w:pPr>
    </w:p>
    <w:p w:rsidR="2F3C6E30" w:rsidP="2F3C6E30" w:rsidRDefault="2F3C6E30" w14:paraId="3ABCD099" w14:textId="6172934B">
      <w:pPr>
        <w:pStyle w:val="Normal"/>
      </w:pPr>
    </w:p>
    <w:p w:rsidR="2F3C6E30" w:rsidP="2F3C6E30" w:rsidRDefault="2F3C6E30" w14:paraId="2D135A57" w14:textId="6A3750C7">
      <w:pPr>
        <w:pStyle w:val="Normal"/>
      </w:pPr>
    </w:p>
    <w:p w:rsidR="2F3C6E30" w:rsidP="2F3C6E30" w:rsidRDefault="2F3C6E30" w14:paraId="60C9CE56" w14:textId="7C66719A">
      <w:pPr>
        <w:pStyle w:val="Normal"/>
      </w:pPr>
    </w:p>
    <w:p w:rsidR="2F3C6E30" w:rsidP="2F3C6E30" w:rsidRDefault="2F3C6E30" w14:paraId="792E4748" w14:textId="6DA191C1">
      <w:pPr>
        <w:pStyle w:val="Normal"/>
      </w:pPr>
    </w:p>
    <w:p w:rsidR="2F3C6E30" w:rsidP="2F3C6E30" w:rsidRDefault="2F3C6E30" w14:paraId="7D320BC4" w14:textId="17FDF6B1">
      <w:pPr>
        <w:pStyle w:val="Normal"/>
      </w:pPr>
    </w:p>
    <w:p w:rsidR="2F3C6E30" w:rsidP="2F3C6E30" w:rsidRDefault="2F3C6E30" w14:paraId="557D3E1C" w14:textId="76CFCAA4">
      <w:pPr>
        <w:pStyle w:val="Normal"/>
      </w:pPr>
    </w:p>
    <w:p w:rsidR="2F3C6E30" w:rsidP="2F3C6E30" w:rsidRDefault="2F3C6E30" w14:paraId="35FCC6AC" w14:textId="10025C48">
      <w:pPr>
        <w:pStyle w:val="Normal"/>
      </w:pPr>
    </w:p>
    <w:p w:rsidR="2F3C6E30" w:rsidP="2F3C6E30" w:rsidRDefault="2F3C6E30" w14:paraId="1718528A" w14:textId="012B0D79">
      <w:pPr>
        <w:pStyle w:val="Normal"/>
      </w:pPr>
    </w:p>
    <w:p w:rsidR="2F3C6E30" w:rsidP="2F3C6E30" w:rsidRDefault="2F3C6E30" w14:paraId="2930886D" w14:textId="15C4F2D4">
      <w:pPr>
        <w:pStyle w:val="Normal"/>
      </w:pPr>
    </w:p>
    <w:p w:rsidR="2F3C6E30" w:rsidP="2F3C6E30" w:rsidRDefault="2F3C6E30" w14:paraId="5BDE5361" w14:textId="6903B721">
      <w:pPr>
        <w:pStyle w:val="Normal"/>
      </w:pPr>
    </w:p>
    <w:p w:rsidR="2F3C6E30" w:rsidP="2F3C6E30" w:rsidRDefault="2F3C6E30" w14:paraId="61B6C927" w14:textId="44DEA0D6">
      <w:pPr>
        <w:pStyle w:val="Normal"/>
      </w:pPr>
    </w:p>
    <w:p w:rsidR="2F3C6E30" w:rsidP="2F3C6E30" w:rsidRDefault="2F3C6E30" w14:noSpellErr="1" w14:paraId="1F30F03B" w14:textId="20BC7F25">
      <w:pPr>
        <w:spacing w:after="160" w:line="259" w:lineRule="auto"/>
        <w:jc w:val="left"/>
        <w:rPr>
          <w:rFonts w:ascii="Calibri" w:hAnsi="Calibri" w:eastAsia="Calibri" w:cs="Calibri"/>
          <w:noProof w:val="0"/>
          <w:sz w:val="24"/>
          <w:szCs w:val="24"/>
          <w:lang w:val="en-GB"/>
        </w:rPr>
      </w:pPr>
      <w:r w:rsidRPr="2F3C6E30" w:rsidR="2F3C6E30">
        <w:rPr>
          <w:rFonts w:ascii="Calibri" w:hAnsi="Calibri" w:eastAsia="Calibri" w:cs="Calibri"/>
          <w:noProof w:val="0"/>
          <w:sz w:val="24"/>
          <w:szCs w:val="24"/>
          <w:u w:val="single"/>
          <w:lang w:val="en-GB"/>
        </w:rPr>
        <w:t>References:</w:t>
      </w:r>
    </w:p>
    <w:p w:rsidR="2F3C6E30" w:rsidP="2F3C6E30" w:rsidRDefault="2F3C6E30" w14:noSpellErr="1" w14:paraId="5E7D4F20" w14:textId="18736C96">
      <w:pPr>
        <w:pStyle w:val="ListParagraph"/>
        <w:numPr>
          <w:ilvl w:val="0"/>
          <w:numId w:val="1"/>
        </w:numPr>
        <w:spacing w:after="160" w:line="259" w:lineRule="auto"/>
        <w:ind w:right="0"/>
        <w:jc w:val="left"/>
        <w:rPr>
          <w:noProof w:val="0"/>
          <w:sz w:val="22"/>
          <w:szCs w:val="22"/>
          <w:lang w:val="en-GB"/>
        </w:rPr>
      </w:pPr>
      <w:r w:rsidRPr="2F3C6E30" w:rsidR="2F3C6E30">
        <w:rPr>
          <w:rFonts w:ascii="Calibri" w:hAnsi="Calibri" w:eastAsia="Calibri" w:cs="Calibri"/>
          <w:noProof w:val="0"/>
          <w:sz w:val="24"/>
          <w:szCs w:val="24"/>
          <w:lang w:val="en-GB"/>
        </w:rPr>
        <w:t xml:space="preserve">BERA: Ethical Guidelines for Educational Research. (2018). Available at: </w:t>
      </w:r>
    </w:p>
    <w:p w:rsidR="2F3C6E30" w:rsidP="2F3C6E30" w:rsidRDefault="2F3C6E30" w14:noSpellErr="1" w14:paraId="33FF25F4" w14:textId="7F2AE3DC">
      <w:pPr>
        <w:spacing w:after="160" w:line="259" w:lineRule="auto"/>
        <w:ind w:left="360"/>
        <w:jc w:val="left"/>
        <w:rPr>
          <w:rFonts w:ascii="Calibri" w:hAnsi="Calibri" w:eastAsia="Calibri" w:cs="Calibri"/>
          <w:noProof w:val="0"/>
          <w:sz w:val="24"/>
          <w:szCs w:val="24"/>
          <w:lang w:val="en-GB"/>
        </w:rPr>
      </w:pPr>
      <w:hyperlink r:id="R8947910a439f48db">
        <w:r w:rsidRPr="2F3C6E30" w:rsidR="2F3C6E30">
          <w:rPr>
            <w:rStyle w:val="Hyperlink"/>
            <w:rFonts w:ascii="Calibri" w:hAnsi="Calibri" w:eastAsia="Calibri" w:cs="Calibri"/>
            <w:noProof w:val="0"/>
            <w:color w:val="0563C1"/>
            <w:sz w:val="24"/>
            <w:szCs w:val="24"/>
            <w:u w:val="single"/>
            <w:lang w:val="en-GB"/>
          </w:rPr>
          <w:t>https://www.bera.ac.uk/wp-content/uploads/2018/06/BERA-Ethical-Guidelines-for-Educational-Research_4thEdn_2018.pdf?noredirect=1</w:t>
        </w:r>
      </w:hyperlink>
      <w:r w:rsidRPr="2F3C6E30" w:rsidR="2F3C6E30">
        <w:rPr>
          <w:rFonts w:ascii="Calibri" w:hAnsi="Calibri" w:eastAsia="Calibri" w:cs="Calibri"/>
          <w:noProof w:val="0"/>
          <w:color w:val="0563C1"/>
          <w:sz w:val="24"/>
          <w:szCs w:val="24"/>
          <w:u w:val="single"/>
          <w:lang w:val="en-GB"/>
        </w:rPr>
        <w:t xml:space="preserve"> </w:t>
      </w:r>
    </w:p>
    <w:p w:rsidR="2F3C6E30" w:rsidP="2F3C6E30" w:rsidRDefault="2F3C6E30" w14:noSpellErr="1" w14:paraId="260DC898" w14:textId="465A9154">
      <w:pPr>
        <w:spacing w:after="160" w:line="259" w:lineRule="auto"/>
        <w:ind w:left="360"/>
        <w:jc w:val="left"/>
        <w:rPr>
          <w:rFonts w:ascii="Calibri" w:hAnsi="Calibri" w:eastAsia="Calibri" w:cs="Calibri"/>
          <w:noProof w:val="0"/>
          <w:sz w:val="24"/>
          <w:szCs w:val="24"/>
          <w:lang w:val="en-GB"/>
        </w:rPr>
      </w:pPr>
      <w:r w:rsidRPr="2F3C6E30" w:rsidR="2F3C6E30">
        <w:rPr>
          <w:rFonts w:ascii="Calibri" w:hAnsi="Calibri" w:eastAsia="Calibri" w:cs="Calibri"/>
          <w:noProof w:val="0"/>
          <w:sz w:val="24"/>
          <w:szCs w:val="24"/>
          <w:lang w:val="en-GB"/>
        </w:rPr>
        <w:t>(Accessed: 26/11/2018)</w:t>
      </w:r>
    </w:p>
    <w:p w:rsidR="2F3C6E30" w:rsidP="2F3C6E30" w:rsidRDefault="2F3C6E30" w14:noSpellErr="1" w14:paraId="5997A06D" w14:textId="165611E6">
      <w:pPr>
        <w:pStyle w:val="ListParagraph"/>
        <w:numPr>
          <w:ilvl w:val="0"/>
          <w:numId w:val="2"/>
        </w:numPr>
        <w:spacing w:after="160" w:line="259" w:lineRule="auto"/>
        <w:ind w:right="0"/>
        <w:jc w:val="left"/>
        <w:rPr>
          <w:noProof w:val="0"/>
          <w:sz w:val="22"/>
          <w:szCs w:val="22"/>
          <w:lang w:val="en-GB"/>
        </w:rPr>
      </w:pPr>
      <w:r w:rsidRPr="2F3C6E30" w:rsidR="2F3C6E30">
        <w:rPr>
          <w:rFonts w:ascii="Calibri" w:hAnsi="Calibri" w:eastAsia="Calibri" w:cs="Calibri"/>
          <w:noProof w:val="0"/>
          <w:sz w:val="24"/>
          <w:szCs w:val="24"/>
          <w:lang w:val="en-GB"/>
        </w:rPr>
        <w:t>Black, P and Wiliam, D (1998)</w:t>
      </w:r>
      <w:r w:rsidRPr="2F3C6E30" w:rsidR="2F3C6E30">
        <w:rPr>
          <w:rFonts w:ascii="Calibri" w:hAnsi="Calibri" w:eastAsia="Calibri" w:cs="Calibri"/>
          <w:i w:val="1"/>
          <w:iCs w:val="1"/>
          <w:noProof w:val="0"/>
          <w:sz w:val="24"/>
          <w:szCs w:val="24"/>
          <w:lang w:val="en-GB"/>
        </w:rPr>
        <w:t xml:space="preserve"> Inside the Black Box: Raising Standards Through Classroom Assessment</w:t>
      </w:r>
      <w:r w:rsidRPr="2F3C6E30" w:rsidR="2F3C6E30">
        <w:rPr>
          <w:rFonts w:ascii="Calibri" w:hAnsi="Calibri" w:eastAsia="Calibri" w:cs="Calibri"/>
          <w:noProof w:val="0"/>
          <w:sz w:val="24"/>
          <w:szCs w:val="24"/>
          <w:lang w:val="en-GB"/>
        </w:rPr>
        <w:t xml:space="preserve">. Available at: </w:t>
      </w:r>
      <w:hyperlink r:id="R2878b603459e4e6a">
        <w:r w:rsidRPr="2F3C6E30" w:rsidR="2F3C6E30">
          <w:rPr>
            <w:rStyle w:val="Hyperlink"/>
            <w:rFonts w:ascii="Calibri" w:hAnsi="Calibri" w:eastAsia="Calibri" w:cs="Calibri"/>
            <w:noProof w:val="0"/>
            <w:color w:val="0563C1"/>
            <w:sz w:val="24"/>
            <w:szCs w:val="24"/>
            <w:u w:val="single"/>
            <w:lang w:val="en-GB"/>
          </w:rPr>
          <w:t>https://www.rdc.udel.edu/wp-content/uploads/2015/04/InsideBlackBox.pdf</w:t>
        </w:r>
      </w:hyperlink>
      <w:r w:rsidRPr="2F3C6E30" w:rsidR="2F3C6E30">
        <w:rPr>
          <w:rFonts w:ascii="Calibri" w:hAnsi="Calibri" w:eastAsia="Calibri" w:cs="Calibri"/>
          <w:noProof w:val="0"/>
          <w:color w:val="0563C1"/>
          <w:sz w:val="24"/>
          <w:szCs w:val="24"/>
          <w:u w:val="single"/>
          <w:lang w:val="en-GB"/>
        </w:rPr>
        <w:t xml:space="preserve"> (Accessed: 26/11/2018).</w:t>
      </w:r>
    </w:p>
    <w:p w:rsidR="2F3C6E30" w:rsidP="2F3C6E30" w:rsidRDefault="2F3C6E30" w14:noSpellErr="1" w14:paraId="5AD38796" w14:textId="55ACC652">
      <w:pPr>
        <w:pStyle w:val="ListParagraph"/>
        <w:numPr>
          <w:ilvl w:val="0"/>
          <w:numId w:val="2"/>
        </w:numPr>
        <w:spacing w:after="160" w:line="259" w:lineRule="auto"/>
        <w:ind w:right="0"/>
        <w:jc w:val="left"/>
        <w:rPr>
          <w:noProof w:val="0"/>
          <w:sz w:val="22"/>
          <w:szCs w:val="22"/>
          <w:lang w:val="en-GB"/>
        </w:rPr>
      </w:pPr>
      <w:r w:rsidRPr="2F3C6E30" w:rsidR="2F3C6E30">
        <w:rPr>
          <w:rFonts w:ascii="Calibri" w:hAnsi="Calibri" w:eastAsia="Calibri" w:cs="Calibri"/>
          <w:noProof w:val="0"/>
          <w:sz w:val="24"/>
          <w:szCs w:val="24"/>
          <w:lang w:val="en-GB"/>
        </w:rPr>
        <w:t xml:space="preserve">Christodoulou, D (2016) </w:t>
      </w:r>
      <w:r w:rsidRPr="2F3C6E30" w:rsidR="2F3C6E30">
        <w:rPr>
          <w:rFonts w:ascii="Calibri" w:hAnsi="Calibri" w:eastAsia="Calibri" w:cs="Calibri"/>
          <w:i w:val="1"/>
          <w:iCs w:val="1"/>
          <w:noProof w:val="0"/>
          <w:sz w:val="24"/>
          <w:szCs w:val="24"/>
          <w:lang w:val="en-GB"/>
        </w:rPr>
        <w:t xml:space="preserve">Making Good Progress? The Future of Assessment for Learning. </w:t>
      </w:r>
      <w:r w:rsidRPr="2F3C6E30" w:rsidR="2F3C6E30">
        <w:rPr>
          <w:rFonts w:ascii="Calibri" w:hAnsi="Calibri" w:eastAsia="Calibri" w:cs="Calibri"/>
          <w:noProof w:val="0"/>
          <w:sz w:val="24"/>
          <w:szCs w:val="24"/>
          <w:lang w:val="en-GB"/>
        </w:rPr>
        <w:t xml:space="preserve">United Kingdom: Oxford University Press </w:t>
      </w:r>
    </w:p>
    <w:p w:rsidR="2F3C6E30" w:rsidP="2F3C6E30" w:rsidRDefault="2F3C6E30" w14:noSpellErr="1" w14:paraId="5E417F06" w14:textId="739DC35B">
      <w:pPr>
        <w:pStyle w:val="ListParagraph"/>
        <w:numPr>
          <w:ilvl w:val="0"/>
          <w:numId w:val="2"/>
        </w:numPr>
        <w:spacing w:after="160" w:line="259" w:lineRule="auto"/>
        <w:ind w:right="0"/>
        <w:jc w:val="left"/>
        <w:rPr>
          <w:noProof w:val="0"/>
          <w:sz w:val="22"/>
          <w:szCs w:val="22"/>
          <w:lang w:val="en-GB"/>
        </w:rPr>
      </w:pPr>
      <w:r w:rsidRPr="2F3C6E30" w:rsidR="2F3C6E30">
        <w:rPr>
          <w:rFonts w:ascii="Calibri" w:hAnsi="Calibri" w:eastAsia="Calibri" w:cs="Calibri"/>
          <w:noProof w:val="0"/>
          <w:sz w:val="24"/>
          <w:szCs w:val="24"/>
          <w:lang w:val="en-GB"/>
        </w:rPr>
        <w:t>Donaldson, G. (2015)</w:t>
      </w:r>
      <w:r w:rsidRPr="2F3C6E30" w:rsidR="2F3C6E30">
        <w:rPr>
          <w:rFonts w:ascii="Calibri" w:hAnsi="Calibri" w:eastAsia="Calibri" w:cs="Calibri"/>
          <w:i w:val="1"/>
          <w:iCs w:val="1"/>
          <w:noProof w:val="0"/>
          <w:sz w:val="24"/>
          <w:szCs w:val="24"/>
          <w:lang w:val="en-GB"/>
        </w:rPr>
        <w:t xml:space="preserve"> Successful Futures: Independent Review of Curriculum and Assessment Arrangements in Wales.</w:t>
      </w:r>
      <w:r w:rsidRPr="2F3C6E30" w:rsidR="2F3C6E30">
        <w:rPr>
          <w:rFonts w:ascii="Calibri" w:hAnsi="Calibri" w:eastAsia="Calibri" w:cs="Calibri"/>
          <w:noProof w:val="0"/>
          <w:sz w:val="24"/>
          <w:szCs w:val="24"/>
          <w:lang w:val="en-GB"/>
        </w:rPr>
        <w:t xml:space="preserve"> Available at: </w:t>
      </w:r>
    </w:p>
    <w:p w:rsidR="2F3C6E30" w:rsidP="2F3C6E30" w:rsidRDefault="2F3C6E30" w14:noSpellErr="1" w14:paraId="3ED45F08" w14:textId="4E9754FD">
      <w:pPr>
        <w:spacing w:after="160" w:line="259" w:lineRule="auto"/>
        <w:ind w:left="360"/>
        <w:jc w:val="left"/>
        <w:rPr>
          <w:rFonts w:ascii="Calibri" w:hAnsi="Calibri" w:eastAsia="Calibri" w:cs="Calibri"/>
          <w:noProof w:val="0"/>
          <w:sz w:val="24"/>
          <w:szCs w:val="24"/>
          <w:lang w:val="en-GB"/>
        </w:rPr>
      </w:pPr>
      <w:hyperlink r:id="R0e57bbaeb3ec43fb">
        <w:r w:rsidRPr="2F3C6E30" w:rsidR="2F3C6E30">
          <w:rPr>
            <w:rStyle w:val="Hyperlink"/>
            <w:rFonts w:ascii="Calibri" w:hAnsi="Calibri" w:eastAsia="Calibri" w:cs="Calibri"/>
            <w:noProof w:val="0"/>
            <w:color w:val="0563C1"/>
            <w:sz w:val="24"/>
            <w:szCs w:val="24"/>
            <w:u w:val="single"/>
            <w:lang w:val="en-GB"/>
          </w:rPr>
          <w:t>https://gov.wales/docs/dcells/publications/150317-successful-futures-en.pdf</w:t>
        </w:r>
      </w:hyperlink>
      <w:r w:rsidRPr="2F3C6E30" w:rsidR="2F3C6E30">
        <w:rPr>
          <w:rFonts w:ascii="Calibri" w:hAnsi="Calibri" w:eastAsia="Calibri" w:cs="Calibri"/>
          <w:noProof w:val="0"/>
          <w:color w:val="0563C1"/>
          <w:sz w:val="24"/>
          <w:szCs w:val="24"/>
          <w:u w:val="single"/>
          <w:lang w:val="en-GB"/>
        </w:rPr>
        <w:t xml:space="preserve"> </w:t>
      </w:r>
    </w:p>
    <w:p w:rsidR="2F3C6E30" w:rsidP="2F3C6E30" w:rsidRDefault="2F3C6E30" w14:noSpellErr="1" w14:paraId="1913ADC4" w14:textId="3F8A9F35">
      <w:pPr>
        <w:spacing w:after="160" w:line="259" w:lineRule="auto"/>
        <w:ind w:left="360"/>
        <w:jc w:val="left"/>
        <w:rPr>
          <w:rFonts w:ascii="Calibri" w:hAnsi="Calibri" w:eastAsia="Calibri" w:cs="Calibri"/>
          <w:noProof w:val="0"/>
          <w:sz w:val="24"/>
          <w:szCs w:val="24"/>
          <w:lang w:val="en-GB"/>
        </w:rPr>
      </w:pPr>
      <w:r w:rsidRPr="2F3C6E30" w:rsidR="2F3C6E30">
        <w:rPr>
          <w:rFonts w:ascii="Calibri" w:hAnsi="Calibri" w:eastAsia="Calibri" w:cs="Calibri"/>
          <w:noProof w:val="0"/>
          <w:sz w:val="24"/>
          <w:szCs w:val="24"/>
          <w:lang w:val="en-GB"/>
        </w:rPr>
        <w:t xml:space="preserve"> (Accessed: 26/11/2018)</w:t>
      </w:r>
    </w:p>
    <w:p w:rsidR="2F3C6E30" w:rsidP="2F3C6E30" w:rsidRDefault="2F3C6E30" w14:noSpellErr="1" w14:paraId="4BDB341D" w14:textId="131F39A7">
      <w:pPr>
        <w:pStyle w:val="ListParagraph"/>
        <w:numPr>
          <w:ilvl w:val="0"/>
          <w:numId w:val="3"/>
        </w:numPr>
        <w:spacing w:after="160" w:line="259" w:lineRule="auto"/>
        <w:ind w:right="0"/>
        <w:jc w:val="left"/>
        <w:rPr>
          <w:noProof w:val="0"/>
          <w:sz w:val="22"/>
          <w:szCs w:val="22"/>
          <w:lang w:val="en-GB"/>
        </w:rPr>
      </w:pPr>
      <w:r w:rsidRPr="2F3C6E30" w:rsidR="2F3C6E30">
        <w:rPr>
          <w:rFonts w:ascii="Calibri" w:hAnsi="Calibri" w:eastAsia="Calibri" w:cs="Calibri"/>
          <w:noProof w:val="0"/>
          <w:sz w:val="24"/>
          <w:szCs w:val="24"/>
          <w:lang w:val="en-GB"/>
        </w:rPr>
        <w:t xml:space="preserve">Education Wales. (2009) </w:t>
      </w:r>
      <w:r w:rsidRPr="2F3C6E30" w:rsidR="2F3C6E30">
        <w:rPr>
          <w:rFonts w:ascii="Calibri" w:hAnsi="Calibri" w:eastAsia="Calibri" w:cs="Calibri"/>
          <w:i w:val="1"/>
          <w:iCs w:val="1"/>
          <w:noProof w:val="0"/>
          <w:sz w:val="24"/>
          <w:szCs w:val="24"/>
          <w:lang w:val="en-GB"/>
        </w:rPr>
        <w:t xml:space="preserve">The Qualified teacher Status Standards Wales. </w:t>
      </w:r>
    </w:p>
    <w:p w:rsidR="2F3C6E30" w:rsidP="2F3C6E30" w:rsidRDefault="2F3C6E30" w14:noSpellErr="1" w14:paraId="40F85A76" w14:textId="7C577A8D">
      <w:pPr>
        <w:pStyle w:val="ListParagraph"/>
        <w:numPr>
          <w:ilvl w:val="0"/>
          <w:numId w:val="3"/>
        </w:numPr>
        <w:spacing w:after="160" w:line="259" w:lineRule="auto"/>
        <w:ind w:right="0"/>
        <w:jc w:val="left"/>
        <w:rPr>
          <w:noProof w:val="0"/>
          <w:sz w:val="22"/>
          <w:szCs w:val="22"/>
          <w:lang w:val="en-GB"/>
        </w:rPr>
      </w:pPr>
      <w:r w:rsidRPr="2F3C6E30" w:rsidR="2F3C6E30">
        <w:rPr>
          <w:rFonts w:ascii="Calibri" w:hAnsi="Calibri" w:eastAsia="Calibri" w:cs="Calibri"/>
          <w:noProof w:val="0"/>
          <w:sz w:val="24"/>
          <w:szCs w:val="24"/>
          <w:lang w:val="en-GB"/>
        </w:rPr>
        <w:t xml:space="preserve">Fletcher-Wood, H. (2016) </w:t>
      </w:r>
      <w:r w:rsidRPr="2F3C6E30" w:rsidR="2F3C6E30">
        <w:rPr>
          <w:rFonts w:ascii="Calibri" w:hAnsi="Calibri" w:eastAsia="Calibri" w:cs="Calibri"/>
          <w:i w:val="1"/>
          <w:iCs w:val="1"/>
          <w:noProof w:val="0"/>
          <w:color w:val="111111"/>
          <w:sz w:val="24"/>
          <w:szCs w:val="24"/>
          <w:lang w:val="en-GB"/>
        </w:rPr>
        <w:t xml:space="preserve">Using exit tickets to assess and plan: The tuning fork of teaching. </w:t>
      </w:r>
      <w:r w:rsidRPr="2F3C6E30" w:rsidR="2F3C6E30">
        <w:rPr>
          <w:rFonts w:ascii="Calibri" w:hAnsi="Calibri" w:eastAsia="Calibri" w:cs="Calibri"/>
          <w:noProof w:val="0"/>
          <w:color w:val="111111"/>
          <w:sz w:val="24"/>
          <w:szCs w:val="24"/>
          <w:lang w:val="en-GB"/>
        </w:rPr>
        <w:t xml:space="preserve">Available at: </w:t>
      </w:r>
      <w:hyperlink r:id="Rdb87e7ca24a946bd">
        <w:r w:rsidRPr="2F3C6E30" w:rsidR="2F3C6E30">
          <w:rPr>
            <w:rStyle w:val="Hyperlink"/>
            <w:rFonts w:ascii="Calibri" w:hAnsi="Calibri" w:eastAsia="Calibri" w:cs="Calibri"/>
            <w:noProof w:val="0"/>
            <w:color w:val="0563C1"/>
            <w:sz w:val="22"/>
            <w:szCs w:val="22"/>
            <w:u w:val="single"/>
            <w:lang w:val="en-GB"/>
          </w:rPr>
          <w:t>https://improvingteaching.co.uk/2016/04/24/exit-tickets-assess-plan/</w:t>
        </w:r>
      </w:hyperlink>
      <w:r w:rsidRPr="2F3C6E30" w:rsidR="2F3C6E30">
        <w:rPr>
          <w:rFonts w:ascii="Calibri" w:hAnsi="Calibri" w:eastAsia="Calibri" w:cs="Calibri"/>
          <w:noProof w:val="0"/>
          <w:color w:val="0563C1"/>
          <w:sz w:val="22"/>
          <w:szCs w:val="22"/>
          <w:u w:val="single"/>
          <w:lang w:val="en-GB"/>
        </w:rPr>
        <w:t xml:space="preserve">  (Accessed: 26/11/2018).</w:t>
      </w:r>
    </w:p>
    <w:p w:rsidR="2F3C6E30" w:rsidP="2F3C6E30" w:rsidRDefault="2F3C6E30" w14:noSpellErr="1" w14:paraId="50C24516" w14:textId="2D21725E">
      <w:pPr>
        <w:pStyle w:val="ListParagraph"/>
        <w:numPr>
          <w:ilvl w:val="0"/>
          <w:numId w:val="3"/>
        </w:numPr>
        <w:spacing w:after="160" w:line="259" w:lineRule="auto"/>
        <w:ind w:right="0"/>
        <w:jc w:val="left"/>
        <w:rPr>
          <w:noProof w:val="0"/>
          <w:sz w:val="22"/>
          <w:szCs w:val="22"/>
          <w:lang w:val="en-GB"/>
        </w:rPr>
      </w:pPr>
      <w:r w:rsidRPr="2F3C6E30" w:rsidR="2F3C6E30">
        <w:rPr>
          <w:rFonts w:ascii="Calibri" w:hAnsi="Calibri" w:eastAsia="Calibri" w:cs="Calibri"/>
          <w:noProof w:val="0"/>
          <w:sz w:val="24"/>
          <w:szCs w:val="24"/>
          <w:lang w:val="en-GB"/>
        </w:rPr>
        <w:t xml:space="preserve">Fletcher-Wood, H. (2018) </w:t>
      </w:r>
      <w:r w:rsidRPr="2F3C6E30" w:rsidR="2F3C6E30">
        <w:rPr>
          <w:rFonts w:ascii="Calibri" w:hAnsi="Calibri" w:eastAsia="Calibri" w:cs="Calibri"/>
          <w:i w:val="1"/>
          <w:iCs w:val="1"/>
          <w:noProof w:val="0"/>
          <w:color w:val="111111"/>
          <w:sz w:val="24"/>
          <w:szCs w:val="24"/>
          <w:lang w:val="en-GB"/>
        </w:rPr>
        <w:t>Showing what success looks like: the magic of models</w:t>
      </w:r>
      <w:r w:rsidRPr="2F3C6E30" w:rsidR="2F3C6E30">
        <w:rPr>
          <w:rFonts w:ascii="Calibri" w:hAnsi="Calibri" w:eastAsia="Calibri" w:cs="Calibri"/>
          <w:noProof w:val="0"/>
          <w:color w:val="111111"/>
          <w:sz w:val="24"/>
          <w:szCs w:val="24"/>
          <w:lang w:val="en-GB"/>
        </w:rPr>
        <w:t xml:space="preserve">. Available at: </w:t>
      </w:r>
      <w:hyperlink r:id="Re7b1a9aa0c9749e0">
        <w:r w:rsidRPr="2F3C6E30" w:rsidR="2F3C6E30">
          <w:rPr>
            <w:rStyle w:val="Hyperlink"/>
            <w:rFonts w:ascii="Calibri" w:hAnsi="Calibri" w:eastAsia="Calibri" w:cs="Calibri"/>
            <w:noProof w:val="0"/>
            <w:color w:val="0563C1"/>
            <w:sz w:val="24"/>
            <w:szCs w:val="24"/>
            <w:u w:val="single"/>
            <w:lang w:val="en-GB"/>
          </w:rPr>
          <w:t>https://improvingteaching.co.uk/2018/09/02/showing-what-success-looks-like-the-magic-of-models/</w:t>
        </w:r>
      </w:hyperlink>
      <w:r w:rsidRPr="2F3C6E30" w:rsidR="2F3C6E30">
        <w:rPr>
          <w:rFonts w:ascii="Calibri" w:hAnsi="Calibri" w:eastAsia="Calibri" w:cs="Calibri"/>
          <w:noProof w:val="0"/>
          <w:color w:val="0563C1"/>
          <w:sz w:val="24"/>
          <w:szCs w:val="24"/>
          <w:u w:val="single"/>
          <w:lang w:val="en-GB"/>
        </w:rPr>
        <w:t xml:space="preserve"> (Accessed: 26/11/2018). </w:t>
      </w:r>
    </w:p>
    <w:p w:rsidR="2F3C6E30" w:rsidP="2F3C6E30" w:rsidRDefault="2F3C6E30" w14:noSpellErr="1" w14:paraId="03BC51E4" w14:textId="5FBA5804">
      <w:pPr>
        <w:pStyle w:val="ListParagraph"/>
        <w:numPr>
          <w:ilvl w:val="0"/>
          <w:numId w:val="3"/>
        </w:numPr>
        <w:spacing w:after="160" w:line="259" w:lineRule="auto"/>
        <w:ind w:right="0"/>
        <w:jc w:val="left"/>
        <w:rPr>
          <w:noProof w:val="0"/>
          <w:sz w:val="22"/>
          <w:szCs w:val="22"/>
          <w:lang w:val="en-GB"/>
        </w:rPr>
      </w:pPr>
      <w:r w:rsidRPr="2F3C6E30" w:rsidR="2F3C6E30">
        <w:rPr>
          <w:rFonts w:ascii="Calibri" w:hAnsi="Calibri" w:eastAsia="Calibri" w:cs="Calibri"/>
          <w:noProof w:val="0"/>
          <w:sz w:val="24"/>
          <w:szCs w:val="24"/>
          <w:lang w:val="en-GB"/>
        </w:rPr>
        <w:t xml:space="preserve">Heick, T (2018) </w:t>
      </w:r>
      <w:r w:rsidRPr="2F3C6E30" w:rsidR="2F3C6E30">
        <w:rPr>
          <w:rFonts w:ascii="Calibri" w:hAnsi="Calibri" w:eastAsia="Calibri" w:cs="Calibri"/>
          <w:noProof w:val="0"/>
          <w:color w:val="2D2D2D"/>
          <w:sz w:val="24"/>
          <w:szCs w:val="24"/>
          <w:lang w:val="en-GB"/>
        </w:rPr>
        <w:t xml:space="preserve">50 Ways </w:t>
      </w:r>
      <w:proofErr w:type="gramStart"/>
      <w:r w:rsidRPr="2F3C6E30" w:rsidR="2F3C6E30">
        <w:rPr>
          <w:rFonts w:ascii="Calibri" w:hAnsi="Calibri" w:eastAsia="Calibri" w:cs="Calibri"/>
          <w:noProof w:val="0"/>
          <w:color w:val="2D2D2D"/>
          <w:sz w:val="24"/>
          <w:szCs w:val="24"/>
          <w:lang w:val="en-GB"/>
        </w:rPr>
        <w:t>To</w:t>
      </w:r>
      <w:proofErr w:type="gramEnd"/>
      <w:r w:rsidRPr="2F3C6E30" w:rsidR="2F3C6E30">
        <w:rPr>
          <w:rFonts w:ascii="Calibri" w:hAnsi="Calibri" w:eastAsia="Calibri" w:cs="Calibri"/>
          <w:noProof w:val="0"/>
          <w:color w:val="2D2D2D"/>
          <w:sz w:val="24"/>
          <w:szCs w:val="24"/>
          <w:lang w:val="en-GB"/>
        </w:rPr>
        <w:t xml:space="preserve"> Use Bloom’s Taxonomy In The Classroom. Teach Thought.com. Available at: </w:t>
      </w:r>
      <w:hyperlink r:id="Rc5ba6912ae604529">
        <w:r w:rsidRPr="2F3C6E30" w:rsidR="2F3C6E30">
          <w:rPr>
            <w:rStyle w:val="Hyperlink"/>
            <w:rFonts w:ascii="Calibri" w:hAnsi="Calibri" w:eastAsia="Calibri" w:cs="Calibri"/>
            <w:noProof w:val="0"/>
            <w:color w:val="0563C1"/>
            <w:sz w:val="24"/>
            <w:szCs w:val="24"/>
            <w:u w:val="single"/>
            <w:lang w:val="en-GB"/>
          </w:rPr>
          <w:t>https://www.teachthought.com/learning/ways-to-use-blooms-taxonomy-in-the-classroom/</w:t>
        </w:r>
      </w:hyperlink>
      <w:r w:rsidRPr="2F3C6E30" w:rsidR="2F3C6E30">
        <w:rPr>
          <w:rFonts w:ascii="Calibri" w:hAnsi="Calibri" w:eastAsia="Calibri" w:cs="Calibri"/>
          <w:noProof w:val="0"/>
          <w:color w:val="0563C1"/>
          <w:sz w:val="24"/>
          <w:szCs w:val="24"/>
          <w:u w:val="single"/>
          <w:lang w:val="en-GB"/>
        </w:rPr>
        <w:t xml:space="preserve">  </w:t>
      </w:r>
      <w:r w:rsidRPr="2F3C6E30" w:rsidR="2F3C6E30">
        <w:rPr>
          <w:rFonts w:ascii="Calibri" w:hAnsi="Calibri" w:eastAsia="Calibri" w:cs="Calibri"/>
          <w:noProof w:val="0"/>
          <w:sz w:val="22"/>
          <w:szCs w:val="22"/>
          <w:lang w:val="en-GB"/>
        </w:rPr>
        <w:t xml:space="preserve"> (Accessed: 26/11/2018). </w:t>
      </w:r>
    </w:p>
    <w:p w:rsidR="2F3C6E30" w:rsidP="2F3C6E30" w:rsidRDefault="2F3C6E30" w14:paraId="67B8F444" w14:textId="10607361">
      <w:pPr>
        <w:pStyle w:val="ListParagraph"/>
        <w:numPr>
          <w:ilvl w:val="0"/>
          <w:numId w:val="3"/>
        </w:numPr>
        <w:spacing w:after="160" w:line="259" w:lineRule="auto"/>
        <w:ind w:right="0"/>
        <w:jc w:val="left"/>
        <w:rPr>
          <w:noProof w:val="0"/>
          <w:sz w:val="22"/>
          <w:szCs w:val="22"/>
          <w:lang w:val="en-GB"/>
        </w:rPr>
      </w:pPr>
      <w:r w:rsidRPr="2F3C6E30" w:rsidR="2F3C6E30">
        <w:rPr>
          <w:rFonts w:ascii="Calibri" w:hAnsi="Calibri" w:eastAsia="Calibri" w:cs="Calibri"/>
          <w:noProof w:val="0"/>
          <w:sz w:val="24"/>
          <w:szCs w:val="24"/>
          <w:lang w:val="en-GB"/>
        </w:rPr>
        <w:t xml:space="preserve">Jones, E. et.al. (2013) </w:t>
      </w:r>
      <w:r w:rsidRPr="2F3C6E30" w:rsidR="2F3C6E30">
        <w:rPr>
          <w:rFonts w:ascii="Calibri" w:hAnsi="Calibri" w:eastAsia="Calibri" w:cs="Calibri"/>
          <w:i w:val="1"/>
          <w:iCs w:val="1"/>
          <w:noProof w:val="0"/>
          <w:sz w:val="24"/>
          <w:szCs w:val="24"/>
          <w:lang w:val="en-GB"/>
        </w:rPr>
        <w:t xml:space="preserve">The </w:t>
      </w:r>
      <w:proofErr w:type="spellStart"/>
      <w:r w:rsidRPr="2F3C6E30" w:rsidR="2F3C6E30">
        <w:rPr>
          <w:rFonts w:ascii="Calibri" w:hAnsi="Calibri" w:eastAsia="Calibri" w:cs="Calibri"/>
          <w:i w:val="1"/>
          <w:iCs w:val="1"/>
          <w:noProof w:val="0"/>
          <w:sz w:val="24"/>
          <w:szCs w:val="24"/>
          <w:lang w:val="en-GB"/>
        </w:rPr>
        <w:t>Cwricwlwm</w:t>
      </w:r>
      <w:proofErr w:type="spellEnd"/>
      <w:r w:rsidRPr="2F3C6E30" w:rsidR="2F3C6E30">
        <w:rPr>
          <w:rFonts w:ascii="Calibri" w:hAnsi="Calibri" w:eastAsia="Calibri" w:cs="Calibri"/>
          <w:i w:val="1"/>
          <w:iCs w:val="1"/>
          <w:noProof w:val="0"/>
          <w:sz w:val="24"/>
          <w:szCs w:val="24"/>
          <w:lang w:val="en-GB"/>
        </w:rPr>
        <w:t xml:space="preserve"> </w:t>
      </w:r>
      <w:proofErr w:type="spellStart"/>
      <w:r w:rsidRPr="2F3C6E30" w:rsidR="2F3C6E30">
        <w:rPr>
          <w:rFonts w:ascii="Calibri" w:hAnsi="Calibri" w:eastAsia="Calibri" w:cs="Calibri"/>
          <w:i w:val="1"/>
          <w:iCs w:val="1"/>
          <w:noProof w:val="0"/>
          <w:sz w:val="24"/>
          <w:szCs w:val="24"/>
          <w:lang w:val="en-GB"/>
        </w:rPr>
        <w:t>Cymreig</w:t>
      </w:r>
      <w:proofErr w:type="spellEnd"/>
      <w:r w:rsidRPr="2F3C6E30" w:rsidR="2F3C6E30">
        <w:rPr>
          <w:rFonts w:ascii="Calibri" w:hAnsi="Calibri" w:eastAsia="Calibri" w:cs="Calibri"/>
          <w:i w:val="1"/>
          <w:iCs w:val="1"/>
          <w:noProof w:val="0"/>
          <w:sz w:val="24"/>
          <w:szCs w:val="24"/>
          <w:lang w:val="en-GB"/>
        </w:rPr>
        <w:t>: History and the Story of Wales.</w:t>
      </w:r>
      <w:r w:rsidRPr="2F3C6E30" w:rsidR="2F3C6E30">
        <w:rPr>
          <w:rFonts w:ascii="Calibri" w:hAnsi="Calibri" w:eastAsia="Calibri" w:cs="Calibri"/>
          <w:noProof w:val="0"/>
          <w:sz w:val="24"/>
          <w:szCs w:val="24"/>
          <w:lang w:val="en-GB"/>
        </w:rPr>
        <w:t xml:space="preserve"> Welsh Government. [Online] Available at:</w:t>
      </w:r>
    </w:p>
    <w:p w:rsidR="2F3C6E30" w:rsidP="2F3C6E30" w:rsidRDefault="2F3C6E30" w14:noSpellErr="1" w14:paraId="3CA461B1" w14:textId="77AF863E">
      <w:pPr>
        <w:spacing w:after="160" w:line="259" w:lineRule="auto"/>
        <w:jc w:val="left"/>
        <w:rPr>
          <w:rFonts w:ascii="Calibri" w:hAnsi="Calibri" w:eastAsia="Calibri" w:cs="Calibri"/>
          <w:noProof w:val="0"/>
          <w:sz w:val="22"/>
          <w:szCs w:val="22"/>
          <w:lang w:val="en-GB"/>
        </w:rPr>
      </w:pPr>
      <w:hyperlink r:id="R0ef214a4bbe24eb8">
        <w:r w:rsidRPr="2F3C6E30" w:rsidR="2F3C6E30">
          <w:rPr>
            <w:rStyle w:val="Hyperlink"/>
            <w:rFonts w:ascii="Calibri" w:hAnsi="Calibri" w:eastAsia="Calibri" w:cs="Calibri"/>
            <w:noProof w:val="0"/>
            <w:color w:val="0563C1"/>
            <w:sz w:val="22"/>
            <w:szCs w:val="22"/>
            <w:u w:val="single"/>
            <w:lang w:val="en-GB"/>
          </w:rPr>
          <w:t>http://learning.gov.wales/docs/learningwales/news/130424-cwricwlwm-cymreig-report-en.pdf</w:t>
        </w:r>
      </w:hyperlink>
      <w:r w:rsidRPr="2F3C6E30" w:rsidR="2F3C6E30">
        <w:rPr>
          <w:rFonts w:ascii="Calibri" w:hAnsi="Calibri" w:eastAsia="Calibri" w:cs="Calibri"/>
          <w:noProof w:val="0"/>
          <w:color w:val="0563C1"/>
          <w:sz w:val="22"/>
          <w:szCs w:val="22"/>
          <w:u w:val="single"/>
          <w:lang w:val="en-GB"/>
        </w:rPr>
        <w:t xml:space="preserve"> </w:t>
      </w:r>
    </w:p>
    <w:p w:rsidR="2F3C6E30" w:rsidP="2F3C6E30" w:rsidRDefault="2F3C6E30" w14:noSpellErr="1" w14:paraId="7423487F" w14:textId="7EDC771C">
      <w:pPr>
        <w:spacing w:after="160" w:line="259" w:lineRule="auto"/>
        <w:ind w:left="360"/>
        <w:jc w:val="left"/>
        <w:rPr>
          <w:rFonts w:ascii="Calibri" w:hAnsi="Calibri" w:eastAsia="Calibri" w:cs="Calibri"/>
          <w:noProof w:val="0"/>
          <w:sz w:val="24"/>
          <w:szCs w:val="24"/>
          <w:lang w:val="en-GB"/>
        </w:rPr>
      </w:pPr>
      <w:r w:rsidRPr="2F3C6E30" w:rsidR="2F3C6E30">
        <w:rPr>
          <w:rFonts w:ascii="Calibri" w:hAnsi="Calibri" w:eastAsia="Calibri" w:cs="Calibri"/>
          <w:noProof w:val="0"/>
          <w:sz w:val="24"/>
          <w:szCs w:val="24"/>
          <w:lang w:val="en-GB"/>
        </w:rPr>
        <w:t>(Accessed: 26/11/2018)</w:t>
      </w:r>
    </w:p>
    <w:p w:rsidR="2F3C6E30" w:rsidP="2F3C6E30" w:rsidRDefault="2F3C6E30" w14:noSpellErr="1" w14:paraId="063E1857" w14:textId="1D83F099">
      <w:pPr>
        <w:pStyle w:val="ListParagraph"/>
        <w:numPr>
          <w:ilvl w:val="0"/>
          <w:numId w:val="4"/>
        </w:numPr>
        <w:spacing w:after="160" w:line="259" w:lineRule="auto"/>
        <w:ind w:right="0"/>
        <w:jc w:val="left"/>
        <w:rPr>
          <w:noProof w:val="0"/>
          <w:sz w:val="22"/>
          <w:szCs w:val="22"/>
          <w:lang w:val="en-GB"/>
        </w:rPr>
      </w:pPr>
      <w:r w:rsidRPr="2F3C6E30" w:rsidR="2F3C6E30">
        <w:rPr>
          <w:rFonts w:ascii="Calibri" w:hAnsi="Calibri" w:eastAsia="Calibri" w:cs="Calibri"/>
          <w:noProof w:val="0"/>
          <w:sz w:val="24"/>
          <w:szCs w:val="24"/>
          <w:lang w:val="en-GB"/>
        </w:rPr>
        <w:t xml:space="preserve">Jones, J and Wiliam, D (2008) </w:t>
      </w:r>
      <w:r w:rsidRPr="2F3C6E30" w:rsidR="2F3C6E30">
        <w:rPr>
          <w:rFonts w:ascii="Calibri" w:hAnsi="Calibri" w:eastAsia="Calibri" w:cs="Calibri"/>
          <w:i w:val="1"/>
          <w:iCs w:val="1"/>
          <w:noProof w:val="0"/>
          <w:sz w:val="24"/>
          <w:szCs w:val="24"/>
          <w:lang w:val="en-GB"/>
        </w:rPr>
        <w:t xml:space="preserve">Modern Foreign Languages Inside the Black Box: Assessment for Learning in the Modern Foreign Languages Classroom. </w:t>
      </w:r>
      <w:r w:rsidRPr="2F3C6E30" w:rsidR="2F3C6E30">
        <w:rPr>
          <w:rFonts w:ascii="Calibri" w:hAnsi="Calibri" w:eastAsia="Calibri" w:cs="Calibri"/>
          <w:noProof w:val="0"/>
          <w:sz w:val="24"/>
          <w:szCs w:val="24"/>
          <w:lang w:val="en-GB"/>
        </w:rPr>
        <w:t xml:space="preserve">United Kingdom: King’s College London.  </w:t>
      </w:r>
    </w:p>
    <w:p w:rsidR="2F3C6E30" w:rsidP="2F3C6E30" w:rsidRDefault="2F3C6E30" w14:paraId="7A5F294B" w14:textId="311E88FB">
      <w:pPr>
        <w:pStyle w:val="ListParagraph"/>
        <w:numPr>
          <w:ilvl w:val="0"/>
          <w:numId w:val="4"/>
        </w:numPr>
        <w:spacing w:after="160" w:line="259" w:lineRule="auto"/>
        <w:ind w:right="0"/>
        <w:jc w:val="left"/>
        <w:rPr>
          <w:noProof w:val="0"/>
          <w:sz w:val="22"/>
          <w:szCs w:val="22"/>
          <w:lang w:val="en-GB"/>
        </w:rPr>
      </w:pPr>
      <w:proofErr w:type="spellStart"/>
      <w:r w:rsidRPr="2F3C6E30" w:rsidR="2F3C6E30">
        <w:rPr>
          <w:rFonts w:ascii="Calibri" w:hAnsi="Calibri" w:eastAsia="Calibri" w:cs="Calibri"/>
          <w:noProof w:val="0"/>
          <w:sz w:val="24"/>
          <w:szCs w:val="24"/>
          <w:lang w:val="en-GB"/>
        </w:rPr>
        <w:t>Pachler</w:t>
      </w:r>
      <w:proofErr w:type="spellEnd"/>
      <w:r w:rsidRPr="2F3C6E30" w:rsidR="2F3C6E30">
        <w:rPr>
          <w:rFonts w:ascii="Calibri" w:hAnsi="Calibri" w:eastAsia="Calibri" w:cs="Calibri"/>
          <w:noProof w:val="0"/>
          <w:sz w:val="24"/>
          <w:szCs w:val="24"/>
          <w:lang w:val="en-GB"/>
        </w:rPr>
        <w:t xml:space="preserve">, N. et al. (2014) </w:t>
      </w:r>
      <w:r w:rsidRPr="2F3C6E30" w:rsidR="2F3C6E30">
        <w:rPr>
          <w:rFonts w:ascii="Calibri" w:hAnsi="Calibri" w:eastAsia="Calibri" w:cs="Calibri"/>
          <w:i w:val="1"/>
          <w:iCs w:val="1"/>
          <w:noProof w:val="0"/>
          <w:sz w:val="24"/>
          <w:szCs w:val="24"/>
          <w:lang w:val="en-GB"/>
        </w:rPr>
        <w:t>Learning to Teach Foreign Languages in the Secondary school: a companion to school experience.</w:t>
      </w:r>
      <w:r w:rsidRPr="2F3C6E30" w:rsidR="2F3C6E30">
        <w:rPr>
          <w:rFonts w:ascii="Calibri" w:hAnsi="Calibri" w:eastAsia="Calibri" w:cs="Calibri"/>
          <w:noProof w:val="0"/>
          <w:sz w:val="24"/>
          <w:szCs w:val="24"/>
          <w:lang w:val="en-GB"/>
        </w:rPr>
        <w:t xml:space="preserve"> New York: Routledge. </w:t>
      </w:r>
    </w:p>
    <w:p w:rsidR="2F3C6E30" w:rsidP="2F3C6E30" w:rsidRDefault="2F3C6E30" w14:noSpellErr="1" w14:paraId="09D5A282" w14:textId="696F4265">
      <w:pPr>
        <w:pStyle w:val="ListParagraph"/>
        <w:numPr>
          <w:ilvl w:val="0"/>
          <w:numId w:val="4"/>
        </w:numPr>
        <w:spacing w:after="160" w:line="259" w:lineRule="auto"/>
        <w:ind w:right="0"/>
        <w:jc w:val="left"/>
        <w:rPr>
          <w:noProof w:val="0"/>
          <w:sz w:val="22"/>
          <w:szCs w:val="22"/>
          <w:lang w:val="en-GB"/>
        </w:rPr>
      </w:pPr>
      <w:r w:rsidRPr="2F3C6E30" w:rsidR="2F3C6E30">
        <w:rPr>
          <w:rFonts w:ascii="Calibri" w:hAnsi="Calibri" w:eastAsia="Calibri" w:cs="Calibri"/>
          <w:noProof w:val="0"/>
          <w:sz w:val="24"/>
          <w:szCs w:val="24"/>
          <w:lang w:val="en-GB"/>
        </w:rPr>
        <w:t xml:space="preserve">Saul, M (2008) </w:t>
      </w:r>
      <w:r w:rsidRPr="2F3C6E30" w:rsidR="2F3C6E30">
        <w:rPr>
          <w:rFonts w:ascii="Calibri" w:hAnsi="Calibri" w:eastAsia="Calibri" w:cs="Calibri"/>
          <w:i w:val="1"/>
          <w:iCs w:val="1"/>
          <w:noProof w:val="0"/>
          <w:sz w:val="24"/>
          <w:szCs w:val="24"/>
          <w:lang w:val="en-GB"/>
        </w:rPr>
        <w:t>Bruner</w:t>
      </w:r>
      <w:r w:rsidRPr="2F3C6E30" w:rsidR="2F3C6E30">
        <w:rPr>
          <w:rFonts w:ascii="Calibri" w:hAnsi="Calibri" w:eastAsia="Calibri" w:cs="Calibri"/>
          <w:noProof w:val="0"/>
          <w:sz w:val="24"/>
          <w:szCs w:val="24"/>
          <w:lang w:val="en-GB"/>
        </w:rPr>
        <w:t xml:space="preserve">. Simply Psychology. Available at: </w:t>
      </w:r>
      <w:hyperlink r:id="R7781762f31e54e4d">
        <w:r w:rsidRPr="2F3C6E30" w:rsidR="2F3C6E30">
          <w:rPr>
            <w:rStyle w:val="Hyperlink"/>
            <w:rFonts w:ascii="Calibri" w:hAnsi="Calibri" w:eastAsia="Calibri" w:cs="Calibri"/>
            <w:noProof w:val="0"/>
            <w:color w:val="0563C1"/>
            <w:sz w:val="24"/>
            <w:szCs w:val="24"/>
            <w:u w:val="single"/>
            <w:lang w:val="en-GB"/>
          </w:rPr>
          <w:t>https://www.simplypsychology.org/bruner.html</w:t>
        </w:r>
      </w:hyperlink>
      <w:r w:rsidRPr="2F3C6E30" w:rsidR="2F3C6E30">
        <w:rPr>
          <w:rFonts w:ascii="Calibri" w:hAnsi="Calibri" w:eastAsia="Calibri" w:cs="Calibri"/>
          <w:noProof w:val="0"/>
          <w:color w:val="0563C1"/>
          <w:sz w:val="24"/>
          <w:szCs w:val="24"/>
          <w:u w:val="single"/>
          <w:lang w:val="en-GB"/>
        </w:rPr>
        <w:t xml:space="preserve"> </w:t>
      </w:r>
      <w:r w:rsidRPr="2F3C6E30" w:rsidR="2F3C6E30">
        <w:rPr>
          <w:rFonts w:ascii="Calibri" w:hAnsi="Calibri" w:eastAsia="Calibri" w:cs="Calibri"/>
          <w:noProof w:val="0"/>
          <w:sz w:val="22"/>
          <w:szCs w:val="22"/>
          <w:lang w:val="en-GB"/>
        </w:rPr>
        <w:t>(Accessed: 26/11/2018)</w:t>
      </w:r>
    </w:p>
    <w:p w:rsidR="2F3C6E30" w:rsidP="2F3C6E30" w:rsidRDefault="2F3C6E30" w14:noSpellErr="1" w14:paraId="3A8AF86E" w14:textId="33F9927B">
      <w:pPr>
        <w:pStyle w:val="ListParagraph"/>
        <w:numPr>
          <w:ilvl w:val="0"/>
          <w:numId w:val="4"/>
        </w:numPr>
        <w:spacing w:after="160" w:line="259" w:lineRule="auto"/>
        <w:ind w:right="0"/>
        <w:jc w:val="left"/>
        <w:rPr>
          <w:noProof w:val="0"/>
          <w:sz w:val="22"/>
          <w:szCs w:val="22"/>
          <w:lang w:val="en-GB"/>
        </w:rPr>
      </w:pPr>
      <w:r w:rsidRPr="2F3C6E30" w:rsidR="2F3C6E30">
        <w:rPr>
          <w:rFonts w:ascii="Calibri" w:hAnsi="Calibri" w:eastAsia="Calibri" w:cs="Calibri"/>
          <w:noProof w:val="0"/>
          <w:sz w:val="24"/>
          <w:szCs w:val="24"/>
          <w:lang w:val="en-GB"/>
        </w:rPr>
        <w:t xml:space="preserve">Smith, S and Conti, G (2016) </w:t>
      </w:r>
      <w:r w:rsidRPr="2F3C6E30" w:rsidR="2F3C6E30">
        <w:rPr>
          <w:rFonts w:ascii="Calibri" w:hAnsi="Calibri" w:eastAsia="Calibri" w:cs="Calibri"/>
          <w:i w:val="1"/>
          <w:iCs w:val="1"/>
          <w:noProof w:val="0"/>
          <w:sz w:val="24"/>
          <w:szCs w:val="24"/>
          <w:lang w:val="en-GB"/>
        </w:rPr>
        <w:t>The Language Teacher Toolkit</w:t>
      </w:r>
      <w:r w:rsidRPr="2F3C6E30" w:rsidR="2F3C6E30">
        <w:rPr>
          <w:rFonts w:ascii="Calibri" w:hAnsi="Calibri" w:eastAsia="Calibri" w:cs="Calibri"/>
          <w:noProof w:val="0"/>
          <w:sz w:val="24"/>
          <w:szCs w:val="24"/>
          <w:lang w:val="en-GB"/>
        </w:rPr>
        <w:t>. Great Britain: Amazon.</w:t>
      </w:r>
    </w:p>
    <w:p w:rsidR="2F3C6E30" w:rsidP="2F3C6E30" w:rsidRDefault="2F3C6E30" w14:noSpellErr="1" w14:paraId="7877662E" w14:textId="32BE3664">
      <w:pPr>
        <w:pStyle w:val="ListParagraph"/>
        <w:numPr>
          <w:ilvl w:val="0"/>
          <w:numId w:val="4"/>
        </w:numPr>
        <w:spacing w:after="160" w:line="259" w:lineRule="auto"/>
        <w:ind w:right="0"/>
        <w:jc w:val="left"/>
        <w:rPr>
          <w:noProof w:val="0"/>
          <w:sz w:val="22"/>
          <w:szCs w:val="22"/>
          <w:lang w:val="en-GB"/>
        </w:rPr>
      </w:pPr>
      <w:r w:rsidRPr="2F3C6E30" w:rsidR="2F3C6E30">
        <w:rPr>
          <w:rFonts w:ascii="Calibri" w:hAnsi="Calibri" w:eastAsia="Calibri" w:cs="Calibri"/>
          <w:noProof w:val="0"/>
          <w:sz w:val="24"/>
          <w:szCs w:val="24"/>
          <w:lang w:val="en-GB"/>
        </w:rPr>
        <w:t xml:space="preserve">Vygotsky, L (1978) </w:t>
      </w:r>
      <w:r w:rsidRPr="2F3C6E30" w:rsidR="2F3C6E30">
        <w:rPr>
          <w:rFonts w:ascii="Calibri" w:hAnsi="Calibri" w:eastAsia="Calibri" w:cs="Calibri"/>
          <w:i w:val="1"/>
          <w:iCs w:val="1"/>
          <w:noProof w:val="0"/>
          <w:color w:val="111111"/>
          <w:sz w:val="24"/>
          <w:szCs w:val="24"/>
          <w:lang w:val="en-GB"/>
        </w:rPr>
        <w:t xml:space="preserve">Mind in Society: Development of Higher Psychological Processes. </w:t>
      </w:r>
      <w:r w:rsidRPr="2F3C6E30" w:rsidR="2F3C6E30">
        <w:rPr>
          <w:rFonts w:ascii="Calibri" w:hAnsi="Calibri" w:eastAsia="Calibri" w:cs="Calibri"/>
          <w:noProof w:val="0"/>
          <w:color w:val="111111"/>
          <w:sz w:val="24"/>
          <w:szCs w:val="24"/>
          <w:lang w:val="en-GB"/>
        </w:rPr>
        <w:t>United States: Library of Congress cataloguing in Publication Data.</w:t>
      </w:r>
    </w:p>
    <w:p w:rsidR="2F3C6E30" w:rsidP="2F3C6E30" w:rsidRDefault="2F3C6E30" w14:noSpellErr="1" w14:paraId="0F4DB548" w14:textId="4ADADDEA">
      <w:pPr>
        <w:pStyle w:val="ListParagraph"/>
        <w:numPr>
          <w:ilvl w:val="0"/>
          <w:numId w:val="4"/>
        </w:numPr>
        <w:spacing w:after="160" w:line="259" w:lineRule="auto"/>
        <w:ind w:right="0"/>
        <w:jc w:val="left"/>
        <w:rPr>
          <w:noProof w:val="0"/>
          <w:sz w:val="22"/>
          <w:szCs w:val="22"/>
          <w:lang w:val="en-GB"/>
        </w:rPr>
      </w:pPr>
      <w:r w:rsidRPr="2F3C6E30" w:rsidR="2F3C6E30">
        <w:rPr>
          <w:rFonts w:ascii="Calibri" w:hAnsi="Calibri" w:eastAsia="Calibri" w:cs="Calibri"/>
          <w:noProof w:val="0"/>
          <w:sz w:val="24"/>
          <w:szCs w:val="24"/>
          <w:lang w:val="en-GB"/>
        </w:rPr>
        <w:t xml:space="preserve">Thomlinson, C. A. (2014) </w:t>
      </w:r>
      <w:r w:rsidRPr="2F3C6E30" w:rsidR="2F3C6E30">
        <w:rPr>
          <w:rFonts w:ascii="Calibri" w:hAnsi="Calibri" w:eastAsia="Calibri" w:cs="Calibri"/>
          <w:i w:val="1"/>
          <w:iCs w:val="1"/>
          <w:noProof w:val="0"/>
          <w:color w:val="111111"/>
          <w:sz w:val="24"/>
          <w:szCs w:val="24"/>
          <w:lang w:val="en-GB"/>
        </w:rPr>
        <w:t>The Differentiated Classroom: Responding to the Needs of All Learners</w:t>
      </w:r>
      <w:r w:rsidRPr="2F3C6E30" w:rsidR="2F3C6E30">
        <w:rPr>
          <w:rFonts w:ascii="Calibri" w:hAnsi="Calibri" w:eastAsia="Calibri" w:cs="Calibri"/>
          <w:noProof w:val="0"/>
          <w:color w:val="111111"/>
          <w:sz w:val="24"/>
          <w:szCs w:val="24"/>
          <w:lang w:val="en-GB"/>
        </w:rPr>
        <w:t xml:space="preserve">. USA: </w:t>
      </w:r>
      <w:r w:rsidRPr="2F3C6E30" w:rsidR="2F3C6E30">
        <w:rPr>
          <w:rFonts w:ascii="Calibri" w:hAnsi="Calibri" w:eastAsia="Calibri" w:cs="Calibri"/>
          <w:noProof w:val="0"/>
          <w:color w:val="333333"/>
          <w:sz w:val="24"/>
          <w:szCs w:val="24"/>
          <w:lang w:val="en-GB"/>
        </w:rPr>
        <w:t>Association for Supervision &amp; Curriculum Development.</w:t>
      </w:r>
    </w:p>
    <w:p w:rsidR="2F3C6E30" w:rsidP="2F3C6E30" w:rsidRDefault="2F3C6E30" w14:noSpellErr="1" w14:paraId="29AD0124" w14:textId="0A028723">
      <w:pPr>
        <w:pStyle w:val="ListParagraph"/>
        <w:numPr>
          <w:ilvl w:val="0"/>
          <w:numId w:val="4"/>
        </w:numPr>
        <w:spacing w:after="160" w:line="259" w:lineRule="auto"/>
        <w:ind w:right="0"/>
        <w:jc w:val="left"/>
        <w:rPr>
          <w:noProof w:val="0"/>
          <w:sz w:val="22"/>
          <w:szCs w:val="22"/>
          <w:lang w:val="en-GB"/>
        </w:rPr>
      </w:pPr>
      <w:r w:rsidRPr="2F3C6E30" w:rsidR="2F3C6E30">
        <w:rPr>
          <w:rFonts w:ascii="Calibri" w:hAnsi="Calibri" w:eastAsia="Calibri" w:cs="Calibri"/>
          <w:noProof w:val="0"/>
          <w:sz w:val="24"/>
          <w:szCs w:val="24"/>
          <w:lang w:val="en-GB"/>
        </w:rPr>
        <w:t xml:space="preserve">Welsh Government. (2013) </w:t>
      </w:r>
      <w:r w:rsidRPr="2F3C6E30" w:rsidR="2F3C6E30">
        <w:rPr>
          <w:rFonts w:ascii="Calibri" w:hAnsi="Calibri" w:eastAsia="Calibri" w:cs="Calibri"/>
          <w:i w:val="1"/>
          <w:iCs w:val="1"/>
          <w:noProof w:val="0"/>
          <w:sz w:val="24"/>
          <w:szCs w:val="24"/>
          <w:lang w:val="en-GB"/>
        </w:rPr>
        <w:t>National Literacy and Numeracy Framework.</w:t>
      </w:r>
    </w:p>
    <w:p w:rsidR="2F3C6E30" w:rsidP="2F3C6E30" w:rsidRDefault="2F3C6E30" w14:noSpellErr="1" w14:paraId="7E8EA523" w14:textId="2C1784F5">
      <w:pPr>
        <w:pStyle w:val="ListParagraph"/>
        <w:numPr>
          <w:ilvl w:val="0"/>
          <w:numId w:val="4"/>
        </w:numPr>
        <w:spacing w:after="160" w:line="259" w:lineRule="auto"/>
        <w:ind w:right="0"/>
        <w:jc w:val="left"/>
        <w:rPr>
          <w:noProof w:val="0"/>
          <w:sz w:val="22"/>
          <w:szCs w:val="22"/>
          <w:lang w:val="en-GB"/>
        </w:rPr>
      </w:pPr>
      <w:r w:rsidRPr="2F3C6E30" w:rsidR="2F3C6E30">
        <w:rPr>
          <w:rFonts w:ascii="Calibri" w:hAnsi="Calibri" w:eastAsia="Calibri" w:cs="Calibri"/>
          <w:noProof w:val="0"/>
          <w:sz w:val="24"/>
          <w:szCs w:val="24"/>
          <w:lang w:val="en-GB"/>
        </w:rPr>
        <w:t xml:space="preserve">Welsh Government. (2014) </w:t>
      </w:r>
      <w:r w:rsidRPr="2F3C6E30" w:rsidR="2F3C6E30">
        <w:rPr>
          <w:rFonts w:ascii="Calibri" w:hAnsi="Calibri" w:eastAsia="Calibri" w:cs="Calibri"/>
          <w:i w:val="1"/>
          <w:iCs w:val="1"/>
          <w:noProof w:val="0"/>
          <w:sz w:val="24"/>
          <w:szCs w:val="24"/>
          <w:lang w:val="en-GB"/>
        </w:rPr>
        <w:t xml:space="preserve">National Literacy and Numeracy Framework. </w:t>
      </w:r>
    </w:p>
    <w:p w:rsidR="2F3C6E30" w:rsidP="2F3C6E30" w:rsidRDefault="2F3C6E30" w14:noSpellErr="1" w14:paraId="45A65978" w14:textId="42860851">
      <w:pPr>
        <w:pStyle w:val="ListParagraph"/>
        <w:numPr>
          <w:ilvl w:val="0"/>
          <w:numId w:val="4"/>
        </w:numPr>
        <w:spacing w:after="160" w:line="259" w:lineRule="auto"/>
        <w:ind w:right="0"/>
        <w:jc w:val="left"/>
        <w:rPr>
          <w:noProof w:val="0"/>
          <w:sz w:val="22"/>
          <w:szCs w:val="22"/>
          <w:lang w:val="en-GB"/>
        </w:rPr>
      </w:pPr>
      <w:r w:rsidRPr="2F3C6E30" w:rsidR="2F3C6E30">
        <w:rPr>
          <w:rFonts w:ascii="Calibri" w:hAnsi="Calibri" w:eastAsia="Calibri" w:cs="Calibri"/>
          <w:noProof w:val="0"/>
          <w:sz w:val="24"/>
          <w:szCs w:val="24"/>
          <w:lang w:val="en-GB"/>
        </w:rPr>
        <w:t xml:space="preserve">Welsh Government. (2018) </w:t>
      </w:r>
      <w:r w:rsidRPr="2F3C6E30" w:rsidR="2F3C6E30">
        <w:rPr>
          <w:rFonts w:ascii="Calibri" w:hAnsi="Calibri" w:eastAsia="Calibri" w:cs="Calibri"/>
          <w:i w:val="1"/>
          <w:iCs w:val="1"/>
          <w:noProof w:val="0"/>
          <w:sz w:val="24"/>
          <w:szCs w:val="24"/>
          <w:lang w:val="en-GB"/>
        </w:rPr>
        <w:t>Digital Competence Framework Guidance</w:t>
      </w:r>
      <w:r w:rsidRPr="2F3C6E30" w:rsidR="2F3C6E30">
        <w:rPr>
          <w:rFonts w:ascii="Calibri" w:hAnsi="Calibri" w:eastAsia="Calibri" w:cs="Calibri"/>
          <w:noProof w:val="0"/>
          <w:sz w:val="24"/>
          <w:szCs w:val="24"/>
          <w:lang w:val="en-GB"/>
        </w:rPr>
        <w:t xml:space="preserve">. </w:t>
      </w:r>
    </w:p>
    <w:p w:rsidR="2F3C6E30" w:rsidP="2F3C6E30" w:rsidRDefault="2F3C6E30" w14:noSpellErr="1" w14:paraId="4B0DBC6F" w14:textId="06C4C8A5">
      <w:pPr>
        <w:pStyle w:val="ListParagraph"/>
        <w:numPr>
          <w:ilvl w:val="0"/>
          <w:numId w:val="4"/>
        </w:numPr>
        <w:spacing w:after="160" w:line="259" w:lineRule="auto"/>
        <w:ind w:right="0"/>
        <w:jc w:val="left"/>
        <w:rPr>
          <w:noProof w:val="0"/>
          <w:sz w:val="22"/>
          <w:szCs w:val="22"/>
          <w:lang w:val="en-GB"/>
        </w:rPr>
      </w:pPr>
      <w:r w:rsidRPr="2F3C6E30" w:rsidR="2F3C6E30">
        <w:rPr>
          <w:rFonts w:ascii="Calibri" w:hAnsi="Calibri" w:eastAsia="Calibri" w:cs="Calibri"/>
          <w:noProof w:val="0"/>
          <w:sz w:val="24"/>
          <w:szCs w:val="24"/>
          <w:lang w:val="en-GB"/>
        </w:rPr>
        <w:t xml:space="preserve">Wiliam, D (2014) ‘The Right Questions the Right way’, </w:t>
      </w:r>
      <w:r w:rsidRPr="2F3C6E30" w:rsidR="2F3C6E30">
        <w:rPr>
          <w:rFonts w:ascii="Calibri" w:hAnsi="Calibri" w:eastAsia="Calibri" w:cs="Calibri"/>
          <w:i w:val="1"/>
          <w:iCs w:val="1"/>
          <w:noProof w:val="0"/>
          <w:sz w:val="24"/>
          <w:szCs w:val="24"/>
          <w:lang w:val="en-GB"/>
        </w:rPr>
        <w:t>Educational Leadership,</w:t>
      </w:r>
      <w:r w:rsidRPr="2F3C6E30" w:rsidR="2F3C6E30">
        <w:rPr>
          <w:rFonts w:ascii="Calibri" w:hAnsi="Calibri" w:eastAsia="Calibri" w:cs="Calibri"/>
          <w:noProof w:val="0"/>
          <w:sz w:val="24"/>
          <w:szCs w:val="24"/>
          <w:lang w:val="en-GB"/>
        </w:rPr>
        <w:t xml:space="preserve"> Vol.71(6), p.16-19. </w:t>
      </w:r>
    </w:p>
    <w:p w:rsidR="2F3C6E30" w:rsidP="2F3C6E30" w:rsidRDefault="2F3C6E30" w14:noSpellErr="1" w14:paraId="781E744F" w14:textId="1C7A7ED6">
      <w:pPr>
        <w:pStyle w:val="ListParagraph"/>
        <w:numPr>
          <w:ilvl w:val="0"/>
          <w:numId w:val="4"/>
        </w:numPr>
        <w:spacing w:after="160" w:line="259" w:lineRule="auto"/>
        <w:ind w:right="0"/>
        <w:jc w:val="left"/>
        <w:rPr>
          <w:noProof w:val="0"/>
          <w:sz w:val="22"/>
          <w:szCs w:val="22"/>
          <w:lang w:val="en-GB"/>
        </w:rPr>
      </w:pPr>
      <w:r w:rsidRPr="2F3C6E30" w:rsidR="2F3C6E30">
        <w:rPr>
          <w:rFonts w:ascii="Calibri" w:hAnsi="Calibri" w:eastAsia="Calibri" w:cs="Calibri"/>
          <w:noProof w:val="0"/>
          <w:sz w:val="24"/>
          <w:szCs w:val="24"/>
          <w:lang w:val="en-GB"/>
        </w:rPr>
        <w:t xml:space="preserve">Wiliam, D (2016) ‘The secret of effective feedback’, </w:t>
      </w:r>
      <w:r w:rsidRPr="2F3C6E30" w:rsidR="2F3C6E30">
        <w:rPr>
          <w:rFonts w:ascii="Calibri" w:hAnsi="Calibri" w:eastAsia="Calibri" w:cs="Calibri"/>
          <w:i w:val="1"/>
          <w:iCs w:val="1"/>
          <w:noProof w:val="0"/>
          <w:sz w:val="24"/>
          <w:szCs w:val="24"/>
          <w:lang w:val="en-GB"/>
        </w:rPr>
        <w:t xml:space="preserve">Educational Leadership, </w:t>
      </w:r>
      <w:r w:rsidRPr="2F3C6E30" w:rsidR="2F3C6E30">
        <w:rPr>
          <w:rFonts w:ascii="Calibri" w:hAnsi="Calibri" w:eastAsia="Calibri" w:cs="Calibri"/>
          <w:noProof w:val="0"/>
          <w:sz w:val="24"/>
          <w:szCs w:val="24"/>
          <w:lang w:val="en-GB"/>
        </w:rPr>
        <w:t>Vol.73(7), pp. 10-15.</w:t>
      </w:r>
    </w:p>
    <w:p w:rsidR="2F3C6E30" w:rsidP="2F3C6E30" w:rsidRDefault="2F3C6E30" w14:paraId="7A8D4650" w14:textId="623594D0">
      <w:pPr>
        <w:pStyle w:val="ListParagraph"/>
        <w:numPr>
          <w:ilvl w:val="0"/>
          <w:numId w:val="4"/>
        </w:numPr>
        <w:spacing w:after="160" w:line="259" w:lineRule="auto"/>
        <w:ind w:right="0"/>
        <w:jc w:val="left"/>
        <w:rPr>
          <w:noProof w:val="0"/>
          <w:sz w:val="22"/>
          <w:szCs w:val="22"/>
          <w:lang w:val="en-GB"/>
        </w:rPr>
      </w:pPr>
      <w:proofErr w:type="spellStart"/>
      <w:r w:rsidRPr="2F3C6E30" w:rsidR="2F3C6E30">
        <w:rPr>
          <w:rFonts w:ascii="Calibri" w:hAnsi="Calibri" w:eastAsia="Calibri" w:cs="Calibri"/>
          <w:noProof w:val="0"/>
          <w:sz w:val="24"/>
          <w:szCs w:val="24"/>
          <w:lang w:val="en-GB"/>
        </w:rPr>
        <w:t>Yr</w:t>
      </w:r>
      <w:proofErr w:type="spellEnd"/>
      <w:r w:rsidRPr="2F3C6E30" w:rsidR="2F3C6E30">
        <w:rPr>
          <w:rFonts w:ascii="Calibri" w:hAnsi="Calibri" w:eastAsia="Calibri" w:cs="Calibri"/>
          <w:noProof w:val="0"/>
          <w:sz w:val="24"/>
          <w:szCs w:val="24"/>
          <w:lang w:val="en-GB"/>
        </w:rPr>
        <w:t xml:space="preserve"> </w:t>
      </w:r>
      <w:proofErr w:type="spellStart"/>
      <w:r w:rsidRPr="2F3C6E30" w:rsidR="2F3C6E30">
        <w:rPr>
          <w:rFonts w:ascii="Calibri" w:hAnsi="Calibri" w:eastAsia="Calibri" w:cs="Calibri"/>
          <w:noProof w:val="0"/>
          <w:sz w:val="24"/>
          <w:szCs w:val="24"/>
          <w:lang w:val="en-GB"/>
        </w:rPr>
        <w:t>Athrofa</w:t>
      </w:r>
      <w:proofErr w:type="spellEnd"/>
      <w:r w:rsidRPr="2F3C6E30" w:rsidR="2F3C6E30">
        <w:rPr>
          <w:rFonts w:ascii="Calibri" w:hAnsi="Calibri" w:eastAsia="Calibri" w:cs="Calibri"/>
          <w:noProof w:val="0"/>
          <w:sz w:val="24"/>
          <w:szCs w:val="24"/>
          <w:lang w:val="en-GB"/>
        </w:rPr>
        <w:t>. (2018)</w:t>
      </w:r>
      <w:r w:rsidRPr="2F3C6E30" w:rsidR="2F3C6E30">
        <w:rPr>
          <w:rFonts w:ascii="Calibri" w:hAnsi="Calibri" w:eastAsia="Calibri" w:cs="Calibri"/>
          <w:i w:val="1"/>
          <w:iCs w:val="1"/>
          <w:noProof w:val="0"/>
          <w:sz w:val="24"/>
          <w:szCs w:val="24"/>
          <w:lang w:val="en-GB"/>
        </w:rPr>
        <w:t xml:space="preserve"> Lecture on Theories of Learning and Pedagogy</w:t>
      </w:r>
      <w:r w:rsidRPr="2F3C6E30" w:rsidR="2F3C6E30">
        <w:rPr>
          <w:rFonts w:ascii="Calibri" w:hAnsi="Calibri" w:eastAsia="Calibri" w:cs="Calibri"/>
          <w:noProof w:val="0"/>
          <w:sz w:val="24"/>
          <w:szCs w:val="24"/>
          <w:lang w:val="en-GB"/>
        </w:rPr>
        <w:t xml:space="preserve">. Available at: </w:t>
      </w:r>
      <w:hyperlink r:id="Rf70492e2ddad45c0">
        <w:r w:rsidRPr="2F3C6E30" w:rsidR="2F3C6E30">
          <w:rPr>
            <w:rStyle w:val="Hyperlink"/>
            <w:rFonts w:ascii="Calibri" w:hAnsi="Calibri" w:eastAsia="Calibri" w:cs="Calibri"/>
            <w:noProof w:val="0"/>
            <w:color w:val="0563C1"/>
            <w:sz w:val="22"/>
            <w:szCs w:val="22"/>
            <w:u w:val="single"/>
            <w:lang w:val="en-GB"/>
          </w:rPr>
          <w:t>https://moodle.uwtsd.ac.uk/mod/book/view.php?id=131774&amp;chapterid=4209</w:t>
        </w:r>
      </w:hyperlink>
      <w:r w:rsidRPr="2F3C6E30" w:rsidR="2F3C6E30">
        <w:rPr>
          <w:rFonts w:ascii="Calibri" w:hAnsi="Calibri" w:eastAsia="Calibri" w:cs="Calibri"/>
          <w:noProof w:val="0"/>
          <w:color w:val="0563C1"/>
          <w:sz w:val="22"/>
          <w:szCs w:val="22"/>
          <w:u w:val="single"/>
          <w:lang w:val="en-GB"/>
        </w:rPr>
        <w:t xml:space="preserve">  </w:t>
      </w:r>
    </w:p>
    <w:p w:rsidR="2F3C6E30" w:rsidP="2F3C6E30" w:rsidRDefault="2F3C6E30" w14:noSpellErr="1" w14:paraId="2C0052CE" w14:textId="40241D19">
      <w:pPr>
        <w:spacing w:after="160" w:line="259" w:lineRule="auto"/>
        <w:ind w:left="360"/>
        <w:jc w:val="left"/>
        <w:rPr>
          <w:rFonts w:ascii="Calibri" w:hAnsi="Calibri" w:eastAsia="Calibri" w:cs="Calibri"/>
          <w:noProof w:val="0"/>
          <w:sz w:val="24"/>
          <w:szCs w:val="24"/>
          <w:lang w:val="en-GB"/>
        </w:rPr>
      </w:pPr>
      <w:r w:rsidRPr="2F3C6E30" w:rsidR="2F3C6E30">
        <w:rPr>
          <w:rFonts w:ascii="Calibri" w:hAnsi="Calibri" w:eastAsia="Calibri" w:cs="Calibri"/>
          <w:noProof w:val="0"/>
          <w:sz w:val="24"/>
          <w:szCs w:val="24"/>
          <w:lang w:val="en-GB"/>
        </w:rPr>
        <w:t xml:space="preserve"> (Accessed: 26/11/2018)</w:t>
      </w:r>
    </w:p>
    <w:p w:rsidR="2F3C6E30" w:rsidP="2F3C6E30" w:rsidRDefault="2F3C6E30" w14:paraId="035CA835" w14:textId="19D9C75C">
      <w:pPr>
        <w:pStyle w:val="ListParagraph"/>
        <w:numPr>
          <w:ilvl w:val="0"/>
          <w:numId w:val="5"/>
        </w:numPr>
        <w:spacing w:after="160" w:line="259" w:lineRule="auto"/>
        <w:ind w:right="0"/>
        <w:jc w:val="left"/>
        <w:rPr>
          <w:noProof w:val="0"/>
          <w:sz w:val="22"/>
          <w:szCs w:val="22"/>
          <w:lang w:val="en-GB"/>
        </w:rPr>
      </w:pPr>
      <w:proofErr w:type="spellStart"/>
      <w:r w:rsidRPr="2F3C6E30" w:rsidR="2F3C6E30">
        <w:rPr>
          <w:rFonts w:ascii="Calibri" w:hAnsi="Calibri" w:eastAsia="Calibri" w:cs="Calibri"/>
          <w:noProof w:val="0"/>
          <w:sz w:val="24"/>
          <w:szCs w:val="24"/>
          <w:lang w:val="en-GB"/>
        </w:rPr>
        <w:t>Yr</w:t>
      </w:r>
      <w:proofErr w:type="spellEnd"/>
      <w:r w:rsidRPr="2F3C6E30" w:rsidR="2F3C6E30">
        <w:rPr>
          <w:rFonts w:ascii="Calibri" w:hAnsi="Calibri" w:eastAsia="Calibri" w:cs="Calibri"/>
          <w:noProof w:val="0"/>
          <w:sz w:val="24"/>
          <w:szCs w:val="24"/>
          <w:lang w:val="en-GB"/>
        </w:rPr>
        <w:t xml:space="preserve"> </w:t>
      </w:r>
      <w:proofErr w:type="spellStart"/>
      <w:r w:rsidRPr="2F3C6E30" w:rsidR="2F3C6E30">
        <w:rPr>
          <w:rFonts w:ascii="Calibri" w:hAnsi="Calibri" w:eastAsia="Calibri" w:cs="Calibri"/>
          <w:noProof w:val="0"/>
          <w:sz w:val="24"/>
          <w:szCs w:val="24"/>
          <w:lang w:val="en-GB"/>
        </w:rPr>
        <w:t>Athrofa</w:t>
      </w:r>
      <w:proofErr w:type="spellEnd"/>
      <w:r w:rsidRPr="2F3C6E30" w:rsidR="2F3C6E30">
        <w:rPr>
          <w:rFonts w:ascii="Calibri" w:hAnsi="Calibri" w:eastAsia="Calibri" w:cs="Calibri"/>
          <w:noProof w:val="0"/>
          <w:sz w:val="24"/>
          <w:szCs w:val="24"/>
          <w:lang w:val="en-GB"/>
        </w:rPr>
        <w:t>.(2018) ECSP6001 Module Handbook. Available at:</w:t>
      </w:r>
    </w:p>
    <w:p w:rsidR="2F3C6E30" w:rsidP="2F3C6E30" w:rsidRDefault="2F3C6E30" w14:paraId="767A9F55" w14:textId="1192C026">
      <w:pPr>
        <w:spacing w:after="160" w:line="259" w:lineRule="auto"/>
        <w:ind w:left="360"/>
        <w:jc w:val="left"/>
        <w:rPr>
          <w:rFonts w:ascii="Calibri" w:hAnsi="Calibri" w:eastAsia="Calibri" w:cs="Calibri"/>
          <w:noProof w:val="0"/>
          <w:sz w:val="22"/>
          <w:szCs w:val="22"/>
          <w:lang w:val="en-GB"/>
        </w:rPr>
      </w:pPr>
      <w:hyperlink r:id="Red9c4db3ec8d4aaf">
        <w:r w:rsidRPr="2F3C6E30" w:rsidR="2F3C6E30">
          <w:rPr>
            <w:rStyle w:val="Hyperlink"/>
            <w:rFonts w:ascii="Calibri" w:hAnsi="Calibri" w:eastAsia="Calibri" w:cs="Calibri"/>
            <w:noProof w:val="0"/>
            <w:color w:val="0563C1"/>
            <w:sz w:val="24"/>
            <w:szCs w:val="24"/>
            <w:u w:val="single"/>
            <w:lang w:val="en-GB"/>
          </w:rPr>
          <w:t>https://moodle.uwtsd.ac.uk/pluginfile.php/185293/mod_resource/content/1/ECSP6001%20Module%20Handbook.pdf</w:t>
        </w:r>
      </w:hyperlink>
    </w:p>
    <w:p w:rsidR="2F3C6E30" w:rsidP="2F3C6E30" w:rsidRDefault="2F3C6E30" w14:noSpellErr="1" w14:paraId="31AFA21F" w14:textId="3A199081">
      <w:pPr>
        <w:pStyle w:val="Normal"/>
      </w:pPr>
      <w:r w:rsidRPr="2F3C6E30" w:rsidR="2F3C6E30">
        <w:rPr>
          <w:rFonts w:ascii="Calibri" w:hAnsi="Calibri" w:eastAsia="Calibri" w:cs="Calibri"/>
          <w:noProof w:val="0"/>
          <w:sz w:val="24"/>
          <w:szCs w:val="24"/>
          <w:lang w:val="en-GB"/>
        </w:rPr>
        <w:t xml:space="preserve">        (Accessed: 26/11/2018). </w:t>
      </w:r>
    </w:p>
    <w:p w:rsidR="2F3C6E30" w:rsidP="2F3C6E30" w:rsidRDefault="2F3C6E30" w14:paraId="1F907895" w14:textId="412E93A3">
      <w:pPr>
        <w:pStyle w:val="Normal"/>
        <w:rPr>
          <w:rFonts w:ascii="Calibri" w:hAnsi="Calibri" w:eastAsia="Calibri" w:cs="Calibri"/>
          <w:noProof w:val="0"/>
          <w:sz w:val="24"/>
          <w:szCs w:val="24"/>
          <w:lang w:val="en-GB"/>
        </w:rPr>
      </w:pPr>
    </w:p>
    <w:p w:rsidR="2F3C6E30" w:rsidP="2F3C6E30" w:rsidRDefault="2F3C6E30" w14:paraId="29AD8F1A" w14:textId="015DD091">
      <w:pPr>
        <w:pStyle w:val="Normal"/>
        <w:rPr>
          <w:rFonts w:ascii="Calibri" w:hAnsi="Calibri" w:eastAsia="Calibri" w:cs="Calibri"/>
          <w:noProof w:val="0"/>
          <w:sz w:val="24"/>
          <w:szCs w:val="24"/>
          <w:lang w:val="en-GB"/>
        </w:rPr>
      </w:pPr>
    </w:p>
    <w:p w:rsidR="2F3C6E30" w:rsidP="2F3C6E30" w:rsidRDefault="2F3C6E30" w14:paraId="5785ACD0" w14:textId="0B704914">
      <w:pPr>
        <w:pStyle w:val="Normal"/>
        <w:rPr>
          <w:rFonts w:ascii="Calibri" w:hAnsi="Calibri" w:eastAsia="Calibri" w:cs="Calibri"/>
          <w:noProof w:val="0"/>
          <w:sz w:val="24"/>
          <w:szCs w:val="24"/>
          <w:lang w:val="en-GB"/>
        </w:rPr>
      </w:pPr>
    </w:p>
    <w:p w:rsidR="2F3C6E30" w:rsidP="2F3C6E30" w:rsidRDefault="2F3C6E30" w14:paraId="59E39DDB" w14:textId="6E3C5EE4">
      <w:pPr>
        <w:pStyle w:val="Normal"/>
        <w:rPr>
          <w:rFonts w:ascii="Calibri" w:hAnsi="Calibri" w:eastAsia="Calibri" w:cs="Calibri"/>
          <w:noProof w:val="0"/>
          <w:sz w:val="24"/>
          <w:szCs w:val="24"/>
          <w:lang w:val="en-GB"/>
        </w:rPr>
      </w:pPr>
    </w:p>
    <w:p w:rsidR="2F3C6E30" w:rsidP="2F3C6E30" w:rsidRDefault="2F3C6E30" w14:paraId="15D8DAB4" w14:textId="7BE2B1A2">
      <w:pPr>
        <w:pStyle w:val="Normal"/>
        <w:rPr>
          <w:rFonts w:ascii="Calibri" w:hAnsi="Calibri" w:eastAsia="Calibri" w:cs="Calibri"/>
          <w:noProof w:val="0"/>
          <w:sz w:val="24"/>
          <w:szCs w:val="24"/>
          <w:lang w:val="en-GB"/>
        </w:rPr>
      </w:pPr>
    </w:p>
    <w:p w:rsidR="2F3C6E30" w:rsidP="2F3C6E30" w:rsidRDefault="2F3C6E30" w14:paraId="2234FD93" w14:textId="0B813CD2">
      <w:pPr>
        <w:pStyle w:val="Normal"/>
        <w:rPr>
          <w:rFonts w:ascii="Calibri" w:hAnsi="Calibri" w:eastAsia="Calibri" w:cs="Calibri"/>
          <w:noProof w:val="0"/>
          <w:sz w:val="24"/>
          <w:szCs w:val="24"/>
          <w:lang w:val="en-GB"/>
        </w:rPr>
      </w:pPr>
    </w:p>
    <w:p w:rsidR="2F3C6E30" w:rsidP="2F3C6E30" w:rsidRDefault="2F3C6E30" w14:paraId="20185544" w14:textId="647ACED9">
      <w:pPr>
        <w:pStyle w:val="Normal"/>
        <w:rPr>
          <w:rFonts w:ascii="Calibri" w:hAnsi="Calibri" w:eastAsia="Calibri" w:cs="Calibri"/>
          <w:noProof w:val="0"/>
          <w:sz w:val="24"/>
          <w:szCs w:val="24"/>
          <w:lang w:val="en-GB"/>
        </w:rPr>
      </w:pPr>
    </w:p>
    <w:p w:rsidR="2F3C6E30" w:rsidP="2F3C6E30" w:rsidRDefault="2F3C6E30" w14:paraId="516A2920" w14:textId="12D1514F">
      <w:pPr>
        <w:pStyle w:val="Normal"/>
        <w:rPr>
          <w:rFonts w:ascii="Calibri" w:hAnsi="Calibri" w:eastAsia="Calibri" w:cs="Calibri"/>
          <w:noProof w:val="0"/>
          <w:sz w:val="24"/>
          <w:szCs w:val="24"/>
          <w:lang w:val="en-GB"/>
        </w:rPr>
      </w:pPr>
    </w:p>
    <w:p w:rsidR="2F3C6E30" w:rsidP="2F3C6E30" w:rsidRDefault="2F3C6E30" w14:paraId="1B7E61FA" w14:textId="46D043A5">
      <w:pPr>
        <w:pStyle w:val="Normal"/>
        <w:rPr>
          <w:rFonts w:ascii="Calibri" w:hAnsi="Calibri" w:eastAsia="Calibri" w:cs="Calibri"/>
          <w:noProof w:val="0"/>
          <w:sz w:val="24"/>
          <w:szCs w:val="24"/>
          <w:lang w:val="en-GB"/>
        </w:rPr>
      </w:pPr>
    </w:p>
    <w:p w:rsidR="2F3C6E30" w:rsidP="2F3C6E30" w:rsidRDefault="2F3C6E30" w14:paraId="5E04374F" w14:textId="5099D8BA">
      <w:pPr>
        <w:pStyle w:val="Normal"/>
        <w:rPr>
          <w:rFonts w:ascii="Calibri" w:hAnsi="Calibri" w:eastAsia="Calibri" w:cs="Calibri"/>
          <w:noProof w:val="0"/>
          <w:sz w:val="24"/>
          <w:szCs w:val="24"/>
          <w:lang w:val="en-GB"/>
        </w:rPr>
      </w:pPr>
    </w:p>
    <w:p w:rsidR="2F3C6E30" w:rsidP="2F3C6E30" w:rsidRDefault="2F3C6E30" w14:paraId="00AE0375" w14:textId="57BC8071">
      <w:pPr>
        <w:pStyle w:val="Normal"/>
        <w:rPr>
          <w:rFonts w:ascii="Calibri" w:hAnsi="Calibri" w:eastAsia="Calibri" w:cs="Calibri"/>
          <w:noProof w:val="0"/>
          <w:sz w:val="24"/>
          <w:szCs w:val="24"/>
          <w:lang w:val="en-GB"/>
        </w:rPr>
      </w:pPr>
    </w:p>
    <w:p w:rsidR="2F3C6E30" w:rsidP="2F3C6E30" w:rsidRDefault="2F3C6E30" w14:paraId="48E8BF5D" w14:textId="32CA71EC">
      <w:pPr>
        <w:pStyle w:val="Normal"/>
        <w:rPr>
          <w:rFonts w:ascii="Calibri" w:hAnsi="Calibri" w:eastAsia="Calibri" w:cs="Calibri"/>
          <w:noProof w:val="0"/>
          <w:sz w:val="24"/>
          <w:szCs w:val="24"/>
          <w:lang w:val="en-GB"/>
        </w:rPr>
      </w:pPr>
    </w:p>
    <w:p w:rsidR="2F3C6E30" w:rsidP="2F3C6E30" w:rsidRDefault="2F3C6E30" w14:paraId="3AC33A79" w14:textId="5BF3F632">
      <w:pPr>
        <w:pStyle w:val="Normal"/>
        <w:rPr>
          <w:rFonts w:ascii="Calibri" w:hAnsi="Calibri" w:eastAsia="Calibri" w:cs="Calibri"/>
          <w:noProof w:val="0"/>
          <w:sz w:val="24"/>
          <w:szCs w:val="24"/>
          <w:lang w:val="en-GB"/>
        </w:rPr>
      </w:pPr>
    </w:p>
    <w:p w:rsidR="2F3C6E30" w:rsidP="2F3C6E30" w:rsidRDefault="2F3C6E30" w14:paraId="0128E361" w14:textId="31EE82C3">
      <w:pPr>
        <w:pStyle w:val="Normal"/>
        <w:rPr>
          <w:rFonts w:ascii="Calibri" w:hAnsi="Calibri" w:eastAsia="Calibri" w:cs="Calibri"/>
          <w:noProof w:val="0"/>
          <w:sz w:val="24"/>
          <w:szCs w:val="24"/>
          <w:lang w:val="en-GB"/>
        </w:rPr>
      </w:pPr>
    </w:p>
    <w:p w:rsidR="2F3C6E30" w:rsidP="2F3C6E30" w:rsidRDefault="2F3C6E30" w14:paraId="07F5E36B" w14:textId="0A4CF6AD">
      <w:pPr>
        <w:pStyle w:val="Normal"/>
        <w:rPr>
          <w:rFonts w:ascii="Calibri" w:hAnsi="Calibri" w:eastAsia="Calibri" w:cs="Calibri"/>
          <w:noProof w:val="0"/>
          <w:sz w:val="24"/>
          <w:szCs w:val="24"/>
          <w:lang w:val="en-GB"/>
        </w:rPr>
      </w:pPr>
    </w:p>
    <w:p w:rsidR="2F3C6E30" w:rsidP="2F3C6E30" w:rsidRDefault="2F3C6E30" w14:paraId="0A1012F5" w14:textId="7A4FBCCD">
      <w:pPr>
        <w:pStyle w:val="Normal"/>
        <w:rPr>
          <w:rFonts w:ascii="Calibri" w:hAnsi="Calibri" w:eastAsia="Calibri" w:cs="Calibri"/>
          <w:noProof w:val="0"/>
          <w:sz w:val="24"/>
          <w:szCs w:val="24"/>
          <w:lang w:val="en-GB"/>
        </w:rPr>
      </w:pPr>
    </w:p>
    <w:p w:rsidR="2F3C6E30" w:rsidP="2F3C6E30" w:rsidRDefault="2F3C6E30" w14:paraId="03A84BFD" w14:textId="18E07F97">
      <w:pPr>
        <w:pStyle w:val="Normal"/>
        <w:rPr>
          <w:rFonts w:ascii="Calibri" w:hAnsi="Calibri" w:eastAsia="Calibri" w:cs="Calibri"/>
          <w:noProof w:val="0"/>
          <w:sz w:val="24"/>
          <w:szCs w:val="24"/>
          <w:lang w:val="en-GB"/>
        </w:rPr>
      </w:pPr>
    </w:p>
    <w:p w:rsidR="2F3C6E30" w:rsidP="2F3C6E30" w:rsidRDefault="2F3C6E30" w14:paraId="200C1132" w14:textId="2B35636D">
      <w:pPr>
        <w:pStyle w:val="Normal"/>
        <w:rPr>
          <w:rFonts w:ascii="Calibri" w:hAnsi="Calibri" w:eastAsia="Calibri" w:cs="Calibri"/>
          <w:noProof w:val="0"/>
          <w:sz w:val="24"/>
          <w:szCs w:val="24"/>
          <w:lang w:val="en-GB"/>
        </w:rPr>
      </w:pPr>
    </w:p>
    <w:p w:rsidR="2F3C6E30" w:rsidP="2F3C6E30" w:rsidRDefault="2F3C6E30" w14:paraId="4AFA5673" w14:textId="2B8F3542">
      <w:pPr>
        <w:pStyle w:val="Normal"/>
        <w:rPr>
          <w:rFonts w:ascii="Calibri" w:hAnsi="Calibri" w:eastAsia="Calibri" w:cs="Calibri"/>
          <w:noProof w:val="0"/>
          <w:sz w:val="24"/>
          <w:szCs w:val="24"/>
          <w:lang w:val="en-GB"/>
        </w:rPr>
      </w:pPr>
    </w:p>
    <w:p w:rsidR="2F3C6E30" w:rsidP="2F3C6E30" w:rsidRDefault="2F3C6E30" w14:paraId="0DDF2EBD" w14:textId="3CA50D70">
      <w:pPr>
        <w:pStyle w:val="Normal"/>
        <w:rPr>
          <w:rFonts w:ascii="Calibri" w:hAnsi="Calibri" w:eastAsia="Calibri" w:cs="Calibri"/>
          <w:noProof w:val="0"/>
          <w:sz w:val="24"/>
          <w:szCs w:val="24"/>
          <w:lang w:val="en-GB"/>
        </w:rPr>
      </w:pPr>
    </w:p>
    <w:p w:rsidR="2F3C6E30" w:rsidP="2F3C6E30" w:rsidRDefault="2F3C6E30" w14:paraId="3051245E" w14:textId="5A533DF7">
      <w:pPr>
        <w:pStyle w:val="Normal"/>
        <w:rPr>
          <w:rFonts w:ascii="Calibri" w:hAnsi="Calibri" w:eastAsia="Calibri" w:cs="Calibri"/>
          <w:noProof w:val="0"/>
          <w:sz w:val="24"/>
          <w:szCs w:val="24"/>
          <w:lang w:val="en-GB"/>
        </w:rPr>
      </w:pPr>
    </w:p>
    <w:p w:rsidR="2F3C6E30" w:rsidP="2F3C6E30" w:rsidRDefault="2F3C6E30" w14:paraId="5BF097F6" w14:textId="445FC1AF">
      <w:pPr>
        <w:pStyle w:val="Normal"/>
        <w:rPr>
          <w:rFonts w:ascii="Calibri" w:hAnsi="Calibri" w:eastAsia="Calibri" w:cs="Calibri"/>
          <w:noProof w:val="0"/>
          <w:sz w:val="24"/>
          <w:szCs w:val="24"/>
          <w:lang w:val="en-GB"/>
        </w:rPr>
      </w:pPr>
    </w:p>
    <w:p w:rsidR="2F3C6E30" w:rsidP="2F3C6E30" w:rsidRDefault="2F3C6E30" w14:paraId="10E74097" w14:textId="71094FA7">
      <w:pPr>
        <w:pStyle w:val="Normal"/>
        <w:rPr>
          <w:rFonts w:ascii="Calibri" w:hAnsi="Calibri" w:eastAsia="Calibri" w:cs="Calibri"/>
          <w:noProof w:val="0"/>
          <w:sz w:val="24"/>
          <w:szCs w:val="24"/>
          <w:lang w:val="en-GB"/>
        </w:rPr>
      </w:pPr>
    </w:p>
    <w:p w:rsidR="2F3C6E30" w:rsidP="2F3C6E30" w:rsidRDefault="2F3C6E30" w14:paraId="62580101" w14:textId="5B2F17C5">
      <w:pPr>
        <w:pStyle w:val="Normal"/>
        <w:rPr>
          <w:rFonts w:ascii="Calibri" w:hAnsi="Calibri" w:eastAsia="Calibri" w:cs="Calibri"/>
          <w:noProof w:val="0"/>
          <w:sz w:val="24"/>
          <w:szCs w:val="24"/>
          <w:lang w:val="en-GB"/>
        </w:rPr>
      </w:pPr>
    </w:p>
    <w:p w:rsidR="2F3C6E30" w:rsidP="2F3C6E30" w:rsidRDefault="2F3C6E30" w14:paraId="487156C6" w14:textId="53430698">
      <w:pPr>
        <w:pStyle w:val="Normal"/>
        <w:rPr>
          <w:rFonts w:ascii="Calibri" w:hAnsi="Calibri" w:eastAsia="Calibri" w:cs="Calibri"/>
          <w:noProof w:val="0"/>
          <w:sz w:val="24"/>
          <w:szCs w:val="24"/>
          <w:lang w:val="en-GB"/>
        </w:rPr>
      </w:pPr>
    </w:p>
    <w:p w:rsidR="2F3C6E30" w:rsidP="2F3C6E30" w:rsidRDefault="2F3C6E30" w14:paraId="4530BF6B" w14:textId="7D1E9D1E">
      <w:pPr>
        <w:pStyle w:val="Normal"/>
        <w:rPr>
          <w:rFonts w:ascii="Calibri" w:hAnsi="Calibri" w:eastAsia="Calibri" w:cs="Calibri"/>
          <w:noProof w:val="0"/>
          <w:sz w:val="24"/>
          <w:szCs w:val="24"/>
          <w:lang w:val="en-GB"/>
        </w:rPr>
      </w:pPr>
    </w:p>
    <w:p w:rsidR="2F3C6E30" w:rsidP="2F3C6E30" w:rsidRDefault="2F3C6E30" w14:paraId="4F3F6993" w14:textId="61BE805E">
      <w:pPr>
        <w:pStyle w:val="Normal"/>
        <w:rPr>
          <w:rFonts w:ascii="Calibri" w:hAnsi="Calibri" w:eastAsia="Calibri" w:cs="Calibri"/>
          <w:noProof w:val="0"/>
          <w:sz w:val="24"/>
          <w:szCs w:val="24"/>
          <w:lang w:val="en-GB"/>
        </w:rPr>
      </w:pPr>
    </w:p>
    <w:p w:rsidR="2F3C6E30" w:rsidP="2F3C6E30" w:rsidRDefault="2F3C6E30" w14:paraId="03C4F73D" w14:textId="0E7B4D53">
      <w:pPr>
        <w:pStyle w:val="Normal"/>
        <w:rPr>
          <w:rFonts w:ascii="Calibri" w:hAnsi="Calibri" w:eastAsia="Calibri" w:cs="Calibri"/>
          <w:noProof w:val="0"/>
          <w:sz w:val="24"/>
          <w:szCs w:val="24"/>
          <w:lang w:val="en-GB"/>
        </w:rPr>
      </w:pPr>
    </w:p>
    <w:p w:rsidR="2F3C6E30" w:rsidP="2F3C6E30" w:rsidRDefault="2F3C6E30" w14:paraId="7EB52562" w14:textId="4CDF780E">
      <w:pPr>
        <w:pStyle w:val="Normal"/>
        <w:rPr>
          <w:rFonts w:ascii="Calibri" w:hAnsi="Calibri" w:eastAsia="Calibri" w:cs="Calibri"/>
          <w:noProof w:val="0"/>
          <w:sz w:val="24"/>
          <w:szCs w:val="24"/>
          <w:lang w:val="en-GB"/>
        </w:rPr>
      </w:pPr>
    </w:p>
    <w:p w:rsidR="2F3C6E30" w:rsidP="2F3C6E30" w:rsidRDefault="2F3C6E30" w14:paraId="3A313780" w14:textId="01BFB608">
      <w:pPr>
        <w:pStyle w:val="Normal"/>
        <w:rPr>
          <w:rFonts w:ascii="Calibri" w:hAnsi="Calibri" w:eastAsia="Calibri" w:cs="Calibri"/>
          <w:noProof w:val="0"/>
          <w:sz w:val="24"/>
          <w:szCs w:val="24"/>
          <w:lang w:val="en-GB"/>
        </w:rPr>
      </w:pPr>
    </w:p>
    <w:p w:rsidR="2F3C6E30" w:rsidP="2F3C6E30" w:rsidRDefault="2F3C6E30" w14:paraId="5875CC96" w14:textId="4556167A">
      <w:pPr>
        <w:pStyle w:val="Normal"/>
        <w:rPr>
          <w:rFonts w:ascii="Calibri" w:hAnsi="Calibri" w:eastAsia="Calibri" w:cs="Calibri"/>
          <w:noProof w:val="0"/>
          <w:sz w:val="24"/>
          <w:szCs w:val="24"/>
          <w:lang w:val="en-GB"/>
        </w:rPr>
      </w:pPr>
    </w:p>
    <w:p w:rsidR="2F3C6E30" w:rsidP="2F3C6E30" w:rsidRDefault="2F3C6E30" w14:paraId="5B2F2EB9" w14:textId="1E40AC2F">
      <w:pPr>
        <w:pStyle w:val="Normal"/>
        <w:rPr>
          <w:rFonts w:ascii="Calibri" w:hAnsi="Calibri" w:eastAsia="Calibri" w:cs="Calibri"/>
          <w:noProof w:val="0"/>
          <w:sz w:val="24"/>
          <w:szCs w:val="24"/>
          <w:lang w:val="en-GB"/>
        </w:rPr>
      </w:pPr>
    </w:p>
    <w:p w:rsidR="2F3C6E30" w:rsidP="2F3C6E30" w:rsidRDefault="2F3C6E30" w14:paraId="77DB3898" w14:textId="27110502">
      <w:pPr>
        <w:pStyle w:val="Normal"/>
        <w:rPr>
          <w:rFonts w:ascii="Calibri" w:hAnsi="Calibri" w:eastAsia="Calibri" w:cs="Calibri"/>
          <w:noProof w:val="0"/>
          <w:sz w:val="24"/>
          <w:szCs w:val="24"/>
          <w:lang w:val="en-GB"/>
        </w:rPr>
      </w:pPr>
    </w:p>
    <w:p w:rsidR="2F3C6E30" w:rsidP="2F3C6E30" w:rsidRDefault="2F3C6E30" w14:paraId="46ECE442" w14:textId="42BB01B2">
      <w:pPr>
        <w:pStyle w:val="Normal"/>
        <w:rPr>
          <w:rFonts w:ascii="Calibri" w:hAnsi="Calibri" w:eastAsia="Calibri" w:cs="Calibri"/>
          <w:noProof w:val="0"/>
          <w:sz w:val="24"/>
          <w:szCs w:val="24"/>
          <w:lang w:val="en-GB"/>
        </w:rPr>
      </w:pPr>
    </w:p>
    <w:p w:rsidR="2F3C6E30" w:rsidP="2F3C6E30" w:rsidRDefault="2F3C6E30" w14:paraId="7A5529E4" w14:textId="0A161AFC">
      <w:pPr>
        <w:pStyle w:val="Normal"/>
        <w:rPr>
          <w:rFonts w:ascii="Calibri" w:hAnsi="Calibri" w:eastAsia="Calibri" w:cs="Calibri"/>
          <w:noProof w:val="0"/>
          <w:sz w:val="24"/>
          <w:szCs w:val="24"/>
          <w:lang w:val="en-GB"/>
        </w:rPr>
      </w:pPr>
    </w:p>
    <w:p w:rsidR="2F3C6E30" w:rsidP="2F3C6E30" w:rsidRDefault="2F3C6E30" w14:paraId="3334161A" w14:textId="6A3A82DB">
      <w:pPr>
        <w:pStyle w:val="Normal"/>
        <w:rPr>
          <w:rFonts w:ascii="Calibri" w:hAnsi="Calibri" w:eastAsia="Calibri" w:cs="Calibri"/>
          <w:noProof w:val="0"/>
          <w:sz w:val="24"/>
          <w:szCs w:val="24"/>
          <w:lang w:val="en-GB"/>
        </w:rPr>
      </w:pPr>
    </w:p>
    <w:p w:rsidR="2F3C6E30" w:rsidP="2F3C6E30" w:rsidRDefault="2F3C6E30" w14:paraId="01BAE8F2" w14:textId="1FB146F5">
      <w:pPr>
        <w:pStyle w:val="Normal"/>
        <w:rPr>
          <w:rFonts w:ascii="Calibri" w:hAnsi="Calibri" w:eastAsia="Calibri" w:cs="Calibri"/>
          <w:noProof w:val="0"/>
          <w:sz w:val="24"/>
          <w:szCs w:val="24"/>
          <w:lang w:val="en-GB"/>
        </w:rPr>
      </w:pPr>
    </w:p>
    <w:p w:rsidR="2F3C6E30" w:rsidP="2F3C6E30" w:rsidRDefault="2F3C6E30" w14:paraId="07177A71" w14:textId="25256158">
      <w:pPr>
        <w:pStyle w:val="Normal"/>
        <w:rPr>
          <w:rFonts w:ascii="Calibri" w:hAnsi="Calibri" w:eastAsia="Calibri" w:cs="Calibri"/>
          <w:noProof w:val="0"/>
          <w:sz w:val="24"/>
          <w:szCs w:val="24"/>
          <w:lang w:val="en-GB"/>
        </w:rPr>
      </w:pPr>
    </w:p>
    <w:p w:rsidR="2F3C6E30" w:rsidP="2F3C6E30" w:rsidRDefault="2F3C6E30" w14:paraId="19BAA372" w14:textId="0747D963">
      <w:pPr>
        <w:pStyle w:val="Normal"/>
        <w:rPr>
          <w:rFonts w:ascii="Calibri" w:hAnsi="Calibri" w:eastAsia="Calibri" w:cs="Calibri"/>
          <w:noProof w:val="0"/>
          <w:sz w:val="24"/>
          <w:szCs w:val="24"/>
          <w:lang w:val="en-GB"/>
        </w:rPr>
      </w:pPr>
    </w:p>
    <w:p w:rsidR="2F3C6E30" w:rsidP="2F3C6E30" w:rsidRDefault="2F3C6E30" w14:paraId="2DC518F6" w14:textId="7509EB2A">
      <w:pPr>
        <w:pStyle w:val="Normal"/>
        <w:rPr>
          <w:rFonts w:ascii="Calibri" w:hAnsi="Calibri" w:eastAsia="Calibri" w:cs="Calibri"/>
          <w:noProof w:val="0"/>
          <w:sz w:val="24"/>
          <w:szCs w:val="24"/>
          <w:lang w:val="en-GB"/>
        </w:rPr>
      </w:pPr>
    </w:p>
    <w:p w:rsidR="2F3C6E30" w:rsidP="2F3C6E30" w:rsidRDefault="2F3C6E30" w14:paraId="3161DE4C" w14:textId="585031A3">
      <w:pPr>
        <w:pStyle w:val="Normal"/>
        <w:rPr>
          <w:rFonts w:ascii="Calibri" w:hAnsi="Calibri" w:eastAsia="Calibri" w:cs="Calibri"/>
          <w:noProof w:val="0"/>
          <w:sz w:val="24"/>
          <w:szCs w:val="24"/>
          <w:lang w:val="en-GB"/>
        </w:rPr>
      </w:pPr>
    </w:p>
    <w:p w:rsidR="2F3C6E30" w:rsidP="2F3C6E30" w:rsidRDefault="2F3C6E30" w14:paraId="19F76534" w14:textId="26274CDA">
      <w:pPr>
        <w:pStyle w:val="Normal"/>
        <w:rPr>
          <w:rFonts w:ascii="Calibri" w:hAnsi="Calibri" w:eastAsia="Calibri" w:cs="Calibri"/>
          <w:noProof w:val="0"/>
          <w:sz w:val="24"/>
          <w:szCs w:val="24"/>
          <w:lang w:val="en-GB"/>
        </w:rPr>
      </w:pPr>
    </w:p>
    <w:p w:rsidR="2F3C6E30" w:rsidP="2F3C6E30" w:rsidRDefault="2F3C6E30" w14:paraId="0551FD41" w14:textId="63ACDAFB">
      <w:pPr>
        <w:pStyle w:val="Normal"/>
        <w:rPr>
          <w:rFonts w:ascii="Calibri" w:hAnsi="Calibri" w:eastAsia="Calibri" w:cs="Calibri"/>
          <w:noProof w:val="0"/>
          <w:sz w:val="24"/>
          <w:szCs w:val="24"/>
          <w:lang w:val="en-GB"/>
        </w:rPr>
      </w:pPr>
    </w:p>
    <w:p w:rsidR="2F3C6E30" w:rsidP="2F3C6E30" w:rsidRDefault="2F3C6E30" w14:paraId="06A91C43" w14:textId="2FA53CBE">
      <w:pPr>
        <w:pStyle w:val="Normal"/>
        <w:rPr>
          <w:rFonts w:ascii="Calibri" w:hAnsi="Calibri" w:eastAsia="Calibri" w:cs="Calibri"/>
          <w:noProof w:val="0"/>
          <w:sz w:val="24"/>
          <w:szCs w:val="24"/>
          <w:lang w:val="en-GB"/>
        </w:rPr>
      </w:pPr>
    </w:p>
    <w:p w:rsidR="2F3C6E30" w:rsidP="2F3C6E30" w:rsidRDefault="2F3C6E30" w14:paraId="607DDC47" w14:textId="43CDF0F5">
      <w:pPr>
        <w:pStyle w:val="Normal"/>
        <w:rPr>
          <w:rFonts w:ascii="Calibri" w:hAnsi="Calibri" w:eastAsia="Calibri" w:cs="Calibri"/>
          <w:noProof w:val="0"/>
          <w:sz w:val="24"/>
          <w:szCs w:val="24"/>
          <w:lang w:val="en-GB"/>
        </w:rPr>
      </w:pPr>
    </w:p>
    <w:p w:rsidR="2F3C6E30" w:rsidP="2F3C6E30" w:rsidRDefault="2F3C6E30" w14:paraId="6A4173FA" w14:textId="38E52A97">
      <w:pPr>
        <w:pStyle w:val="Normal"/>
        <w:rPr>
          <w:rFonts w:ascii="Calibri" w:hAnsi="Calibri" w:eastAsia="Calibri" w:cs="Calibri"/>
          <w:noProof w:val="0"/>
          <w:sz w:val="24"/>
          <w:szCs w:val="24"/>
          <w:lang w:val="en-GB"/>
        </w:rPr>
      </w:pPr>
    </w:p>
    <w:p w:rsidR="2F3C6E30" w:rsidP="2F3C6E30" w:rsidRDefault="2F3C6E30" w14:paraId="7677350F" w14:textId="4A6494AF">
      <w:pPr>
        <w:pStyle w:val="Normal"/>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headerReference w:type="default" r:id="Rfc2882ab45364112"/>
      <w:footerReference w:type="default" r:id="Rc2a022e51b55429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F3C6E30" w:rsidTr="2F3C6E30" w14:paraId="2884F8C2">
      <w:tc>
        <w:tcPr>
          <w:tcW w:w="3009" w:type="dxa"/>
          <w:tcMar/>
        </w:tcPr>
        <w:p w:rsidR="2F3C6E30" w:rsidP="2F3C6E30" w:rsidRDefault="2F3C6E30" w14:paraId="14AD72F4" w14:textId="055EDC31">
          <w:pPr>
            <w:pStyle w:val="Header"/>
            <w:bidi w:val="0"/>
            <w:ind w:left="-115"/>
            <w:jc w:val="left"/>
          </w:pPr>
        </w:p>
      </w:tc>
      <w:tc>
        <w:tcPr>
          <w:tcW w:w="3009" w:type="dxa"/>
          <w:tcMar/>
        </w:tcPr>
        <w:p w:rsidR="2F3C6E30" w:rsidP="2F3C6E30" w:rsidRDefault="2F3C6E30" w14:paraId="079F0631" w14:textId="42FCA9DD">
          <w:pPr>
            <w:pStyle w:val="Header"/>
            <w:bidi w:val="0"/>
            <w:jc w:val="center"/>
          </w:pPr>
        </w:p>
      </w:tc>
      <w:tc>
        <w:tcPr>
          <w:tcW w:w="3009" w:type="dxa"/>
          <w:tcMar/>
        </w:tcPr>
        <w:p w:rsidR="2F3C6E30" w:rsidP="2F3C6E30" w:rsidRDefault="2F3C6E30" w14:noSpellErr="1" w14:paraId="4506038E" w14:textId="1E849571">
          <w:pPr>
            <w:pStyle w:val="Header"/>
            <w:bidi w:val="0"/>
            <w:ind w:right="-115"/>
            <w:jc w:val="right"/>
          </w:pPr>
          <w:r>
            <w:fldChar w:fldCharType="begin"/>
          </w:r>
          <w:r>
            <w:instrText xml:space="preserve">PAGE</w:instrText>
          </w:r>
          <w:r>
            <w:fldChar w:fldCharType="end"/>
          </w:r>
        </w:p>
      </w:tc>
    </w:tr>
  </w:tbl>
  <w:p w:rsidR="2F3C6E30" w:rsidP="2F3C6E30" w:rsidRDefault="2F3C6E30" w14:paraId="5F447564" w14:textId="3CE6DA8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F3C6E30" w:rsidTr="2F3C6E30" w14:paraId="1AA6AB72">
      <w:tc>
        <w:tcPr>
          <w:tcW w:w="3009" w:type="dxa"/>
          <w:tcMar/>
        </w:tcPr>
        <w:p w:rsidR="2F3C6E30" w:rsidP="2F3C6E30" w:rsidRDefault="2F3C6E30" w14:noSpellErr="1" w14:paraId="794B5FFA" w14:textId="71A84F7B">
          <w:pPr>
            <w:pStyle w:val="Header"/>
            <w:bidi w:val="0"/>
            <w:ind w:left="-115"/>
            <w:jc w:val="left"/>
          </w:pPr>
          <w:r w:rsidR="2F3C6E30">
            <w:rPr/>
            <w:t xml:space="preserve">Sabrina Rivas </w:t>
          </w:r>
        </w:p>
      </w:tc>
      <w:tc>
        <w:tcPr>
          <w:tcW w:w="3009" w:type="dxa"/>
          <w:tcMar/>
        </w:tcPr>
        <w:p w:rsidR="2F3C6E30" w:rsidP="2F3C6E30" w:rsidRDefault="2F3C6E30" w14:paraId="1C807D96" w14:textId="65ADAEE8">
          <w:pPr>
            <w:pStyle w:val="Header"/>
            <w:bidi w:val="0"/>
            <w:jc w:val="center"/>
          </w:pPr>
        </w:p>
      </w:tc>
      <w:tc>
        <w:tcPr>
          <w:tcW w:w="3009" w:type="dxa"/>
          <w:tcMar/>
        </w:tcPr>
        <w:p w:rsidR="2F3C6E30" w:rsidP="2F3C6E30" w:rsidRDefault="2F3C6E30" w14:noSpellErr="1" w14:paraId="3BD42C18" w14:textId="7032861C">
          <w:pPr>
            <w:pStyle w:val="Header"/>
            <w:bidi w:val="0"/>
            <w:ind w:right="-115"/>
            <w:jc w:val="right"/>
          </w:pPr>
          <w:r w:rsidR="2F3C6E30">
            <w:rPr/>
            <w:t>Word Count 3, 596</w:t>
          </w:r>
        </w:p>
      </w:tc>
    </w:tr>
  </w:tbl>
  <w:p w:rsidR="2F3C6E30" w:rsidP="2F3C6E30" w:rsidRDefault="2F3C6E30" w14:paraId="2310B0D7" w14:textId="44F5FB16">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804B3DC"/>
  <w15:docId w15:val="{bef23c30-c7c7-4d7d-a6ff-da21ef719978}"/>
  <w:rsids>
    <w:rsidRoot w:val="13133169"/>
    <w:rsid w:val="13133169"/>
    <w:rsid w:val="2F3C6E3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era.ac.uk/wp-content/uploads/2018/06/BERA-Ethical-Guidelines-for-Educational-Research_4thEdn_2018.pdf?noredirect=1" TargetMode="External" Id="R8947910a439f48db" /><Relationship Type="http://schemas.openxmlformats.org/officeDocument/2006/relationships/hyperlink" Target="https://www.rdc.udel.edu/wp-content/uploads/2015/04/InsideBlackBox.pdf" TargetMode="External" Id="R2878b603459e4e6a" /><Relationship Type="http://schemas.openxmlformats.org/officeDocument/2006/relationships/hyperlink" Target="https://gov.wales/docs/dcells/publications/150317-successful-futures-en.pdf" TargetMode="External" Id="R0e57bbaeb3ec43fb" /><Relationship Type="http://schemas.openxmlformats.org/officeDocument/2006/relationships/hyperlink" Target="https://improvingteaching.co.uk/2016/04/24/exit-tickets-assess-plan/" TargetMode="External" Id="Rdb87e7ca24a946bd" /><Relationship Type="http://schemas.openxmlformats.org/officeDocument/2006/relationships/hyperlink" Target="https://improvingteaching.co.uk/2018/09/02/showing-what-success-looks-like-the-magic-of-models/" TargetMode="External" Id="Re7b1a9aa0c9749e0" /><Relationship Type="http://schemas.openxmlformats.org/officeDocument/2006/relationships/hyperlink" Target="https://www.teachthought.com/learning/ways-to-use-blooms-taxonomy-in-the-classroom/" TargetMode="External" Id="Rc5ba6912ae604529" /><Relationship Type="http://schemas.openxmlformats.org/officeDocument/2006/relationships/hyperlink" Target="http://learning.gov.wales/docs/learningwales/news/130424-cwricwlwm-cymreig-report-en.pdf" TargetMode="External" Id="R0ef214a4bbe24eb8" /><Relationship Type="http://schemas.openxmlformats.org/officeDocument/2006/relationships/hyperlink" Target="https://www.simplypsychology.org/bruner.html" TargetMode="External" Id="R7781762f31e54e4d" /><Relationship Type="http://schemas.openxmlformats.org/officeDocument/2006/relationships/hyperlink" Target="https://moodle.uwtsd.ac.uk/mod/book/view.php?id=131774&amp;chapterid=4209" TargetMode="External" Id="Rf70492e2ddad45c0" /><Relationship Type="http://schemas.openxmlformats.org/officeDocument/2006/relationships/hyperlink" Target="https://moodle.uwtsd.ac.uk/pluginfile.php/185293/mod_resource/content/1/ECSP6001%20Module%20Handbook.pdf" TargetMode="External" Id="Red9c4db3ec8d4aaf" /><Relationship Type="http://schemas.openxmlformats.org/officeDocument/2006/relationships/header" Target="/word/header.xml" Id="Rfc2882ab45364112" /><Relationship Type="http://schemas.openxmlformats.org/officeDocument/2006/relationships/footer" Target="/word/footer.xml" Id="Rc2a022e51b554298" /><Relationship Type="http://schemas.openxmlformats.org/officeDocument/2006/relationships/numbering" Target="/word/numbering.xml" Id="Rce361fca50ae48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Sabrina Rivas (1804204)</dc:creator>
  <keywords/>
  <dc:description/>
  <lastModifiedBy>Sabrina Rivas (1804204)</lastModifiedBy>
  <revision>2</revision>
  <dcterms:created xsi:type="dcterms:W3CDTF">2018-11-26T17:59:41.2524799Z</dcterms:created>
  <dcterms:modified xsi:type="dcterms:W3CDTF">2018-11-26T20:03:05.8385801Z</dcterms:modified>
</coreProperties>
</file>