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3377" w:rsidRPr="00A406E5" w:rsidTr="008F1308">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8F3377" w:rsidRPr="00A406E5" w:rsidRDefault="008F3377" w:rsidP="008F3377">
            <w:pPr>
              <w:spacing w:before="120" w:after="120"/>
              <w:jc w:val="both"/>
              <w:rPr>
                <w:rFonts w:ascii="Arial" w:hAnsi="Arial" w:cs="Arial"/>
                <w:b/>
                <w:sz w:val="22"/>
                <w:szCs w:val="22"/>
              </w:rPr>
            </w:pPr>
          </w:p>
        </w:tc>
      </w:tr>
      <w:tr w:rsidR="008F3377" w:rsidRPr="00A406E5" w:rsidTr="00A406E5">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History</w:t>
            </w:r>
          </w:p>
        </w:tc>
      </w:tr>
      <w:tr w:rsidR="008F3377" w:rsidRPr="00A406E5" w:rsidTr="00A628CC">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3377" w:rsidRPr="00A406E5" w:rsidRDefault="008F3377" w:rsidP="008F3377">
            <w:pPr>
              <w:spacing w:before="120" w:after="120"/>
              <w:jc w:val="both"/>
              <w:rPr>
                <w:rFonts w:ascii="Arial" w:hAnsi="Arial" w:cs="Arial"/>
                <w:b/>
                <w:sz w:val="22"/>
                <w:szCs w:val="22"/>
              </w:rPr>
            </w:pPr>
            <w:r w:rsidRPr="00A042B2">
              <w:rPr>
                <w:rFonts w:ascii="Arial" w:hAnsi="Arial" w:cs="Arial"/>
                <w:b/>
                <w:sz w:val="22"/>
                <w:szCs w:val="22"/>
              </w:rPr>
              <w:t>Routes and Roots of the Black Atlantic: Cultural Histories of the African Diaspora</w:t>
            </w:r>
          </w:p>
        </w:tc>
      </w:tr>
      <w:tr w:rsidR="008F3377" w:rsidRPr="00A406E5" w:rsidTr="008F1308">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HPHI5</w:t>
            </w:r>
            <w:bookmarkStart w:id="0" w:name="_GoBack"/>
            <w:bookmarkEnd w:id="0"/>
            <w:r>
              <w:rPr>
                <w:rFonts w:ascii="Arial" w:hAnsi="Arial" w:cs="Arial"/>
                <w:b/>
                <w:sz w:val="22"/>
                <w:szCs w:val="22"/>
              </w:rPr>
              <w:t>006</w:t>
            </w:r>
          </w:p>
        </w:tc>
        <w:tc>
          <w:tcPr>
            <w:tcW w:w="2268" w:type="dxa"/>
            <w:shd w:val="clear" w:color="auto" w:fill="D9D9D9"/>
          </w:tcPr>
          <w:p w:rsidR="008F3377" w:rsidRPr="004D5E9B" w:rsidRDefault="008F3377" w:rsidP="008F33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50%</w:t>
            </w:r>
          </w:p>
        </w:tc>
      </w:tr>
      <w:tr w:rsidR="008F3377" w:rsidRPr="00A406E5" w:rsidTr="008F1308">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Dr Alexander Scott</w:t>
            </w:r>
          </w:p>
        </w:tc>
        <w:tc>
          <w:tcPr>
            <w:tcW w:w="2268" w:type="dxa"/>
            <w:shd w:val="clear" w:color="auto" w:fill="D9D9D9"/>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Dr Lester Mason</w:t>
            </w:r>
          </w:p>
        </w:tc>
      </w:tr>
      <w:tr w:rsidR="008F3377" w:rsidRPr="00A406E5" w:rsidTr="008F1308">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F3377" w:rsidRDefault="008F3377" w:rsidP="008F3377">
            <w:pPr>
              <w:spacing w:before="120" w:after="120"/>
              <w:jc w:val="both"/>
              <w:rPr>
                <w:rFonts w:ascii="Arial" w:hAnsi="Arial" w:cs="Arial"/>
                <w:b/>
                <w:sz w:val="22"/>
                <w:szCs w:val="22"/>
              </w:rPr>
            </w:pPr>
            <w:r>
              <w:rPr>
                <w:rFonts w:ascii="Arial" w:hAnsi="Arial" w:cs="Arial"/>
                <w:b/>
                <w:sz w:val="22"/>
                <w:szCs w:val="22"/>
              </w:rPr>
              <w:t>Essay</w:t>
            </w:r>
          </w:p>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(Biographical Study)</w:t>
            </w:r>
          </w:p>
        </w:tc>
        <w:tc>
          <w:tcPr>
            <w:tcW w:w="2268" w:type="dxa"/>
            <w:shd w:val="pct15" w:color="auto" w:fill="auto"/>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8F3377" w:rsidRDefault="008F3377" w:rsidP="008F3377">
            <w:pPr>
              <w:spacing w:before="120" w:after="120"/>
              <w:jc w:val="both"/>
              <w:rPr>
                <w:rFonts w:ascii="Arial" w:hAnsi="Arial" w:cs="Arial"/>
                <w:b/>
                <w:sz w:val="22"/>
                <w:szCs w:val="22"/>
              </w:rPr>
            </w:pPr>
            <w:r>
              <w:rPr>
                <w:rFonts w:ascii="Arial" w:hAnsi="Arial" w:cs="Arial"/>
                <w:b/>
                <w:sz w:val="22"/>
                <w:szCs w:val="22"/>
              </w:rPr>
              <w:t>2500 words</w:t>
            </w:r>
          </w:p>
          <w:p w:rsidR="008F3377" w:rsidRPr="00A406E5" w:rsidRDefault="008F3377" w:rsidP="008F3377">
            <w:pPr>
              <w:spacing w:before="120" w:after="120"/>
              <w:jc w:val="both"/>
              <w:rPr>
                <w:rFonts w:ascii="Arial" w:hAnsi="Arial" w:cs="Arial"/>
                <w:b/>
                <w:sz w:val="22"/>
                <w:szCs w:val="22"/>
              </w:rPr>
            </w:pPr>
          </w:p>
        </w:tc>
      </w:tr>
      <w:tr w:rsidR="008F3377" w:rsidRPr="00A406E5" w:rsidTr="008F1308">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8F3377" w:rsidRPr="00A406E5" w:rsidRDefault="008F3377" w:rsidP="008F3377">
            <w:pPr>
              <w:spacing w:before="120" w:after="120"/>
              <w:jc w:val="both"/>
              <w:rPr>
                <w:rFonts w:ascii="Arial" w:hAnsi="Arial" w:cs="Arial"/>
                <w:b/>
                <w:sz w:val="22"/>
                <w:szCs w:val="22"/>
              </w:rPr>
            </w:pPr>
            <w:r>
              <w:rPr>
                <w:rFonts w:ascii="Arial" w:hAnsi="Arial" w:cs="Arial"/>
                <w:b/>
                <w:sz w:val="22"/>
                <w:szCs w:val="22"/>
              </w:rPr>
              <w:t xml:space="preserve">Sunday 2 February </w:t>
            </w:r>
          </w:p>
        </w:tc>
        <w:tc>
          <w:tcPr>
            <w:tcW w:w="2268"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8F3377" w:rsidRDefault="008F3377" w:rsidP="008F3377">
            <w:pPr>
              <w:spacing w:before="120" w:after="120"/>
              <w:jc w:val="both"/>
              <w:rPr>
                <w:rFonts w:ascii="Arial" w:hAnsi="Arial" w:cs="Arial"/>
                <w:b/>
                <w:sz w:val="22"/>
                <w:szCs w:val="22"/>
              </w:rPr>
            </w:pPr>
            <w:r>
              <w:rPr>
                <w:rFonts w:ascii="Arial" w:hAnsi="Arial" w:cs="Arial"/>
                <w:b/>
                <w:sz w:val="22"/>
                <w:szCs w:val="22"/>
              </w:rPr>
              <w:t xml:space="preserve">Sunday 9 February </w:t>
            </w:r>
          </w:p>
          <w:p w:rsidR="008F3377" w:rsidRDefault="008F3377" w:rsidP="008F3377">
            <w:pPr>
              <w:spacing w:before="120" w:after="120"/>
              <w:jc w:val="both"/>
              <w:rPr>
                <w:rFonts w:ascii="Arial" w:hAnsi="Arial" w:cs="Arial"/>
                <w:b/>
                <w:sz w:val="22"/>
                <w:szCs w:val="22"/>
              </w:rPr>
            </w:pPr>
          </w:p>
          <w:p w:rsidR="008F3377" w:rsidRPr="00A406E5" w:rsidRDefault="008F3377" w:rsidP="008F3377">
            <w:pPr>
              <w:spacing w:before="120" w:after="120"/>
              <w:jc w:val="both"/>
              <w:rPr>
                <w:rFonts w:ascii="Arial" w:hAnsi="Arial" w:cs="Arial"/>
                <w:b/>
                <w:sz w:val="22"/>
                <w:szCs w:val="22"/>
              </w:rPr>
            </w:pPr>
          </w:p>
        </w:tc>
      </w:tr>
      <w:tr w:rsidR="008F3377" w:rsidRPr="00A406E5" w:rsidTr="00A406E5">
        <w:tc>
          <w:tcPr>
            <w:tcW w:w="2093" w:type="dxa"/>
            <w:shd w:val="pct15" w:color="auto" w:fill="auto"/>
          </w:tcPr>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8F3377" w:rsidRPr="00A406E5" w:rsidRDefault="008F3377" w:rsidP="008F33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F3377" w:rsidRPr="00A406E5" w:rsidRDefault="008F3377" w:rsidP="008F33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F3377" w:rsidRPr="00A406E5" w:rsidTr="00A406E5">
        <w:tc>
          <w:tcPr>
            <w:tcW w:w="2093" w:type="dxa"/>
            <w:shd w:val="pct15" w:color="auto" w:fill="auto"/>
          </w:tcPr>
          <w:p w:rsidR="008F3377" w:rsidRPr="00A406E5" w:rsidRDefault="008F3377" w:rsidP="008F33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8F3377" w:rsidRPr="00A406E5" w:rsidRDefault="008F3377" w:rsidP="008F33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152E9D">
            <w:pPr>
              <w:ind w:left="360"/>
              <w:rPr>
                <w:rFonts w:ascii="Arial" w:hAnsi="Arial" w:cs="Arial"/>
                <w:sz w:val="22"/>
                <w:szCs w:val="22"/>
              </w:rPr>
            </w:pPr>
          </w:p>
          <w:p w:rsidR="00A042B2" w:rsidRPr="009F7E6D" w:rsidRDefault="00A042B2" w:rsidP="00A042B2">
            <w:pPr>
              <w:pStyle w:val="ListParagraph"/>
              <w:numPr>
                <w:ilvl w:val="0"/>
                <w:numId w:val="17"/>
              </w:numPr>
              <w:ind w:left="1003"/>
              <w:contextualSpacing w:val="0"/>
              <w:rPr>
                <w:rFonts w:ascii="Arial" w:hAnsi="Arial" w:cs="Arial"/>
                <w:sz w:val="22"/>
                <w:szCs w:val="22"/>
              </w:rPr>
            </w:pPr>
            <w:r>
              <w:rPr>
                <w:rFonts w:ascii="Arial" w:hAnsi="Arial" w:cs="Arial"/>
                <w:sz w:val="22"/>
                <w:szCs w:val="22"/>
              </w:rPr>
              <w:t>demonstrate a coherent</w:t>
            </w:r>
            <w:r w:rsidRPr="009F7E6D">
              <w:rPr>
                <w:rFonts w:ascii="Arial" w:hAnsi="Arial" w:cs="Arial"/>
                <w:sz w:val="22"/>
                <w:szCs w:val="22"/>
              </w:rPr>
              <w:t xml:space="preserve"> general knowledge of the history and culture of the African diaspora</w:t>
            </w:r>
            <w:r>
              <w:rPr>
                <w:rFonts w:ascii="Arial" w:hAnsi="Arial" w:cs="Arial"/>
                <w:sz w:val="22"/>
                <w:szCs w:val="22"/>
              </w:rPr>
              <w:t>;</w:t>
            </w:r>
          </w:p>
          <w:p w:rsidR="00A042B2" w:rsidRPr="009F7E6D" w:rsidRDefault="00A042B2" w:rsidP="00A042B2">
            <w:pPr>
              <w:pStyle w:val="ListParagraph"/>
              <w:numPr>
                <w:ilvl w:val="0"/>
                <w:numId w:val="17"/>
              </w:numPr>
              <w:ind w:left="1003"/>
              <w:contextualSpacing w:val="0"/>
              <w:rPr>
                <w:rFonts w:ascii="Arial" w:hAnsi="Arial" w:cs="Arial"/>
                <w:sz w:val="22"/>
                <w:szCs w:val="22"/>
              </w:rPr>
            </w:pPr>
            <w:r>
              <w:rPr>
                <w:rFonts w:ascii="Arial" w:hAnsi="Arial" w:cs="Arial"/>
                <w:sz w:val="22"/>
                <w:szCs w:val="22"/>
              </w:rPr>
              <w:t>u</w:t>
            </w:r>
            <w:r w:rsidRPr="009F7E6D">
              <w:rPr>
                <w:rFonts w:ascii="Arial" w:hAnsi="Arial" w:cs="Arial"/>
                <w:sz w:val="22"/>
                <w:szCs w:val="22"/>
              </w:rPr>
              <w:t>nderstand and apply the theoretical ideas of Paul Gilroy and other scholars of the African diaspora</w:t>
            </w:r>
            <w:r>
              <w:rPr>
                <w:rFonts w:ascii="Arial" w:hAnsi="Arial" w:cs="Arial"/>
                <w:sz w:val="22"/>
                <w:szCs w:val="22"/>
              </w:rPr>
              <w:t>;</w:t>
            </w:r>
          </w:p>
          <w:p w:rsidR="00A042B2" w:rsidRPr="009F7E6D" w:rsidRDefault="00A042B2" w:rsidP="00A042B2">
            <w:pPr>
              <w:pStyle w:val="ListParagraph"/>
              <w:numPr>
                <w:ilvl w:val="0"/>
                <w:numId w:val="17"/>
              </w:numPr>
              <w:ind w:left="1003"/>
              <w:contextualSpacing w:val="0"/>
              <w:rPr>
                <w:rFonts w:ascii="Arial" w:hAnsi="Arial" w:cs="Arial"/>
                <w:sz w:val="22"/>
                <w:szCs w:val="22"/>
              </w:rPr>
            </w:pPr>
            <w:r>
              <w:rPr>
                <w:rFonts w:ascii="Arial" w:hAnsi="Arial" w:cs="Arial"/>
                <w:sz w:val="22"/>
                <w:szCs w:val="22"/>
              </w:rPr>
              <w:t>u</w:t>
            </w:r>
            <w:r w:rsidRPr="009F7E6D">
              <w:rPr>
                <w:rFonts w:ascii="Arial" w:hAnsi="Arial" w:cs="Arial"/>
                <w:sz w:val="22"/>
                <w:szCs w:val="22"/>
              </w:rPr>
              <w:t>nderstand and apply cultural history approaches to the study of the African diaspora.</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042B2" w:rsidRPr="001E3534" w:rsidRDefault="00A042B2" w:rsidP="00A042B2">
      <w:pPr>
        <w:spacing w:line="360" w:lineRule="auto"/>
        <w:rPr>
          <w:rFonts w:ascii="Georgia" w:hAnsi="Georgia"/>
          <w:sz w:val="24"/>
          <w:szCs w:val="24"/>
        </w:rPr>
      </w:pPr>
    </w:p>
    <w:p w:rsidR="00802984" w:rsidRDefault="00802984" w:rsidP="00802984">
      <w:pPr>
        <w:ind w:left="720"/>
        <w:rPr>
          <w:rFonts w:ascii="Georgia" w:hAnsi="Georgia" w:cs="Arial"/>
          <w:sz w:val="24"/>
          <w:szCs w:val="24"/>
          <w:u w:val="single"/>
        </w:rPr>
      </w:pPr>
      <w:r w:rsidRPr="00802984">
        <w:rPr>
          <w:rFonts w:ascii="Georgia" w:hAnsi="Georgia" w:cs="Arial"/>
          <w:sz w:val="24"/>
          <w:szCs w:val="24"/>
          <w:u w:val="single"/>
        </w:rPr>
        <w:t>Assessment 2: Essay – Biographical Study</w:t>
      </w:r>
    </w:p>
    <w:p w:rsidR="00802984" w:rsidRPr="00802984" w:rsidRDefault="00802984" w:rsidP="00802984">
      <w:pPr>
        <w:ind w:left="720"/>
        <w:rPr>
          <w:rFonts w:ascii="Georgia" w:hAnsi="Georgia" w:cs="Arial"/>
          <w:sz w:val="24"/>
          <w:szCs w:val="24"/>
          <w:u w:val="single"/>
        </w:rPr>
      </w:pP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Students should write a 2500-word essay interpreting the biography an individual whose life story they think exemplifies the themes of the module. Emphasis is placed on applying the concept of the ‘Black Atlantic’ as covered in the first piece of assessment.</w:t>
      </w:r>
    </w:p>
    <w:p w:rsidR="00802984" w:rsidRPr="00802984" w:rsidRDefault="00802984" w:rsidP="00802984">
      <w:pPr>
        <w:ind w:left="720"/>
        <w:rPr>
          <w:rFonts w:ascii="Georgia" w:hAnsi="Georgia" w:cs="Arial"/>
          <w:sz w:val="24"/>
          <w:szCs w:val="24"/>
        </w:rPr>
      </w:pPr>
    </w:p>
    <w:p w:rsidR="00802984" w:rsidRDefault="00802984" w:rsidP="00802984">
      <w:pPr>
        <w:ind w:left="720"/>
        <w:rPr>
          <w:rFonts w:ascii="Georgia" w:hAnsi="Georgia" w:cs="Arial"/>
          <w:sz w:val="24"/>
          <w:szCs w:val="24"/>
        </w:rPr>
      </w:pPr>
      <w:r w:rsidRPr="00802984">
        <w:rPr>
          <w:rFonts w:ascii="Georgia" w:hAnsi="Georgia" w:cs="Arial"/>
          <w:sz w:val="24"/>
          <w:szCs w:val="24"/>
        </w:rPr>
        <w:t>•</w:t>
      </w:r>
      <w:r w:rsidRPr="00802984">
        <w:rPr>
          <w:rFonts w:ascii="Georgia" w:hAnsi="Georgia" w:cs="Arial"/>
          <w:sz w:val="24"/>
          <w:szCs w:val="24"/>
        </w:rPr>
        <w:tab/>
        <w:t xml:space="preserve">Write a biographical study of someone whose life-story is pertinent on the themes of the module. What contributions did your chosen subject make with respect to black history, politics and/or culture? What makes their biography exemplary of Paul Gilroy’s concept of the ‘Black Atlantic’? </w:t>
      </w:r>
    </w:p>
    <w:p w:rsidR="00802984" w:rsidRPr="00802984" w:rsidRDefault="00802984" w:rsidP="00802984">
      <w:pPr>
        <w:ind w:left="720"/>
        <w:rPr>
          <w:rFonts w:ascii="Georgia" w:hAnsi="Georgia" w:cs="Arial"/>
          <w:sz w:val="24"/>
          <w:szCs w:val="24"/>
        </w:rPr>
      </w:pPr>
    </w:p>
    <w:p w:rsidR="00802984" w:rsidRPr="00802984" w:rsidRDefault="00802984" w:rsidP="00802984">
      <w:pPr>
        <w:ind w:left="720"/>
        <w:rPr>
          <w:rFonts w:ascii="Georgia" w:hAnsi="Georgia" w:cs="Arial"/>
          <w:sz w:val="24"/>
          <w:szCs w:val="24"/>
        </w:rPr>
      </w:pPr>
    </w:p>
    <w:p w:rsidR="00802984" w:rsidRPr="00802984" w:rsidRDefault="00802984" w:rsidP="00802984">
      <w:pPr>
        <w:ind w:left="720"/>
        <w:rPr>
          <w:rFonts w:ascii="Georgia" w:hAnsi="Georgia" w:cs="Arial"/>
          <w:sz w:val="24"/>
          <w:szCs w:val="24"/>
        </w:rPr>
      </w:pPr>
      <w:r w:rsidRPr="00802984">
        <w:rPr>
          <w:rFonts w:ascii="Georgia" w:hAnsi="Georgia" w:cs="Arial"/>
          <w:i/>
          <w:sz w:val="24"/>
          <w:szCs w:val="24"/>
        </w:rPr>
        <w:t xml:space="preserve">Students are permitted to devise their own biographical subject; however, the following have been </w:t>
      </w:r>
      <w:r w:rsidRPr="00802984">
        <w:rPr>
          <w:rFonts w:ascii="Georgia" w:hAnsi="Georgia" w:cs="Arial"/>
          <w:i/>
          <w:sz w:val="24"/>
          <w:szCs w:val="24"/>
        </w:rPr>
        <w:t>chosen as</w:t>
      </w:r>
      <w:r w:rsidRPr="00802984">
        <w:rPr>
          <w:rFonts w:ascii="Georgia" w:hAnsi="Georgia" w:cs="Arial"/>
          <w:i/>
          <w:sz w:val="24"/>
          <w:szCs w:val="24"/>
        </w:rPr>
        <w:t xml:space="preserve"> examples of people whose life stories are particularly pertinent to Gilroy’s concept of the Black Atlantic</w:t>
      </w:r>
      <w:r w:rsidRPr="00802984">
        <w:rPr>
          <w:rFonts w:ascii="Georgia" w:hAnsi="Georgia" w:cs="Arial"/>
          <w:sz w:val="24"/>
          <w:szCs w:val="24"/>
        </w:rPr>
        <w:t>:</w:t>
      </w:r>
    </w:p>
    <w:p w:rsidR="00802984" w:rsidRPr="00802984" w:rsidRDefault="00802984" w:rsidP="00802984">
      <w:pPr>
        <w:ind w:left="720"/>
        <w:rPr>
          <w:rFonts w:ascii="Georgia" w:hAnsi="Georgia" w:cs="Arial"/>
          <w:sz w:val="24"/>
          <w:szCs w:val="24"/>
        </w:rPr>
      </w:pPr>
    </w:p>
    <w:p w:rsidR="00802984" w:rsidRDefault="00802984" w:rsidP="00802984">
      <w:pPr>
        <w:ind w:left="720"/>
        <w:rPr>
          <w:rFonts w:ascii="Georgia" w:hAnsi="Georgia" w:cs="Arial"/>
          <w:sz w:val="24"/>
          <w:szCs w:val="24"/>
        </w:rPr>
        <w:sectPr w:rsidR="00802984" w:rsidSect="00A042B2">
          <w:footerReference w:type="default" r:id="rId9"/>
          <w:pgSz w:w="11894" w:h="16834"/>
          <w:pgMar w:top="238" w:right="363" w:bottom="357" w:left="363" w:header="706" w:footer="454" w:gutter="0"/>
          <w:paperSrc w:first="1" w:other="1"/>
          <w:cols w:space="720"/>
          <w:docGrid w:linePitch="272"/>
        </w:sectPr>
      </w:pP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Olaudah Equiano</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Frederick Douglass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Harriet Jacobs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Mary Prince</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Phillis Wheatley</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Olaudah Equiano</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Ignatius Sancho</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Marcus Garvey</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William Wells Brown</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Angela Davis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Kathleen Cleaver</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Josephine Baker</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Paul Robeson</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Muhammad Ali</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Joe Louis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Jack Johnson</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CLR James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Bob Marley</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Zora Neale Hurtson</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Nina Simone</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Malcolm X</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WEB Du Bois</w:t>
      </w:r>
    </w:p>
    <w:p w:rsidR="00802984" w:rsidRPr="00802984" w:rsidRDefault="00802984" w:rsidP="00802984">
      <w:pPr>
        <w:ind w:left="720"/>
        <w:rPr>
          <w:rFonts w:ascii="Georgia" w:hAnsi="Georgia" w:cs="Arial"/>
          <w:sz w:val="24"/>
          <w:szCs w:val="24"/>
        </w:rPr>
      </w:pPr>
      <w:r w:rsidRPr="00802984">
        <w:rPr>
          <w:rFonts w:ascii="Georgia" w:hAnsi="Georgia" w:cs="Arial"/>
          <w:sz w:val="24"/>
          <w:szCs w:val="24"/>
        </w:rPr>
        <w:t>Mary Seacole</w:t>
      </w:r>
    </w:p>
    <w:p w:rsidR="00152E9D" w:rsidRPr="00A406E5" w:rsidRDefault="00802984" w:rsidP="00802984">
      <w:pPr>
        <w:ind w:left="720"/>
        <w:rPr>
          <w:rFonts w:ascii="Arial" w:hAnsi="Arial" w:cs="Arial"/>
          <w:sz w:val="24"/>
          <w:szCs w:val="24"/>
        </w:rPr>
      </w:pPr>
      <w:r w:rsidRPr="00802984">
        <w:rPr>
          <w:rFonts w:ascii="Georgia" w:hAnsi="Georgia" w:cs="Arial"/>
          <w:sz w:val="24"/>
          <w:szCs w:val="24"/>
        </w:rPr>
        <w:t>Stuart Hall</w:t>
      </w:r>
    </w:p>
    <w:p w:rsidR="00802984" w:rsidRDefault="00802984" w:rsidP="00D22D9C">
      <w:pPr>
        <w:jc w:val="both"/>
        <w:rPr>
          <w:rFonts w:ascii="Arial" w:hAnsi="Arial" w:cs="Arial"/>
          <w:sz w:val="22"/>
          <w:szCs w:val="22"/>
        </w:rPr>
        <w:sectPr w:rsidR="00802984" w:rsidSect="00802984">
          <w:type w:val="continuous"/>
          <w:pgSz w:w="11894" w:h="16834"/>
          <w:pgMar w:top="238" w:right="363" w:bottom="357" w:left="363" w:header="706" w:footer="454" w:gutter="0"/>
          <w:paperSrc w:first="1" w:other="1"/>
          <w:cols w:num="2" w:space="720"/>
          <w:docGrid w:linePitch="272"/>
        </w:sect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w:t>
      </w:r>
      <w:r w:rsidR="00D22D9C" w:rsidRPr="00A406E5">
        <w:rPr>
          <w:rFonts w:ascii="Arial" w:hAnsi="Arial" w:cs="Arial"/>
          <w:sz w:val="22"/>
          <w:szCs w:val="22"/>
        </w:rPr>
        <w:lastRenderedPageBreak/>
        <w:t xml:space="preserve">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Default="00D22D9C" w:rsidP="00D22D9C">
      <w:pPr>
        <w:jc w:val="both"/>
        <w:rPr>
          <w:rFonts w:ascii="Arial" w:hAnsi="Arial" w:cs="Arial"/>
          <w:sz w:val="22"/>
          <w:szCs w:val="22"/>
        </w:rPr>
      </w:pPr>
    </w:p>
    <w:p w:rsidR="00A042B2" w:rsidRPr="00F90AAE" w:rsidRDefault="00A042B2" w:rsidP="00802984">
      <w:pPr>
        <w:spacing w:line="360" w:lineRule="auto"/>
        <w:jc w:val="both"/>
        <w:rPr>
          <w:rFonts w:ascii="Georgia" w:hAnsi="Georgia" w:cstheme="minorHAnsi"/>
          <w:sz w:val="24"/>
          <w:szCs w:val="24"/>
        </w:rPr>
      </w:pPr>
    </w:p>
    <w:p w:rsidR="00A042B2" w:rsidRPr="00A406E5" w:rsidRDefault="00A042B2"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802984">
          <w:type w:val="continuous"/>
          <w:pgSz w:w="11894" w:h="16834"/>
          <w:pgMar w:top="238" w:right="363" w:bottom="357" w:left="363"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337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3377">
      <w:rPr>
        <w:b/>
        <w:noProof/>
      </w:rPr>
      <w:t>10</w:t>
    </w:r>
    <w:r w:rsidR="0017512A">
      <w:rPr>
        <w:b/>
        <w:sz w:val="24"/>
        <w:szCs w:val="24"/>
      </w:rPr>
      <w:fldChar w:fldCharType="end"/>
    </w:r>
  </w:p>
  <w:p w:rsidR="00152E9D" w:rsidRDefault="00152E9D">
    <w:pPr>
      <w:pStyle w:val="Footer"/>
      <w:jc w:val="right"/>
      <w:rPr>
        <w:sz w:val="16"/>
      </w:rPr>
    </w:pPr>
  </w:p>
  <w:p w:rsidR="00000000" w:rsidRDefault="008F3377"/>
  <w:p w:rsidR="00000000" w:rsidRDefault="008F3377"/>
  <w:p w:rsidR="00000000" w:rsidRDefault="008F3377"/>
  <w:p w:rsidR="00000000" w:rsidRDefault="008F3377"/>
  <w:p w:rsidR="00000000" w:rsidRDefault="008F337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C5C"/>
    <w:multiLevelType w:val="hybridMultilevel"/>
    <w:tmpl w:val="6436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42A62"/>
    <w:multiLevelType w:val="hybridMultilevel"/>
    <w:tmpl w:val="38020604"/>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521ED"/>
    <w:multiLevelType w:val="hybridMultilevel"/>
    <w:tmpl w:val="C4126ECA"/>
    <w:lvl w:ilvl="0" w:tplc="A8A658C4">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0013A1"/>
    <w:multiLevelType w:val="hybridMultilevel"/>
    <w:tmpl w:val="4B10F522"/>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B07340"/>
    <w:multiLevelType w:val="hybridMultilevel"/>
    <w:tmpl w:val="78D29916"/>
    <w:lvl w:ilvl="0" w:tplc="04090001">
      <w:start w:val="1"/>
      <w:numFmt w:val="bullet"/>
      <w:lvlText w:val=""/>
      <w:lvlJc w:val="left"/>
      <w:pPr>
        <w:ind w:left="720" w:hanging="72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C5B34"/>
    <w:multiLevelType w:val="hybridMultilevel"/>
    <w:tmpl w:val="62DE3D68"/>
    <w:lvl w:ilvl="0" w:tplc="C998429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7416FE"/>
    <w:multiLevelType w:val="hybridMultilevel"/>
    <w:tmpl w:val="A5C8932A"/>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23781"/>
    <w:multiLevelType w:val="hybridMultilevel"/>
    <w:tmpl w:val="FB2A0EC8"/>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431EB3"/>
    <w:multiLevelType w:val="hybridMultilevel"/>
    <w:tmpl w:val="C25E2518"/>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816A2"/>
    <w:multiLevelType w:val="hybridMultilevel"/>
    <w:tmpl w:val="D180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9E634C"/>
    <w:multiLevelType w:val="hybridMultilevel"/>
    <w:tmpl w:val="E4F07C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423647"/>
    <w:multiLevelType w:val="hybridMultilevel"/>
    <w:tmpl w:val="FFE6E9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D62745"/>
    <w:multiLevelType w:val="hybridMultilevel"/>
    <w:tmpl w:val="0CA8F8A0"/>
    <w:lvl w:ilvl="0" w:tplc="0A8884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4F269E"/>
    <w:multiLevelType w:val="hybridMultilevel"/>
    <w:tmpl w:val="72489F22"/>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8"/>
  </w:num>
  <w:num w:numId="4">
    <w:abstractNumId w:val="19"/>
  </w:num>
  <w:num w:numId="5">
    <w:abstractNumId w:val="12"/>
  </w:num>
  <w:num w:numId="6">
    <w:abstractNumId w:val="27"/>
  </w:num>
  <w:num w:numId="7">
    <w:abstractNumId w:val="5"/>
  </w:num>
  <w:num w:numId="8">
    <w:abstractNumId w:val="25"/>
  </w:num>
  <w:num w:numId="9">
    <w:abstractNumId w:val="16"/>
  </w:num>
  <w:num w:numId="10">
    <w:abstractNumId w:val="7"/>
  </w:num>
  <w:num w:numId="11">
    <w:abstractNumId w:val="8"/>
  </w:num>
  <w:num w:numId="12">
    <w:abstractNumId w:val="13"/>
  </w:num>
  <w:num w:numId="13">
    <w:abstractNumId w:val="23"/>
  </w:num>
  <w:num w:numId="14">
    <w:abstractNumId w:val="6"/>
  </w:num>
  <w:num w:numId="15">
    <w:abstractNumId w:val="0"/>
  </w:num>
  <w:num w:numId="16">
    <w:abstractNumId w:val="10"/>
  </w:num>
  <w:num w:numId="17">
    <w:abstractNumId w:val="11"/>
  </w:num>
  <w:num w:numId="18">
    <w:abstractNumId w:val="24"/>
  </w:num>
  <w:num w:numId="19">
    <w:abstractNumId w:val="22"/>
  </w:num>
  <w:num w:numId="20">
    <w:abstractNumId w:val="17"/>
  </w:num>
  <w:num w:numId="21">
    <w:abstractNumId w:val="26"/>
  </w:num>
  <w:num w:numId="22">
    <w:abstractNumId w:val="9"/>
  </w:num>
  <w:num w:numId="23">
    <w:abstractNumId w:val="20"/>
  </w:num>
  <w:num w:numId="24">
    <w:abstractNumId w:val="1"/>
  </w:num>
  <w:num w:numId="25">
    <w:abstractNumId w:val="2"/>
  </w:num>
  <w:num w:numId="26">
    <w:abstractNumId w:val="30"/>
  </w:num>
  <w:num w:numId="27">
    <w:abstractNumId w:val="21"/>
  </w:num>
  <w:num w:numId="28">
    <w:abstractNumId w:val="18"/>
  </w:num>
  <w:num w:numId="29">
    <w:abstractNumId w:val="14"/>
  </w:num>
  <w:num w:numId="30">
    <w:abstractNumId w:val="29"/>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1C1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2984"/>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377"/>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2B2"/>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1F3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E7C9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A042B2"/>
    <w:rPr>
      <w:lang w:eastAsia="en-GB"/>
    </w:rPr>
  </w:style>
  <w:style w:type="paragraph" w:customStyle="1" w:styleId="Alex">
    <w:name w:val="Alex"/>
    <w:basedOn w:val="NoSpacing"/>
    <w:qFormat/>
    <w:rsid w:val="00A042B2"/>
    <w:pPr>
      <w:spacing w:line="360" w:lineRule="auto"/>
      <w:jc w:val="both"/>
    </w:pPr>
    <w:rPr>
      <w:rFonts w:eastAsiaTheme="minorHAnsi" w:cstheme="minorBidi"/>
      <w:sz w:val="22"/>
      <w:szCs w:val="22"/>
      <w:lang w:eastAsia="en-US"/>
    </w:rPr>
  </w:style>
  <w:style w:type="paragraph" w:styleId="NoSpacing">
    <w:name w:val="No Spacing"/>
    <w:uiPriority w:val="68"/>
    <w:rsid w:val="00A042B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3272</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Alexander Scott</cp:lastModifiedBy>
  <cp:revision>3</cp:revision>
  <cp:lastPrinted>2014-10-10T07:42:00Z</cp:lastPrinted>
  <dcterms:created xsi:type="dcterms:W3CDTF">2019-07-23T17:32:00Z</dcterms:created>
  <dcterms:modified xsi:type="dcterms:W3CDTF">2019-07-23T17:33:00Z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