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sz w:val="28"/>
          <w:szCs w:val="28"/>
        </w:rPr>
      </w:pPr>
      <w:r w:rsidDel="00000000" w:rsidR="00000000" w:rsidRPr="00000000">
        <w:rPr>
          <w:sz w:val="28"/>
          <w:szCs w:val="28"/>
          <w:rtl w:val="0"/>
        </w:rPr>
        <w:t xml:space="preserve">Why should Marks and Spencer continue to engage with its stakeholders? (Supplementary notes) </w:t>
      </w:r>
    </w:p>
    <w:p w:rsidR="00000000" w:rsidDel="00000000" w:rsidP="00000000" w:rsidRDefault="00000000" w:rsidRPr="00000000" w14:paraId="00000003">
      <w:pPr>
        <w:jc w:val="center"/>
        <w:rPr>
          <w:sz w:val="28"/>
          <w:szCs w:val="28"/>
          <w:u w:val="single"/>
        </w:rPr>
      </w:pPr>
      <w:r w:rsidDel="00000000" w:rsidR="00000000" w:rsidRPr="00000000">
        <w:rPr>
          <w:rtl w:val="0"/>
        </w:rPr>
      </w:r>
    </w:p>
    <w:p w:rsidR="00000000" w:rsidDel="00000000" w:rsidP="00000000" w:rsidRDefault="00000000" w:rsidRPr="00000000" w14:paraId="00000004">
      <w:pPr>
        <w:jc w:val="both"/>
        <w:rPr/>
      </w:pPr>
      <w:r w:rsidDel="00000000" w:rsidR="00000000" w:rsidRPr="00000000">
        <w:rPr>
          <w:rtl w:val="0"/>
        </w:rPr>
        <w:t xml:space="preserve">Task 1. </w:t>
      </w:r>
    </w:p>
    <w:p w:rsidR="00000000" w:rsidDel="00000000" w:rsidP="00000000" w:rsidRDefault="00000000" w:rsidRPr="00000000" w14:paraId="00000005">
      <w:pPr>
        <w:jc w:val="both"/>
        <w:rPr/>
      </w:pPr>
      <w:r w:rsidDel="00000000" w:rsidR="00000000" w:rsidRPr="00000000">
        <w:rPr>
          <w:rtl w:val="0"/>
        </w:rPr>
      </w:r>
    </w:p>
    <w:p w:rsidR="00000000" w:rsidDel="00000000" w:rsidP="00000000" w:rsidRDefault="00000000" w:rsidRPr="00000000" w14:paraId="00000006">
      <w:pPr>
        <w:jc w:val="both"/>
        <w:rPr/>
      </w:pPr>
      <w:r w:rsidDel="00000000" w:rsidR="00000000" w:rsidRPr="00000000">
        <w:rPr>
          <w:rtl w:val="0"/>
        </w:rPr>
        <w:t xml:space="preserve">The quote provided by Raab et al, (2016) expresses the reason in which organisations should prioritise and assess the thoughts and feelings of their target audience and customers. This can assist in the maintenance of the  relationships as well as the growth from within.</w:t>
      </w:r>
    </w:p>
    <w:p w:rsidR="00000000" w:rsidDel="00000000" w:rsidP="00000000" w:rsidRDefault="00000000" w:rsidRPr="00000000" w14:paraId="00000007">
      <w:pPr>
        <w:jc w:val="both"/>
        <w:rPr/>
      </w:pPr>
      <w:r w:rsidDel="00000000" w:rsidR="00000000" w:rsidRPr="00000000">
        <w:rPr>
          <w:rtl w:val="0"/>
        </w:rPr>
      </w:r>
    </w:p>
    <w:p w:rsidR="00000000" w:rsidDel="00000000" w:rsidP="00000000" w:rsidRDefault="00000000" w:rsidRPr="00000000" w14:paraId="00000008">
      <w:pPr>
        <w:jc w:val="both"/>
        <w:rPr/>
      </w:pPr>
      <w:r w:rsidDel="00000000" w:rsidR="00000000" w:rsidRPr="00000000">
        <w:rPr>
          <w:rtl w:val="0"/>
        </w:rPr>
        <w:t xml:space="preserve">There are two specific definitions’ that are magnified to perceive and exemplify the type of organisation Marks and Spencers are. The definitions’ are provided by, Kumar and Reinartz, (2018), which expresses that customer relationship management is a process that assists in the selection and attraction of a specific demographic. Secondly, Buttle, (2009), explains that the CRM system allows organisations to stay ahead of competitors.</w:t>
      </w:r>
    </w:p>
    <w:p w:rsidR="00000000" w:rsidDel="00000000" w:rsidP="00000000" w:rsidRDefault="00000000" w:rsidRPr="00000000" w14:paraId="00000009">
      <w:pPr>
        <w:jc w:val="both"/>
        <w:rPr/>
      </w:pPr>
      <w:r w:rsidDel="00000000" w:rsidR="00000000" w:rsidRPr="00000000">
        <w:rPr>
          <w:rtl w:val="0"/>
        </w:rPr>
      </w:r>
    </w:p>
    <w:p w:rsidR="00000000" w:rsidDel="00000000" w:rsidP="00000000" w:rsidRDefault="00000000" w:rsidRPr="00000000" w14:paraId="0000000A">
      <w:pPr>
        <w:jc w:val="both"/>
        <w:rPr/>
      </w:pPr>
      <w:r w:rsidDel="00000000" w:rsidR="00000000" w:rsidRPr="00000000">
        <w:rPr>
          <w:rtl w:val="0"/>
        </w:rPr>
        <w:t xml:space="preserve">Models.</w:t>
      </w:r>
    </w:p>
    <w:p w:rsidR="00000000" w:rsidDel="00000000" w:rsidP="00000000" w:rsidRDefault="00000000" w:rsidRPr="00000000" w14:paraId="0000000B">
      <w:pPr>
        <w:jc w:val="both"/>
        <w:rPr/>
      </w:pPr>
      <w:r w:rsidDel="00000000" w:rsidR="00000000" w:rsidRPr="00000000">
        <w:rPr>
          <w:rtl w:val="0"/>
        </w:rPr>
      </w:r>
    </w:p>
    <w:p w:rsidR="00000000" w:rsidDel="00000000" w:rsidP="00000000" w:rsidRDefault="00000000" w:rsidRPr="00000000" w14:paraId="0000000C">
      <w:pPr>
        <w:jc w:val="both"/>
        <w:rPr/>
      </w:pPr>
      <w:r w:rsidDel="00000000" w:rsidR="00000000" w:rsidRPr="00000000">
        <w:rPr>
          <w:rtl w:val="0"/>
        </w:rPr>
        <w:t xml:space="preserve">Research has found four additional CRM models; Bowman’s strategy clock, Payne’s five processes, the QCI model and the IDIC model. The thorough explanation and additional research of the IDIC model shows that it can be beneficial for Marks and Spencer. (Srivaastava, 2013; Management association, 2019; Baran et al, 2008).</w:t>
      </w:r>
    </w:p>
    <w:p w:rsidR="00000000" w:rsidDel="00000000" w:rsidP="00000000" w:rsidRDefault="00000000" w:rsidRPr="00000000" w14:paraId="0000000D">
      <w:pPr>
        <w:jc w:val="both"/>
        <w:rPr/>
      </w:pPr>
      <w:r w:rsidDel="00000000" w:rsidR="00000000" w:rsidRPr="00000000">
        <w:rPr>
          <w:rtl w:val="0"/>
        </w:rPr>
      </w:r>
    </w:p>
    <w:p w:rsidR="00000000" w:rsidDel="00000000" w:rsidP="00000000" w:rsidRDefault="00000000" w:rsidRPr="00000000" w14:paraId="0000000E">
      <w:pPr>
        <w:jc w:val="both"/>
        <w:rPr/>
      </w:pPr>
      <w:r w:rsidDel="00000000" w:rsidR="00000000" w:rsidRPr="00000000">
        <w:rPr>
          <w:rtl w:val="0"/>
        </w:rPr>
        <w:t xml:space="preserve">Task 3.</w:t>
      </w:r>
    </w:p>
    <w:p w:rsidR="00000000" w:rsidDel="00000000" w:rsidP="00000000" w:rsidRDefault="00000000" w:rsidRPr="00000000" w14:paraId="0000000F">
      <w:pPr>
        <w:jc w:val="both"/>
        <w:rPr/>
      </w:pPr>
      <w:r w:rsidDel="00000000" w:rsidR="00000000" w:rsidRPr="00000000">
        <w:rPr>
          <w:rtl w:val="0"/>
        </w:rPr>
      </w:r>
    </w:p>
    <w:p w:rsidR="00000000" w:rsidDel="00000000" w:rsidP="00000000" w:rsidRDefault="00000000" w:rsidRPr="00000000" w14:paraId="00000010">
      <w:pPr>
        <w:jc w:val="both"/>
        <w:rPr/>
      </w:pPr>
      <w:r w:rsidDel="00000000" w:rsidR="00000000" w:rsidRPr="00000000">
        <w:rPr>
          <w:rtl w:val="0"/>
        </w:rPr>
        <w:t xml:space="preserve">There are ten CRM systems and tools that have been identified within M&amp;S through multiple mediums. There are many drawbacks and a number of successful outcomes due to the systems. </w:t>
      </w:r>
    </w:p>
    <w:p w:rsidR="00000000" w:rsidDel="00000000" w:rsidP="00000000" w:rsidRDefault="00000000" w:rsidRPr="00000000" w14:paraId="00000011">
      <w:pPr>
        <w:jc w:val="both"/>
        <w:rPr/>
      </w:pPr>
      <w:r w:rsidDel="00000000" w:rsidR="00000000" w:rsidRPr="00000000">
        <w:rPr>
          <w:rtl w:val="0"/>
        </w:rPr>
      </w:r>
    </w:p>
    <w:p w:rsidR="00000000" w:rsidDel="00000000" w:rsidP="00000000" w:rsidRDefault="00000000" w:rsidRPr="00000000" w14:paraId="00000012">
      <w:pPr>
        <w:jc w:val="both"/>
        <w:rPr/>
      </w:pPr>
      <w:r w:rsidDel="00000000" w:rsidR="00000000" w:rsidRPr="00000000">
        <w:rPr>
          <w:rtl w:val="0"/>
        </w:rPr>
        <w:t xml:space="preserve">Task 6. </w:t>
      </w:r>
    </w:p>
    <w:p w:rsidR="00000000" w:rsidDel="00000000" w:rsidP="00000000" w:rsidRDefault="00000000" w:rsidRPr="00000000" w14:paraId="00000013">
      <w:pPr>
        <w:jc w:val="both"/>
        <w:rPr/>
      </w:pPr>
      <w:r w:rsidDel="00000000" w:rsidR="00000000" w:rsidRPr="00000000">
        <w:rPr>
          <w:rtl w:val="0"/>
        </w:rPr>
      </w:r>
    </w:p>
    <w:p w:rsidR="00000000" w:rsidDel="00000000" w:rsidP="00000000" w:rsidRDefault="00000000" w:rsidRPr="00000000" w14:paraId="00000014">
      <w:pPr>
        <w:jc w:val="both"/>
        <w:rPr/>
      </w:pPr>
      <w:r w:rsidDel="00000000" w:rsidR="00000000" w:rsidRPr="00000000">
        <w:rPr>
          <w:rtl w:val="0"/>
        </w:rPr>
        <w:t xml:space="preserve">The internal, (strengths), and external, (threats), factors are magnified to express a better understanding of the current organizational situations. </w:t>
      </w:r>
    </w:p>
    <w:p w:rsidR="00000000" w:rsidDel="00000000" w:rsidP="00000000" w:rsidRDefault="00000000" w:rsidRPr="00000000" w14:paraId="00000015">
      <w:pPr>
        <w:jc w:val="both"/>
        <w:rPr/>
      </w:pPr>
      <w:r w:rsidDel="00000000" w:rsidR="00000000" w:rsidRPr="00000000">
        <w:rPr>
          <w:rtl w:val="0"/>
        </w:rPr>
      </w:r>
    </w:p>
    <w:p w:rsidR="00000000" w:rsidDel="00000000" w:rsidP="00000000" w:rsidRDefault="00000000" w:rsidRPr="00000000" w14:paraId="00000016">
      <w:pPr>
        <w:jc w:val="both"/>
        <w:rPr/>
      </w:pPr>
      <w:r w:rsidDel="00000000" w:rsidR="00000000" w:rsidRPr="00000000">
        <w:rPr>
          <w:rtl w:val="0"/>
        </w:rPr>
        <w:t xml:space="preserve">Solutions to threats are provided and explained in CRM magazine, (2019). The results amplify the need to prioritise the CRM systems within M&amp;S  and to build a system that surrounds their needs and working processes, not vice versa. </w:t>
      </w:r>
    </w:p>
    <w:p w:rsidR="00000000" w:rsidDel="00000000" w:rsidP="00000000" w:rsidRDefault="00000000" w:rsidRPr="00000000" w14:paraId="00000017">
      <w:pPr>
        <w:jc w:val="both"/>
        <w:rPr/>
      </w:pPr>
      <w:r w:rsidDel="00000000" w:rsidR="00000000" w:rsidRPr="00000000">
        <w:rPr>
          <w:rtl w:val="0"/>
        </w:rPr>
      </w:r>
    </w:p>
    <w:p w:rsidR="00000000" w:rsidDel="00000000" w:rsidP="00000000" w:rsidRDefault="00000000" w:rsidRPr="00000000" w14:paraId="00000018">
      <w:pPr>
        <w:jc w:val="both"/>
        <w:rPr/>
      </w:pPr>
      <w:r w:rsidDel="00000000" w:rsidR="00000000" w:rsidRPr="00000000">
        <w:rPr>
          <w:rtl w:val="0"/>
        </w:rPr>
      </w:r>
    </w:p>
    <w:p w:rsidR="00000000" w:rsidDel="00000000" w:rsidP="00000000" w:rsidRDefault="00000000" w:rsidRPr="00000000" w14:paraId="00000019">
      <w:pPr>
        <w:jc w:val="both"/>
        <w:rPr/>
      </w:pPr>
      <w:r w:rsidDel="00000000" w:rsidR="00000000" w:rsidRPr="00000000">
        <w:rPr>
          <w:rtl w:val="0"/>
        </w:rPr>
      </w:r>
    </w:p>
    <w:p w:rsidR="00000000" w:rsidDel="00000000" w:rsidP="00000000" w:rsidRDefault="00000000" w:rsidRPr="00000000" w14:paraId="0000001A">
      <w:pPr>
        <w:jc w:val="both"/>
        <w:rPr/>
      </w:pPr>
      <w:r w:rsidDel="00000000" w:rsidR="00000000" w:rsidRPr="00000000">
        <w:rPr>
          <w:rtl w:val="0"/>
        </w:rPr>
      </w:r>
    </w:p>
    <w:p w:rsidR="00000000" w:rsidDel="00000000" w:rsidP="00000000" w:rsidRDefault="00000000" w:rsidRPr="00000000" w14:paraId="0000001B">
      <w:pPr>
        <w:jc w:val="both"/>
        <w:rPr/>
      </w:pPr>
      <w:r w:rsidDel="00000000" w:rsidR="00000000" w:rsidRPr="00000000">
        <w:rPr>
          <w:rtl w:val="0"/>
        </w:rPr>
      </w:r>
    </w:p>
    <w:p w:rsidR="00000000" w:rsidDel="00000000" w:rsidP="00000000" w:rsidRDefault="00000000" w:rsidRPr="00000000" w14:paraId="0000001C">
      <w:pPr>
        <w:jc w:val="both"/>
        <w:rPr/>
      </w:pPr>
      <w:r w:rsidDel="00000000" w:rsidR="00000000" w:rsidRPr="00000000">
        <w:rPr>
          <w:rtl w:val="0"/>
        </w:rPr>
      </w:r>
    </w:p>
    <w:p w:rsidR="00000000" w:rsidDel="00000000" w:rsidP="00000000" w:rsidRDefault="00000000" w:rsidRPr="00000000" w14:paraId="0000001D">
      <w:pPr>
        <w:jc w:val="both"/>
        <w:rPr>
          <w:sz w:val="36"/>
          <w:szCs w:val="36"/>
        </w:rPr>
      </w:pPr>
      <w:r w:rsidDel="00000000" w:rsidR="00000000" w:rsidRPr="00000000">
        <w:rPr>
          <w:sz w:val="36"/>
          <w:szCs w:val="36"/>
          <w:rtl w:val="0"/>
        </w:rPr>
        <w:t xml:space="preserve">References</w:t>
      </w:r>
    </w:p>
    <w:p w:rsidR="00000000" w:rsidDel="00000000" w:rsidP="00000000" w:rsidRDefault="00000000" w:rsidRPr="00000000" w14:paraId="0000001E">
      <w:pPr>
        <w:jc w:val="both"/>
        <w:rPr/>
      </w:pPr>
      <w:r w:rsidDel="00000000" w:rsidR="00000000" w:rsidRPr="00000000">
        <w:rPr>
          <w:rtl w:val="0"/>
        </w:rPr>
      </w:r>
    </w:p>
    <w:p w:rsidR="00000000" w:rsidDel="00000000" w:rsidP="00000000" w:rsidRDefault="00000000" w:rsidRPr="00000000" w14:paraId="0000001F">
      <w:pPr>
        <w:jc w:val="both"/>
        <w:rPr/>
      </w:pPr>
      <w:r w:rsidDel="00000000" w:rsidR="00000000" w:rsidRPr="00000000">
        <w:rPr>
          <w:rtl w:val="0"/>
        </w:rPr>
        <w:t xml:space="preserve">Baran, J. R. Galka, J. R. &amp; Strunk, P. D. (2008), </w:t>
      </w:r>
      <w:r w:rsidDel="00000000" w:rsidR="00000000" w:rsidRPr="00000000">
        <w:rPr>
          <w:u w:val="single"/>
          <w:rtl w:val="0"/>
        </w:rPr>
        <w:t xml:space="preserve">Principles of customer relationship management</w:t>
      </w:r>
      <w:r w:rsidDel="00000000" w:rsidR="00000000" w:rsidRPr="00000000">
        <w:rPr>
          <w:rtl w:val="0"/>
        </w:rPr>
        <w:t xml:space="preserve">, U.S.A:Cengage learning. pp. 14</w:t>
      </w:r>
    </w:p>
    <w:p w:rsidR="00000000" w:rsidDel="00000000" w:rsidP="00000000" w:rsidRDefault="00000000" w:rsidRPr="00000000" w14:paraId="00000020">
      <w:pPr>
        <w:jc w:val="both"/>
        <w:rPr/>
      </w:pPr>
      <w:r w:rsidDel="00000000" w:rsidR="00000000" w:rsidRPr="00000000">
        <w:rPr>
          <w:rtl w:val="0"/>
        </w:rPr>
      </w:r>
    </w:p>
    <w:p w:rsidR="00000000" w:rsidDel="00000000" w:rsidP="00000000" w:rsidRDefault="00000000" w:rsidRPr="00000000" w14:paraId="00000021">
      <w:pPr>
        <w:jc w:val="both"/>
        <w:rPr/>
      </w:pPr>
      <w:r w:rsidDel="00000000" w:rsidR="00000000" w:rsidRPr="00000000">
        <w:rPr>
          <w:rtl w:val="0"/>
        </w:rPr>
        <w:t xml:space="preserve">Buttle, F. (2009), </w:t>
      </w:r>
      <w:r w:rsidDel="00000000" w:rsidR="00000000" w:rsidRPr="00000000">
        <w:rPr>
          <w:u w:val="single"/>
          <w:rtl w:val="0"/>
        </w:rPr>
        <w:t xml:space="preserve">Customer relationship management: concepts and technologies</w:t>
      </w:r>
      <w:r w:rsidDel="00000000" w:rsidR="00000000" w:rsidRPr="00000000">
        <w:rPr>
          <w:rtl w:val="0"/>
        </w:rPr>
        <w:t xml:space="preserve">, 2nd ed, Oxford: Elsevier Ltd</w:t>
      </w:r>
    </w:p>
    <w:p w:rsidR="00000000" w:rsidDel="00000000" w:rsidP="00000000" w:rsidRDefault="00000000" w:rsidRPr="00000000" w14:paraId="00000022">
      <w:pPr>
        <w:jc w:val="both"/>
        <w:rPr/>
      </w:pPr>
      <w:r w:rsidDel="00000000" w:rsidR="00000000" w:rsidRPr="00000000">
        <w:rPr>
          <w:rtl w:val="0"/>
        </w:rPr>
      </w:r>
    </w:p>
    <w:p w:rsidR="00000000" w:rsidDel="00000000" w:rsidP="00000000" w:rsidRDefault="00000000" w:rsidRPr="00000000" w14:paraId="00000023">
      <w:pPr>
        <w:jc w:val="both"/>
        <w:rPr/>
      </w:pPr>
      <w:r w:rsidDel="00000000" w:rsidR="00000000" w:rsidRPr="00000000">
        <w:rPr>
          <w:rtl w:val="0"/>
        </w:rPr>
        <w:t xml:space="preserve">CRM Magazine. (2019), ‘Why M &amp; S must change’,crm^2^: mastering data interactions for maximum relationship Insight</w:t>
      </w:r>
      <w:r w:rsidDel="00000000" w:rsidR="00000000" w:rsidRPr="00000000">
        <w:rPr>
          <w:color w:val="333333"/>
          <w:sz w:val="20"/>
          <w:szCs w:val="20"/>
          <w:rtl w:val="0"/>
        </w:rPr>
        <w:t xml:space="preserve">,</w:t>
      </w:r>
      <w:r w:rsidDel="00000000" w:rsidR="00000000" w:rsidRPr="00000000">
        <w:rPr>
          <w:rtl w:val="0"/>
        </w:rPr>
        <w:t xml:space="preserve"> 23(1),  Available: </w:t>
      </w:r>
      <w:hyperlink r:id="rId6">
        <w:r w:rsidDel="00000000" w:rsidR="00000000" w:rsidRPr="00000000">
          <w:rPr>
            <w:color w:val="1155cc"/>
            <w:u w:val="single"/>
            <w:rtl w:val="0"/>
          </w:rPr>
          <w:t xml:space="preserve">https://ezproxy.uwtsd.ac.uk/login?url=https://search.ebscohost.com/login.aspx?direct=true&amp;db=aph&amp;AN=133951637&amp;site=ehost-live</w:t>
        </w:r>
      </w:hyperlink>
      <w:r w:rsidDel="00000000" w:rsidR="00000000" w:rsidRPr="00000000">
        <w:rPr>
          <w:color w:val="333333"/>
          <w:rtl w:val="0"/>
        </w:rPr>
        <w:t xml:space="preserve">,</w:t>
      </w:r>
      <w:r w:rsidDel="00000000" w:rsidR="00000000" w:rsidRPr="00000000">
        <w:rPr>
          <w:rtl w:val="0"/>
        </w:rPr>
        <w:t xml:space="preserve"> [2019, 02, 19].  pp. 12–13</w:t>
      </w:r>
    </w:p>
    <w:p w:rsidR="00000000" w:rsidDel="00000000" w:rsidP="00000000" w:rsidRDefault="00000000" w:rsidRPr="00000000" w14:paraId="00000024">
      <w:pPr>
        <w:jc w:val="both"/>
        <w:rPr/>
      </w:pPr>
      <w:r w:rsidDel="00000000" w:rsidR="00000000" w:rsidRPr="00000000">
        <w:rPr>
          <w:rtl w:val="0"/>
        </w:rPr>
      </w:r>
    </w:p>
    <w:p w:rsidR="00000000" w:rsidDel="00000000" w:rsidP="00000000" w:rsidRDefault="00000000" w:rsidRPr="00000000" w14:paraId="00000025">
      <w:pPr>
        <w:jc w:val="both"/>
        <w:rPr/>
      </w:pPr>
      <w:r w:rsidDel="00000000" w:rsidR="00000000" w:rsidRPr="00000000">
        <w:rPr>
          <w:rtl w:val="0"/>
        </w:rPr>
        <w:t xml:space="preserve">Kumar, V. &amp; Reinartz, W. (2018),</w:t>
      </w:r>
      <w:r w:rsidDel="00000000" w:rsidR="00000000" w:rsidRPr="00000000">
        <w:rPr>
          <w:u w:val="single"/>
          <w:rtl w:val="0"/>
        </w:rPr>
        <w:t xml:space="preserve"> Customer relationship management: concept, strategy, and tools</w:t>
      </w:r>
      <w:r w:rsidDel="00000000" w:rsidR="00000000" w:rsidRPr="00000000">
        <w:rPr>
          <w:rtl w:val="0"/>
        </w:rPr>
        <w:t xml:space="preserve">, 3rd ed, Germany: Springer</w:t>
      </w:r>
    </w:p>
    <w:p w:rsidR="00000000" w:rsidDel="00000000" w:rsidP="00000000" w:rsidRDefault="00000000" w:rsidRPr="00000000" w14:paraId="00000026">
      <w:pPr>
        <w:jc w:val="both"/>
        <w:rPr/>
      </w:pPr>
      <w:r w:rsidDel="00000000" w:rsidR="00000000" w:rsidRPr="00000000">
        <w:rPr>
          <w:rtl w:val="0"/>
        </w:rPr>
      </w:r>
    </w:p>
    <w:p w:rsidR="00000000" w:rsidDel="00000000" w:rsidP="00000000" w:rsidRDefault="00000000" w:rsidRPr="00000000" w14:paraId="00000027">
      <w:pPr>
        <w:jc w:val="both"/>
        <w:rPr/>
      </w:pPr>
      <w:r w:rsidDel="00000000" w:rsidR="00000000" w:rsidRPr="00000000">
        <w:rPr>
          <w:rtl w:val="0"/>
        </w:rPr>
        <w:t xml:space="preserve">Management Association. (2017), </w:t>
      </w:r>
      <w:r w:rsidDel="00000000" w:rsidR="00000000" w:rsidRPr="00000000">
        <w:rPr>
          <w:u w:val="single"/>
          <w:rtl w:val="0"/>
        </w:rPr>
        <w:t xml:space="preserve">Advertising and branding: concepts, methodologies, tools and application</w:t>
      </w:r>
      <w:r w:rsidDel="00000000" w:rsidR="00000000" w:rsidRPr="00000000">
        <w:rPr>
          <w:rtl w:val="0"/>
        </w:rPr>
        <w:t xml:space="preserve">, U.S.A: IGI Global</w:t>
      </w:r>
    </w:p>
    <w:p w:rsidR="00000000" w:rsidDel="00000000" w:rsidP="00000000" w:rsidRDefault="00000000" w:rsidRPr="00000000" w14:paraId="00000028">
      <w:pPr>
        <w:jc w:val="both"/>
        <w:rPr/>
      </w:pPr>
      <w:r w:rsidDel="00000000" w:rsidR="00000000" w:rsidRPr="00000000">
        <w:rPr>
          <w:rtl w:val="0"/>
        </w:rPr>
      </w:r>
    </w:p>
    <w:p w:rsidR="00000000" w:rsidDel="00000000" w:rsidP="00000000" w:rsidRDefault="00000000" w:rsidRPr="00000000" w14:paraId="00000029">
      <w:pPr>
        <w:jc w:val="both"/>
        <w:rPr/>
      </w:pPr>
      <w:r w:rsidDel="00000000" w:rsidR="00000000" w:rsidRPr="00000000">
        <w:rPr>
          <w:rtl w:val="0"/>
        </w:rPr>
        <w:t xml:space="preserve">Raab, G. Ajami, A. R. Gargeya, B. V. and Goodard, J. G. (2016), </w:t>
      </w:r>
      <w:r w:rsidDel="00000000" w:rsidR="00000000" w:rsidRPr="00000000">
        <w:rPr>
          <w:u w:val="single"/>
          <w:rtl w:val="0"/>
        </w:rPr>
        <w:t xml:space="preserve">Customer relationship management:  a global perspective</w:t>
      </w:r>
      <w:r w:rsidDel="00000000" w:rsidR="00000000" w:rsidRPr="00000000">
        <w:rPr>
          <w:rtl w:val="0"/>
        </w:rPr>
        <w:t xml:space="preserve">, Oxon: Routledge </w:t>
      </w:r>
    </w:p>
    <w:p w:rsidR="00000000" w:rsidDel="00000000" w:rsidP="00000000" w:rsidRDefault="00000000" w:rsidRPr="00000000" w14:paraId="0000002A">
      <w:pPr>
        <w:jc w:val="both"/>
        <w:rPr/>
      </w:pPr>
      <w:r w:rsidDel="00000000" w:rsidR="00000000" w:rsidRPr="00000000">
        <w:rPr>
          <w:rtl w:val="0"/>
        </w:rPr>
      </w:r>
    </w:p>
    <w:p w:rsidR="00000000" w:rsidDel="00000000" w:rsidP="00000000" w:rsidRDefault="00000000" w:rsidRPr="00000000" w14:paraId="0000002B">
      <w:pPr>
        <w:jc w:val="both"/>
        <w:rPr/>
      </w:pPr>
      <w:r w:rsidDel="00000000" w:rsidR="00000000" w:rsidRPr="00000000">
        <w:rPr>
          <w:rtl w:val="0"/>
        </w:rPr>
        <w:t xml:space="preserve">Srivastava, M. (2013), ‘Principles of managing customer relationships’, SIBM, September, [Online]. Available:</w:t>
      </w:r>
      <w:hyperlink r:id="rId7">
        <w:r w:rsidDel="00000000" w:rsidR="00000000" w:rsidRPr="00000000">
          <w:rPr>
            <w:color w:val="1155cc"/>
            <w:u w:val="single"/>
            <w:rtl w:val="0"/>
          </w:rPr>
          <w:t xml:space="preserve">https://www.sibm.edu/assets/pdf/principles.pdf</w:t>
        </w:r>
      </w:hyperlink>
      <w:r w:rsidDel="00000000" w:rsidR="00000000" w:rsidRPr="00000000">
        <w:rPr>
          <w:rtl w:val="0"/>
        </w:rPr>
        <w:t xml:space="preserve">, [2019, 02, 18]  </w:t>
      </w:r>
    </w:p>
    <w:p w:rsidR="00000000" w:rsidDel="00000000" w:rsidP="00000000" w:rsidRDefault="00000000" w:rsidRPr="00000000" w14:paraId="0000002C">
      <w:pPr>
        <w:jc w:val="both"/>
        <w:rPr/>
      </w:pPr>
      <w:r w:rsidDel="00000000" w:rsidR="00000000" w:rsidRPr="00000000">
        <w:rPr>
          <w:rtl w:val="0"/>
        </w:rPr>
      </w:r>
    </w:p>
    <w:sectPr>
      <w:headerReference r:id="rId8" w:type="default"/>
      <w:footerReference r:id="rId9"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0">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D">
    <w:pPr>
      <w:rPr/>
    </w:pPr>
    <w:r w:rsidDel="00000000" w:rsidR="00000000" w:rsidRPr="00000000">
      <w:rPr>
        <w:rtl w:val="0"/>
      </w:rPr>
      <w:t xml:space="preserve">Mosamaa Marjana Khatun </w:t>
    </w:r>
  </w:p>
  <w:p w:rsidR="00000000" w:rsidDel="00000000" w:rsidP="00000000" w:rsidRDefault="00000000" w:rsidRPr="00000000" w14:paraId="0000002E">
    <w:pPr>
      <w:rPr>
        <w:sz w:val="18"/>
        <w:szCs w:val="18"/>
      </w:rPr>
    </w:pPr>
    <w:r w:rsidDel="00000000" w:rsidR="00000000" w:rsidRPr="00000000">
      <w:rPr>
        <w:sz w:val="18"/>
        <w:szCs w:val="18"/>
        <w:rtl w:val="0"/>
      </w:rPr>
      <w:t xml:space="preserve">(1704984)</w:t>
    </w:r>
  </w:p>
  <w:p w:rsidR="00000000" w:rsidDel="00000000" w:rsidP="00000000" w:rsidRDefault="00000000" w:rsidRPr="00000000" w14:paraId="0000002F">
    <w:pPr>
      <w:rPr>
        <w:sz w:val="18"/>
        <w:szCs w:val="18"/>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https://ezproxy.uwtsd.ac.uk/login?url=https://search.ebscohost.com/login.aspx?direct=true&amp;db=aph&amp;AN=133951637&amp;site=ehost-live" TargetMode="External"/><Relationship Id="rId7" Type="http://schemas.openxmlformats.org/officeDocument/2006/relationships/hyperlink" Target="https://www.sibm.edu/assets/pdf/principles.pdf" TargetMode="Externa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