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center"/>
        <w:rPr>
          <w:sz w:val="32"/>
          <w:szCs w:val="32"/>
        </w:rPr>
      </w:pPr>
      <w:bookmarkStart w:id="0" w:name="_19adn69up3i7" w:colFirst="0" w:colLast="0"/>
      <w:bookmarkEnd w:id="0"/>
    </w:p>
    <w:p>
      <w:pPr>
        <w:pStyle w:val="2"/>
        <w:jc w:val="center"/>
        <w:rPr>
          <w:sz w:val="32"/>
          <w:szCs w:val="32"/>
        </w:rPr>
      </w:pPr>
    </w:p>
    <w:p>
      <w:pPr>
        <w:pStyle w:val="2"/>
        <w:jc w:val="center"/>
        <w:rPr>
          <w:sz w:val="32"/>
          <w:szCs w:val="32"/>
        </w:rPr>
      </w:pPr>
    </w:p>
    <w:p>
      <w:pPr>
        <w:pStyle w:val="2"/>
        <w:jc w:val="center"/>
        <w:rPr>
          <w:sz w:val="32"/>
          <w:szCs w:val="32"/>
        </w:rPr>
      </w:pPr>
    </w:p>
    <w:p>
      <w:pPr>
        <w:pStyle w:val="2"/>
        <w:jc w:val="center"/>
        <w:rPr>
          <w:sz w:val="72"/>
          <w:szCs w:val="72"/>
        </w:rPr>
      </w:pPr>
      <w:bookmarkStart w:id="14" w:name="_GoBack"/>
    </w:p>
    <w:p>
      <w:pPr>
        <w:jc w:val="center"/>
        <w:rPr>
          <w:rFonts w:ascii="Times New Roman" w:hAnsi="Times New Roman" w:cs="Times New Roman"/>
          <w:b/>
          <w:bCs/>
          <w:sz w:val="72"/>
          <w:szCs w:val="72"/>
        </w:rPr>
      </w:pPr>
      <w:r>
        <w:rPr>
          <w:rFonts w:ascii="Times New Roman" w:hAnsi="Times New Roman" w:cs="Times New Roman"/>
          <w:b/>
          <w:bCs/>
          <w:sz w:val="72"/>
          <w:szCs w:val="72"/>
        </w:rPr>
        <w:t>ENTREPRENEURSHIP</w:t>
      </w:r>
      <w:bookmarkEnd w:id="14"/>
    </w:p>
    <w:p>
      <w:pPr>
        <w:jc w:val="center"/>
        <w:rPr>
          <w:rFonts w:ascii="Times New Roman" w:hAnsi="Times New Roman" w:cs="Times New Roman"/>
          <w:b/>
          <w:bCs/>
          <w:sz w:val="32"/>
          <w:szCs w:val="32"/>
        </w:rPr>
      </w:pPr>
      <w:r>
        <w:rPr>
          <w:rFonts w:ascii="Times New Roman" w:hAnsi="Times New Roman" w:cs="Times New Roman"/>
          <w:b/>
          <w:bCs/>
          <w:sz w:val="32"/>
          <w:szCs w:val="32"/>
        </w:rPr>
        <w:t>ASSESSMENT 2</w:t>
      </w:r>
    </w:p>
    <w:p>
      <w:pPr>
        <w:jc w:val="center"/>
        <w:rPr>
          <w:rFonts w:ascii="Times New Roman" w:hAnsi="Times New Roman" w:cs="Times New Roman"/>
          <w:b/>
          <w:color w:val="000000" w:themeColor="text1"/>
          <w:sz w:val="32"/>
        </w:rPr>
      </w:pPr>
      <w:r>
        <w:rPr>
          <w:rFonts w:ascii="Times New Roman" w:hAnsi="Times New Roman" w:cs="Times New Roman"/>
          <w:b/>
          <w:color w:val="000000" w:themeColor="text1"/>
          <w:sz w:val="32"/>
        </w:rPr>
        <w:t>SIMONA ELENA BECHEANU</w:t>
      </w:r>
    </w:p>
    <w:p>
      <w:pPr>
        <w:jc w:val="center"/>
        <w:rPr>
          <w:rFonts w:ascii="Times New Roman" w:hAnsi="Times New Roman" w:cs="Times New Roman"/>
          <w:b/>
          <w:color w:val="000000" w:themeColor="text1"/>
          <w:sz w:val="32"/>
        </w:rPr>
      </w:pPr>
      <w:r>
        <w:rPr>
          <w:rFonts w:ascii="Times New Roman" w:hAnsi="Times New Roman" w:cs="Times New Roman"/>
          <w:b/>
          <w:color w:val="000000" w:themeColor="text1"/>
          <w:sz w:val="32"/>
        </w:rPr>
        <w:t>STUDENT ID:2019936</w:t>
      </w:r>
    </w:p>
    <w:p>
      <w:pPr>
        <w:jc w:val="center"/>
        <w:rPr>
          <w:rFonts w:ascii="Times New Roman" w:hAnsi="Times New Roman" w:cs="Times New Roman"/>
          <w:b/>
          <w:bCs/>
          <w:sz w:val="32"/>
          <w:szCs w:val="32"/>
        </w:rPr>
      </w:pPr>
    </w:p>
    <w:p>
      <w:pPr>
        <w:rPr>
          <w:rFonts w:ascii="Times New Roman" w:hAnsi="Times New Roman"/>
          <w:b/>
          <w:sz w:val="28"/>
          <w:szCs w:val="40"/>
        </w:rPr>
      </w:pPr>
      <w:r>
        <w:br w:type="page"/>
      </w:r>
    </w:p>
    <w:sdt>
      <w:sdtPr>
        <w:rPr>
          <w:rFonts w:ascii="Arial" w:hAnsi="Arial" w:eastAsia="Arial" w:cs="Arial"/>
          <w:color w:val="auto"/>
          <w:sz w:val="22"/>
          <w:szCs w:val="22"/>
          <w:lang w:val="en-GB" w:eastAsia="en-IN"/>
        </w:rPr>
        <w:id w:val="1836654186"/>
      </w:sdtPr>
      <w:sdtEndPr>
        <w:rPr>
          <w:rFonts w:ascii="Arial" w:hAnsi="Arial" w:eastAsia="Arial" w:cs="Arial"/>
          <w:b/>
          <w:bCs/>
          <w:color w:val="auto"/>
          <w:sz w:val="22"/>
          <w:szCs w:val="22"/>
          <w:lang w:val="en-GB" w:eastAsia="en-IN"/>
        </w:rPr>
      </w:sdtEndPr>
      <w:sdtContent>
        <w:p>
          <w:pPr>
            <w:pStyle w:val="19"/>
            <w:spacing w:line="360" w:lineRule="auto"/>
            <w:jc w:val="center"/>
            <w:rPr>
              <w:rFonts w:ascii="Times New Roman" w:hAnsi="Times New Roman" w:cs="Times New Roman"/>
              <w:b/>
              <w:bCs/>
              <w:sz w:val="28"/>
              <w:szCs w:val="28"/>
            </w:rPr>
          </w:pPr>
          <w:r>
            <w:rPr>
              <w:rFonts w:ascii="Times New Roman" w:hAnsi="Times New Roman" w:cs="Times New Roman"/>
              <w:b/>
              <w:bCs/>
              <w:color w:val="000000" w:themeColor="text1"/>
              <w:sz w:val="28"/>
              <w:szCs w:val="28"/>
            </w:rPr>
            <w:t>Table of Contents</w:t>
          </w:r>
        </w:p>
        <w:p>
          <w:pPr>
            <w:pStyle w:val="13"/>
            <w:tabs>
              <w:tab w:val="right" w:leader="dot" w:pos="9019"/>
            </w:tabs>
            <w:spacing w:line="360" w:lineRule="auto"/>
            <w:jc w:val="both"/>
            <w:rPr>
              <w:rFonts w:ascii="Times New Roman" w:hAnsi="Times New Roman" w:cs="Times New Roman" w:eastAsiaTheme="minorEastAsia"/>
              <w:sz w:val="24"/>
              <w:szCs w:val="24"/>
              <w:lang w:val="en-US" w:eastAsia="en-US"/>
            </w:rPr>
          </w:pPr>
          <w:r>
            <w:fldChar w:fldCharType="begin"/>
          </w:r>
          <w:r>
            <w:instrText xml:space="preserve"> TOC \o "1-3" \h \z \u </w:instrText>
          </w:r>
          <w:r>
            <w:fldChar w:fldCharType="separate"/>
          </w:r>
          <w:r>
            <w:fldChar w:fldCharType="begin"/>
          </w:r>
          <w:r>
            <w:instrText xml:space="preserve"> HYPERLINK \l "_Toc110011746" </w:instrText>
          </w:r>
          <w:r>
            <w:fldChar w:fldCharType="separate"/>
          </w:r>
          <w:r>
            <w:rPr>
              <w:rStyle w:val="15"/>
              <w:rFonts w:ascii="Times New Roman" w:hAnsi="Times New Roman" w:cs="Times New Roman"/>
              <w:sz w:val="24"/>
              <w:szCs w:val="24"/>
            </w:rPr>
            <w:t>Business Description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_Toc110011746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9"/>
            </w:tabs>
            <w:spacing w:line="360" w:lineRule="auto"/>
            <w:jc w:val="both"/>
            <w:rPr>
              <w:rFonts w:ascii="Times New Roman" w:hAnsi="Times New Roman" w:cs="Times New Roman" w:eastAsiaTheme="minorEastAsia"/>
              <w:sz w:val="24"/>
              <w:szCs w:val="24"/>
              <w:lang w:val="en-US" w:eastAsia="en-US"/>
            </w:rPr>
          </w:pPr>
          <w:r>
            <w:fldChar w:fldCharType="begin"/>
          </w:r>
          <w:r>
            <w:instrText xml:space="preserve"> HYPERLINK \l "_Toc110011747" </w:instrText>
          </w:r>
          <w:r>
            <w:fldChar w:fldCharType="separate"/>
          </w:r>
          <w:r>
            <w:rPr>
              <w:rStyle w:val="15"/>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_Toc110011747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9"/>
            </w:tabs>
            <w:spacing w:line="360" w:lineRule="auto"/>
            <w:jc w:val="both"/>
            <w:rPr>
              <w:rFonts w:ascii="Times New Roman" w:hAnsi="Times New Roman" w:cs="Times New Roman" w:eastAsiaTheme="minorEastAsia"/>
              <w:sz w:val="24"/>
              <w:szCs w:val="24"/>
              <w:lang w:val="en-US" w:eastAsia="en-US"/>
            </w:rPr>
          </w:pPr>
          <w:r>
            <w:fldChar w:fldCharType="begin"/>
          </w:r>
          <w:r>
            <w:instrText xml:space="preserve"> HYPERLINK \l "_Toc110011748" </w:instrText>
          </w:r>
          <w:r>
            <w:fldChar w:fldCharType="separate"/>
          </w:r>
          <w:r>
            <w:rPr>
              <w:rStyle w:val="15"/>
              <w:rFonts w:ascii="Times New Roman" w:hAnsi="Times New Roman" w:cs="Times New Roman"/>
              <w:sz w:val="24"/>
              <w:szCs w:val="24"/>
            </w:rPr>
            <w:t>Industry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_Toc110011748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9"/>
            </w:tabs>
            <w:spacing w:line="360" w:lineRule="auto"/>
            <w:jc w:val="both"/>
            <w:rPr>
              <w:rFonts w:ascii="Times New Roman" w:hAnsi="Times New Roman" w:cs="Times New Roman" w:eastAsiaTheme="minorEastAsia"/>
              <w:sz w:val="24"/>
              <w:szCs w:val="24"/>
              <w:lang w:val="en-US" w:eastAsia="en-US"/>
            </w:rPr>
          </w:pPr>
          <w:r>
            <w:fldChar w:fldCharType="begin"/>
          </w:r>
          <w:r>
            <w:instrText xml:space="preserve"> HYPERLINK \l "_Toc110011749" </w:instrText>
          </w:r>
          <w:r>
            <w:fldChar w:fldCharType="separate"/>
          </w:r>
          <w:r>
            <w:rPr>
              <w:rStyle w:val="15"/>
              <w:rFonts w:ascii="Times New Roman" w:hAnsi="Times New Roman" w:cs="Times New Roman"/>
              <w:sz w:val="24"/>
              <w:szCs w:val="24"/>
            </w:rPr>
            <w:t>Marketing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_Toc110011749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9"/>
            </w:tabs>
            <w:spacing w:line="360" w:lineRule="auto"/>
            <w:jc w:val="both"/>
            <w:rPr>
              <w:rFonts w:ascii="Times New Roman" w:hAnsi="Times New Roman" w:cs="Times New Roman" w:eastAsiaTheme="minorEastAsia"/>
              <w:sz w:val="24"/>
              <w:szCs w:val="24"/>
              <w:lang w:val="en-US" w:eastAsia="en-US"/>
            </w:rPr>
          </w:pPr>
          <w:r>
            <w:fldChar w:fldCharType="begin"/>
          </w:r>
          <w:r>
            <w:instrText xml:space="preserve"> HYPERLINK \l "_Toc110011750" </w:instrText>
          </w:r>
          <w:r>
            <w:fldChar w:fldCharType="separate"/>
          </w:r>
          <w:r>
            <w:rPr>
              <w:rStyle w:val="15"/>
              <w:rFonts w:ascii="Times New Roman" w:hAnsi="Times New Roman" w:cs="Times New Roman"/>
              <w:sz w:val="24"/>
              <w:szCs w:val="24"/>
            </w:rPr>
            <w:t>Operations and Management Team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_Toc110011750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9"/>
            </w:tabs>
            <w:spacing w:line="360" w:lineRule="auto"/>
            <w:jc w:val="both"/>
            <w:rPr>
              <w:rFonts w:ascii="Times New Roman" w:hAnsi="Times New Roman" w:cs="Times New Roman" w:eastAsiaTheme="minorEastAsia"/>
              <w:sz w:val="24"/>
              <w:szCs w:val="24"/>
              <w:lang w:val="en-US" w:eastAsia="en-US"/>
            </w:rPr>
          </w:pPr>
          <w:r>
            <w:fldChar w:fldCharType="begin"/>
          </w:r>
          <w:r>
            <w:instrText xml:space="preserve"> HYPERLINK \l "_Toc110011751" </w:instrText>
          </w:r>
          <w:r>
            <w:fldChar w:fldCharType="separate"/>
          </w:r>
          <w:r>
            <w:rPr>
              <w:rStyle w:val="15"/>
              <w:rFonts w:ascii="Times New Roman" w:hAnsi="Times New Roman" w:cs="Times New Roman"/>
              <w:sz w:val="24"/>
              <w:szCs w:val="24"/>
            </w:rPr>
            <w:t>Financial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_Toc110011751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9"/>
            </w:tabs>
            <w:spacing w:line="360" w:lineRule="auto"/>
            <w:jc w:val="both"/>
            <w:rPr>
              <w:rFonts w:ascii="Times New Roman" w:hAnsi="Times New Roman" w:cs="Times New Roman" w:eastAsiaTheme="minorEastAsia"/>
              <w:sz w:val="24"/>
              <w:szCs w:val="24"/>
              <w:lang w:val="en-US" w:eastAsia="en-US"/>
            </w:rPr>
          </w:pPr>
          <w:r>
            <w:fldChar w:fldCharType="begin"/>
          </w:r>
          <w:r>
            <w:instrText xml:space="preserve"> HYPERLINK \l "_Toc110011752" </w:instrText>
          </w:r>
          <w:r>
            <w:fldChar w:fldCharType="separate"/>
          </w:r>
          <w:r>
            <w:rPr>
              <w:rStyle w:val="15"/>
              <w:rFonts w:ascii="Times New Roman" w:hAnsi="Times New Roman" w:cs="Times New Roman"/>
              <w:sz w:val="24"/>
              <w:szCs w:val="24"/>
            </w:rPr>
            <w:t>Market Research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_Toc110011752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9"/>
            </w:tabs>
            <w:spacing w:line="360" w:lineRule="auto"/>
            <w:jc w:val="both"/>
            <w:rPr>
              <w:rFonts w:ascii="Times New Roman" w:hAnsi="Times New Roman" w:cs="Times New Roman" w:eastAsiaTheme="minorEastAsia"/>
              <w:sz w:val="24"/>
              <w:szCs w:val="24"/>
              <w:lang w:val="en-US" w:eastAsia="en-US"/>
            </w:rPr>
          </w:pPr>
          <w:r>
            <w:fldChar w:fldCharType="begin"/>
          </w:r>
          <w:r>
            <w:instrText xml:space="preserve"> HYPERLINK \l "_Toc110011753" </w:instrText>
          </w:r>
          <w:r>
            <w:fldChar w:fldCharType="separate"/>
          </w:r>
          <w:r>
            <w:rPr>
              <w:rStyle w:val="15"/>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_Toc110011753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9"/>
            </w:tabs>
            <w:spacing w:line="360" w:lineRule="auto"/>
            <w:jc w:val="both"/>
            <w:rPr>
              <w:rFonts w:asciiTheme="minorHAnsi" w:hAnsiTheme="minorHAnsi" w:eastAsiaTheme="minorEastAsia" w:cstheme="minorBidi"/>
              <w:lang w:val="en-US" w:eastAsia="en-US"/>
            </w:rPr>
          </w:pPr>
          <w:r>
            <w:fldChar w:fldCharType="begin"/>
          </w:r>
          <w:r>
            <w:instrText xml:space="preserve"> HYPERLINK \l "_Toc110011754" </w:instrText>
          </w:r>
          <w:r>
            <w:fldChar w:fldCharType="separate"/>
          </w:r>
          <w:r>
            <w:rPr>
              <w:rStyle w:val="15"/>
              <w:rFonts w:ascii="Times New Roman" w:hAnsi="Times New Roman" w:cs="Times New Roman"/>
              <w:sz w:val="24"/>
              <w:szCs w:val="24"/>
              <w:shd w:val="clear" w:color="auto" w:fill="FFFFFF"/>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_Toc110011754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r>
            <w:rPr>
              <w:b/>
              <w:bCs/>
            </w:rPr>
            <w:fldChar w:fldCharType="end"/>
          </w:r>
        </w:p>
      </w:sdtContent>
    </w:sdt>
    <w:p>
      <w:pPr>
        <w:pStyle w:val="2"/>
      </w:pPr>
    </w:p>
    <w:p>
      <w:pPr>
        <w:rPr>
          <w:rFonts w:ascii="Times New Roman" w:hAnsi="Times New Roman"/>
          <w:b/>
          <w:sz w:val="28"/>
          <w:szCs w:val="40"/>
        </w:rPr>
      </w:pPr>
      <w:r>
        <w:br w:type="page"/>
      </w:r>
    </w:p>
    <w:p>
      <w:pPr>
        <w:pStyle w:val="2"/>
        <w:rPr>
          <w:b w:val="0"/>
        </w:rPr>
      </w:pPr>
      <w:bookmarkStart w:id="1" w:name="_Toc110011746"/>
      <w:r>
        <w:t>Business Description</w:t>
      </w:r>
      <w:bookmarkEnd w:id="1"/>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i/>
          <w:iCs/>
          <w:sz w:val="24"/>
          <w:szCs w:val="24"/>
        </w:rPr>
        <w:t>Retail</w:t>
      </w:r>
      <w:r>
        <w:rPr>
          <w:rFonts w:ascii="Times New Roman" w:hAnsi="Times New Roman" w:eastAsia="Times New Roman" w:cs="Times New Roman"/>
          <w:sz w:val="24"/>
          <w:szCs w:val="24"/>
        </w:rPr>
        <w:t xml:space="preserve"> industries in the </w:t>
      </w:r>
      <w:r>
        <w:rPr>
          <w:rFonts w:ascii="Times New Roman" w:hAnsi="Times New Roman" w:eastAsia="Times New Roman" w:cs="Times New Roman"/>
          <w:b/>
          <w:bCs/>
          <w:i/>
          <w:iCs/>
          <w:sz w:val="24"/>
          <w:szCs w:val="24"/>
        </w:rPr>
        <w:t>UK</w:t>
      </w:r>
      <w:r>
        <w:rPr>
          <w:rFonts w:ascii="Times New Roman" w:hAnsi="Times New Roman" w:eastAsia="Times New Roman" w:cs="Times New Roman"/>
          <w:sz w:val="24"/>
          <w:szCs w:val="24"/>
        </w:rPr>
        <w:t xml:space="preserve"> consist of over </w:t>
      </w:r>
      <w:r>
        <w:rPr>
          <w:rFonts w:ascii="Times New Roman" w:hAnsi="Times New Roman" w:eastAsia="Times New Roman" w:cs="Times New Roman"/>
          <w:b/>
          <w:i/>
          <w:sz w:val="24"/>
          <w:szCs w:val="24"/>
        </w:rPr>
        <w:t>300,00 different business sectors</w:t>
      </w:r>
      <w:r>
        <w:rPr>
          <w:rFonts w:ascii="Times New Roman" w:hAnsi="Times New Roman" w:eastAsia="Times New Roman" w:cs="Times New Roman"/>
          <w:sz w:val="24"/>
          <w:szCs w:val="24"/>
        </w:rPr>
        <w:t xml:space="preserve">. In the </w:t>
      </w:r>
      <w:r>
        <w:rPr>
          <w:rFonts w:ascii="Times New Roman" w:hAnsi="Times New Roman" w:eastAsia="Times New Roman" w:cs="Times New Roman"/>
          <w:b/>
          <w:bCs/>
          <w:i/>
          <w:iCs/>
          <w:sz w:val="24"/>
          <w:szCs w:val="24"/>
        </w:rPr>
        <w:t>UK</w:t>
      </w:r>
      <w:r>
        <w:rPr>
          <w:rFonts w:ascii="Times New Roman" w:hAnsi="Times New Roman" w:eastAsia="Times New Roman" w:cs="Times New Roman"/>
          <w:sz w:val="24"/>
          <w:szCs w:val="24"/>
        </w:rPr>
        <w:t xml:space="preserve"> trade concept, </w:t>
      </w:r>
      <w:r>
        <w:rPr>
          <w:rFonts w:ascii="Times New Roman" w:hAnsi="Times New Roman" w:eastAsia="Times New Roman" w:cs="Times New Roman"/>
          <w:b/>
          <w:bCs/>
          <w:i/>
          <w:iCs/>
          <w:sz w:val="24"/>
          <w:szCs w:val="24"/>
        </w:rPr>
        <w:t>Retail</w:t>
      </w:r>
      <w:r>
        <w:rPr>
          <w:rFonts w:ascii="Times New Roman" w:hAnsi="Times New Roman" w:eastAsia="Times New Roman" w:cs="Times New Roman"/>
          <w:sz w:val="24"/>
          <w:szCs w:val="24"/>
        </w:rPr>
        <w:t xml:space="preserve"> industries have an integral part of the economy with</w:t>
      </w:r>
      <w:r>
        <w:rPr>
          <w:rFonts w:ascii="Times New Roman" w:hAnsi="Times New Roman" w:eastAsia="Times New Roman" w:cs="Times New Roman"/>
          <w:b/>
          <w:i/>
          <w:sz w:val="24"/>
          <w:szCs w:val="24"/>
        </w:rPr>
        <w:t xml:space="preserve"> 5.2% of GDP </w:t>
      </w:r>
      <w:r>
        <w:rPr>
          <w:rFonts w:ascii="Times New Roman" w:hAnsi="Times New Roman" w:eastAsia="Times New Roman" w:cs="Times New Roman"/>
          <w:sz w:val="24"/>
          <w:szCs w:val="24"/>
        </w:rPr>
        <w:t xml:space="preserve">growth in </w:t>
      </w:r>
      <w:r>
        <w:rPr>
          <w:rFonts w:ascii="Times New Roman" w:hAnsi="Times New Roman" w:eastAsia="Times New Roman" w:cs="Times New Roman"/>
          <w:b/>
          <w:bCs/>
          <w:i/>
          <w:iCs/>
          <w:sz w:val="24"/>
          <w:szCs w:val="24"/>
        </w:rPr>
        <w:t>2020.</w:t>
      </w:r>
      <w:r>
        <w:rPr>
          <w:rFonts w:ascii="Times New Roman" w:hAnsi="Times New Roman" w:eastAsia="Times New Roman" w:cs="Times New Roman"/>
          <w:sz w:val="24"/>
          <w:szCs w:val="24"/>
        </w:rPr>
        <w:t xml:space="preserve"> The areas that this industry has targeted are generic medicine, fashion, sports, technology, and food. Though, in this study, </w:t>
      </w:r>
      <w:r>
        <w:rPr>
          <w:rFonts w:ascii="Times New Roman" w:hAnsi="Times New Roman" w:eastAsia="Times New Roman" w:cs="Times New Roman"/>
          <w:b/>
          <w:bCs/>
          <w:i/>
          <w:iCs/>
          <w:sz w:val="24"/>
          <w:szCs w:val="24"/>
        </w:rPr>
        <w:t>FormonixRetail</w:t>
      </w:r>
      <w:r>
        <w:rPr>
          <w:rFonts w:ascii="Times New Roman" w:hAnsi="Times New Roman" w:eastAsia="Times New Roman" w:cs="Times New Roman"/>
          <w:sz w:val="24"/>
          <w:szCs w:val="24"/>
        </w:rPr>
        <w:t xml:space="preserve"> Company has expected to come across for starting their business in the </w:t>
      </w:r>
      <w:r>
        <w:rPr>
          <w:rFonts w:ascii="Times New Roman" w:hAnsi="Times New Roman" w:eastAsia="Times New Roman" w:cs="Times New Roman"/>
          <w:b/>
          <w:bCs/>
          <w:i/>
          <w:iCs/>
          <w:sz w:val="24"/>
          <w:szCs w:val="24"/>
        </w:rPr>
        <w:t>UK</w:t>
      </w:r>
      <w:r>
        <w:rPr>
          <w:rFonts w:ascii="Times New Roman" w:hAnsi="Times New Roman" w:eastAsia="Times New Roman" w:cs="Times New Roman"/>
          <w:sz w:val="24"/>
          <w:szCs w:val="24"/>
        </w:rPr>
        <w:t>. This company has envisioned providing its services including</w:t>
      </w:r>
      <w:r>
        <w:rPr>
          <w:rFonts w:ascii="Times New Roman" w:hAnsi="Times New Roman" w:eastAsia="Times New Roman" w:cs="Times New Roman"/>
          <w:b/>
          <w:i/>
          <w:sz w:val="24"/>
          <w:szCs w:val="24"/>
        </w:rPr>
        <w:t xml:space="preserve"> clothing, food products, and other services</w:t>
      </w:r>
      <w:r>
        <w:rPr>
          <w:rFonts w:ascii="Times New Roman" w:hAnsi="Times New Roman" w:eastAsia="Times New Roman" w:cs="Times New Roman"/>
          <w:sz w:val="24"/>
          <w:szCs w:val="24"/>
        </w:rPr>
        <w:t xml:space="preserve"> to existing audiences as well as other selling stores. This company has aimed to establish its business structure hugely by giving satisfactory product services to their potential customers and other sectors. This will help them to achieve their expected growth in the next 10 years.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today’s supervision, this industry has faced several challenges such as </w:t>
      </w:r>
      <w:r>
        <w:rPr>
          <w:rFonts w:ascii="Times New Roman" w:hAnsi="Times New Roman" w:eastAsia="Times New Roman" w:cs="Times New Roman"/>
          <w:b/>
          <w:i/>
          <w:sz w:val="24"/>
          <w:szCs w:val="24"/>
        </w:rPr>
        <w:t>store closures, shifts in shopping habits, increasing awareness of environmental-related issues, and a shortage of HGV drivers</w:t>
      </w:r>
      <w:r>
        <w:rPr>
          <w:rFonts w:ascii="Times New Roman" w:hAnsi="Times New Roman" w:eastAsia="Times New Roman" w:cs="Times New Roman"/>
          <w:sz w:val="24"/>
          <w:szCs w:val="24"/>
        </w:rPr>
        <w:t xml:space="preserve">. From this point of view,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is expecting to provide commercial advice to other </w:t>
      </w:r>
      <w:r>
        <w:rPr>
          <w:rFonts w:ascii="Times New Roman" w:hAnsi="Times New Roman" w:eastAsia="Times New Roman" w:cs="Times New Roman"/>
          <w:b/>
          <w:bCs/>
          <w:i/>
          <w:iCs/>
          <w:sz w:val="24"/>
          <w:szCs w:val="24"/>
        </w:rPr>
        <w:t>Retail</w:t>
      </w:r>
      <w:r>
        <w:rPr>
          <w:rFonts w:ascii="Times New Roman" w:hAnsi="Times New Roman" w:eastAsia="Times New Roman" w:cs="Times New Roman"/>
          <w:sz w:val="24"/>
          <w:szCs w:val="24"/>
        </w:rPr>
        <w:t xml:space="preserve"> companies for understanding the proper business methods within this sector that will help them to enforce trademark rights.  According to </w:t>
      </w:r>
      <w:r>
        <w:rPr>
          <w:rFonts w:ascii="Times New Roman" w:hAnsi="Times New Roman" w:eastAsia="Times New Roman" w:cs="Times New Roman"/>
          <w:color w:val="222222"/>
          <w:sz w:val="24"/>
          <w:szCs w:val="24"/>
          <w:highlight w:val="white"/>
        </w:rPr>
        <w:t xml:space="preserve">Blomley (2020), </w:t>
      </w:r>
      <w:r>
        <w:rPr>
          <w:rFonts w:ascii="Times New Roman" w:hAnsi="Times New Roman" w:eastAsia="Times New Roman" w:cs="Times New Roman"/>
          <w:sz w:val="24"/>
          <w:szCs w:val="24"/>
        </w:rPr>
        <w:t xml:space="preserve">Owners of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have extensive experience in retaining new ways to attract customers. They basically give attention to innovation and creativity in technology such as the use of AL</w:t>
      </w:r>
      <w:r>
        <w:rPr>
          <w:rFonts w:ascii="Times New Roman" w:hAnsi="Times New Roman" w:eastAsia="Times New Roman" w:cs="Times New Roman"/>
          <w:b/>
          <w:i/>
          <w:sz w:val="24"/>
          <w:szCs w:val="24"/>
        </w:rPr>
        <w:t>- Driven demand, PoS systems, and CRM software</w:t>
      </w:r>
      <w:r>
        <w:rPr>
          <w:rFonts w:ascii="Times New Roman" w:hAnsi="Times New Roman" w:eastAsia="Times New Roman" w:cs="Times New Roman"/>
          <w:sz w:val="24"/>
          <w:szCs w:val="24"/>
        </w:rPr>
        <w:t xml:space="preserve"> to strengthen their brand position and engagement of customers. </w:t>
      </w:r>
    </w:p>
    <w:p>
      <w:pPr>
        <w:pStyle w:val="2"/>
      </w:pPr>
      <w:bookmarkStart w:id="2" w:name="_Toc110011747"/>
      <w:r>
        <w:t>Introduction</w:t>
      </w:r>
      <w:bookmarkEnd w:id="2"/>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Being an entrepreneur company,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has been trying to spend its time gaining potential customers. Those people who make their first purchase from a company become potential customers who help to bring more customers to a company.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has been trying to create brand loyalty with these potential customers. </w:t>
      </w:r>
    </w:p>
    <w:p>
      <w:pPr>
        <w:pStyle w:val="2"/>
      </w:pPr>
      <w:bookmarkStart w:id="3" w:name="_Toc110011748"/>
      <w:r>
        <w:t>Industry Analysis</w:t>
      </w:r>
      <w:bookmarkEnd w:id="3"/>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w:t>
      </w:r>
      <w:r>
        <w:rPr>
          <w:rFonts w:ascii="Times New Roman" w:hAnsi="Times New Roman" w:eastAsia="Times New Roman" w:cs="Times New Roman"/>
          <w:b/>
          <w:bCs/>
          <w:i/>
          <w:iCs/>
          <w:sz w:val="24"/>
          <w:szCs w:val="24"/>
        </w:rPr>
        <w:t>Retail</w:t>
      </w:r>
      <w:r>
        <w:rPr>
          <w:rFonts w:ascii="Times New Roman" w:hAnsi="Times New Roman" w:eastAsia="Times New Roman" w:cs="Times New Roman"/>
          <w:sz w:val="24"/>
          <w:szCs w:val="24"/>
        </w:rPr>
        <w:t xml:space="preserve"> sector has a significant impact on the </w:t>
      </w:r>
      <w:r>
        <w:rPr>
          <w:rFonts w:ascii="Times New Roman" w:hAnsi="Times New Roman" w:eastAsia="Times New Roman" w:cs="Times New Roman"/>
          <w:b/>
          <w:bCs/>
          <w:i/>
          <w:iCs/>
          <w:sz w:val="24"/>
          <w:szCs w:val="24"/>
        </w:rPr>
        <w:t>UK</w:t>
      </w:r>
      <w:r>
        <w:rPr>
          <w:rFonts w:ascii="Times New Roman" w:hAnsi="Times New Roman" w:eastAsia="Times New Roman" w:cs="Times New Roman"/>
          <w:sz w:val="24"/>
          <w:szCs w:val="24"/>
        </w:rPr>
        <w:t xml:space="preserve">'s economy. It generates a huge number of sales and provides jobs throughout the </w:t>
      </w:r>
      <w:r>
        <w:rPr>
          <w:rFonts w:ascii="Times New Roman" w:hAnsi="Times New Roman" w:eastAsia="Times New Roman" w:cs="Times New Roman"/>
          <w:b/>
          <w:bCs/>
          <w:i/>
          <w:iCs/>
          <w:sz w:val="24"/>
          <w:szCs w:val="24"/>
        </w:rPr>
        <w:t>UK</w:t>
      </w:r>
      <w:r>
        <w:rPr>
          <w:rFonts w:ascii="Times New Roman" w:hAnsi="Times New Roman" w:eastAsia="Times New Roman" w:cs="Times New Roman"/>
          <w:sz w:val="24"/>
          <w:szCs w:val="24"/>
        </w:rPr>
        <w:t xml:space="preserve">. In this position, for entering into this kind of large industry,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should know these industries. For this reason, this context comes to light about “</w:t>
      </w:r>
      <w:r>
        <w:rPr>
          <w:rFonts w:ascii="Times New Roman" w:hAnsi="Times New Roman" w:eastAsia="Times New Roman" w:cs="Times New Roman"/>
          <w:b/>
          <w:i/>
          <w:sz w:val="24"/>
          <w:szCs w:val="24"/>
        </w:rPr>
        <w:t>Porter's five Forces”</w:t>
      </w:r>
      <w:r>
        <w:rPr>
          <w:rFonts w:ascii="Times New Roman" w:hAnsi="Times New Roman" w:eastAsia="Times New Roman" w:cs="Times New Roman"/>
          <w:sz w:val="24"/>
          <w:szCs w:val="24"/>
        </w:rPr>
        <w:t xml:space="preserve"> theory. This theory has five components including</w:t>
      </w:r>
    </w:p>
    <w:p>
      <w:pPr>
        <w:numPr>
          <w:ilvl w:val="0"/>
          <w:numId w:val="1"/>
        </w:num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Competition in the industry</w:t>
      </w:r>
    </w:p>
    <w:p>
      <w:pPr>
        <w:numPr>
          <w:ilvl w:val="0"/>
          <w:numId w:val="1"/>
        </w:num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Potential new entrants in the industries</w:t>
      </w:r>
    </w:p>
    <w:p>
      <w:pPr>
        <w:numPr>
          <w:ilvl w:val="0"/>
          <w:numId w:val="1"/>
        </w:num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Power of suppliers</w:t>
      </w:r>
    </w:p>
    <w:p>
      <w:pPr>
        <w:numPr>
          <w:ilvl w:val="0"/>
          <w:numId w:val="1"/>
        </w:num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Power of potential customers</w:t>
      </w:r>
    </w:p>
    <w:p>
      <w:pPr>
        <w:numPr>
          <w:ilvl w:val="0"/>
          <w:numId w:val="1"/>
        </w:num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Substitute products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Competition in an industries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w:t>
      </w:r>
      <w:r>
        <w:rPr>
          <w:rFonts w:ascii="Times New Roman" w:hAnsi="Times New Roman" w:eastAsia="Times New Roman" w:cs="Times New Roman"/>
          <w:b/>
          <w:bCs/>
          <w:i/>
          <w:iCs/>
          <w:sz w:val="24"/>
          <w:szCs w:val="24"/>
        </w:rPr>
        <w:t>UK</w:t>
      </w:r>
      <w:r>
        <w:rPr>
          <w:rFonts w:ascii="Times New Roman" w:hAnsi="Times New Roman" w:eastAsia="Times New Roman" w:cs="Times New Roman"/>
          <w:sz w:val="24"/>
          <w:szCs w:val="24"/>
        </w:rPr>
        <w:t xml:space="preserve">'s </w:t>
      </w:r>
      <w:r>
        <w:rPr>
          <w:rFonts w:ascii="Times New Roman" w:hAnsi="Times New Roman" w:eastAsia="Times New Roman" w:cs="Times New Roman"/>
          <w:b/>
          <w:bCs/>
          <w:i/>
          <w:iCs/>
          <w:sz w:val="24"/>
          <w:szCs w:val="24"/>
        </w:rPr>
        <w:t>Retail</w:t>
      </w:r>
      <w:r>
        <w:rPr>
          <w:rFonts w:ascii="Times New Roman" w:hAnsi="Times New Roman" w:eastAsia="Times New Roman" w:cs="Times New Roman"/>
          <w:sz w:val="24"/>
          <w:szCs w:val="24"/>
        </w:rPr>
        <w:t xml:space="preserve"> industries, several companies have an expanding customer market. For example, </w:t>
      </w:r>
      <w:r>
        <w:rPr>
          <w:rFonts w:ascii="Times New Roman" w:hAnsi="Times New Roman" w:eastAsia="Times New Roman" w:cs="Times New Roman"/>
          <w:b/>
          <w:i/>
          <w:sz w:val="24"/>
          <w:szCs w:val="24"/>
        </w:rPr>
        <w:t xml:space="preserve">Amazon </w:t>
      </w:r>
      <w:r>
        <w:rPr>
          <w:rFonts w:ascii="Times New Roman" w:hAnsi="Times New Roman" w:eastAsia="Times New Roman" w:cs="Times New Roman"/>
          <w:b/>
          <w:bCs/>
          <w:i/>
          <w:iCs/>
          <w:sz w:val="24"/>
          <w:szCs w:val="24"/>
        </w:rPr>
        <w:t>UK</w:t>
      </w:r>
      <w:r>
        <w:rPr>
          <w:rFonts w:ascii="Times New Roman" w:hAnsi="Times New Roman" w:eastAsia="Times New Roman" w:cs="Times New Roman"/>
          <w:b/>
          <w:i/>
          <w:sz w:val="24"/>
          <w:szCs w:val="24"/>
        </w:rPr>
        <w:t>, Tesco, Marks &amp; Spencer, Argos, New Look, Boohoo, and others dominate in these industries.</w:t>
      </w:r>
      <w:r>
        <w:rPr>
          <w:rFonts w:ascii="Times New Roman" w:hAnsi="Times New Roman" w:eastAsia="Times New Roman" w:cs="Times New Roman"/>
          <w:sz w:val="24"/>
          <w:szCs w:val="24"/>
        </w:rPr>
        <w:t xml:space="preserve"> In this position, it is difficult for a new commercial company to run in this comparative market.  Hence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should apply a </w:t>
      </w:r>
      <w:r>
        <w:rPr>
          <w:rFonts w:ascii="Times New Roman" w:hAnsi="Times New Roman" w:eastAsia="Times New Roman" w:cs="Times New Roman"/>
          <w:b/>
          <w:i/>
          <w:sz w:val="24"/>
          <w:szCs w:val="24"/>
        </w:rPr>
        <w:t>business strategy t</w:t>
      </w:r>
      <w:r>
        <w:rPr>
          <w:rFonts w:ascii="Times New Roman" w:hAnsi="Times New Roman" w:eastAsia="Times New Roman" w:cs="Times New Roman"/>
          <w:sz w:val="24"/>
          <w:szCs w:val="24"/>
        </w:rPr>
        <w:t xml:space="preserve">hat will help them to understand the </w:t>
      </w:r>
      <w:r>
        <w:rPr>
          <w:rFonts w:ascii="Times New Roman" w:hAnsi="Times New Roman" w:eastAsia="Times New Roman" w:cs="Times New Roman"/>
          <w:b/>
          <w:i/>
          <w:sz w:val="24"/>
          <w:szCs w:val="24"/>
        </w:rPr>
        <w:t>strengths and weaknesses</w:t>
      </w:r>
      <w:r>
        <w:rPr>
          <w:rFonts w:ascii="Times New Roman" w:hAnsi="Times New Roman" w:eastAsia="Times New Roman" w:cs="Times New Roman"/>
          <w:sz w:val="24"/>
          <w:szCs w:val="24"/>
        </w:rPr>
        <w:t xml:space="preserve"> of those companies. Additionally,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can take positioning and branding perception to improve its position in the </w:t>
      </w:r>
      <w:r>
        <w:rPr>
          <w:rFonts w:ascii="Times New Roman" w:hAnsi="Times New Roman" w:eastAsia="Times New Roman" w:cs="Times New Roman"/>
          <w:b/>
          <w:bCs/>
          <w:i/>
          <w:iCs/>
          <w:sz w:val="24"/>
          <w:szCs w:val="24"/>
        </w:rPr>
        <w:t>UK retail</w:t>
      </w:r>
      <w:r>
        <w:rPr>
          <w:rFonts w:ascii="Times New Roman" w:hAnsi="Times New Roman" w:eastAsia="Times New Roman" w:cs="Times New Roman"/>
          <w:sz w:val="24"/>
          <w:szCs w:val="24"/>
        </w:rPr>
        <w:t xml:space="preserve"> marketplace.  As per the justification of </w:t>
      </w:r>
      <w:r>
        <w:rPr>
          <w:rFonts w:ascii="Times New Roman" w:hAnsi="Times New Roman" w:eastAsia="Times New Roman" w:cs="Times New Roman"/>
          <w:color w:val="222222"/>
          <w:sz w:val="24"/>
          <w:szCs w:val="24"/>
          <w:highlight w:val="white"/>
        </w:rPr>
        <w:t xml:space="preserve">Naidoo and Gasparatos (2018), </w:t>
      </w:r>
      <w:r>
        <w:rPr>
          <w:rFonts w:ascii="Times New Roman" w:hAnsi="Times New Roman" w:eastAsia="Times New Roman" w:cs="Times New Roman"/>
          <w:sz w:val="24"/>
          <w:szCs w:val="24"/>
        </w:rPr>
        <w:t xml:space="preserve">to track the competition, this business strategy helps to understand their </w:t>
      </w:r>
      <w:r>
        <w:rPr>
          <w:rFonts w:ascii="Times New Roman" w:hAnsi="Times New Roman" w:eastAsia="Times New Roman" w:cs="Times New Roman"/>
          <w:b/>
          <w:i/>
          <w:sz w:val="24"/>
          <w:szCs w:val="24"/>
        </w:rPr>
        <w:t>competitors’ future strategy</w:t>
      </w:r>
      <w:r>
        <w:rPr>
          <w:rFonts w:ascii="Times New Roman" w:hAnsi="Times New Roman" w:eastAsia="Times New Roman" w:cs="Times New Roman"/>
          <w:sz w:val="24"/>
          <w:szCs w:val="24"/>
        </w:rPr>
        <w:t xml:space="preserve"> which provides knowledge to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about their future investment in those parts where it is needed most.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Potential new entrants to these industries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Being a </w:t>
      </w:r>
      <w:r>
        <w:rPr>
          <w:rFonts w:ascii="Times New Roman" w:hAnsi="Times New Roman" w:eastAsia="Times New Roman" w:cs="Times New Roman"/>
          <w:b/>
          <w:i/>
          <w:sz w:val="24"/>
          <w:szCs w:val="24"/>
        </w:rPr>
        <w:t>new entrant</w:t>
      </w:r>
      <w:r>
        <w:rPr>
          <w:rFonts w:ascii="Times New Roman" w:hAnsi="Times New Roman" w:eastAsia="Times New Roman" w:cs="Times New Roman"/>
          <w:sz w:val="24"/>
          <w:szCs w:val="24"/>
        </w:rPr>
        <w:t xml:space="preserve">,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should launch its products on online platforms such as </w:t>
      </w:r>
      <w:r>
        <w:rPr>
          <w:rFonts w:ascii="Times New Roman" w:hAnsi="Times New Roman" w:eastAsia="Times New Roman" w:cs="Times New Roman"/>
          <w:b/>
          <w:i/>
          <w:sz w:val="24"/>
          <w:szCs w:val="24"/>
        </w:rPr>
        <w:t>Shopify and Etsy.</w:t>
      </w:r>
      <w:r>
        <w:rPr>
          <w:rFonts w:ascii="Times New Roman" w:hAnsi="Times New Roman" w:eastAsia="Times New Roman" w:cs="Times New Roman"/>
          <w:sz w:val="24"/>
          <w:szCs w:val="24"/>
        </w:rPr>
        <w:t xml:space="preserve"> This company can also invest in an E-commerce plan to track social accounting of </w:t>
      </w:r>
      <w:r>
        <w:rPr>
          <w:rFonts w:ascii="Times New Roman" w:hAnsi="Times New Roman" w:eastAsia="Times New Roman" w:cs="Times New Roman"/>
          <w:b/>
          <w:i/>
          <w:sz w:val="24"/>
          <w:szCs w:val="24"/>
        </w:rPr>
        <w:t>E-commerce sales</w:t>
      </w:r>
      <w:r>
        <w:rPr>
          <w:rFonts w:ascii="Times New Roman" w:hAnsi="Times New Roman" w:eastAsia="Times New Roman" w:cs="Times New Roman"/>
          <w:sz w:val="24"/>
          <w:szCs w:val="24"/>
        </w:rPr>
        <w:t xml:space="preserve">. This peculiar company should give attention to proper management in sales during limited time frames that will help to achieve their sales targets.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Power of engaging suppliers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w:t>
      </w:r>
      <w:r>
        <w:rPr>
          <w:rFonts w:ascii="Times New Roman" w:hAnsi="Times New Roman" w:eastAsia="Times New Roman" w:cs="Times New Roman"/>
          <w:b/>
          <w:bCs/>
          <w:i/>
          <w:iCs/>
          <w:sz w:val="24"/>
          <w:szCs w:val="24"/>
        </w:rPr>
        <w:t>Retail</w:t>
      </w:r>
      <w:r>
        <w:rPr>
          <w:rFonts w:ascii="Times New Roman" w:hAnsi="Times New Roman" w:eastAsia="Times New Roman" w:cs="Times New Roman"/>
          <w:sz w:val="24"/>
          <w:szCs w:val="24"/>
        </w:rPr>
        <w:t xml:space="preserve"> industry, </w:t>
      </w:r>
      <w:r>
        <w:rPr>
          <w:rFonts w:ascii="Times New Roman" w:hAnsi="Times New Roman" w:eastAsia="Times New Roman" w:cs="Times New Roman"/>
          <w:b/>
          <w:i/>
          <w:sz w:val="24"/>
          <w:szCs w:val="24"/>
        </w:rPr>
        <w:t>Suppliers</w:t>
      </w:r>
      <w:r>
        <w:rPr>
          <w:rFonts w:ascii="Times New Roman" w:hAnsi="Times New Roman" w:eastAsia="Times New Roman" w:cs="Times New Roman"/>
          <w:sz w:val="24"/>
          <w:szCs w:val="24"/>
        </w:rPr>
        <w:t xml:space="preserve"> are one of the most important factors in running a company. Suppliers are nimble players who control a product or service and can expertise their buyers. Hence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should contact a bunch of suppliers to engage with their business. As this supplier can </w:t>
      </w:r>
      <w:r>
        <w:rPr>
          <w:rFonts w:ascii="Times New Roman" w:hAnsi="Times New Roman" w:eastAsia="Times New Roman" w:cs="Times New Roman"/>
          <w:b/>
          <w:i/>
          <w:sz w:val="24"/>
          <w:szCs w:val="24"/>
        </w:rPr>
        <w:t>increase the prices of products, also, they can limit the number of products that they want to sell.</w:t>
      </w:r>
      <w:r>
        <w:rPr>
          <w:rFonts w:ascii="Times New Roman" w:hAnsi="Times New Roman" w:eastAsia="Times New Roman" w:cs="Times New Roman"/>
          <w:sz w:val="24"/>
          <w:szCs w:val="24"/>
        </w:rPr>
        <w:t xml:space="preserve"> Therefore,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needs to maintain a quality relationship with its suppliers.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Power of potential customers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Buyers have the power to </w:t>
      </w:r>
      <w:r>
        <w:rPr>
          <w:rFonts w:ascii="Times New Roman" w:hAnsi="Times New Roman" w:eastAsia="Times New Roman" w:cs="Times New Roman"/>
          <w:b/>
          <w:i/>
          <w:sz w:val="24"/>
          <w:szCs w:val="24"/>
        </w:rPr>
        <w:t xml:space="preserve">influence the price and quality of a specific product. </w:t>
      </w:r>
      <w:r>
        <w:rPr>
          <w:rFonts w:ascii="Times New Roman" w:hAnsi="Times New Roman" w:eastAsia="Times New Roman" w:cs="Times New Roman"/>
          <w:sz w:val="24"/>
          <w:szCs w:val="24"/>
        </w:rPr>
        <w:t xml:space="preserve"> As per the benefit of </w:t>
      </w:r>
      <w:r>
        <w:rPr>
          <w:rFonts w:ascii="Times New Roman" w:hAnsi="Times New Roman" w:eastAsia="Times New Roman" w:cs="Times New Roman"/>
          <w:color w:val="222222"/>
          <w:sz w:val="24"/>
          <w:szCs w:val="24"/>
          <w:highlight w:val="white"/>
        </w:rPr>
        <w:t xml:space="preserve">Albizzati et al. (2019), </w:t>
      </w:r>
      <w:r>
        <w:rPr>
          <w:rFonts w:ascii="Times New Roman" w:hAnsi="Times New Roman" w:eastAsia="Times New Roman" w:cs="Times New Roman"/>
          <w:sz w:val="24"/>
          <w:szCs w:val="24"/>
        </w:rPr>
        <w:t xml:space="preserve">a loyal customer provides a positive impact on a company as in case they purchase a quality product of a company, their </w:t>
      </w:r>
      <w:r>
        <w:rPr>
          <w:rFonts w:ascii="Times New Roman" w:hAnsi="Times New Roman" w:eastAsia="Times New Roman" w:cs="Times New Roman"/>
          <w:b/>
          <w:i/>
          <w:sz w:val="24"/>
          <w:szCs w:val="24"/>
        </w:rPr>
        <w:t>quality review</w:t>
      </w:r>
      <w:r>
        <w:rPr>
          <w:rFonts w:ascii="Times New Roman" w:hAnsi="Times New Roman" w:eastAsia="Times New Roman" w:cs="Times New Roman"/>
          <w:sz w:val="24"/>
          <w:szCs w:val="24"/>
        </w:rPr>
        <w:t xml:space="preserve"> has developed brand image in the marketplace. Additionally, some consumers left their previous company for switching costs. Hence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needs to examine its audience behaviour toward its products. Loyal customers often are strict with their preferred brand.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Substitute products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US" w:eastAsia="en-US"/>
        </w:rPr>
        <w:drawing>
          <wp:inline distT="114300" distB="114300" distL="114300" distR="114300">
            <wp:extent cx="3000375" cy="241998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a:stretch>
                      <a:fillRect/>
                    </a:stretch>
                  </pic:blipFill>
                  <pic:spPr>
                    <a:xfrm>
                      <a:off x="0" y="0"/>
                      <a:ext cx="3000375" cy="2420503"/>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Figure1: Porter’s five forces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think-beyond.co.</w:t>
      </w:r>
      <w:r>
        <w:rPr>
          <w:rFonts w:ascii="Times New Roman" w:hAnsi="Times New Roman" w:eastAsia="Times New Roman" w:cs="Times New Roman"/>
          <w:i/>
          <w:iCs/>
          <w:sz w:val="24"/>
          <w:szCs w:val="24"/>
        </w:rPr>
        <w:t>UK</w:t>
      </w:r>
      <w:r>
        <w:rPr>
          <w:rFonts w:ascii="Times New Roman" w:hAnsi="Times New Roman" w:eastAsia="Times New Roman" w:cs="Times New Roman"/>
          <w:sz w:val="24"/>
          <w:szCs w:val="24"/>
        </w:rPr>
        <w:t>,2022)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 a part of Porter’s</w:t>
      </w:r>
      <w:r>
        <w:rPr>
          <w:rFonts w:ascii="Times New Roman" w:hAnsi="Times New Roman" w:eastAsia="Times New Roman" w:cs="Times New Roman"/>
          <w:b/>
          <w:i/>
          <w:sz w:val="24"/>
          <w:szCs w:val="24"/>
        </w:rPr>
        <w:t xml:space="preserve"> five forces theory</w:t>
      </w:r>
      <w:r>
        <w:rPr>
          <w:rFonts w:ascii="Times New Roman" w:hAnsi="Times New Roman" w:eastAsia="Times New Roman" w:cs="Times New Roman"/>
          <w:sz w:val="24"/>
          <w:szCs w:val="24"/>
        </w:rPr>
        <w:t xml:space="preserve">, Substitute products define a service that customers can buy instead of a company's existing products. Sometimes, consumers go for those products that have a lower price than those products they used to. Additionally, some competitor companies have aimed to produce those products which can provide the same services that a potential company is offering. In a study written by </w:t>
      </w:r>
      <w:r>
        <w:rPr>
          <w:rFonts w:ascii="Times New Roman" w:hAnsi="Times New Roman" w:eastAsia="Times New Roman" w:cs="Times New Roman"/>
          <w:color w:val="222222"/>
          <w:sz w:val="24"/>
          <w:szCs w:val="24"/>
          <w:highlight w:val="white"/>
        </w:rPr>
        <w:t xml:space="preserve">Nash (2018), </w:t>
      </w:r>
      <w:r>
        <w:rPr>
          <w:rFonts w:ascii="Times New Roman" w:hAnsi="Times New Roman" w:eastAsia="Times New Roman" w:cs="Times New Roman"/>
          <w:sz w:val="24"/>
          <w:szCs w:val="24"/>
        </w:rPr>
        <w:t xml:space="preserve">this kind of product has the opportunity to change consumer performance or thinking about a product’s price and quality. That happens as a trade-off.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should give attention to these factors that can draw a customer's attention to other products. This company can identify those customers who have switching behaviour. Moreover, this company needs to determine those products which can cause threat severity for their products.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can build positive communication with all their customers and they need to explain to them about their services and products that can be better than other </w:t>
      </w:r>
      <w:r>
        <w:rPr>
          <w:rFonts w:ascii="Times New Roman" w:hAnsi="Times New Roman" w:eastAsia="Times New Roman" w:cs="Times New Roman"/>
          <w:b/>
          <w:bCs/>
          <w:i/>
          <w:iCs/>
          <w:sz w:val="24"/>
          <w:szCs w:val="24"/>
        </w:rPr>
        <w:t>Retail</w:t>
      </w:r>
      <w:r>
        <w:rPr>
          <w:rFonts w:ascii="Times New Roman" w:hAnsi="Times New Roman" w:eastAsia="Times New Roman" w:cs="Times New Roman"/>
          <w:sz w:val="24"/>
          <w:szCs w:val="24"/>
        </w:rPr>
        <w:t xml:space="preserve"> companies.</w:t>
      </w:r>
    </w:p>
    <w:p>
      <w:pPr>
        <w:pStyle w:val="2"/>
      </w:pPr>
      <w:bookmarkStart w:id="4" w:name="_aefdcqhukc2e" w:colFirst="0" w:colLast="0"/>
      <w:bookmarkEnd w:id="4"/>
      <w:bookmarkStart w:id="5" w:name="_Toc110011749"/>
      <w:r>
        <w:t>Marketing Plan</w:t>
      </w:r>
      <w:bookmarkEnd w:id="5"/>
    </w:p>
    <w:p>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marketing strategy that will help in the prediction of the new market choices and customer preferences in Formonix is an aid to its brand success as well as establishing the company's position (Wang et al. 2019),. Product strategy: according to Formonix SMART's objectives or goals, they will offer a huge range of services and product categories to cater to each preference and need of the users from various segments of the local market. </w:t>
      </w:r>
      <w:r>
        <w:rPr>
          <w:rFonts w:ascii="Times New Roman" w:hAnsi="Times New Roman" w:cs="Times New Roman"/>
          <w:b/>
          <w:i/>
          <w:color w:val="000000" w:themeColor="text1"/>
          <w:sz w:val="24"/>
          <w:szCs w:val="24"/>
        </w:rPr>
        <w:t xml:space="preserve">Frozen and beverage foods, gaming and technology products, leisure and sports products, </w:t>
      </w:r>
      <w:r>
        <w:rPr>
          <w:rFonts w:ascii="Times New Roman" w:hAnsi="Times New Roman" w:cs="Times New Roman"/>
          <w:color w:val="000000" w:themeColor="text1"/>
          <w:sz w:val="24"/>
          <w:szCs w:val="24"/>
        </w:rPr>
        <w:t xml:space="preserve">and </w:t>
      </w:r>
      <w:r>
        <w:rPr>
          <w:rFonts w:ascii="Times New Roman" w:hAnsi="Times New Roman" w:cs="Times New Roman"/>
          <w:b/>
          <w:i/>
          <w:color w:val="000000" w:themeColor="text1"/>
          <w:sz w:val="24"/>
          <w:szCs w:val="24"/>
        </w:rPr>
        <w:t>clothes and beauty products</w:t>
      </w:r>
      <w:r>
        <w:rPr>
          <w:rFonts w:ascii="Times New Roman" w:hAnsi="Times New Roman" w:cs="Times New Roman"/>
          <w:color w:val="000000" w:themeColor="text1"/>
          <w:sz w:val="24"/>
          <w:szCs w:val="24"/>
        </w:rPr>
        <w:t xml:space="preserve"> are key categories of Formonix’s product range. In terms of services, Formonix wishes to provide financial support such as mortgages, credit cards, and insurance throughout the local market in its in-store and ecommerce platforms. Formonix will review 30+ beverage and food categories by reducing the product lines to be concerned with essential products. Pricing strategy: This future retail brand is going to use the best channels and economies of scale to maintain the cost margin of its service and products. Formonix decided to launch a program of </w:t>
      </w:r>
      <w:r>
        <w:rPr>
          <w:rFonts w:ascii="Times New Roman" w:hAnsi="Times New Roman" w:cs="Times New Roman"/>
          <w:b/>
          <w:i/>
          <w:color w:val="000000" w:themeColor="text1"/>
          <w:sz w:val="24"/>
          <w:szCs w:val="24"/>
        </w:rPr>
        <w:t>“Brand Guarantee”</w:t>
      </w:r>
      <w:r>
        <w:rPr>
          <w:rFonts w:ascii="Times New Roman" w:hAnsi="Times New Roman" w:cs="Times New Roman"/>
          <w:color w:val="000000" w:themeColor="text1"/>
          <w:sz w:val="24"/>
          <w:szCs w:val="24"/>
        </w:rPr>
        <w:t xml:space="preserve"> in that if consumers may get less price of branded goods at other locations Formonix is going to match the cost if the consumer purchases 10+ products (Adivar et al. 2019),. These way consumers get guaranteed that they pay the least to Formonix while getting the best brand products at an affordable price. Place strategy:  Formonix will establish their grocery supermarket in Manchester, which gives an extraordinary opportunity regarding 2000 square feet location for their stores across the city centres and towns. Formonix will carry non-food items under a roof, which completely attracts customers to a routine shopping trip. Promotion strategy: Formonix wants to create a strong brand image, for this reason, it will include its promotional activities fully based on themes. The marketing team will use </w:t>
      </w:r>
      <w:r>
        <w:rPr>
          <w:rFonts w:ascii="Times New Roman" w:hAnsi="Times New Roman" w:cs="Times New Roman"/>
          <w:b/>
          <w:i/>
          <w:color w:val="000000" w:themeColor="text1"/>
          <w:sz w:val="24"/>
          <w:szCs w:val="24"/>
        </w:rPr>
        <w:t xml:space="preserve">television ads, charitable events, </w:t>
      </w:r>
      <w:r>
        <w:rPr>
          <w:rFonts w:ascii="Times New Roman" w:hAnsi="Times New Roman" w:cs="Times New Roman"/>
          <w:color w:val="000000" w:themeColor="text1"/>
          <w:sz w:val="24"/>
          <w:szCs w:val="24"/>
        </w:rPr>
        <w:t>and</w:t>
      </w:r>
      <w:r>
        <w:rPr>
          <w:rFonts w:ascii="Times New Roman" w:hAnsi="Times New Roman" w:cs="Times New Roman"/>
          <w:b/>
          <w:i/>
          <w:color w:val="000000" w:themeColor="text1"/>
          <w:sz w:val="24"/>
          <w:szCs w:val="24"/>
        </w:rPr>
        <w:t xml:space="preserve"> hoardings</w:t>
      </w:r>
      <w:r>
        <w:rPr>
          <w:rFonts w:ascii="Times New Roman" w:hAnsi="Times New Roman" w:cs="Times New Roman"/>
          <w:color w:val="000000" w:themeColor="text1"/>
          <w:sz w:val="24"/>
          <w:szCs w:val="24"/>
        </w:rPr>
        <w:t xml:space="preserve"> as its unique strategy to create interest of its products in customers’ minds.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lang w:val="en-US" w:eastAsia="en-US"/>
        </w:rPr>
        <w:drawing>
          <wp:inline distT="0" distB="0" distL="0" distR="0">
            <wp:extent cx="5486400" cy="914400"/>
            <wp:effectExtent l="57150" t="1905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2: Marketing Plan</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pPr>
        <w:pStyle w:val="2"/>
        <w:rPr>
          <w:rFonts w:eastAsia="Times New Roman" w:cs="Times New Roman"/>
          <w:sz w:val="24"/>
          <w:szCs w:val="24"/>
        </w:rPr>
      </w:pPr>
      <w:bookmarkStart w:id="6" w:name="_Toc110011750"/>
      <w:r>
        <w:t>Operations and Management Team Plan</w:t>
      </w:r>
      <w:bookmarkEnd w:id="6"/>
    </w:p>
    <w:p>
      <w:pPr>
        <w:pStyle w:val="21"/>
        <w:ind w:left="0"/>
        <w:rPr>
          <w:lang w:val="en-GB"/>
        </w:rPr>
      </w:pPr>
      <w:r>
        <w:rPr>
          <w:lang w:val="en-GB"/>
        </w:rPr>
        <w:t xml:space="preserve">Over 300000 separate businesses with 3 million people have engaged with the UK retail industry with approximately 439 billion Euros contribution to the national economy. That probably comprising 5.2% of GDP for the UK economy in 2020; shows the capacities with contributing to economic trends in the national development as per financial and sustainability (Retaileconomics.co.uk, 2021). That created a huge opportunity for retail startupFormonix, with its desired e-commerce sales developing a growth market for retail business. According to the record of Statista, 4.8 trillion USD dollars is accounted for in 2021 in the retail business approach the UK that makes a great possibility to established retail Startup. </w:t>
      </w:r>
    </w:p>
    <w:p>
      <w:pPr>
        <w:pStyle w:val="21"/>
        <w:ind w:left="0"/>
        <w:rPr>
          <w:b/>
          <w:lang w:val="en-GB"/>
        </w:rPr>
      </w:pPr>
      <w:r>
        <w:rPr>
          <w:b/>
          <w:lang w:val="en-GB"/>
        </w:rPr>
        <w:t>SMART goal and objectives</w:t>
      </w:r>
    </w:p>
    <w:p>
      <w:pPr>
        <w:pStyle w:val="21"/>
        <w:ind w:left="0"/>
        <w:jc w:val="center"/>
        <w:rPr>
          <w:b/>
          <w:lang w:val="en-GB"/>
        </w:rPr>
      </w:pPr>
      <w:r>
        <w:rPr>
          <w:b/>
        </w:rPr>
        <w:drawing>
          <wp:inline distT="114300" distB="114300" distL="114300" distR="114300">
            <wp:extent cx="4854575" cy="2503805"/>
            <wp:effectExtent l="38100" t="38100" r="22225" b="10795"/>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0" cstate="print"/>
                    <a:srcRect t="9279" b="10477"/>
                    <a:stretch>
                      <a:fillRect/>
                    </a:stretch>
                  </pic:blipFill>
                  <pic:spPr>
                    <a:xfrm>
                      <a:off x="0" y="0"/>
                      <a:ext cx="4855815" cy="2504877"/>
                    </a:xfrm>
                    <a:prstGeom prst="rect">
                      <a:avLst/>
                    </a:prstGeom>
                    <a:ln w="25400" cap="flat" cmpd="sng" algn="ctr">
                      <a:solidFill>
                        <a:srgbClr val="000000"/>
                      </a:solidFill>
                      <a:prstDash val="solid"/>
                      <a:round/>
                      <a:headEnd type="none" w="med" len="med"/>
                      <a:tailEnd type="none" w="med" len="med"/>
                    </a:ln>
                  </pic:spPr>
                </pic:pic>
              </a:graphicData>
            </a:graphic>
          </wp:inline>
        </w:drawing>
      </w:r>
    </w:p>
    <w:p>
      <w:pPr>
        <w:pStyle w:val="21"/>
        <w:ind w:left="0"/>
        <w:jc w:val="center"/>
        <w:rPr>
          <w:b/>
          <w:lang w:val="en-GB"/>
        </w:rPr>
      </w:pPr>
      <w:r>
        <w:rPr>
          <w:b/>
          <w:lang w:val="en-GB"/>
        </w:rPr>
        <w:t>Figure 1: Diagram of SMART framework</w:t>
      </w:r>
    </w:p>
    <w:p>
      <w:pPr>
        <w:pStyle w:val="21"/>
        <w:ind w:left="0"/>
        <w:jc w:val="center"/>
        <w:rPr>
          <w:lang w:val="en-GB"/>
        </w:rPr>
      </w:pPr>
      <w:r>
        <w:rPr>
          <w:lang w:val="en-GB"/>
        </w:rPr>
        <w:t>(Source: Thomas, 2022)</w:t>
      </w:r>
    </w:p>
    <w:p>
      <w:pPr>
        <w:pStyle w:val="21"/>
        <w:ind w:left="0"/>
        <w:rPr>
          <w:lang w:val="en-GB"/>
        </w:rPr>
      </w:pPr>
      <w:r>
        <w:rPr>
          <w:b/>
          <w:i/>
          <w:lang w:val="en-GB"/>
        </w:rPr>
        <w:t xml:space="preserve">Specific: </w:t>
      </w:r>
      <w:r>
        <w:rPr>
          <w:lang w:val="en-GB"/>
        </w:rPr>
        <w:t>a leading retail chain providing excellent service quality of whilst services and products such as frequent delivery of order cloth and food of a low cost.</w:t>
      </w:r>
    </w:p>
    <w:p>
      <w:pPr>
        <w:pStyle w:val="21"/>
        <w:ind w:left="0"/>
        <w:rPr>
          <w:lang w:val="en-GB"/>
        </w:rPr>
      </w:pPr>
      <w:r>
        <w:rPr>
          <w:b/>
          <w:i/>
          <w:lang w:val="en-GB"/>
        </w:rPr>
        <w:t xml:space="preserve">Measurable: </w:t>
      </w:r>
      <w:r>
        <w:rPr>
          <w:lang w:val="en-GB"/>
        </w:rPr>
        <w:t>tracking the progress of delivery and resourcing, Formonix will include robotics and AI; reducing human error with shop front operation by effective supply and inventory planning with a focus on customer personalization.</w:t>
      </w:r>
    </w:p>
    <w:p>
      <w:pPr>
        <w:pStyle w:val="21"/>
        <w:ind w:left="0"/>
        <w:rPr>
          <w:lang w:val="en-GB"/>
        </w:rPr>
      </w:pPr>
      <w:r>
        <w:rPr>
          <w:b/>
          <w:i/>
          <w:lang w:val="en-GB"/>
        </w:rPr>
        <w:t xml:space="preserve">Attainable: </w:t>
      </w:r>
      <w:r>
        <w:rPr>
          <w:lang w:val="en-GB"/>
        </w:rPr>
        <w:t xml:space="preserve"> developing workforce by training enough to meet the company gold and achieve a set of targets of increasing sales by 30% within a sustainable position.</w:t>
      </w:r>
    </w:p>
    <w:p>
      <w:pPr>
        <w:pStyle w:val="21"/>
        <w:ind w:left="0"/>
        <w:rPr>
          <w:lang w:val="en-GB"/>
        </w:rPr>
      </w:pPr>
      <w:r>
        <w:rPr>
          <w:b/>
          <w:i/>
          <w:lang w:val="en-GB"/>
        </w:rPr>
        <w:t xml:space="preserve">Realistic: </w:t>
      </w:r>
      <w:r>
        <w:rPr>
          <w:lang w:val="en-GB"/>
        </w:rPr>
        <w:t>employees and managers at Formonix will focus on the timeline and scope of each project by involving feedback and reward policy on the employment allowing top management where employees are more confident about their professional responsibility.</w:t>
      </w:r>
    </w:p>
    <w:p>
      <w:pPr>
        <w:pStyle w:val="21"/>
        <w:ind w:left="0"/>
        <w:rPr>
          <w:lang w:val="en-GB"/>
        </w:rPr>
      </w:pPr>
      <w:r>
        <w:rPr>
          <w:b/>
          <w:i/>
          <w:lang w:val="en-GB"/>
        </w:rPr>
        <w:t xml:space="preserve">Time-bound: </w:t>
      </w:r>
      <w:r>
        <w:rPr>
          <w:lang w:val="en-GB"/>
        </w:rPr>
        <w:t xml:space="preserve">Formonix is going to be concerned to increase financial costs employees motivate customer confidence and band awareness within a set of activity duration of 90 days. </w:t>
      </w:r>
    </w:p>
    <w:p>
      <w:pPr>
        <w:pStyle w:val="21"/>
        <w:ind w:left="0"/>
        <w:rPr>
          <w:b/>
          <w:lang w:val="en-GB"/>
        </w:rPr>
      </w:pPr>
      <w:r>
        <w:rPr>
          <w:b/>
          <w:lang w:val="en-GB"/>
        </w:rPr>
        <w:t>Value and process analysis</w:t>
      </w:r>
    </w:p>
    <w:p>
      <w:pPr>
        <w:pStyle w:val="21"/>
        <w:ind w:left="0"/>
        <w:jc w:val="center"/>
        <w:rPr>
          <w:b/>
          <w:lang w:val="en-GB"/>
        </w:rPr>
      </w:pPr>
      <w:r>
        <w:rPr>
          <w:b/>
        </w:rPr>
        <w:drawing>
          <wp:inline distT="114300" distB="114300" distL="114300" distR="114300">
            <wp:extent cx="4820920" cy="2580640"/>
            <wp:effectExtent l="38100" t="38100" r="17780" b="1016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11"/>
                    <a:stretch>
                      <a:fillRect/>
                    </a:stretch>
                  </pic:blipFill>
                  <pic:spPr>
                    <a:xfrm>
                      <a:off x="0" y="0"/>
                      <a:ext cx="4821202" cy="2580791"/>
                    </a:xfrm>
                    <a:prstGeom prst="rect">
                      <a:avLst/>
                    </a:prstGeom>
                    <a:ln w="25400">
                      <a:solidFill>
                        <a:srgbClr val="000000"/>
                      </a:solidFill>
                      <a:prstDash val="solid"/>
                    </a:ln>
                  </pic:spPr>
                </pic:pic>
              </a:graphicData>
            </a:graphic>
          </wp:inline>
        </w:drawing>
      </w:r>
    </w:p>
    <w:p>
      <w:pPr>
        <w:pStyle w:val="21"/>
        <w:ind w:left="0"/>
        <w:jc w:val="center"/>
        <w:rPr>
          <w:b/>
          <w:lang w:val="en-GB"/>
        </w:rPr>
      </w:pPr>
      <w:r>
        <w:rPr>
          <w:b/>
          <w:lang w:val="en-GB"/>
        </w:rPr>
        <w:t>Figure 2: Value chain analysis of Formonix</w:t>
      </w:r>
    </w:p>
    <w:p>
      <w:pPr>
        <w:pStyle w:val="21"/>
        <w:ind w:left="0"/>
        <w:jc w:val="center"/>
        <w:rPr>
          <w:lang w:val="en-GB"/>
        </w:rPr>
      </w:pPr>
      <w:r>
        <w:rPr>
          <w:lang w:val="en-GB"/>
        </w:rPr>
        <w:t>(Source: Self-developed)</w:t>
      </w:r>
    </w:p>
    <w:p>
      <w:pPr>
        <w:pStyle w:val="21"/>
        <w:ind w:left="0"/>
        <w:rPr>
          <w:lang w:val="en-GB"/>
        </w:rPr>
      </w:pPr>
      <w:r>
        <w:rPr>
          <w:lang w:val="en-GB"/>
        </w:rPr>
        <w:t>Process analysis for Formonix could be related to the client wait time level of service environmental responsibility and inventory equation that will be provided by the staff at this retail firm. In the above components, Formonix needs to robust operation because it has hired effective skills-centered sales at its offline and online functions. That will ensure the presence of sales assistants responding immediately to clients' queries and feel busy cashiers; that improves customer engagement through offline and online modes.  Formonixwill design its stores with IoT, facial recognition, delivery by robots and drones, augmented shopping, voice commerce, and AI. That is expected to improve the packaging quality with standard eyes product and service into an appealing and high position (Bradshaw, 2020). As a retailer, transforming inbound logistics, outbound logistics, sales and marketing, and operations that will be offered by Formonix toward customers; increased closed connection with its supplier. As shown in the above figure, this retailer form will take the biggest share of the company code objective because it not only manufacturing products it has to aim to solve this service and customer satisfaction around the UK.</w:t>
      </w:r>
    </w:p>
    <w:p>
      <w:pPr>
        <w:pStyle w:val="21"/>
        <w:shd w:val="clear" w:color="auto" w:fill="FFFFFF"/>
        <w:spacing w:after="80"/>
        <w:ind w:left="0"/>
        <w:rPr>
          <w:b/>
          <w:lang w:val="en-GB"/>
        </w:rPr>
      </w:pPr>
      <w:r>
        <w:rPr>
          <w:b/>
          <w:lang w:val="en-GB"/>
        </w:rPr>
        <w:t>Techniques and Tools for Managing Operations</w:t>
      </w:r>
    </w:p>
    <w:p>
      <w:pPr>
        <w:pStyle w:val="21"/>
        <w:shd w:val="clear" w:color="auto" w:fill="FFFFFF"/>
        <w:spacing w:after="80"/>
        <w:ind w:left="0"/>
        <w:jc w:val="center"/>
        <w:rPr>
          <w:b/>
          <w:lang w:val="en-GB"/>
        </w:rPr>
      </w:pPr>
      <w:r>
        <w:rPr>
          <w:b/>
        </w:rPr>
        <w:drawing>
          <wp:inline distT="114300" distB="114300" distL="114300" distR="114300">
            <wp:extent cx="4747895" cy="2133600"/>
            <wp:effectExtent l="25400" t="25400" r="25400" b="25400"/>
            <wp:docPr id="9" name="image4.png"/>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12"/>
                    <a:srcRect t="19756" b="12806"/>
                    <a:stretch>
                      <a:fillRect/>
                    </a:stretch>
                  </pic:blipFill>
                  <pic:spPr>
                    <a:xfrm>
                      <a:off x="0" y="0"/>
                      <a:ext cx="4748213" cy="2133600"/>
                    </a:xfrm>
                    <a:prstGeom prst="rect">
                      <a:avLst/>
                    </a:prstGeom>
                    <a:ln w="25400">
                      <a:solidFill>
                        <a:srgbClr val="000000"/>
                      </a:solidFill>
                      <a:prstDash val="solid"/>
                    </a:ln>
                  </pic:spPr>
                </pic:pic>
              </a:graphicData>
            </a:graphic>
          </wp:inline>
        </w:drawing>
      </w:r>
    </w:p>
    <w:p>
      <w:pPr>
        <w:pStyle w:val="21"/>
        <w:shd w:val="clear" w:color="auto" w:fill="FFFFFF"/>
        <w:spacing w:after="80"/>
        <w:ind w:left="0"/>
        <w:jc w:val="center"/>
        <w:rPr>
          <w:b/>
          <w:lang w:val="en-GB"/>
        </w:rPr>
      </w:pPr>
      <w:r>
        <w:rPr>
          <w:b/>
          <w:lang w:val="en-GB"/>
        </w:rPr>
        <w:t xml:space="preserve">Figure 3: Revenue in the retail sector with AI and robotics </w:t>
      </w:r>
    </w:p>
    <w:p>
      <w:pPr>
        <w:pStyle w:val="21"/>
        <w:shd w:val="clear" w:color="auto" w:fill="FFFFFF"/>
        <w:spacing w:after="80"/>
        <w:ind w:left="0"/>
        <w:jc w:val="center"/>
        <w:rPr>
          <w:lang w:val="en-GB"/>
        </w:rPr>
      </w:pPr>
      <w:r>
        <w:rPr>
          <w:lang w:val="en-GB"/>
        </w:rPr>
        <w:t>(Source: Chintamreddy, 2021)</w:t>
      </w:r>
    </w:p>
    <w:p>
      <w:pPr>
        <w:pStyle w:val="21"/>
        <w:shd w:val="clear" w:color="auto" w:fill="FFFFFF"/>
        <w:spacing w:after="80"/>
        <w:ind w:left="0"/>
        <w:rPr>
          <w:lang w:val="en-GB"/>
        </w:rPr>
      </w:pPr>
      <w:r>
        <w:rPr>
          <w:lang w:val="en-GB"/>
        </w:rPr>
        <w:t xml:space="preserve">Formonix wants to expand its dotcom distribution channel to respond to online retail shopping hubs by its users in the UK. 150,000 square feet distribution expected is created across Manchester. Associated technologies will allow Formonix to serve dedicated inventories to its digital sales, which enhances its visualized customer base. In the contemporary process, maximum retail brands such as ASDA and Tesco followed; had to go to the physical stores and pick and ship orders to customers. </w:t>
      </w:r>
      <w:r>
        <w:rPr>
          <w:b/>
          <w:i/>
          <w:lang w:val="en-GB"/>
        </w:rPr>
        <w:t xml:space="preserve">IoT: </w:t>
      </w:r>
      <w:r>
        <w:rPr>
          <w:lang w:val="en-GB"/>
        </w:rPr>
        <w:t>this generates a communication network of different physical devices that work in sharing data and it has the potential advantage of providing a more innovative and engaging shopping experience for customers. Formonix will manage its sales operation because it allows BLE to transmit consistent signals that are easily caught by customers' smartphones (</w:t>
      </w:r>
      <w:r>
        <w:rPr>
          <w:highlight w:val="white"/>
          <w:lang w:val="en-GB"/>
        </w:rPr>
        <w:t>Lynch and Barnes, 2020)</w:t>
      </w:r>
      <w:r>
        <w:rPr>
          <w:lang w:val="en-GB"/>
        </w:rPr>
        <w:t xml:space="preserve">. That will accept more granular client personalization and segmentation than ever before. </w:t>
      </w:r>
    </w:p>
    <w:p>
      <w:pPr>
        <w:pStyle w:val="21"/>
        <w:shd w:val="clear" w:color="auto" w:fill="FFFFFF"/>
        <w:spacing w:after="80"/>
        <w:ind w:left="0"/>
        <w:rPr>
          <w:lang w:val="en-GB"/>
        </w:rPr>
      </w:pPr>
      <w:r>
        <w:rPr>
          <w:lang w:val="en-GB"/>
        </w:rPr>
        <w:t xml:space="preserve">Another side, IoT allows RFID tags; to increase the process of online shopping more visible and feasible by scanning barcodes, and keeping and updating track inventory of this retail firm with 98% accuracy (Smith, 2021). </w:t>
      </w:r>
      <w:r>
        <w:rPr>
          <w:b/>
          <w:i/>
          <w:lang w:val="en-GB"/>
        </w:rPr>
        <w:t xml:space="preserve">Delivery with drones and robots: </w:t>
      </w:r>
      <w:r>
        <w:rPr>
          <w:lang w:val="en-GB"/>
        </w:rPr>
        <w:t>As per BCG, the robotics market accounts for 87 billion USD dollars by 2025 and transforms retail customization by building 3D scanners around the entire store. That will help recognize products by navigating among the store. In 2022, approximately 87.97 million USD dollars increased in revenue in the UK economy through the implementation of robotics in the retail industry (Ons.gov.uk, 2022). For instance, 100,000 robots are included in Amazon and lead to 20% low operating costs and becoming a more efficient distribution center. In Formonix, robotics simply is going to begin to assist human staff through conducting video conferences. Drones will emphasize this retail brand for delivering local orders that reduce the shipping cost (</w:t>
      </w:r>
      <w:r>
        <w:rPr>
          <w:highlight w:val="white"/>
          <w:lang w:val="en-GB"/>
        </w:rPr>
        <w:t>Pantano</w:t>
      </w:r>
      <w:r>
        <w:rPr>
          <w:i/>
          <w:highlight w:val="white"/>
          <w:lang w:val="en-GB"/>
        </w:rPr>
        <w:t>et al.</w:t>
      </w:r>
      <w:r>
        <w:rPr>
          <w:highlight w:val="white"/>
          <w:lang w:val="en-GB"/>
        </w:rPr>
        <w:t xml:space="preserve"> 2018)</w:t>
      </w:r>
      <w:r>
        <w:rPr>
          <w:lang w:val="en-GB"/>
        </w:rPr>
        <w:t xml:space="preserve">. </w:t>
      </w:r>
    </w:p>
    <w:p>
      <w:pPr>
        <w:pStyle w:val="21"/>
        <w:shd w:val="clear" w:color="auto" w:fill="FFFFFF"/>
        <w:spacing w:after="80"/>
        <w:ind w:left="0"/>
        <w:rPr>
          <w:lang w:val="en-GB"/>
        </w:rPr>
      </w:pPr>
      <w:r>
        <w:rPr>
          <w:lang w:val="en-GB"/>
        </w:rPr>
        <w:t xml:space="preserve">On the other hand, customers are not faced with the issue of late delivery. </w:t>
      </w:r>
      <w:r>
        <w:rPr>
          <w:b/>
          <w:i/>
          <w:lang w:val="en-GB"/>
        </w:rPr>
        <w:t xml:space="preserve"> Facial recognition: </w:t>
      </w:r>
      <w:r>
        <w:rPr>
          <w:lang w:val="en-GB"/>
        </w:rPr>
        <w:t xml:space="preserve">Formonix will adopt the software for facial recognition that helps avoid POS issues through scanning thousands of people's faces and their fingers or face prints. It is expected to be an effective strategy to identify customers and their preference for Formonix's physical staff along with protecting against theft loss (Clark, 2020). For example, in American retailers, 50 billion USD dollars have been lost through theft and it is a 36.5% loss rate among their annual income. Facial recognition applications will reduce shoplifting in retail by 34% (Retaileconomics.co.uk, 2021). </w:t>
      </w:r>
      <w:r>
        <w:rPr>
          <w:b/>
          <w:i/>
          <w:lang w:val="en-GB"/>
        </w:rPr>
        <w:t xml:space="preserve">Augmented shopping: </w:t>
      </w:r>
      <w:r>
        <w:rPr>
          <w:lang w:val="en-GB"/>
        </w:rPr>
        <w:t xml:space="preserve">AR approach is going to be installed in Formonix because of its unique feature of "try-before-you-buy", which generates a positive in-store experience for target audiences. Also, Formonix accepts customers to access its products through the official website through a live appearance on their laptop or smartphones, and the utilization of AR help in exploring how specific items could look, positioning them in customers' room virtually before their purchasing decision. </w:t>
      </w:r>
    </w:p>
    <w:p>
      <w:pPr>
        <w:pStyle w:val="21"/>
        <w:shd w:val="clear" w:color="auto" w:fill="FFFFFF"/>
        <w:spacing w:after="80"/>
        <w:ind w:left="0"/>
        <w:rPr>
          <w:b/>
          <w:lang w:val="en-GB"/>
        </w:rPr>
      </w:pPr>
      <w:r>
        <w:rPr>
          <w:b/>
          <w:lang w:val="en-GB"/>
        </w:rPr>
        <w:t>Management team plan</w:t>
      </w:r>
    </w:p>
    <w:p>
      <w:pPr>
        <w:pStyle w:val="21"/>
        <w:shd w:val="clear" w:color="auto" w:fill="FFFFFF"/>
        <w:spacing w:after="80"/>
        <w:ind w:left="0"/>
        <w:rPr>
          <w:lang w:val="en-GB"/>
        </w:rPr>
      </w:pPr>
      <w:r>
        <w:rPr>
          <w:b/>
          <w:i/>
          <w:lang w:val="en-GB"/>
        </w:rPr>
        <w:t>Formonix</w:t>
      </w:r>
      <w:r>
        <w:rPr>
          <w:lang w:val="en-GB"/>
        </w:rPr>
        <w:t xml:space="preserve"> will be concerned with service and product-oriented business and it requires different projects regarding service or product development. The management team will hire skilled graduates who are capable to manage project functions by handling software and predicting analysis among the local customer's choices and according to the result they assist to develop their distribution network (</w:t>
      </w:r>
      <w:r>
        <w:rPr>
          <w:highlight w:val="white"/>
          <w:lang w:val="en-GB"/>
        </w:rPr>
        <w:t>Tyrväinen and Karjaluoto, 2019)</w:t>
      </w:r>
      <w:r>
        <w:rPr>
          <w:lang w:val="en-GB"/>
        </w:rPr>
        <w:t>. Multiple modern types of equipment in the manufacturing process will help in controlling the work pressure along with maintaining individual customer preferences. Rewards and feedback policy will be taken by Formonix because it encourages employees to improve their performance with increasing their retention rate. 15% employee turnover rate has been shown across the UK and it might be a threat for this retail brand, and to control this rate reward and feedback strategy will be implemented in Formonix. For enhancing the performance outside and within Formonix, will take some training session that makes they are employees more productive along with arranging HR department with skilled peoples that enhance competition skills with the personal level and perform better in practical tasks as per the problems of customers transparently.</w:t>
      </w:r>
    </w:p>
    <w:p>
      <w:pPr>
        <w:pStyle w:val="2"/>
        <w:shd w:val="clear" w:color="auto" w:fill="FFFFFF"/>
        <w:spacing w:after="80"/>
      </w:pPr>
      <w:bookmarkStart w:id="7" w:name="_f3hslsgta08d" w:colFirst="0" w:colLast="0"/>
      <w:bookmarkEnd w:id="7"/>
      <w:bookmarkStart w:id="8" w:name="_Toc110011751"/>
      <w:r>
        <w:t>Financial Plan</w:t>
      </w:r>
      <w:bookmarkEnd w:id="8"/>
    </w:p>
    <w:p>
      <w:pPr>
        <w:spacing w:line="360" w:lineRule="auto"/>
        <w:jc w:val="both"/>
        <w:rPr>
          <w:rFonts w:ascii="Times New Roman" w:hAnsi="Times New Roman" w:cs="Times New Roman"/>
          <w:sz w:val="24"/>
          <w:szCs w:val="24"/>
        </w:rPr>
      </w:pPr>
      <w:bookmarkStart w:id="9" w:name="_qxl8okstic4l" w:colFirst="0" w:colLast="0"/>
      <w:bookmarkEnd w:id="9"/>
      <w:bookmarkStart w:id="10" w:name="_Toc110011752"/>
      <w:r>
        <w:rPr>
          <w:rFonts w:ascii="Times New Roman" w:hAnsi="Times New Roman" w:cs="Times New Roman"/>
          <w:sz w:val="24"/>
          <w:szCs w:val="24"/>
        </w:rPr>
        <w:t xml:space="preserve">After all a financial plan is also prepared which will help the business executives to arise fund according to the plan. More specifically, employee recruitment is essential to deal with different proformas. It has been expected that the recruitment procedure will cost 92 pounds within six months. Market analysis will be cost up to 210 pound for six months, stakeholder engagement process will be continued the budget is 240 pound for six months. Besides that, product and service marketing will be up to 360 pounds, advertisement 660 pounds and employees pay out 1500 pounds for six. Total 3062 pounds will be required for the first six months to perform the necessary actions. In case of price incrementation or declination the financial plan is also estimated 10%+/-, the minimum cost will be 2755.80 pound and the maximum cost will be 3368.20 pound for the first six months. </w:t>
      </w:r>
    </w:p>
    <w:p>
      <w:pPr>
        <w:pStyle w:val="2"/>
      </w:pPr>
      <w:r>
        <w:t>Market Research</w:t>
      </w:r>
      <w:bookmarkEnd w:id="10"/>
    </w:p>
    <w:p>
      <w:pPr>
        <w:pStyle w:val="21"/>
        <w:jc w:val="center"/>
        <w:rPr>
          <w:lang w:val="en-GB"/>
        </w:rPr>
      </w:pPr>
      <w:r>
        <w:drawing>
          <wp:inline distT="114300" distB="114300" distL="114300" distR="114300">
            <wp:extent cx="4848860" cy="2346960"/>
            <wp:effectExtent l="38100" t="38100" r="27940" b="1524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13"/>
                    <a:stretch>
                      <a:fillRect/>
                    </a:stretch>
                  </pic:blipFill>
                  <pic:spPr>
                    <a:xfrm>
                      <a:off x="0" y="0"/>
                      <a:ext cx="4885991" cy="2364652"/>
                    </a:xfrm>
                    <a:prstGeom prst="rect">
                      <a:avLst/>
                    </a:prstGeom>
                    <a:ln w="25400">
                      <a:solidFill>
                        <a:srgbClr val="000000"/>
                      </a:solidFill>
                      <a:prstDash val="solid"/>
                    </a:ln>
                  </pic:spPr>
                </pic:pic>
              </a:graphicData>
            </a:graphic>
          </wp:inline>
        </w:drawing>
      </w:r>
    </w:p>
    <w:p>
      <w:pPr>
        <w:pStyle w:val="21"/>
        <w:jc w:val="center"/>
        <w:rPr>
          <w:b/>
          <w:lang w:val="en-GB"/>
        </w:rPr>
      </w:pPr>
      <w:r>
        <w:rPr>
          <w:b/>
          <w:lang w:val="en-GB"/>
        </w:rPr>
        <w:t>Figure 4: Market growth of retailers</w:t>
      </w:r>
    </w:p>
    <w:p>
      <w:pPr>
        <w:pStyle w:val="21"/>
        <w:jc w:val="center"/>
        <w:rPr>
          <w:lang w:val="en-GB"/>
        </w:rPr>
      </w:pPr>
      <w:r>
        <w:rPr>
          <w:lang w:val="en-GB"/>
        </w:rPr>
        <w:t>(Source: Dudovskiy, 2018)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Formonix strictly observed the market research that was followed by Tesco and Starbucks to satisfy its goals. Improving customers' value-for-money, Formonix will conduct surveys on their target customers to evaluate long period preferences and distinctions that will help in producing better products or services as well as enriching position across the UK (Kanakaratne</w:t>
      </w:r>
      <w:r>
        <w:rPr>
          <w:rFonts w:ascii="Times New Roman" w:hAnsi="Times New Roman" w:cs="Times New Roman"/>
          <w:i/>
          <w:sz w:val="24"/>
          <w:szCs w:val="24"/>
        </w:rPr>
        <w:t xml:space="preserve">et al. </w:t>
      </w:r>
      <w:r>
        <w:rPr>
          <w:rFonts w:ascii="Times New Roman" w:hAnsi="Times New Roman" w:cs="Times New Roman"/>
          <w:sz w:val="24"/>
          <w:szCs w:val="24"/>
        </w:rPr>
        <w:t>2020). Hadoop framework will be centralized in Formonix because of its codified and cloud-based process to access customer-changing necessities. Heat sensing automation is going to be adopted at Formonix, which will be developed AI-based operation in this retail brand by self-checking and self-check-out operations with reducing queues (Goworek et al. 2020). The new grocery product of Formonix is expected to reach its demands because they include modernized technology that has helped understand the competition of its macro environment and how it is influencing its position in the upcoming days. Moreover, information will help to propose a new strategy as per the micro and macro environment requirements and satisfy the way to reach a competitive advantage for Formonix.</w:t>
      </w:r>
    </w:p>
    <w:tbl>
      <w:tblPr>
        <w:tblStyle w:val="16"/>
        <w:tblW w:w="958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2310"/>
        <w:gridCol w:w="1035"/>
        <w:gridCol w:w="1140"/>
        <w:gridCol w:w="1095"/>
        <w:gridCol w:w="1095"/>
        <w:gridCol w:w="855"/>
        <w:gridCol w:w="855"/>
        <w:gridCol w:w="120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231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b/>
                <w:i/>
                <w:color w:val="000000"/>
                <w:sz w:val="24"/>
                <w:szCs w:val="24"/>
                <w:u w:val="none"/>
              </w:rPr>
            </w:pPr>
            <w:r>
              <w:rPr>
                <w:rFonts w:hint="default" w:ascii="Times New Roman" w:hAnsi="Times New Roman" w:eastAsia="SimSun" w:cs="Times New Roman"/>
                <w:b/>
                <w:i/>
                <w:color w:val="000000"/>
                <w:kern w:val="0"/>
                <w:sz w:val="24"/>
                <w:szCs w:val="24"/>
                <w:u w:val="none"/>
                <w:lang w:val="en-US" w:eastAsia="zh-CN" w:bidi="ar"/>
              </w:rPr>
              <w:t>Planning and Purposes</w:t>
            </w:r>
          </w:p>
        </w:tc>
        <w:tc>
          <w:tcPr>
            <w:tcW w:w="103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b/>
                <w:i/>
                <w:color w:val="000000"/>
                <w:sz w:val="24"/>
                <w:szCs w:val="24"/>
                <w:u w:val="none"/>
              </w:rPr>
            </w:pPr>
            <w:r>
              <w:rPr>
                <w:rFonts w:hint="default" w:ascii="Times New Roman" w:hAnsi="Times New Roman" w:eastAsia="SimSun" w:cs="Times New Roman"/>
                <w:b/>
                <w:i/>
                <w:color w:val="000000"/>
                <w:kern w:val="0"/>
                <w:sz w:val="24"/>
                <w:szCs w:val="24"/>
                <w:u w:val="none"/>
                <w:lang w:val="en-US" w:eastAsia="zh-CN" w:bidi="ar"/>
              </w:rPr>
              <w:t>1st Month</w:t>
            </w:r>
          </w:p>
        </w:tc>
        <w:tc>
          <w:tcPr>
            <w:tcW w:w="114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b/>
                <w:i/>
                <w:color w:val="000000"/>
                <w:sz w:val="24"/>
                <w:szCs w:val="24"/>
                <w:u w:val="none"/>
              </w:rPr>
            </w:pPr>
            <w:r>
              <w:rPr>
                <w:rFonts w:hint="default" w:ascii="Times New Roman" w:hAnsi="Times New Roman" w:eastAsia="SimSun" w:cs="Times New Roman"/>
                <w:b/>
                <w:i/>
                <w:color w:val="000000"/>
                <w:kern w:val="0"/>
                <w:sz w:val="24"/>
                <w:szCs w:val="24"/>
                <w:u w:val="none"/>
                <w:lang w:val="en-US" w:eastAsia="zh-CN" w:bidi="ar"/>
              </w:rPr>
              <w:t>2nd Month</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b/>
                <w:i/>
                <w:color w:val="000000"/>
                <w:sz w:val="24"/>
                <w:szCs w:val="24"/>
                <w:u w:val="none"/>
              </w:rPr>
            </w:pPr>
            <w:r>
              <w:rPr>
                <w:rFonts w:hint="default" w:ascii="Times New Roman" w:hAnsi="Times New Roman" w:eastAsia="SimSun" w:cs="Times New Roman"/>
                <w:b/>
                <w:i/>
                <w:color w:val="000000"/>
                <w:kern w:val="0"/>
                <w:sz w:val="24"/>
                <w:szCs w:val="24"/>
                <w:u w:val="none"/>
                <w:lang w:val="en-US" w:eastAsia="zh-CN" w:bidi="ar"/>
              </w:rPr>
              <w:t>3rd Month</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b/>
                <w:i/>
                <w:color w:val="000000"/>
                <w:sz w:val="24"/>
                <w:szCs w:val="24"/>
                <w:u w:val="none"/>
              </w:rPr>
            </w:pPr>
            <w:r>
              <w:rPr>
                <w:rFonts w:hint="default" w:ascii="Times New Roman" w:hAnsi="Times New Roman" w:eastAsia="SimSun" w:cs="Times New Roman"/>
                <w:b/>
                <w:i/>
                <w:color w:val="000000"/>
                <w:kern w:val="0"/>
                <w:sz w:val="24"/>
                <w:szCs w:val="24"/>
                <w:u w:val="none"/>
                <w:lang w:val="en-US" w:eastAsia="zh-CN" w:bidi="ar"/>
              </w:rPr>
              <w:t>4th Month</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b/>
                <w:i/>
                <w:color w:val="000000"/>
                <w:sz w:val="24"/>
                <w:szCs w:val="24"/>
                <w:u w:val="none"/>
              </w:rPr>
            </w:pPr>
            <w:r>
              <w:rPr>
                <w:rFonts w:hint="default" w:ascii="Times New Roman" w:hAnsi="Times New Roman" w:eastAsia="SimSun" w:cs="Times New Roman"/>
                <w:b/>
                <w:i/>
                <w:color w:val="000000"/>
                <w:kern w:val="0"/>
                <w:sz w:val="24"/>
                <w:szCs w:val="24"/>
                <w:u w:val="none"/>
                <w:lang w:val="en-US" w:eastAsia="zh-CN" w:bidi="ar"/>
              </w:rPr>
              <w:t>5th Month</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b/>
                <w:i/>
                <w:color w:val="000000"/>
                <w:sz w:val="24"/>
                <w:szCs w:val="24"/>
                <w:u w:val="none"/>
              </w:rPr>
            </w:pPr>
            <w:r>
              <w:rPr>
                <w:rFonts w:hint="default" w:ascii="Times New Roman" w:hAnsi="Times New Roman" w:eastAsia="SimSun" w:cs="Times New Roman"/>
                <w:b/>
                <w:i/>
                <w:color w:val="000000"/>
                <w:kern w:val="0"/>
                <w:sz w:val="24"/>
                <w:szCs w:val="24"/>
                <w:u w:val="none"/>
                <w:lang w:val="en-US" w:eastAsia="zh-CN" w:bidi="ar"/>
              </w:rPr>
              <w:t>6th Month</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b/>
                <w:i/>
                <w:color w:val="000000"/>
                <w:sz w:val="24"/>
                <w:szCs w:val="24"/>
                <w:u w:val="none"/>
              </w:rPr>
            </w:pPr>
            <w:r>
              <w:rPr>
                <w:rFonts w:hint="default" w:ascii="Times New Roman" w:hAnsi="Times New Roman" w:eastAsia="SimSun" w:cs="Times New Roman"/>
                <w:b/>
                <w:i/>
                <w:color w:val="000000"/>
                <w:kern w:val="0"/>
                <w:sz w:val="24"/>
                <w:szCs w:val="24"/>
                <w:u w:val="none"/>
                <w:lang w:val="en-US" w:eastAsia="zh-CN" w:bidi="ar"/>
              </w:rPr>
              <w:t>Total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231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color w:val="000000"/>
                <w:sz w:val="24"/>
                <w:szCs w:val="24"/>
                <w:u w:val="none"/>
              </w:rPr>
            </w:pPr>
            <w:r>
              <w:rPr>
                <w:rFonts w:hint="default" w:ascii="Times New Roman" w:hAnsi="Times New Roman" w:eastAsia="SimSun" w:cs="Times New Roman"/>
                <w:i/>
                <w:color w:val="000000"/>
                <w:kern w:val="0"/>
                <w:sz w:val="24"/>
                <w:szCs w:val="24"/>
                <w:u w:val="none"/>
                <w:lang w:val="en-US" w:eastAsia="zh-CN" w:bidi="ar"/>
              </w:rPr>
              <w:t>Recruit employees</w:t>
            </w:r>
          </w:p>
        </w:tc>
        <w:tc>
          <w:tcPr>
            <w:tcW w:w="103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£26.00 </w:t>
            </w:r>
          </w:p>
        </w:tc>
        <w:tc>
          <w:tcPr>
            <w:tcW w:w="114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£12.00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£15.00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£14.00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£13.00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£12.00 </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£92.00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231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color w:val="000000"/>
                <w:sz w:val="24"/>
                <w:szCs w:val="24"/>
                <w:u w:val="none"/>
              </w:rPr>
            </w:pPr>
            <w:r>
              <w:rPr>
                <w:rFonts w:hint="default" w:ascii="Times New Roman" w:hAnsi="Times New Roman" w:eastAsia="SimSun" w:cs="Times New Roman"/>
                <w:i/>
                <w:color w:val="000000"/>
                <w:kern w:val="0"/>
                <w:sz w:val="24"/>
                <w:szCs w:val="24"/>
                <w:u w:val="none"/>
                <w:lang w:val="en-US" w:eastAsia="zh-CN" w:bidi="ar"/>
              </w:rPr>
              <w:t>Market analysis</w:t>
            </w:r>
          </w:p>
        </w:tc>
        <w:tc>
          <w:tcPr>
            <w:tcW w:w="103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£30.00 </w:t>
            </w:r>
          </w:p>
        </w:tc>
        <w:tc>
          <w:tcPr>
            <w:tcW w:w="114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£30.00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£30.00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£40.00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£40.00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£40.00 </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£210.00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231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color w:val="000000"/>
                <w:sz w:val="24"/>
                <w:szCs w:val="24"/>
                <w:u w:val="none"/>
              </w:rPr>
            </w:pPr>
            <w:r>
              <w:rPr>
                <w:rFonts w:hint="default" w:ascii="Times New Roman" w:hAnsi="Times New Roman" w:eastAsia="SimSun" w:cs="Times New Roman"/>
                <w:i/>
                <w:color w:val="000000"/>
                <w:kern w:val="0"/>
                <w:sz w:val="24"/>
                <w:szCs w:val="24"/>
                <w:u w:val="none"/>
                <w:lang w:val="en-US" w:eastAsia="zh-CN" w:bidi="ar"/>
              </w:rPr>
              <w:t>Stakeholder engagement</w:t>
            </w:r>
          </w:p>
        </w:tc>
        <w:tc>
          <w:tcPr>
            <w:tcW w:w="103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£40.00 </w:t>
            </w:r>
          </w:p>
        </w:tc>
        <w:tc>
          <w:tcPr>
            <w:tcW w:w="114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£40.00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£40.00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£40.00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£40.00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£40.00 </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£240.00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231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color w:val="000000"/>
                <w:sz w:val="24"/>
                <w:szCs w:val="24"/>
                <w:u w:val="none"/>
              </w:rPr>
            </w:pPr>
            <w:r>
              <w:rPr>
                <w:rFonts w:hint="default" w:ascii="Times New Roman" w:hAnsi="Times New Roman" w:eastAsia="SimSun" w:cs="Times New Roman"/>
                <w:i/>
                <w:color w:val="000000"/>
                <w:kern w:val="0"/>
                <w:sz w:val="24"/>
                <w:szCs w:val="24"/>
                <w:u w:val="none"/>
                <w:lang w:val="en-US" w:eastAsia="zh-CN" w:bidi="ar"/>
              </w:rPr>
              <w:t>Marketing</w:t>
            </w:r>
          </w:p>
        </w:tc>
        <w:tc>
          <w:tcPr>
            <w:tcW w:w="103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£60.00 </w:t>
            </w:r>
          </w:p>
        </w:tc>
        <w:tc>
          <w:tcPr>
            <w:tcW w:w="114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£60.00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£60.00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£60.00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£60.00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£60.00 </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£360.00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231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color w:val="000000"/>
                <w:sz w:val="24"/>
                <w:szCs w:val="24"/>
                <w:u w:val="none"/>
              </w:rPr>
            </w:pPr>
            <w:r>
              <w:rPr>
                <w:rFonts w:hint="default" w:ascii="Times New Roman" w:hAnsi="Times New Roman" w:eastAsia="SimSun" w:cs="Times New Roman"/>
                <w:i/>
                <w:color w:val="000000"/>
                <w:kern w:val="0"/>
                <w:sz w:val="24"/>
                <w:szCs w:val="24"/>
                <w:u w:val="none"/>
                <w:lang w:val="en-US" w:eastAsia="zh-CN" w:bidi="ar"/>
              </w:rPr>
              <w:t>Advesrtismenet</w:t>
            </w:r>
          </w:p>
        </w:tc>
        <w:tc>
          <w:tcPr>
            <w:tcW w:w="103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£110.00 </w:t>
            </w:r>
          </w:p>
        </w:tc>
        <w:tc>
          <w:tcPr>
            <w:tcW w:w="114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£110.00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£110.00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£110.00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£110.00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£110.00 </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£660.00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231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color w:val="000000"/>
                <w:sz w:val="24"/>
                <w:szCs w:val="24"/>
                <w:u w:val="none"/>
              </w:rPr>
            </w:pPr>
            <w:r>
              <w:rPr>
                <w:rFonts w:hint="default" w:ascii="Times New Roman" w:hAnsi="Times New Roman" w:eastAsia="SimSun" w:cs="Times New Roman"/>
                <w:i/>
                <w:color w:val="000000"/>
                <w:kern w:val="0"/>
                <w:sz w:val="24"/>
                <w:szCs w:val="24"/>
                <w:u w:val="none"/>
                <w:lang w:val="en-US" w:eastAsia="zh-CN" w:bidi="ar"/>
              </w:rPr>
              <w:t>Payout of employees</w:t>
            </w:r>
          </w:p>
        </w:tc>
        <w:tc>
          <w:tcPr>
            <w:tcW w:w="103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£250.00 </w:t>
            </w:r>
          </w:p>
        </w:tc>
        <w:tc>
          <w:tcPr>
            <w:tcW w:w="114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£250.00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£250.00 </w:t>
            </w:r>
          </w:p>
        </w:tc>
        <w:tc>
          <w:tcPr>
            <w:tcW w:w="109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£250.00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£250.00 </w:t>
            </w: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£250.00 </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£1,500.00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0" w:type="auto"/>
            <w:shd w:val="clear" w:color="auto" w:fill="auto"/>
            <w:vAlign w:val="bottom"/>
          </w:tcPr>
          <w:p>
            <w:pPr>
              <w:rPr>
                <w:rFonts w:hint="eastAsia"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b/>
                <w:i/>
                <w:color w:val="000000"/>
                <w:sz w:val="24"/>
                <w:szCs w:val="24"/>
                <w:u w:val="none"/>
              </w:rPr>
            </w:pPr>
            <w:r>
              <w:rPr>
                <w:rFonts w:hint="default" w:ascii="Times New Roman" w:hAnsi="Times New Roman" w:eastAsia="SimSun" w:cs="Times New Roman"/>
                <w:b/>
                <w:i/>
                <w:color w:val="000000"/>
                <w:kern w:val="0"/>
                <w:sz w:val="24"/>
                <w:szCs w:val="24"/>
                <w:u w:val="none"/>
                <w:lang w:val="en-US" w:eastAsia="zh-CN" w:bidi="ar"/>
              </w:rPr>
              <w:t>Total</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£3,062.00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10% +</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£3,368.20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5" w:hRule="atLeast"/>
        </w:trPr>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855"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10 -</w:t>
            </w:r>
          </w:p>
        </w:tc>
        <w:tc>
          <w:tcPr>
            <w:tcW w:w="1200" w:type="dxa"/>
            <w:shd w:val="clear" w:color="auto" w:fill="auto"/>
            <w:vAlign w:val="bottom"/>
          </w:tcPr>
          <w:p>
            <w:pPr>
              <w:keepNext w:val="0"/>
              <w:keepLines w:val="0"/>
              <w:widowControl/>
              <w:suppressLineNumbers w:val="0"/>
              <w:jc w:val="left"/>
              <w:textAlignment w:val="bottom"/>
              <w:rPr>
                <w:rFonts w:hint="default" w:ascii="Times New Roman" w:hAnsi="Times New Roman" w:cs="Times New Roman"/>
                <w:i w:val="0"/>
                <w:color w:val="000000"/>
                <w:sz w:val="24"/>
                <w:szCs w:val="24"/>
                <w:u w:val="none"/>
              </w:rPr>
            </w:pPr>
            <w:r>
              <w:rPr>
                <w:rFonts w:hint="default" w:ascii="Times New Roman" w:hAnsi="Times New Roman" w:eastAsia="SimSun" w:cs="Times New Roman"/>
                <w:i w:val="0"/>
                <w:color w:val="000000"/>
                <w:kern w:val="0"/>
                <w:sz w:val="24"/>
                <w:szCs w:val="24"/>
                <w:u w:val="none"/>
                <w:lang w:val="en-US" w:eastAsia="zh-CN" w:bidi="ar"/>
              </w:rPr>
              <w:t xml:space="preserve"> £2,755.80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1" w:hRule="atLeast"/>
        </w:trPr>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c>
          <w:tcPr>
            <w:tcW w:w="0" w:type="auto"/>
            <w:shd w:val="clear" w:color="auto" w:fill="auto"/>
            <w:vAlign w:val="bottom"/>
          </w:tcPr>
          <w:p>
            <w:pPr>
              <w:rPr>
                <w:rFonts w:hint="default" w:ascii="Calibri" w:hAnsi="Calibri" w:cs="Calibri"/>
                <w:i w:val="0"/>
                <w:color w:val="000000"/>
                <w:sz w:val="22"/>
                <w:szCs w:val="22"/>
                <w:u w:val="none"/>
              </w:rPr>
            </w:pPr>
          </w:p>
        </w:tc>
      </w:tr>
    </w:tbl>
    <w:p>
      <w:pPr>
        <w:spacing w:line="360" w:lineRule="auto"/>
        <w:jc w:val="both"/>
        <w:rPr>
          <w:rFonts w:ascii="Times New Roman" w:hAnsi="Times New Roman" w:cs="Times New Roman"/>
          <w:sz w:val="24"/>
          <w:szCs w:val="24"/>
        </w:rPr>
      </w:pPr>
    </w:p>
    <w:p>
      <w:pPr>
        <w:pStyle w:val="2"/>
        <w:rPr>
          <w:rFonts w:eastAsia="Times New Roman" w:cs="Times New Roman"/>
          <w:sz w:val="24"/>
          <w:szCs w:val="24"/>
        </w:rPr>
      </w:pPr>
      <w:bookmarkStart w:id="11" w:name="_tpy87ihko4oh" w:colFirst="0" w:colLast="0"/>
      <w:bookmarkEnd w:id="11"/>
      <w:bookmarkStart w:id="12" w:name="_Toc110011753"/>
      <w:r>
        <w:t>Conclusion</w:t>
      </w:r>
      <w:bookmarkEnd w:id="12"/>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this context, the business plan of an entrepreneur company named </w:t>
      </w:r>
      <w:r>
        <w:rPr>
          <w:rFonts w:ascii="Times New Roman" w:hAnsi="Times New Roman" w:eastAsia="Times New Roman" w:cs="Times New Roman"/>
          <w:b/>
          <w:bCs/>
          <w:i/>
          <w:iCs/>
          <w:sz w:val="24"/>
          <w:szCs w:val="24"/>
        </w:rPr>
        <w:t>Formonix</w:t>
      </w:r>
      <w:r>
        <w:rPr>
          <w:rFonts w:ascii="Times New Roman" w:hAnsi="Times New Roman" w:eastAsia="Times New Roman" w:cs="Times New Roman"/>
          <w:sz w:val="24"/>
          <w:szCs w:val="24"/>
        </w:rPr>
        <w:t xml:space="preserve"> has been underlined. This context has shown about proper business aspects regarding with </w:t>
      </w:r>
      <w:r>
        <w:rPr>
          <w:rFonts w:ascii="Times New Roman" w:hAnsi="Times New Roman" w:eastAsia="Times New Roman" w:cs="Times New Roman"/>
          <w:b/>
          <w:bCs/>
          <w:i/>
          <w:iCs/>
          <w:sz w:val="24"/>
          <w:szCs w:val="24"/>
        </w:rPr>
        <w:t>Retail</w:t>
      </w:r>
      <w:r>
        <w:rPr>
          <w:rFonts w:ascii="Times New Roman" w:hAnsi="Times New Roman" w:eastAsia="Times New Roman" w:cs="Times New Roman"/>
          <w:sz w:val="24"/>
          <w:szCs w:val="24"/>
        </w:rPr>
        <w:t xml:space="preserve"> industries of </w:t>
      </w:r>
      <w:r>
        <w:rPr>
          <w:rFonts w:ascii="Times New Roman" w:hAnsi="Times New Roman" w:eastAsia="Times New Roman" w:cs="Times New Roman"/>
          <w:b/>
          <w:bCs/>
          <w:i/>
          <w:iCs/>
          <w:sz w:val="24"/>
          <w:szCs w:val="24"/>
        </w:rPr>
        <w:t>UK</w:t>
      </w:r>
      <w:r>
        <w:rPr>
          <w:rFonts w:ascii="Times New Roman" w:hAnsi="Times New Roman" w:eastAsia="Times New Roman" w:cs="Times New Roman"/>
          <w:sz w:val="24"/>
          <w:szCs w:val="24"/>
        </w:rPr>
        <w:t xml:space="preserve">. in support with, this study has elaborated about this organization's business operation, marketing plan as well as financial plan with the help of proper business analysis. This company has concerned about their product and product price that provides brand promotion of their business in the </w:t>
      </w:r>
      <w:r>
        <w:rPr>
          <w:rFonts w:ascii="Times New Roman" w:hAnsi="Times New Roman" w:eastAsia="Times New Roman" w:cs="Times New Roman"/>
          <w:b/>
          <w:bCs/>
          <w:i/>
          <w:iCs/>
          <w:sz w:val="24"/>
          <w:szCs w:val="24"/>
        </w:rPr>
        <w:t>UK retail</w:t>
      </w:r>
      <w:r>
        <w:rPr>
          <w:rFonts w:ascii="Times New Roman" w:hAnsi="Times New Roman" w:eastAsia="Times New Roman" w:cs="Times New Roman"/>
          <w:sz w:val="24"/>
          <w:szCs w:val="24"/>
        </w:rPr>
        <w:t xml:space="preserve"> industries. A financial plan is also prepared with 10%+/- estimation if price incrementation or reduction can be observed in future. </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pPr>
        <w:spacing w:line="360" w:lineRule="auto"/>
        <w:jc w:val="both"/>
        <w:rPr>
          <w:rFonts w:ascii="Times New Roman" w:hAnsi="Times New Roman" w:cs="Times New Roman"/>
          <w:sz w:val="24"/>
          <w:szCs w:val="24"/>
        </w:rPr>
      </w:pPr>
    </w:p>
    <w:p>
      <w:pPr>
        <w:pStyle w:val="2"/>
        <w:rPr>
          <w:shd w:val="clear" w:color="auto" w:fill="FFFFFF"/>
        </w:rPr>
      </w:pPr>
      <w:bookmarkStart w:id="13" w:name="_Toc110011754"/>
      <w:r>
        <w:rPr>
          <w:shd w:val="clear" w:color="auto" w:fill="FFFFFF"/>
        </w:rPr>
        <w:t>Reference list</w:t>
      </w:r>
      <w:bookmarkEnd w:id="13"/>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Adivar, B., Hüseyinoğlu, I.Ö.Y. and Christopher, M., 2019. A quantitative performance management framework for assessing omnichannel retail supply chains. </w:t>
      </w:r>
      <w:r>
        <w:rPr>
          <w:rFonts w:ascii="Times New Roman" w:hAnsi="Times New Roman" w:cs="Times New Roman"/>
          <w:i/>
          <w:iCs/>
          <w:color w:val="000000" w:themeColor="text1"/>
          <w:sz w:val="24"/>
          <w:szCs w:val="24"/>
          <w:shd w:val="clear" w:color="auto" w:fill="FFFFFF"/>
        </w:rPr>
        <w:t>Journal of Retailing and Consumer Services</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48</w:t>
      </w:r>
      <w:r>
        <w:rPr>
          <w:rFonts w:ascii="Times New Roman" w:hAnsi="Times New Roman" w:cs="Times New Roman"/>
          <w:color w:val="000000" w:themeColor="text1"/>
          <w:sz w:val="24"/>
          <w:szCs w:val="24"/>
          <w:shd w:val="clear" w:color="auto" w:fill="FFFFFF"/>
        </w:rPr>
        <w:t>, pp.257-269.</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Albizzati, P.F., Tonini, D., Chammard, C.B. and Astrup, T.F., 2019. Valorization of surplus food in the French retail sector: Environmental and economic impacts. </w:t>
      </w:r>
      <w:r>
        <w:rPr>
          <w:rFonts w:ascii="Times New Roman" w:hAnsi="Times New Roman" w:cs="Times New Roman"/>
          <w:i/>
          <w:iCs/>
          <w:color w:val="000000" w:themeColor="text1"/>
          <w:sz w:val="24"/>
          <w:szCs w:val="24"/>
          <w:shd w:val="clear" w:color="auto" w:fill="FFFFFF"/>
        </w:rPr>
        <w:t>Waste Management</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90</w:t>
      </w:r>
      <w:r>
        <w:rPr>
          <w:rFonts w:ascii="Times New Roman" w:hAnsi="Times New Roman" w:cs="Times New Roman"/>
          <w:color w:val="000000" w:themeColor="text1"/>
          <w:sz w:val="24"/>
          <w:szCs w:val="24"/>
          <w:shd w:val="clear" w:color="auto" w:fill="FFFFFF"/>
        </w:rPr>
        <w:t>, pp.141-151.</w:t>
      </w:r>
    </w:p>
    <w:p>
      <w:pPr>
        <w:pStyle w:val="21"/>
        <w:ind w:left="0"/>
        <w:rPr>
          <w:color w:val="000000" w:themeColor="text1"/>
          <w:lang w:val="en-GB"/>
        </w:rPr>
      </w:pPr>
      <w:r>
        <w:rPr>
          <w:color w:val="000000" w:themeColor="text1"/>
          <w:lang w:val="en-GB"/>
        </w:rPr>
        <w:t>Alexander, B. and Kent, A., 2020. Change in technology-enabled omnichannel customer experiences in-store. Journal of Retailing and Consumer Services, p.102338. DOI:</w:t>
      </w:r>
      <w:r>
        <w:fldChar w:fldCharType="begin"/>
      </w:r>
      <w:r>
        <w:instrText xml:space="preserve"> HYPERLINK "https://doi.org/10.1016/j.jretconser.2020.102338" </w:instrText>
      </w:r>
      <w:r>
        <w:fldChar w:fldCharType="separate"/>
      </w:r>
      <w:r>
        <w:rPr>
          <w:color w:val="000000" w:themeColor="text1"/>
          <w:u w:val="single"/>
          <w:lang w:val="en-GB"/>
        </w:rPr>
        <w:t xml:space="preserve"> https://doi.org/10.1016/j.jretconser.2020.102338</w:t>
      </w:r>
      <w:r>
        <w:rPr>
          <w:color w:val="000000" w:themeColor="text1"/>
          <w:u w:val="single"/>
          <w:lang w:val="en-GB"/>
        </w:rPr>
        <w:fldChar w:fldCharType="end"/>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Blomley, N., 2020. Precarious territory: Property law, housing, and the socio‐spatial order. </w:t>
      </w:r>
      <w:r>
        <w:rPr>
          <w:rFonts w:ascii="Times New Roman" w:hAnsi="Times New Roman" w:cs="Times New Roman"/>
          <w:i/>
          <w:iCs/>
          <w:color w:val="000000" w:themeColor="text1"/>
          <w:sz w:val="24"/>
          <w:szCs w:val="24"/>
          <w:shd w:val="clear" w:color="auto" w:fill="FFFFFF"/>
        </w:rPr>
        <w:t>Antipode</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52</w:t>
      </w:r>
      <w:r>
        <w:rPr>
          <w:rFonts w:ascii="Times New Roman" w:hAnsi="Times New Roman" w:cs="Times New Roman"/>
          <w:color w:val="000000" w:themeColor="text1"/>
          <w:sz w:val="24"/>
          <w:szCs w:val="24"/>
          <w:shd w:val="clear" w:color="auto" w:fill="FFFFFF"/>
        </w:rPr>
        <w:t>(1), pp.36-57.</w:t>
      </w:r>
    </w:p>
    <w:p>
      <w:pPr>
        <w:pStyle w:val="21"/>
        <w:ind w:left="0"/>
        <w:rPr>
          <w:color w:val="000000" w:themeColor="text1"/>
          <w:lang w:val="en-GB"/>
        </w:rPr>
      </w:pPr>
      <w:r>
        <w:rPr>
          <w:color w:val="000000" w:themeColor="text1"/>
          <w:lang w:val="en-GB"/>
        </w:rPr>
        <w:t>Bradshaw, A. (2020). How to write a retail business plan for a shop. Startups.co.uk. Available at: https://startups.co.uk/strategy/retail-business-plan/ [Accessed 29 Jul. 2022].</w:t>
      </w:r>
    </w:p>
    <w:p>
      <w:pPr>
        <w:pStyle w:val="21"/>
        <w:ind w:left="0"/>
        <w:rPr>
          <w:color w:val="000000" w:themeColor="text1"/>
          <w:lang w:val="en-GB"/>
        </w:rPr>
      </w:pPr>
      <w:r>
        <w:rPr>
          <w:color w:val="000000" w:themeColor="text1"/>
          <w:lang w:val="en-GB"/>
        </w:rPr>
        <w:t>Chintamreddy, D. (2021). Aspire Systems - blog.https://blog.aspiresys.com/retail/benefits-ai-ml-retail-industry-viz-leverage-ai-ml-solutions-decision-making-process/. Available at: https://blog.aspiresys.com/ [Accessed 29 Jul. 2022].</w:t>
      </w:r>
    </w:p>
    <w:p>
      <w:pPr>
        <w:pStyle w:val="21"/>
        <w:ind w:left="0"/>
        <w:rPr>
          <w:color w:val="000000" w:themeColor="text1"/>
          <w:lang w:val="en-GB"/>
        </w:rPr>
      </w:pPr>
      <w:r>
        <w:rPr>
          <w:color w:val="000000" w:themeColor="text1"/>
          <w:lang w:val="en-GB"/>
        </w:rPr>
        <w:t>Clark, B. (2020). 7 Technological Advancements in the Retail Industry to Make You Say Wow. Acquire. Available at: https://acquire.io/blog/technological-advancements-retail-industry/ [Accessed 29 Jul. 2022].</w:t>
      </w:r>
    </w:p>
    <w:p>
      <w:pPr>
        <w:pStyle w:val="21"/>
        <w:ind w:left="0"/>
        <w:rPr>
          <w:color w:val="000000" w:themeColor="text1"/>
          <w:lang w:val="en-GB"/>
        </w:rPr>
      </w:pPr>
      <w:r>
        <w:rPr>
          <w:color w:val="000000" w:themeColor="text1"/>
          <w:lang w:val="en-GB"/>
        </w:rPr>
        <w:t>Dudovskiy, J. (2018). Tesco Marketing Mix.  Research-Methodology. Available at: https://research-methodology.net/tesco-marketing-mix/ [Accessed 29 Jul. 2022].</w:t>
      </w:r>
    </w:p>
    <w:p>
      <w:pPr>
        <w:pStyle w:val="21"/>
        <w:ind w:left="0"/>
        <w:rPr>
          <w:lang w:val="en-GB"/>
        </w:rPr>
      </w:pPr>
      <w:r>
        <w:rPr>
          <w:color w:val="000000" w:themeColor="text1"/>
          <w:lang w:val="en-GB"/>
        </w:rPr>
        <w:t>Goworek, H</w:t>
      </w:r>
      <w:r>
        <w:rPr>
          <w:lang w:val="en-GB"/>
        </w:rPr>
        <w:t>., Oxborrow, L., Claxton, S., McLaren, A., Cooper, T. and Hill, H., 2020. Managing sustainability in the fashion business: Challenges in product development for clothing longevity in the UK. Journal of Business Research, 117, pp.629-641. DOI: https://doi.org/10.1016/j.jbusres.2018.07.021</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Huang, Y.T., 2020. Internal marketing and internal customer: A review, reconceptualization, and extension. </w:t>
      </w:r>
      <w:r>
        <w:rPr>
          <w:rFonts w:ascii="Times New Roman" w:hAnsi="Times New Roman" w:cs="Times New Roman"/>
          <w:i/>
          <w:iCs/>
          <w:color w:val="000000" w:themeColor="text1"/>
          <w:sz w:val="24"/>
          <w:szCs w:val="24"/>
          <w:shd w:val="clear" w:color="auto" w:fill="FFFFFF"/>
        </w:rPr>
        <w:t>Journal of Relationship Marketing</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19</w:t>
      </w:r>
      <w:r>
        <w:rPr>
          <w:rFonts w:ascii="Times New Roman" w:hAnsi="Times New Roman" w:cs="Times New Roman"/>
          <w:color w:val="000000" w:themeColor="text1"/>
          <w:sz w:val="24"/>
          <w:szCs w:val="24"/>
          <w:shd w:val="clear" w:color="auto" w:fill="FFFFFF"/>
        </w:rPr>
        <w:t>(3), pp.165-181.</w:t>
      </w:r>
    </w:p>
    <w:p>
      <w:pPr>
        <w:pStyle w:val="21"/>
        <w:ind w:left="0"/>
        <w:rPr>
          <w:color w:val="000000" w:themeColor="text1"/>
          <w:lang w:val="en-GB"/>
        </w:rPr>
      </w:pPr>
      <w:r>
        <w:rPr>
          <w:color w:val="000000" w:themeColor="text1"/>
          <w:lang w:val="en-GB"/>
        </w:rPr>
        <w:t>Kanakaratne, M.D.S., Bray, J. and Robson, J., 2020. The influence of national culture and industry structure on grocery retail customer loyalty. Journal of Retailing and Consumer Services, 54, p.102013. DOI:</w:t>
      </w:r>
      <w:r>
        <w:fldChar w:fldCharType="begin"/>
      </w:r>
      <w:r>
        <w:instrText xml:space="preserve"> HYPERLINK "https://doi.org/10.1016/j.jretconser.2019.102013" </w:instrText>
      </w:r>
      <w:r>
        <w:fldChar w:fldCharType="separate"/>
      </w:r>
      <w:r>
        <w:rPr>
          <w:color w:val="000000" w:themeColor="text1"/>
          <w:u w:val="single"/>
          <w:lang w:val="en-GB"/>
        </w:rPr>
        <w:t xml:space="preserve"> https://doi.org/10.1016/j.jretconser.2019.102013</w:t>
      </w:r>
      <w:r>
        <w:rPr>
          <w:color w:val="000000" w:themeColor="text1"/>
          <w:u w:val="single"/>
          <w:lang w:val="en-GB"/>
        </w:rPr>
        <w:fldChar w:fldCharType="end"/>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Kim, W., Kim, H. and Hwang, J., 2020. Sustainable growth for the self-employed in the retail industry based on customer equity, customer satisfaction, and loyalty. </w:t>
      </w:r>
      <w:r>
        <w:rPr>
          <w:rFonts w:ascii="Times New Roman" w:hAnsi="Times New Roman" w:cs="Times New Roman"/>
          <w:i/>
          <w:iCs/>
          <w:color w:val="000000" w:themeColor="text1"/>
          <w:sz w:val="24"/>
          <w:szCs w:val="24"/>
          <w:shd w:val="clear" w:color="auto" w:fill="FFFFFF"/>
        </w:rPr>
        <w:t>Journal of Retailing and Consumer Services</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53</w:t>
      </w:r>
      <w:r>
        <w:rPr>
          <w:rFonts w:ascii="Times New Roman" w:hAnsi="Times New Roman" w:cs="Times New Roman"/>
          <w:color w:val="000000" w:themeColor="text1"/>
          <w:sz w:val="24"/>
          <w:szCs w:val="24"/>
          <w:shd w:val="clear" w:color="auto" w:fill="FFFFFF"/>
        </w:rPr>
        <w:t>, p.101963.</w:t>
      </w:r>
    </w:p>
    <w:p>
      <w:pPr>
        <w:pStyle w:val="21"/>
        <w:ind w:left="0"/>
        <w:rPr>
          <w:color w:val="000000" w:themeColor="text1"/>
          <w:lang w:val="en-GB"/>
        </w:rPr>
      </w:pPr>
      <w:r>
        <w:rPr>
          <w:color w:val="000000" w:themeColor="text1"/>
          <w:lang w:val="en-GB"/>
        </w:rPr>
        <w:t>Lynch, S. and Barnes, L., 2020. Omnichannel fashion retailing: examining the customer decision-making journey. Journal of Fashion Marketing and Management: An International Journal, 24(3), pp.471-493. DOI:</w:t>
      </w:r>
      <w:r>
        <w:fldChar w:fldCharType="begin"/>
      </w:r>
      <w:r>
        <w:instrText xml:space="preserve"> HYPERLINK "https://doi.org/10.1108/JFMM-09-2019-0192" </w:instrText>
      </w:r>
      <w:r>
        <w:fldChar w:fldCharType="separate"/>
      </w:r>
      <w:r>
        <w:rPr>
          <w:color w:val="000000" w:themeColor="text1"/>
          <w:u w:val="single"/>
          <w:lang w:val="en-GB"/>
        </w:rPr>
        <w:t xml:space="preserve"> https://doi.org/10.1108/JFMM-09-2019-0192</w:t>
      </w:r>
      <w:r>
        <w:rPr>
          <w:color w:val="000000" w:themeColor="text1"/>
          <w:u w:val="single"/>
          <w:lang w:val="en-GB"/>
        </w:rPr>
        <w:fldChar w:fldCharType="end"/>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Naidoo, M. and Gasparatos, A., 2018. Corporate environmental sustainability in the retail sector: Drivers, strategies and performance measurement. </w:t>
      </w:r>
      <w:r>
        <w:rPr>
          <w:rFonts w:ascii="Times New Roman" w:hAnsi="Times New Roman" w:cs="Times New Roman"/>
          <w:i/>
          <w:iCs/>
          <w:color w:val="000000" w:themeColor="text1"/>
          <w:sz w:val="24"/>
          <w:szCs w:val="24"/>
          <w:shd w:val="clear" w:color="auto" w:fill="FFFFFF"/>
        </w:rPr>
        <w:t>Journal of Cleaner Production</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203</w:t>
      </w:r>
      <w:r>
        <w:rPr>
          <w:rFonts w:ascii="Times New Roman" w:hAnsi="Times New Roman" w:cs="Times New Roman"/>
          <w:color w:val="000000" w:themeColor="text1"/>
          <w:sz w:val="24"/>
          <w:szCs w:val="24"/>
          <w:shd w:val="clear" w:color="auto" w:fill="FFFFFF"/>
        </w:rPr>
        <w:t>, pp.125-142.</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Nash, J., 2018. Exploring how social media platforms influence fashion consumer decisions in the UK retail sector. </w:t>
      </w:r>
      <w:r>
        <w:rPr>
          <w:rFonts w:ascii="Times New Roman" w:hAnsi="Times New Roman" w:cs="Times New Roman"/>
          <w:i/>
          <w:iCs/>
          <w:color w:val="000000" w:themeColor="text1"/>
          <w:sz w:val="24"/>
          <w:szCs w:val="24"/>
          <w:shd w:val="clear" w:color="auto" w:fill="FFFFFF"/>
        </w:rPr>
        <w:t>Journal of Fashion Marketing and Management: An International Journal</w:t>
      </w:r>
      <w:r>
        <w:rPr>
          <w:rFonts w:ascii="Times New Roman" w:hAnsi="Times New Roman" w:cs="Times New Roman"/>
          <w:color w:val="000000" w:themeColor="text1"/>
          <w:sz w:val="24"/>
          <w:szCs w:val="24"/>
          <w:shd w:val="clear" w:color="auto" w:fill="FFFFFF"/>
        </w:rPr>
        <w:t>.</w:t>
      </w:r>
    </w:p>
    <w:p>
      <w:pPr>
        <w:pStyle w:val="21"/>
        <w:ind w:left="0"/>
        <w:rPr>
          <w:color w:val="000000" w:themeColor="text1"/>
          <w:lang w:val="en-GB"/>
        </w:rPr>
      </w:pPr>
      <w:r>
        <w:rPr>
          <w:color w:val="000000" w:themeColor="text1"/>
          <w:lang w:val="en-GB"/>
        </w:rPr>
        <w:t>Ons.gov.uk. (2022). Retail sales, Great Britain - Office for National Statistics. [online] Available at: https://www.ons.gov.uk/businessindustryandtrade/retailindustry/bulletins/retailsales/june2022 [Accessed 29 Jul. 2022].</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Pantano, E. and Vannucci, V., 2019. Who is innovating? An exploratory research of digital technologies diffusion in retail industry. </w:t>
      </w:r>
      <w:r>
        <w:rPr>
          <w:rFonts w:ascii="Times New Roman" w:hAnsi="Times New Roman" w:cs="Times New Roman"/>
          <w:i/>
          <w:iCs/>
          <w:color w:val="000000" w:themeColor="text1"/>
          <w:sz w:val="24"/>
          <w:szCs w:val="24"/>
          <w:shd w:val="clear" w:color="auto" w:fill="FFFFFF"/>
        </w:rPr>
        <w:t>Journal of Retailing and Consumer Services</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49</w:t>
      </w:r>
      <w:r>
        <w:rPr>
          <w:rFonts w:ascii="Times New Roman" w:hAnsi="Times New Roman" w:cs="Times New Roman"/>
          <w:color w:val="000000" w:themeColor="text1"/>
          <w:sz w:val="24"/>
          <w:szCs w:val="24"/>
          <w:shd w:val="clear" w:color="auto" w:fill="FFFFFF"/>
        </w:rPr>
        <w:t>, pp.297-304.</w:t>
      </w:r>
    </w:p>
    <w:p>
      <w:pPr>
        <w:pStyle w:val="21"/>
        <w:ind w:left="0"/>
        <w:rPr>
          <w:color w:val="000000" w:themeColor="text1"/>
          <w:lang w:val="en-GB"/>
        </w:rPr>
      </w:pPr>
      <w:r>
        <w:rPr>
          <w:color w:val="000000" w:themeColor="text1"/>
          <w:lang w:val="en-GB"/>
        </w:rPr>
        <w:t>Pantano, E., Priporas, C.V. and Dennis, C., 2018. A new approach to retailing for successful competition in the new smart scenario. International Journal of Retail &amp; Distribution Management, 46(3), pp.264-282. DOI:</w:t>
      </w:r>
      <w:r>
        <w:fldChar w:fldCharType="begin"/>
      </w:r>
      <w:r>
        <w:instrText xml:space="preserve"> HYPERLINK "https://doi.org/10.1108/IJRDM-04-2017-0080" </w:instrText>
      </w:r>
      <w:r>
        <w:fldChar w:fldCharType="separate"/>
      </w:r>
      <w:r>
        <w:rPr>
          <w:color w:val="000000" w:themeColor="text1"/>
          <w:u w:val="single"/>
          <w:lang w:val="en-GB"/>
        </w:rPr>
        <w:t xml:space="preserve"> https://doi.org/10.1108/IJRDM-04-2017-0080</w:t>
      </w:r>
      <w:r>
        <w:rPr>
          <w:color w:val="000000" w:themeColor="text1"/>
          <w:u w:val="single"/>
          <w:lang w:val="en-GB"/>
        </w:rPr>
        <w:fldChar w:fldCharType="end"/>
      </w:r>
    </w:p>
    <w:p>
      <w:pPr>
        <w:pStyle w:val="21"/>
        <w:ind w:left="0"/>
        <w:rPr>
          <w:color w:val="000000" w:themeColor="text1"/>
          <w:lang w:val="en-GB"/>
        </w:rPr>
      </w:pPr>
      <w:r>
        <w:rPr>
          <w:color w:val="000000" w:themeColor="text1"/>
          <w:lang w:val="en-GB"/>
        </w:rPr>
        <w:t>Retaileconomics.co.uk (2021). UK Retail Stats and Facts | Retail Economics.  Retaileconomics.co.uk. Available at: https://www.retaileconomics.co.uk/library-retail-stats-and-facts [Accessed 29 Jul. 2022].</w:t>
      </w:r>
    </w:p>
    <w:p>
      <w:pPr>
        <w:pStyle w:val="21"/>
        <w:ind w:left="0"/>
        <w:rPr>
          <w:color w:val="000000" w:themeColor="text1"/>
          <w:lang w:val="en-GB"/>
        </w:rPr>
      </w:pPr>
      <w:r>
        <w:rPr>
          <w:color w:val="000000" w:themeColor="text1"/>
          <w:lang w:val="en-GB"/>
        </w:rPr>
        <w:t>Smith, J. (2021). Overview of the retail sector in the UK | Prospects.ac.uk. Prospects.ac.uk. Available at: https://www.prospects.ac.uk/jobs-and-work-experience/job-sectors/retail/overview-of-the-retail-sector-in-the-uk [Accessed 29 Jul. 2022].</w:t>
      </w:r>
    </w:p>
    <w:p>
      <w:pPr>
        <w:pStyle w:val="21"/>
        <w:ind w:left="0"/>
        <w:rPr>
          <w:color w:val="000000" w:themeColor="text1"/>
          <w:lang w:val="en-GB"/>
        </w:rPr>
      </w:pPr>
      <w:r>
        <w:rPr>
          <w:color w:val="000000" w:themeColor="text1"/>
          <w:lang w:val="en-GB"/>
        </w:rPr>
        <w:t>Thomas, C. (2022). 8 SMART Customer Service Goals [With Real Business Examples]. gettalkative.com. Available at: https://gettalkative.com/info/customer-service-goals [Accessed 29 Jul. 2022].</w:t>
      </w:r>
    </w:p>
    <w:p>
      <w:pPr>
        <w:pStyle w:val="21"/>
        <w:ind w:left="0"/>
        <w:rPr>
          <w:color w:val="000000" w:themeColor="text1"/>
          <w:lang w:val="en-GB"/>
        </w:rPr>
      </w:pPr>
      <w:r>
        <w:rPr>
          <w:color w:val="000000" w:themeColor="text1"/>
          <w:lang w:val="en-GB"/>
        </w:rPr>
        <w:t>Tyrväinen, O. and Karjaluoto, H., 2019. Omnichannel experience: Towards successful channel integration in retail. Journal of Customer Behaviour, 18(1), pp.17-34. DOI:</w:t>
      </w:r>
      <w:r>
        <w:fldChar w:fldCharType="begin"/>
      </w:r>
      <w:r>
        <w:instrText xml:space="preserve"> HYPERLINK "https://doi.org/10.1362/147539219X15633616548498" </w:instrText>
      </w:r>
      <w:r>
        <w:fldChar w:fldCharType="separate"/>
      </w:r>
      <w:r>
        <w:rPr>
          <w:color w:val="000000" w:themeColor="text1"/>
          <w:u w:val="single"/>
          <w:lang w:val="en-GB"/>
        </w:rPr>
        <w:t xml:space="preserve"> https://doi.org/10.1362/147539219X15633616548498</w:t>
      </w:r>
      <w:r>
        <w:rPr>
          <w:color w:val="000000" w:themeColor="text1"/>
          <w:u w:val="single"/>
          <w:lang w:val="en-GB"/>
        </w:rPr>
        <w:fldChar w:fldCharType="end"/>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Wang, Y., Chowdhury Ahmed, S., Deng, S. and Wang, H., 2019. Success of social media marketing efforts in retaining sustainable online consumers: An empirical analysis on the online fashion retail market. </w:t>
      </w:r>
      <w:r>
        <w:rPr>
          <w:rFonts w:ascii="Times New Roman" w:hAnsi="Times New Roman" w:cs="Times New Roman"/>
          <w:i/>
          <w:iCs/>
          <w:color w:val="000000" w:themeColor="text1"/>
          <w:sz w:val="24"/>
          <w:szCs w:val="24"/>
          <w:shd w:val="clear" w:color="auto" w:fill="FFFFFF"/>
        </w:rPr>
        <w:t>Sustainability</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11</w:t>
      </w:r>
      <w:r>
        <w:rPr>
          <w:rFonts w:ascii="Times New Roman" w:hAnsi="Times New Roman" w:cs="Times New Roman"/>
          <w:color w:val="000000" w:themeColor="text1"/>
          <w:sz w:val="24"/>
          <w:szCs w:val="24"/>
          <w:shd w:val="clear" w:color="auto" w:fill="FFFFFF"/>
        </w:rPr>
        <w:t>(13), p.3596.</w:t>
      </w:r>
    </w:p>
    <w:p>
      <w:pPr>
        <w:pStyle w:val="21"/>
        <w:rPr>
          <w:lang w:val="en-GB"/>
        </w:rPr>
      </w:pPr>
    </w:p>
    <w:p>
      <w:pPr>
        <w:pStyle w:val="21"/>
        <w:rPr>
          <w:lang w:val="en-GB"/>
        </w:rPr>
      </w:pPr>
    </w:p>
    <w:p>
      <w:pPr>
        <w:pStyle w:val="21"/>
        <w:rPr>
          <w:lang w:val="en-GB"/>
        </w:rPr>
      </w:pPr>
    </w:p>
    <w:p>
      <w:pPr>
        <w:pStyle w:val="21"/>
        <w:spacing w:after="240"/>
        <w:ind w:left="0"/>
        <w:rPr>
          <w:lang w:val="en-GB"/>
        </w:rPr>
      </w:pPr>
    </w:p>
    <w:p>
      <w:pPr>
        <w:pStyle w:val="21"/>
        <w:spacing w:after="240"/>
        <w:ind w:left="0"/>
        <w:rPr>
          <w:lang w:val="en-GB"/>
        </w:rPr>
      </w:pPr>
    </w:p>
    <w:p>
      <w:pPr>
        <w:pStyle w:val="21"/>
        <w:spacing w:after="240"/>
        <w:ind w:left="0"/>
        <w:rPr>
          <w:lang w:val="en-GB"/>
        </w:rPr>
      </w:pPr>
    </w:p>
    <w:p>
      <w:pPr>
        <w:spacing w:line="360" w:lineRule="auto"/>
        <w:jc w:val="both"/>
        <w:rPr>
          <w:rFonts w:ascii="Times New Roman" w:hAnsi="Times New Roman" w:cs="Times New Roman"/>
          <w:color w:val="222222"/>
          <w:sz w:val="24"/>
          <w:szCs w:val="24"/>
          <w:shd w:val="clear" w:color="auto" w:fill="FFFFFF"/>
        </w:rPr>
      </w:pP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p>
      <w:pPr>
        <w:spacing w:line="360" w:lineRule="auto"/>
        <w:jc w:val="both"/>
        <w:rPr>
          <w:sz w:val="24"/>
          <w:szCs w:val="24"/>
        </w:rPr>
      </w:pPr>
    </w:p>
    <w:p>
      <w:pPr>
        <w:spacing w:line="360" w:lineRule="auto"/>
        <w:jc w:val="both"/>
        <w:rPr>
          <w:rFonts w:ascii="Times New Roman" w:hAnsi="Times New Roman" w:eastAsia="Times New Roman" w:cs="Times New Roman"/>
          <w:sz w:val="24"/>
          <w:szCs w:val="24"/>
        </w:rPr>
      </w:pPr>
    </w:p>
    <w:sectPr>
      <w:footerReference r:id="rId3" w:type="default"/>
      <w:pgSz w:w="11909" w:h="16834"/>
      <w:pgMar w:top="1440" w:right="1440" w:bottom="1440" w:left="1440" w:header="720" w:footer="720"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Arial">
    <w:panose1 w:val="020B0604020202090204"/>
    <w:charset w:val="86"/>
    <w:family w:val="swiss"/>
    <w:pitch w:val="default"/>
    <w:sig w:usb0="E0000AFF" w:usb1="00007843" w:usb2="00000001" w:usb3="00000000" w:csb0="400001BF" w:csb1="DFF70000"/>
  </w:font>
  <w:font w:name="Tahoma">
    <w:panose1 w:val="020B0604030504040204"/>
    <w:charset w:val="00"/>
    <w:family w:val="swiss"/>
    <w:pitch w:val="default"/>
    <w:sig w:usb0="E1002AFF" w:usb1="C000605B" w:usb2="00000029" w:usb3="00000000" w:csb0="200101FF" w:csb1="20280000"/>
  </w:font>
  <w:font w:name="Hiragino Sans GB">
    <w:panose1 w:val="020B0300000000000000"/>
    <w:charset w:val="86"/>
    <w:family w:val="auto"/>
    <w:pitch w:val="default"/>
    <w:sig w:usb0="A00002BF" w:usb1="1ACF7CFA" w:usb2="00000016" w:usb3="00000000" w:csb0="00060007"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Cambria Math">
    <w:altName w:val="Kingsoft Math"/>
    <w:panose1 w:val="02040503050406030204"/>
    <w:charset w:val="00"/>
    <w:family w:val="roman"/>
    <w:pitch w:val="default"/>
    <w:sig w:usb0="00000000" w:usb1="00000000" w:usb2="00000000" w:usb3="00000000" w:csb0="0000019F" w:csb1="00000000"/>
  </w:font>
  <w:font w:name="Kingsoft Math">
    <w:panose1 w:val="02040503050406030204"/>
    <w:charset w:val="00"/>
    <w:family w:val="auto"/>
    <w:pitch w:val="default"/>
    <w:sig w:usb0="80000087" w:usb1="00002068"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93771969"/>
    </w:sdtPr>
    <w:sdtEndPr>
      <w:rPr>
        <w:rFonts w:ascii="Times New Roman" w:hAnsi="Times New Roman" w:cs="Times New Roman"/>
        <w:sz w:val="20"/>
        <w:szCs w:val="20"/>
      </w:rPr>
    </w:sdtEndPr>
    <w:sdtContent>
      <w:p>
        <w:pPr>
          <w:pStyle w:val="9"/>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6</w:t>
        </w:r>
        <w:r>
          <w:rPr>
            <w:rFonts w:ascii="Times New Roman" w:hAnsi="Times New Roman" w:cs="Times New Roman"/>
            <w:sz w:val="20"/>
            <w:szCs w:val="20"/>
          </w:rPr>
          <w:fldChar w:fldCharType="end"/>
        </w:r>
      </w:p>
    </w:sdtContent>
  </w:sdt>
  <w:p>
    <w:pPr>
      <w:pStyle w:val="9"/>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A4223C"/>
    <w:multiLevelType w:val="multilevel"/>
    <w:tmpl w:val="65A4223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2"/>
  </w:compat>
  <w:rsids>
    <w:rsidRoot w:val="003446D4"/>
    <w:rsid w:val="00022824"/>
    <w:rsid w:val="000B5907"/>
    <w:rsid w:val="001335DD"/>
    <w:rsid w:val="00142D79"/>
    <w:rsid w:val="00152DED"/>
    <w:rsid w:val="00162104"/>
    <w:rsid w:val="00174351"/>
    <w:rsid w:val="00191063"/>
    <w:rsid w:val="001A3D4C"/>
    <w:rsid w:val="001D5B17"/>
    <w:rsid w:val="0022148D"/>
    <w:rsid w:val="002269B3"/>
    <w:rsid w:val="00284717"/>
    <w:rsid w:val="003243E2"/>
    <w:rsid w:val="003446D4"/>
    <w:rsid w:val="003D3CEA"/>
    <w:rsid w:val="00492A10"/>
    <w:rsid w:val="004C3B5A"/>
    <w:rsid w:val="005A1FCD"/>
    <w:rsid w:val="00655A93"/>
    <w:rsid w:val="0069645E"/>
    <w:rsid w:val="006B665A"/>
    <w:rsid w:val="00735255"/>
    <w:rsid w:val="0078652C"/>
    <w:rsid w:val="007A787F"/>
    <w:rsid w:val="007C59A6"/>
    <w:rsid w:val="007F5A46"/>
    <w:rsid w:val="00951788"/>
    <w:rsid w:val="00967509"/>
    <w:rsid w:val="009A0E87"/>
    <w:rsid w:val="00A16D6C"/>
    <w:rsid w:val="00A43799"/>
    <w:rsid w:val="00AC2C98"/>
    <w:rsid w:val="00AF2935"/>
    <w:rsid w:val="00B4735C"/>
    <w:rsid w:val="00B5050B"/>
    <w:rsid w:val="00D04C04"/>
    <w:rsid w:val="00D1463C"/>
    <w:rsid w:val="00DB0C56"/>
    <w:rsid w:val="00DD1F22"/>
    <w:rsid w:val="00DD44F7"/>
    <w:rsid w:val="00E1341C"/>
    <w:rsid w:val="00ED1FED"/>
    <w:rsid w:val="00EF3099"/>
    <w:rsid w:val="00F03F23"/>
    <w:rsid w:val="00F04A63"/>
    <w:rsid w:val="00F54F29"/>
    <w:rsid w:val="49EFC0D2"/>
    <w:rsid w:val="BDDE10C4"/>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IN" w:bidi="ar-SA"/>
    </w:rPr>
  </w:style>
  <w:style w:type="paragraph" w:styleId="2">
    <w:name w:val="heading 1"/>
    <w:basedOn w:val="1"/>
    <w:next w:val="1"/>
    <w:qFormat/>
    <w:uiPriority w:val="9"/>
    <w:pPr>
      <w:keepNext/>
      <w:keepLines/>
      <w:spacing w:before="400" w:after="120" w:line="360" w:lineRule="auto"/>
      <w:jc w:val="both"/>
      <w:outlineLvl w:val="0"/>
    </w:pPr>
    <w:rPr>
      <w:rFonts w:ascii="Times New Roman" w:hAnsi="Times New Roman"/>
      <w:b/>
      <w:color w:val="000000" w:themeColor="text1"/>
      <w:sz w:val="28"/>
      <w:szCs w:val="40"/>
    </w:rPr>
  </w:style>
  <w:style w:type="paragraph" w:styleId="3">
    <w:name w:val="heading 2"/>
    <w:basedOn w:val="1"/>
    <w:next w:val="1"/>
    <w:unhideWhenUsed/>
    <w:qFormat/>
    <w:uiPriority w:val="9"/>
    <w:pPr>
      <w:keepNext/>
      <w:keepLines/>
      <w:spacing w:before="360" w:after="120"/>
      <w:outlineLvl w:val="1"/>
    </w:pPr>
    <w:rPr>
      <w:sz w:val="32"/>
      <w:szCs w:val="32"/>
    </w:rPr>
  </w:style>
  <w:style w:type="paragraph" w:styleId="4">
    <w:name w:val="heading 3"/>
    <w:basedOn w:val="1"/>
    <w:next w:val="1"/>
    <w:unhideWhenUsed/>
    <w:qFormat/>
    <w:uiPriority w:val="9"/>
    <w:pPr>
      <w:keepNext/>
      <w:keepLines/>
      <w:spacing w:before="320" w:after="80"/>
      <w:outlineLvl w:val="2"/>
    </w:pPr>
    <w:rPr>
      <w:color w:val="434343"/>
      <w:sz w:val="28"/>
      <w:szCs w:val="28"/>
    </w:rPr>
  </w:style>
  <w:style w:type="paragraph" w:styleId="5">
    <w:name w:val="heading 4"/>
    <w:basedOn w:val="1"/>
    <w:next w:val="1"/>
    <w:unhideWhenUsed/>
    <w:qFormat/>
    <w:uiPriority w:val="9"/>
    <w:pPr>
      <w:keepNext/>
      <w:keepLines/>
      <w:spacing w:before="280" w:after="80"/>
      <w:outlineLvl w:val="3"/>
    </w:pPr>
    <w:rPr>
      <w:color w:val="666666"/>
      <w:sz w:val="24"/>
      <w:szCs w:val="24"/>
    </w:rPr>
  </w:style>
  <w:style w:type="paragraph" w:styleId="6">
    <w:name w:val="heading 5"/>
    <w:basedOn w:val="1"/>
    <w:next w:val="1"/>
    <w:unhideWhenUsed/>
    <w:qFormat/>
    <w:uiPriority w:val="9"/>
    <w:pPr>
      <w:keepNext/>
      <w:keepLines/>
      <w:spacing w:before="240" w:after="80"/>
      <w:outlineLvl w:val="4"/>
    </w:pPr>
    <w:rPr>
      <w:color w:val="666666"/>
    </w:rPr>
  </w:style>
  <w:style w:type="paragraph" w:styleId="7">
    <w:name w:val="heading 6"/>
    <w:basedOn w:val="1"/>
    <w:next w:val="1"/>
    <w:unhideWhenUsed/>
    <w:qFormat/>
    <w:uiPriority w:val="9"/>
    <w:pPr>
      <w:keepNext/>
      <w:keepLines/>
      <w:spacing w:before="240" w:after="80"/>
      <w:outlineLvl w:val="5"/>
    </w:pPr>
    <w:rPr>
      <w:i/>
      <w:color w:val="666666"/>
    </w:rPr>
  </w:style>
  <w:style w:type="character" w:default="1" w:styleId="14">
    <w:name w:val="Default Paragraph Font"/>
    <w:unhideWhenUsed/>
    <w:qFormat/>
    <w:uiPriority w:val="1"/>
  </w:style>
  <w:style w:type="table" w:default="1" w:styleId="16">
    <w:name w:val="Normal Table"/>
    <w:unhideWhenUsed/>
    <w:qFormat/>
    <w:uiPriority w:val="99"/>
    <w:tblPr>
      <w:tblCellMar>
        <w:top w:w="0" w:type="dxa"/>
        <w:left w:w="108" w:type="dxa"/>
        <w:bottom w:w="0" w:type="dxa"/>
        <w:right w:w="108" w:type="dxa"/>
      </w:tblCellMar>
    </w:tblPr>
  </w:style>
  <w:style w:type="paragraph" w:styleId="8">
    <w:name w:val="Balloon Text"/>
    <w:basedOn w:val="1"/>
    <w:link w:val="20"/>
    <w:unhideWhenUsed/>
    <w:qFormat/>
    <w:uiPriority w:val="99"/>
    <w:pPr>
      <w:spacing w:line="240" w:lineRule="auto"/>
    </w:pPr>
    <w:rPr>
      <w:rFonts w:ascii="Tahoma" w:hAnsi="Tahoma" w:cs="Tahoma"/>
      <w:sz w:val="16"/>
      <w:szCs w:val="16"/>
    </w:rPr>
  </w:style>
  <w:style w:type="paragraph" w:styleId="9">
    <w:name w:val="footer"/>
    <w:basedOn w:val="1"/>
    <w:link w:val="18"/>
    <w:unhideWhenUsed/>
    <w:qFormat/>
    <w:uiPriority w:val="99"/>
    <w:pPr>
      <w:tabs>
        <w:tab w:val="center" w:pos="4513"/>
        <w:tab w:val="right" w:pos="9026"/>
      </w:tabs>
      <w:spacing w:line="240" w:lineRule="auto"/>
    </w:pPr>
  </w:style>
  <w:style w:type="paragraph" w:styleId="10">
    <w:name w:val="header"/>
    <w:basedOn w:val="1"/>
    <w:link w:val="17"/>
    <w:unhideWhenUsed/>
    <w:qFormat/>
    <w:uiPriority w:val="99"/>
    <w:pPr>
      <w:tabs>
        <w:tab w:val="center" w:pos="4513"/>
        <w:tab w:val="right" w:pos="9026"/>
      </w:tabs>
      <w:spacing w:line="240" w:lineRule="auto"/>
    </w:pPr>
  </w:style>
  <w:style w:type="paragraph" w:styleId="11">
    <w:name w:val="Subtitle"/>
    <w:basedOn w:val="1"/>
    <w:next w:val="1"/>
    <w:qFormat/>
    <w:uiPriority w:val="11"/>
    <w:pPr>
      <w:keepNext/>
      <w:keepLines/>
      <w:spacing w:after="320"/>
    </w:pPr>
    <w:rPr>
      <w:color w:val="666666"/>
      <w:sz w:val="30"/>
      <w:szCs w:val="30"/>
    </w:rPr>
  </w:style>
  <w:style w:type="paragraph" w:styleId="12">
    <w:name w:val="Title"/>
    <w:basedOn w:val="1"/>
    <w:next w:val="1"/>
    <w:qFormat/>
    <w:uiPriority w:val="10"/>
    <w:pPr>
      <w:keepNext/>
      <w:keepLines/>
      <w:spacing w:after="60"/>
    </w:pPr>
    <w:rPr>
      <w:sz w:val="52"/>
      <w:szCs w:val="52"/>
    </w:rPr>
  </w:style>
  <w:style w:type="paragraph" w:styleId="13">
    <w:name w:val="toc 1"/>
    <w:basedOn w:val="1"/>
    <w:next w:val="1"/>
    <w:unhideWhenUsed/>
    <w:qFormat/>
    <w:uiPriority w:val="39"/>
    <w:pPr>
      <w:spacing w:after="100"/>
    </w:pPr>
  </w:style>
  <w:style w:type="character" w:styleId="15">
    <w:name w:val="Hyperlink"/>
    <w:basedOn w:val="14"/>
    <w:unhideWhenUsed/>
    <w:qFormat/>
    <w:uiPriority w:val="99"/>
    <w:rPr>
      <w:color w:val="0000FF" w:themeColor="hyperlink"/>
      <w:u w:val="single"/>
    </w:rPr>
  </w:style>
  <w:style w:type="character" w:customStyle="1" w:styleId="17">
    <w:name w:val="Header Char"/>
    <w:basedOn w:val="14"/>
    <w:link w:val="10"/>
    <w:qFormat/>
    <w:uiPriority w:val="99"/>
  </w:style>
  <w:style w:type="character" w:customStyle="1" w:styleId="18">
    <w:name w:val="Footer Char"/>
    <w:basedOn w:val="14"/>
    <w:link w:val="9"/>
    <w:qFormat/>
    <w:uiPriority w:val="99"/>
  </w:style>
  <w:style w:type="paragraph" w:customStyle="1" w:styleId="19">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66091" w:themeColor="accent1" w:themeShade="BF"/>
      <w:sz w:val="32"/>
      <w:szCs w:val="32"/>
      <w:lang w:val="en-US" w:eastAsia="en-US"/>
    </w:rPr>
  </w:style>
  <w:style w:type="character" w:customStyle="1" w:styleId="20">
    <w:name w:val="Balloon Text Char"/>
    <w:basedOn w:val="14"/>
    <w:link w:val="8"/>
    <w:semiHidden/>
    <w:qFormat/>
    <w:uiPriority w:val="99"/>
    <w:rPr>
      <w:rFonts w:ascii="Tahoma" w:hAnsi="Tahoma" w:cs="Tahoma"/>
      <w:sz w:val="16"/>
      <w:szCs w:val="16"/>
    </w:rPr>
  </w:style>
  <w:style w:type="paragraph" w:customStyle="1" w:styleId="21">
    <w:name w:val="Normal1"/>
    <w:qFormat/>
    <w:uiPriority w:val="0"/>
    <w:pPr>
      <w:spacing w:line="360" w:lineRule="auto"/>
      <w:ind w:left="720"/>
      <w:jc w:val="both"/>
    </w:pPr>
    <w:rPr>
      <w:rFonts w:ascii="Times New Roman" w:hAnsi="Times New Roman" w:eastAsia="Times New Roman" w:cs="Times New Roman"/>
      <w:sz w:val="24"/>
      <w:szCs w:val="24"/>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diagramColors" Target="diagrams/colors1.xml"/><Relationship Id="rId8" Type="http://schemas.openxmlformats.org/officeDocument/2006/relationships/diagramQuickStyle" Target="diagrams/quickStyle1.xml"/><Relationship Id="rId7" Type="http://schemas.openxmlformats.org/officeDocument/2006/relationships/diagramLayout" Target="diagrams/layout1.xml"/><Relationship Id="rId6" Type="http://schemas.openxmlformats.org/officeDocument/2006/relationships/diagramData" Target="diagrams/data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2.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234A498B-C1B1-452D-8696-96447D802B0A}" type="doc">
      <dgm:prSet loTypeId="urn:microsoft.com/office/officeart/2005/8/layout/chevronAccent+Icon" loCatId="process" qsTypeId="urn:microsoft.com/office/officeart/2005/8/quickstyle/simple4" qsCatId="simple" csTypeId="urn:microsoft.com/office/officeart/2005/8/colors/colorful4" csCatId="colorful" phldr="1"/>
      <dgm:spPr/>
    </dgm:pt>
    <dgm:pt modelId="{56A38FCC-B0B2-47A9-B9AF-B86B2D9095F9}">
      <dgm:prSet phldrT="[Text]" custT="1"/>
      <dgm:spPr/>
      <dgm:t>
        <a:bodyPr/>
        <a:p>
          <a:r>
            <a:rPr lang="en-IN" sz="1400" b="1">
              <a:latin typeface="Times New Roman" panose="02020503050405090304" charset="0"/>
              <a:cs typeface="Times New Roman" panose="02020503050405090304" charset="0"/>
            </a:rPr>
            <a:t>Positioning products</a:t>
          </a:r>
        </a:p>
      </dgm:t>
    </dgm:pt>
    <dgm:pt modelId="{73278BE5-2A6C-4DC6-B076-36ABF2425A7D}" cxnId="{2137D279-9236-474A-BBB5-690E170D7D18}" type="parTrans">
      <dgm:prSet/>
      <dgm:spPr/>
      <dgm:t>
        <a:bodyPr/>
        <a:p>
          <a:endParaRPr lang="en-IN"/>
        </a:p>
      </dgm:t>
    </dgm:pt>
    <dgm:pt modelId="{BA2BD037-4724-4208-B516-D868A25A27A7}" cxnId="{2137D279-9236-474A-BBB5-690E170D7D18}" type="sibTrans">
      <dgm:prSet/>
      <dgm:spPr/>
      <dgm:t>
        <a:bodyPr/>
        <a:p>
          <a:endParaRPr lang="en-IN"/>
        </a:p>
      </dgm:t>
    </dgm:pt>
    <dgm:pt modelId="{07352C26-B0F0-4B9A-B0EF-EB283906F982}">
      <dgm:prSet phldrT="[Text]" custT="1"/>
      <dgm:spPr/>
      <dgm:t>
        <a:bodyPr/>
        <a:p>
          <a:r>
            <a:rPr lang="en-IN" sz="1400" b="1">
              <a:latin typeface="Times New Roman" panose="02020503050405090304" charset="0"/>
              <a:cs typeface="Times New Roman" panose="02020503050405090304" charset="0"/>
            </a:rPr>
            <a:t>Visual consistancy</a:t>
          </a:r>
        </a:p>
      </dgm:t>
    </dgm:pt>
    <dgm:pt modelId="{4739A7CA-35CE-4F05-B40E-C458C4DE5885}" cxnId="{7D4E6FE0-46C0-410E-B53C-ECA0000C4652}" type="parTrans">
      <dgm:prSet/>
      <dgm:spPr/>
      <dgm:t>
        <a:bodyPr/>
        <a:p>
          <a:endParaRPr lang="en-IN"/>
        </a:p>
      </dgm:t>
    </dgm:pt>
    <dgm:pt modelId="{83C55F0F-13A2-497A-B4C3-1083B738EDFE}" cxnId="{7D4E6FE0-46C0-410E-B53C-ECA0000C4652}" type="sibTrans">
      <dgm:prSet/>
      <dgm:spPr/>
      <dgm:t>
        <a:bodyPr/>
        <a:p>
          <a:endParaRPr lang="en-IN"/>
        </a:p>
      </dgm:t>
    </dgm:pt>
    <dgm:pt modelId="{D9A0831B-AFF2-40F8-8280-D0C5B281327F}">
      <dgm:prSet phldrT="[Text]" custT="1"/>
      <dgm:spPr/>
      <dgm:t>
        <a:bodyPr/>
        <a:p>
          <a:r>
            <a:rPr lang="en-IN" sz="1400" b="1">
              <a:latin typeface="Times New Roman" panose="02020503050405090304" charset="0"/>
              <a:cs typeface="Times New Roman" panose="02020503050405090304" charset="0"/>
            </a:rPr>
            <a:t>Identifying selling points</a:t>
          </a:r>
        </a:p>
      </dgm:t>
    </dgm:pt>
    <dgm:pt modelId="{2D5DE55E-3B31-4C85-9CB7-0BD6B267D1FE}" cxnId="{79799E24-90C2-4FCA-9862-14CAFFF4146B}" type="parTrans">
      <dgm:prSet/>
      <dgm:spPr/>
      <dgm:t>
        <a:bodyPr/>
        <a:p>
          <a:endParaRPr lang="en-IN"/>
        </a:p>
      </dgm:t>
    </dgm:pt>
    <dgm:pt modelId="{2D037241-D367-4A7D-B7BB-F3BA590930DA}" cxnId="{79799E24-90C2-4FCA-9862-14CAFFF4146B}" type="sibTrans">
      <dgm:prSet/>
      <dgm:spPr/>
      <dgm:t>
        <a:bodyPr/>
        <a:p>
          <a:endParaRPr lang="en-IN"/>
        </a:p>
      </dgm:t>
    </dgm:pt>
    <dgm:pt modelId="{CB888AE5-5320-4BD9-BF3A-A3D0F0D18945}" type="pres">
      <dgm:prSet presAssocID="{234A498B-C1B1-452D-8696-96447D802B0A}" presName="Name0" presStyleCnt="0">
        <dgm:presLayoutVars>
          <dgm:dir/>
          <dgm:resizeHandles val="exact"/>
        </dgm:presLayoutVars>
      </dgm:prSet>
      <dgm:spPr/>
    </dgm:pt>
    <dgm:pt modelId="{B0C2D96B-AE55-4FD2-95C0-F531C105BA95}" type="pres">
      <dgm:prSet presAssocID="{56A38FCC-B0B2-47A9-B9AF-B86B2D9095F9}" presName="composite" presStyleCnt="0"/>
      <dgm:spPr/>
    </dgm:pt>
    <dgm:pt modelId="{F36FAA51-F667-4748-A4C0-569527C45315}" type="pres">
      <dgm:prSet presAssocID="{56A38FCC-B0B2-47A9-B9AF-B86B2D9095F9}" presName="bgChev" presStyleLbl="node1" presStyleIdx="0" presStyleCnt="3"/>
      <dgm:spPr/>
    </dgm:pt>
    <dgm:pt modelId="{7D685F8B-6F1D-4695-AA5C-72C29CDFE9B5}" type="pres">
      <dgm:prSet presAssocID="{56A38FCC-B0B2-47A9-B9AF-B86B2D9095F9}" presName="txNode" presStyleLbl="fgAcc1" presStyleIdx="0" presStyleCnt="3">
        <dgm:presLayoutVars>
          <dgm:bulletEnabled val="1"/>
        </dgm:presLayoutVars>
      </dgm:prSet>
      <dgm:spPr/>
      <dgm:t>
        <a:bodyPr/>
        <a:p>
          <a:endParaRPr lang="en-US"/>
        </a:p>
      </dgm:t>
    </dgm:pt>
    <dgm:pt modelId="{12E97B0A-F1F1-4053-A7C1-E2B30EAC96CA}" type="pres">
      <dgm:prSet presAssocID="{BA2BD037-4724-4208-B516-D868A25A27A7}" presName="compositeSpace" presStyleCnt="0"/>
      <dgm:spPr/>
    </dgm:pt>
    <dgm:pt modelId="{F873DA1E-C383-44DC-BD12-611336EFE941}" type="pres">
      <dgm:prSet presAssocID="{07352C26-B0F0-4B9A-B0EF-EB283906F982}" presName="composite" presStyleCnt="0"/>
      <dgm:spPr/>
    </dgm:pt>
    <dgm:pt modelId="{3940D737-561E-44BB-8653-7675D3A9C2B9}" type="pres">
      <dgm:prSet presAssocID="{07352C26-B0F0-4B9A-B0EF-EB283906F982}" presName="bgChev" presStyleLbl="node1" presStyleIdx="1" presStyleCnt="3"/>
      <dgm:spPr/>
    </dgm:pt>
    <dgm:pt modelId="{1F5B2EB0-E598-4163-8B39-9BC78CBA4271}" type="pres">
      <dgm:prSet presAssocID="{07352C26-B0F0-4B9A-B0EF-EB283906F982}" presName="txNode" presStyleLbl="fgAcc1" presStyleIdx="1" presStyleCnt="3">
        <dgm:presLayoutVars>
          <dgm:bulletEnabled val="1"/>
        </dgm:presLayoutVars>
      </dgm:prSet>
      <dgm:spPr/>
      <dgm:t>
        <a:bodyPr/>
        <a:p>
          <a:endParaRPr lang="en-US"/>
        </a:p>
      </dgm:t>
    </dgm:pt>
    <dgm:pt modelId="{07F3C74D-208F-41E2-939E-08822344A2BA}" type="pres">
      <dgm:prSet presAssocID="{83C55F0F-13A2-497A-B4C3-1083B738EDFE}" presName="compositeSpace" presStyleCnt="0"/>
      <dgm:spPr/>
    </dgm:pt>
    <dgm:pt modelId="{6BE1A312-C0A4-4EDC-877C-9F93FD6CFBC1}" type="pres">
      <dgm:prSet presAssocID="{D9A0831B-AFF2-40F8-8280-D0C5B281327F}" presName="composite" presStyleCnt="0"/>
      <dgm:spPr/>
    </dgm:pt>
    <dgm:pt modelId="{A21F6496-35F3-402D-8D2B-DDA273CB4CB0}" type="pres">
      <dgm:prSet presAssocID="{D9A0831B-AFF2-40F8-8280-D0C5B281327F}" presName="bgChev" presStyleLbl="node1" presStyleIdx="2" presStyleCnt="3"/>
      <dgm:spPr/>
    </dgm:pt>
    <dgm:pt modelId="{C3771E1D-4052-4C96-B77C-A9DDD724E21E}" type="pres">
      <dgm:prSet presAssocID="{D9A0831B-AFF2-40F8-8280-D0C5B281327F}" presName="txNode" presStyleLbl="fgAcc1" presStyleIdx="2" presStyleCnt="3">
        <dgm:presLayoutVars>
          <dgm:bulletEnabled val="1"/>
        </dgm:presLayoutVars>
      </dgm:prSet>
      <dgm:spPr/>
      <dgm:t>
        <a:bodyPr/>
        <a:p>
          <a:endParaRPr lang="en-US"/>
        </a:p>
      </dgm:t>
    </dgm:pt>
  </dgm:ptLst>
  <dgm:cxnLst>
    <dgm:cxn modelId="{F7218C9F-6050-4975-A4A0-4BE0B9629880}" type="presOf" srcId="{07352C26-B0F0-4B9A-B0EF-EB283906F982}" destId="{1F5B2EB0-E598-4163-8B39-9BC78CBA4271}" srcOrd="0" destOrd="0" presId="urn:microsoft.com/office/officeart/2005/8/layout/chevronAccent+Icon"/>
    <dgm:cxn modelId="{98FA68DA-A757-4A91-892A-147D051F4683}" type="presOf" srcId="{56A38FCC-B0B2-47A9-B9AF-B86B2D9095F9}" destId="{7D685F8B-6F1D-4695-AA5C-72C29CDFE9B5}" srcOrd="0" destOrd="0" presId="urn:microsoft.com/office/officeart/2005/8/layout/chevronAccent+Icon"/>
    <dgm:cxn modelId="{7D4E6FE0-46C0-410E-B53C-ECA0000C4652}" srcId="{234A498B-C1B1-452D-8696-96447D802B0A}" destId="{07352C26-B0F0-4B9A-B0EF-EB283906F982}" srcOrd="1" destOrd="0" parTransId="{4739A7CA-35CE-4F05-B40E-C458C4DE5885}" sibTransId="{83C55F0F-13A2-497A-B4C3-1083B738EDFE}"/>
    <dgm:cxn modelId="{79799E24-90C2-4FCA-9862-14CAFFF4146B}" srcId="{234A498B-C1B1-452D-8696-96447D802B0A}" destId="{D9A0831B-AFF2-40F8-8280-D0C5B281327F}" srcOrd="2" destOrd="0" parTransId="{2D5DE55E-3B31-4C85-9CB7-0BD6B267D1FE}" sibTransId="{2D037241-D367-4A7D-B7BB-F3BA590930DA}"/>
    <dgm:cxn modelId="{F1FB7D7A-44E3-4499-AB10-B2906D882143}" type="presOf" srcId="{D9A0831B-AFF2-40F8-8280-D0C5B281327F}" destId="{C3771E1D-4052-4C96-B77C-A9DDD724E21E}" srcOrd="0" destOrd="0" presId="urn:microsoft.com/office/officeart/2005/8/layout/chevronAccent+Icon"/>
    <dgm:cxn modelId="{95E9DC89-BF6A-436F-BD92-66903A536A50}" type="presOf" srcId="{234A498B-C1B1-452D-8696-96447D802B0A}" destId="{CB888AE5-5320-4BD9-BF3A-A3D0F0D18945}" srcOrd="0" destOrd="0" presId="urn:microsoft.com/office/officeart/2005/8/layout/chevronAccent+Icon"/>
    <dgm:cxn modelId="{2137D279-9236-474A-BBB5-690E170D7D18}" srcId="{234A498B-C1B1-452D-8696-96447D802B0A}" destId="{56A38FCC-B0B2-47A9-B9AF-B86B2D9095F9}" srcOrd="0" destOrd="0" parTransId="{73278BE5-2A6C-4DC6-B076-36ABF2425A7D}" sibTransId="{BA2BD037-4724-4208-B516-D868A25A27A7}"/>
    <dgm:cxn modelId="{72C03C8F-EC07-4705-A7FC-527BF556B808}" type="presParOf" srcId="{CB888AE5-5320-4BD9-BF3A-A3D0F0D18945}" destId="{B0C2D96B-AE55-4FD2-95C0-F531C105BA95}" srcOrd="0" destOrd="0" presId="urn:microsoft.com/office/officeart/2005/8/layout/chevronAccent+Icon"/>
    <dgm:cxn modelId="{5B58925A-3900-4478-8A17-C996C5396AEB}" type="presParOf" srcId="{B0C2D96B-AE55-4FD2-95C0-F531C105BA95}" destId="{F36FAA51-F667-4748-A4C0-569527C45315}" srcOrd="0" destOrd="0" presId="urn:microsoft.com/office/officeart/2005/8/layout/chevronAccent+Icon"/>
    <dgm:cxn modelId="{2A4E3559-FF5D-4D53-B5F6-F408DF137D9B}" type="presParOf" srcId="{B0C2D96B-AE55-4FD2-95C0-F531C105BA95}" destId="{7D685F8B-6F1D-4695-AA5C-72C29CDFE9B5}" srcOrd="1" destOrd="0" presId="urn:microsoft.com/office/officeart/2005/8/layout/chevronAccent+Icon"/>
    <dgm:cxn modelId="{0D1AC03D-2D77-4526-B69B-D7BBFDEE179B}" type="presParOf" srcId="{CB888AE5-5320-4BD9-BF3A-A3D0F0D18945}" destId="{12E97B0A-F1F1-4053-A7C1-E2B30EAC96CA}" srcOrd="1" destOrd="0" presId="urn:microsoft.com/office/officeart/2005/8/layout/chevronAccent+Icon"/>
    <dgm:cxn modelId="{53142310-4CE5-4241-92E3-C004E477D1B0}" type="presParOf" srcId="{CB888AE5-5320-4BD9-BF3A-A3D0F0D18945}" destId="{F873DA1E-C383-44DC-BD12-611336EFE941}" srcOrd="2" destOrd="0" presId="urn:microsoft.com/office/officeart/2005/8/layout/chevronAccent+Icon"/>
    <dgm:cxn modelId="{C9350F73-C231-4867-A7F2-471F56EB9DA2}" type="presParOf" srcId="{F873DA1E-C383-44DC-BD12-611336EFE941}" destId="{3940D737-561E-44BB-8653-7675D3A9C2B9}" srcOrd="0" destOrd="0" presId="urn:microsoft.com/office/officeart/2005/8/layout/chevronAccent+Icon"/>
    <dgm:cxn modelId="{850357A2-78D2-4352-AA7E-0AE5A84F1508}" type="presParOf" srcId="{F873DA1E-C383-44DC-BD12-611336EFE941}" destId="{1F5B2EB0-E598-4163-8B39-9BC78CBA4271}" srcOrd="1" destOrd="0" presId="urn:microsoft.com/office/officeart/2005/8/layout/chevronAccent+Icon"/>
    <dgm:cxn modelId="{36074AD8-3737-4912-A1BA-52B907F58845}" type="presParOf" srcId="{CB888AE5-5320-4BD9-BF3A-A3D0F0D18945}" destId="{07F3C74D-208F-41E2-939E-08822344A2BA}" srcOrd="3" destOrd="0" presId="urn:microsoft.com/office/officeart/2005/8/layout/chevronAccent+Icon"/>
    <dgm:cxn modelId="{C2DCBDB2-41BA-46D3-A406-7DA215F3B977}" type="presParOf" srcId="{CB888AE5-5320-4BD9-BF3A-A3D0F0D18945}" destId="{6BE1A312-C0A4-4EDC-877C-9F93FD6CFBC1}" srcOrd="4" destOrd="0" presId="urn:microsoft.com/office/officeart/2005/8/layout/chevronAccent+Icon"/>
    <dgm:cxn modelId="{114FD8F3-F328-4FC5-B118-458415D16A4A}" type="presParOf" srcId="{6BE1A312-C0A4-4EDC-877C-9F93FD6CFBC1}" destId="{A21F6496-35F3-402D-8D2B-DDA273CB4CB0}" srcOrd="0" destOrd="0" presId="urn:microsoft.com/office/officeart/2005/8/layout/chevronAccent+Icon"/>
    <dgm:cxn modelId="{7F906267-0DBD-4086-BE64-23775D0FA144}" type="presParOf" srcId="{6BE1A312-C0A4-4EDC-877C-9F93FD6CFBC1}" destId="{C3771E1D-4052-4C96-B77C-A9DDD724E21E}" srcOrd="1" destOrd="0" presId="urn:microsoft.com/office/officeart/2005/8/layout/chevronAccent+Icon"/>
  </dgm:cxnLst>
  <dgm:bg/>
  <dgm:whole>
    <a:ln w="28575">
      <a:solidFill>
        <a:schemeClr val="tx1"/>
      </a:solidFill>
    </a:ln>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6FAA51-F667-4748-A4C0-569527C45315}">
      <dsp:nvSpPr>
        <dsp:cNvPr id="0" name=""/>
        <dsp:cNvSpPr/>
      </dsp:nvSpPr>
      <dsp:spPr>
        <a:xfrm>
          <a:off x="642" y="67489"/>
          <a:ext cx="1615380" cy="623536"/>
        </a:xfrm>
        <a:prstGeom prst="chevron">
          <a:avLst>
            <a:gd name="adj" fmla="val 4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7D685F8B-6F1D-4695-AA5C-72C29CDFE9B5}">
      <dsp:nvSpPr>
        <dsp:cNvPr id="0" name=""/>
        <dsp:cNvSpPr/>
      </dsp:nvSpPr>
      <dsp:spPr>
        <a:xfrm>
          <a:off x="431411" y="223373"/>
          <a:ext cx="1364099" cy="623536"/>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IN" sz="1400" b="1" kern="1200">
              <a:latin typeface="Times New Roman" panose="02020603050405020304" pitchFamily="18" charset="0"/>
              <a:cs typeface="Times New Roman" panose="02020603050405020304" pitchFamily="18" charset="0"/>
            </a:rPr>
            <a:t>Positioning products</a:t>
          </a:r>
        </a:p>
      </dsp:txBody>
      <dsp:txXfrm>
        <a:off x="449674" y="241636"/>
        <a:ext cx="1327573" cy="587010"/>
      </dsp:txXfrm>
    </dsp:sp>
    <dsp:sp modelId="{3940D737-561E-44BB-8653-7675D3A9C2B9}">
      <dsp:nvSpPr>
        <dsp:cNvPr id="0" name=""/>
        <dsp:cNvSpPr/>
      </dsp:nvSpPr>
      <dsp:spPr>
        <a:xfrm>
          <a:off x="1845766" y="67489"/>
          <a:ext cx="1615380" cy="623536"/>
        </a:xfrm>
        <a:prstGeom prst="chevron">
          <a:avLst>
            <a:gd name="adj" fmla="val 40000"/>
          </a:avLst>
        </a:prstGeom>
        <a:gradFill rotWithShape="0">
          <a:gsLst>
            <a:gs pos="0">
              <a:schemeClr val="accent4">
                <a:hueOff val="-2232385"/>
                <a:satOff val="13449"/>
                <a:lumOff val="1078"/>
                <a:alphaOff val="0"/>
                <a:tint val="100000"/>
                <a:shade val="100000"/>
                <a:satMod val="130000"/>
              </a:schemeClr>
            </a:gs>
            <a:gs pos="100000">
              <a:schemeClr val="accent4">
                <a:hueOff val="-2232385"/>
                <a:satOff val="13449"/>
                <a:lumOff val="107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1F5B2EB0-E598-4163-8B39-9BC78CBA4271}">
      <dsp:nvSpPr>
        <dsp:cNvPr id="0" name=""/>
        <dsp:cNvSpPr/>
      </dsp:nvSpPr>
      <dsp:spPr>
        <a:xfrm>
          <a:off x="2276534" y="223373"/>
          <a:ext cx="1364099" cy="623536"/>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2232385"/>
              <a:satOff val="13449"/>
              <a:lumOff val="1078"/>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IN" sz="1400" b="1" kern="1200">
              <a:latin typeface="Times New Roman" panose="02020603050405020304" pitchFamily="18" charset="0"/>
              <a:cs typeface="Times New Roman" panose="02020603050405020304" pitchFamily="18" charset="0"/>
            </a:rPr>
            <a:t>Visual consistancy</a:t>
          </a:r>
        </a:p>
      </dsp:txBody>
      <dsp:txXfrm>
        <a:off x="2294797" y="241636"/>
        <a:ext cx="1327573" cy="587010"/>
      </dsp:txXfrm>
    </dsp:sp>
    <dsp:sp modelId="{A21F6496-35F3-402D-8D2B-DDA273CB4CB0}">
      <dsp:nvSpPr>
        <dsp:cNvPr id="0" name=""/>
        <dsp:cNvSpPr/>
      </dsp:nvSpPr>
      <dsp:spPr>
        <a:xfrm>
          <a:off x="3690889" y="67489"/>
          <a:ext cx="1615380" cy="623536"/>
        </a:xfrm>
        <a:prstGeom prst="chevron">
          <a:avLst>
            <a:gd name="adj" fmla="val 40000"/>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C3771E1D-4052-4C96-B77C-A9DDD724E21E}">
      <dsp:nvSpPr>
        <dsp:cNvPr id="0" name=""/>
        <dsp:cNvSpPr/>
      </dsp:nvSpPr>
      <dsp:spPr>
        <a:xfrm>
          <a:off x="4121658" y="223373"/>
          <a:ext cx="1364099" cy="623536"/>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4464770"/>
              <a:satOff val="26899"/>
              <a:lumOff val="2156"/>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IN" sz="1400" b="1" kern="1200">
              <a:latin typeface="Times New Roman" panose="02020603050405020304" pitchFamily="18" charset="0"/>
              <a:cs typeface="Times New Roman" panose="02020603050405020304" pitchFamily="18" charset="0"/>
            </a:rPr>
            <a:t>Identifying selling points</a:t>
          </a:r>
        </a:p>
      </dsp:txBody>
      <dsp:txXfrm>
        <a:off x="4139921" y="241636"/>
        <a:ext cx="1327573" cy="58701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type="chevron" r:blip="" rot="180">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0">
        <a:scrgbClr r="0" g="0" b="0"/>
      </a:lnRef>
      <a:fillRef idx="1">
        <a:scrgbClr r="0" g="0" b="0"/>
      </a:fillRef>
      <a:effectRef idx="2">
        <a:scrgbClr r="0" g="0" b="0"/>
      </a:effectRef>
      <a:fontRef idx="minor"/>
    </dgm:style>
  </dgm:styleLbl>
  <dgm:styleLbl name="alignNode1">
    <dgm:scene3d>
      <a:camera prst="orthographicFront"/>
      <a:lightRig rig="threePt" dir="t"/>
    </dgm:scene3d>
    <dgm:txPr/>
    <dgm:style>
      <a:lnRef idx="1">
        <a:scrgbClr r="0" g="0" b="0"/>
      </a:lnRef>
      <a:fillRef idx="3">
        <a:scrgbClr r="0" g="0" b="0"/>
      </a:fillRef>
      <a:effectRef idx="2">
        <a:scrgbClr r="0" g="0" b="0"/>
      </a:effectRef>
      <a:fontRef idx="minor">
        <a:schemeClr val="lt1"/>
      </a:fontRef>
    </dgm:style>
  </dgm:styleLbl>
  <dgm:styleLbl name="asst0">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b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0">
        <a:scrgbClr r="0" g="0" b="0"/>
      </a:lnRef>
      <a:fillRef idx="1">
        <a:scrgbClr r="0" g="0" b="0"/>
      </a:fillRef>
      <a:effectRef idx="2">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0">
        <a:scrgbClr r="0" g="0" b="0"/>
      </a:lnRef>
      <a:fillRef idx="1">
        <a:scrgbClr r="0" g="0" b="0"/>
      </a:fillRef>
      <a:effectRef idx="2">
        <a:scrgbClr r="0" g="0" b="0"/>
      </a:effectRef>
      <a:fontRef idx="minor"/>
    </dgm:style>
  </dgm:styleLbl>
  <dgm:styleLbl name="fgShp">
    <dgm:scene3d>
      <a:camera prst="orthographicFront"/>
      <a:lightRig rig="threePt" dir="t"/>
    </dgm:scene3d>
    <dgm:txPr/>
    <dgm:style>
      <a:lnRef idx="0">
        <a:scrgbClr r="0" g="0" b="0"/>
      </a:lnRef>
      <a:fillRef idx="3">
        <a:scrgbClr r="0" g="0" b="0"/>
      </a:fillRef>
      <a:effectRef idx="2">
        <a:scrgbClr r="0" g="0" b="0"/>
      </a:effectRef>
      <a:fontRef idx="minor"/>
    </dgm:style>
  </dgm:styleLbl>
  <dgm:styleLbl name="fgSibTrans2D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txPr/>
    <dgm:style>
      <a:lnRef idx="1">
        <a:scrgbClr r="0" g="0" b="0"/>
      </a:lnRef>
      <a:fillRef idx="3">
        <a:scrgbClr r="0" g="0" b="0"/>
      </a:fillRef>
      <a:effectRef idx="2">
        <a:scrgbClr r="0" g="0" b="0"/>
      </a:effectRef>
      <a:fontRef idx="minor">
        <a:schemeClr val="lt1"/>
      </a:fontRef>
    </dgm:style>
  </dgm:styleLbl>
  <dgm:styleLbl name="node0">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1">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txPr/>
    <dgm:style>
      <a:lnRef idx="1">
        <a:scrgbClr r="0" g="0" b="0"/>
      </a:lnRef>
      <a:fillRef idx="3">
        <a:scrgbClr r="0" g="0" b="0"/>
      </a:fillRef>
      <a:effectRef idx="2">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3">
        <a:scrgbClr r="0" g="0" b="0"/>
      </a:fillRef>
      <a:effectRef idx="2">
        <a:scrgbClr r="0" g="0" b="0"/>
      </a:effectRef>
      <a:fontRef idx="minor">
        <a:schemeClr val="lt1"/>
      </a:fontRef>
    </dgm:style>
  </dgm:styleLbl>
  <dgm:styleLbl name="solid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0">
        <a:scrgbClr r="0" g="0" b="0"/>
      </a:lnRef>
      <a:fillRef idx="3">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3658</Words>
  <Characters>20852</Characters>
  <Lines>173</Lines>
  <Paragraphs>48</Paragraphs>
  <ScaleCrop>false</ScaleCrop>
  <LinksUpToDate>false</LinksUpToDate>
  <CharactersWithSpaces>24462</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2022-07-30T09:43:00Z</dcterms:created>
  <dc:creator>Srijita Majumdar</dc:creator>
  <cp:lastModifiedBy>owner</cp:lastModifiedBy>
  <dcterms:modified xsi:type="dcterms:W3CDTF">2022-08-03T13:52:34Z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