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5BB68" w14:textId="77777777" w:rsidR="00B83AB6" w:rsidRDefault="00B83AB6" w:rsidP="00B83AB6">
      <w:pPr>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333333"/>
          <w:sz w:val="24"/>
          <w:szCs w:val="24"/>
          <w:shd w:val="clear" w:color="auto" w:fill="EDEFF4"/>
          <w:lang w:eastAsia="en-GB"/>
        </w:rPr>
        <w:t>-</w:t>
      </w:r>
      <w:r>
        <w:rPr>
          <w:rFonts w:ascii="Times New Roman" w:eastAsia="Times New Roman" w:hAnsi="Times New Roman" w:cs="Times New Roman"/>
          <w:color w:val="333333"/>
          <w:sz w:val="24"/>
          <w:szCs w:val="24"/>
          <w:shd w:val="clear" w:color="auto" w:fill="ECEFF5"/>
          <w:lang w:eastAsia="en-GB"/>
        </w:rPr>
        <w:t>The authority of the Prophet is only limited to doctrinal affairs and the matters of worship, as far as the worldly affairs are concerned; they are not governed by the prophetic authority. Critically discuss. (1000 words)</w:t>
      </w:r>
    </w:p>
    <w:p w14:paraId="3EA339FB" w14:textId="77777777" w:rsidR="00B83AB6" w:rsidRDefault="00B83AB6" w:rsidP="00B83AB6">
      <w:pPr>
        <w:spacing w:line="360" w:lineRule="auto"/>
        <w:rPr>
          <w:rFonts w:ascii="Times New Roman" w:hAnsi="Times New Roman" w:cs="Times New Roman"/>
          <w:sz w:val="24"/>
          <w:szCs w:val="24"/>
        </w:rPr>
      </w:pPr>
    </w:p>
    <w:p w14:paraId="16F42AAD" w14:textId="77777777" w:rsidR="00B83AB6" w:rsidRDefault="00B83AB6" w:rsidP="00B83AB6">
      <w:pPr>
        <w:pBdr>
          <w:bottom w:val="single" w:sz="6" w:space="2" w:color="808080"/>
        </w:pBdr>
        <w:shd w:val="clear" w:color="auto" w:fill="FFFFFF"/>
        <w:spacing w:after="75" w:line="360" w:lineRule="auto"/>
        <w:jc w:val="center"/>
        <w:outlineLvl w:val="2"/>
        <w:rPr>
          <w:rFonts w:ascii="Times New Roman" w:eastAsia="Times New Roman" w:hAnsi="Times New Roman" w:cs="Times New Roman"/>
          <w:b/>
          <w:bCs/>
          <w:color w:val="000000"/>
          <w:sz w:val="24"/>
          <w:szCs w:val="24"/>
          <w:lang w:eastAsia="en-GB"/>
        </w:rPr>
      </w:pPr>
      <w:hyperlink r:id="rId4" w:history="1">
        <w:r>
          <w:rPr>
            <w:rStyle w:val="Hyperlink"/>
            <w:rFonts w:ascii="Times New Roman" w:eastAsia="Times New Roman" w:hAnsi="Times New Roman" w:cs="Times New Roman"/>
            <w:b/>
            <w:bCs/>
            <w:color w:val="000000"/>
            <w:sz w:val="24"/>
            <w:szCs w:val="24"/>
            <w:lang w:eastAsia="en-GB"/>
          </w:rPr>
          <w:t>THE PROPHETIC AUTHORITY IN WORLDLY AFFAIRS</w:t>
        </w:r>
      </w:hyperlink>
    </w:p>
    <w:p w14:paraId="3015F62E" w14:textId="77777777" w:rsidR="00B83AB6" w:rsidRDefault="00B83AB6" w:rsidP="00B83AB6">
      <w:pPr>
        <w:shd w:val="clear" w:color="auto" w:fill="FFFFFF"/>
        <w:spacing w:before="100" w:beforeAutospacing="1" w:after="100" w:afterAutospacing="1" w:line="360" w:lineRule="auto"/>
        <w:jc w:val="both"/>
        <w:rPr>
          <w:rFonts w:ascii="Times New Roman" w:eastAsia="Times New Roman" w:hAnsi="Times New Roman" w:cs="Times New Roman"/>
          <w:color w:val="FFC000" w:themeColor="accent4"/>
          <w:sz w:val="24"/>
          <w:szCs w:val="24"/>
          <w:lang w:eastAsia="en-GB"/>
        </w:rPr>
      </w:pPr>
      <w:r>
        <w:rPr>
          <w:rFonts w:ascii="Times New Roman" w:eastAsia="Times New Roman" w:hAnsi="Times New Roman" w:cs="Times New Roman"/>
          <w:sz w:val="24"/>
          <w:szCs w:val="24"/>
          <w:lang w:eastAsia="en-GB"/>
        </w:rPr>
        <w:t xml:space="preserve">Prophetic authority is a </w:t>
      </w:r>
      <w:proofErr w:type="gramStart"/>
      <w:r>
        <w:rPr>
          <w:rFonts w:ascii="Times New Roman" w:eastAsia="Times New Roman" w:hAnsi="Times New Roman" w:cs="Times New Roman"/>
          <w:sz w:val="24"/>
          <w:szCs w:val="24"/>
          <w:lang w:eastAsia="en-GB"/>
        </w:rPr>
        <w:t>much debated</w:t>
      </w:r>
      <w:proofErr w:type="gramEnd"/>
      <w:r>
        <w:rPr>
          <w:rFonts w:ascii="Times New Roman" w:eastAsia="Times New Roman" w:hAnsi="Times New Roman" w:cs="Times New Roman"/>
          <w:sz w:val="24"/>
          <w:szCs w:val="24"/>
          <w:lang w:eastAsia="en-GB"/>
        </w:rPr>
        <w:t xml:space="preserve"> subject, including amongst Muslims, as some tend towards the view that the purpose of a prophet of God is just to teach people how to perform religious acts. However, an essential aspect of Islam is that it is a way of life, in which case, where do we find those instructions on how to live our lives? Furthermore, while some may say that the world has changed a great de</w:t>
      </w:r>
      <w:bookmarkStart w:id="0" w:name="_GoBack"/>
      <w:bookmarkEnd w:id="0"/>
      <w:r>
        <w:rPr>
          <w:rFonts w:ascii="Times New Roman" w:eastAsia="Times New Roman" w:hAnsi="Times New Roman" w:cs="Times New Roman"/>
          <w:sz w:val="24"/>
          <w:szCs w:val="24"/>
          <w:lang w:eastAsia="en-GB"/>
        </w:rPr>
        <w:t xml:space="preserve">al since the time of Prophet Muhammed, there are clear referrals in the holy Quran to worldly matters, such as the forbidding of interest on loans; instructions on business partnerships; penal laws, and even international relations, which highlights the extent to which Islam very much deals with worldly affairs. Therefore, this essay will examine the notion that the authority of the Prophet Muhammed is only limited to doctrinal affairs, and will present the argument for and against this, with an emphasis on some examples from the Quran and Hadith that suggest that worldly matters are an essential component of prophethood.        </w:t>
      </w:r>
    </w:p>
    <w:p w14:paraId="5592198D" w14:textId="77777777" w:rsidR="00B83AB6" w:rsidRDefault="00B83AB6" w:rsidP="00B83AB6">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Prophet Muhammed was certainly concerned with matters of worship, and his role in doctrinal affairs is clear, especially as many of the instructions in the Quran were elaborated on by him, for example the prayer times. In the Quran it states: “Surely, the Salah is a timed obligation for the believers” (4:104), but it does not specify that the compulsory prayers should be performed five times a day or at what times- this was described by Prophet Muhammed. Furthermore, he has been reported to fast on a regular basis and stand for long hours praying at night, which highlights the spiritual element of his character. Having established his role in doctrinal affairs then, it is important to examine his contribution to worldly affairs.    </w:t>
      </w:r>
    </w:p>
    <w:p w14:paraId="60EB2411" w14:textId="77777777" w:rsidR="00B83AB6" w:rsidRDefault="00B83AB6" w:rsidP="00B83AB6">
      <w:pPr>
        <w:shd w:val="clear" w:color="auto" w:fill="FFFFFF"/>
        <w:spacing w:before="100" w:beforeAutospacing="1" w:after="100" w:afterAutospacing="1"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Several verses in the Quran mention the authority of Prophet Muhammed as a law maker. For example: “But no, by your Lord, they shall not be (deemed to be) believers unless they accept you as judge in their disputes, then find in their hearts no adverse feeling against what you decided, but surrender to it in complete submission” (4:65). This verse states that Prophet Muhammed has the role of judge in every day matters, and not only a worshipper. Even so, does this relate to judgements concerning worship, or every day matters? To analyse this, it is useful to examine the term hadith, which </w:t>
      </w:r>
      <w:proofErr w:type="spellStart"/>
      <w:r>
        <w:rPr>
          <w:rFonts w:ascii="Times New Roman" w:eastAsia="Times New Roman" w:hAnsi="Times New Roman" w:cs="Times New Roman"/>
          <w:sz w:val="24"/>
          <w:szCs w:val="24"/>
          <w:lang w:eastAsia="en-GB"/>
        </w:rPr>
        <w:t>Azami</w:t>
      </w:r>
      <w:proofErr w:type="spellEnd"/>
      <w:r>
        <w:rPr>
          <w:rFonts w:ascii="Times New Roman" w:eastAsia="Times New Roman" w:hAnsi="Times New Roman" w:cs="Times New Roman"/>
          <w:sz w:val="24"/>
          <w:szCs w:val="24"/>
          <w:lang w:eastAsia="en-GB"/>
        </w:rPr>
        <w:t xml:space="preserve"> (1977 p.3) explains as follows:</w:t>
      </w:r>
      <w:r>
        <w:rPr>
          <w:rFonts w:ascii="Times New Roman" w:hAnsi="Times New Roman" w:cs="Times New Roman"/>
          <w:sz w:val="24"/>
          <w:szCs w:val="24"/>
          <w:shd w:val="clear" w:color="auto" w:fill="FFFFFF"/>
        </w:rPr>
        <w:t xml:space="preserve"> “what was transmitted on the authority of the Prophet, his deeds, sayings, tacit approval,” and also his appearance. This reveals that the hadith narrate what Prophet Muhammad spoke about and approved of, which considering the things that occurred during his prophethood, would have included various legal rulings. For example, A</w:t>
      </w:r>
      <w:r>
        <w:rPr>
          <w:rStyle w:val="body"/>
          <w:rFonts w:ascii="Times New Roman" w:hAnsi="Times New Roman" w:cs="Times New Roman"/>
          <w:sz w:val="24"/>
          <w:szCs w:val="24"/>
        </w:rPr>
        <w:t>isha related that the Prophet said: “Stave off the penalties from the Muslims as much as you can, and if any leeway is found then release the detainee. Truly it is preferable for the ruler to pardon mistakenly than to punish mistakenly”</w:t>
      </w:r>
      <w:r>
        <w:rPr>
          <w:rFonts w:ascii="Times New Roman" w:hAnsi="Times New Roman" w:cs="Times New Roman"/>
          <w:sz w:val="24"/>
          <w:szCs w:val="24"/>
        </w:rPr>
        <w:t xml:space="preserve"> (</w:t>
      </w:r>
      <w:proofErr w:type="spellStart"/>
      <w:r>
        <w:rPr>
          <w:rFonts w:ascii="Times New Roman" w:hAnsi="Times New Roman" w:cs="Times New Roman"/>
          <w:sz w:val="24"/>
          <w:szCs w:val="24"/>
        </w:rPr>
        <w:t>Tirmidhi</w:t>
      </w:r>
      <w:proofErr w:type="spellEnd"/>
      <w:r>
        <w:rPr>
          <w:rFonts w:ascii="Times New Roman" w:hAnsi="Times New Roman" w:cs="Times New Roman"/>
          <w:sz w:val="24"/>
          <w:szCs w:val="24"/>
        </w:rPr>
        <w:t xml:space="preserve">). This is advice aimed at judges and, therefore, clearly concerns an issue related to worldly affairs. In addition, </w:t>
      </w:r>
      <w:r>
        <w:rPr>
          <w:rFonts w:ascii="Times New Roman" w:eastAsia="Times New Roman" w:hAnsi="Times New Roman" w:cs="Times New Roman"/>
          <w:sz w:val="24"/>
          <w:szCs w:val="24"/>
          <w:lang w:eastAsia="en-GB"/>
        </w:rPr>
        <w:t>Al-</w:t>
      </w:r>
      <w:proofErr w:type="spellStart"/>
      <w:r>
        <w:rPr>
          <w:rFonts w:ascii="Times New Roman" w:eastAsia="Times New Roman" w:hAnsi="Times New Roman" w:cs="Times New Roman"/>
          <w:sz w:val="24"/>
          <w:szCs w:val="24"/>
          <w:lang w:eastAsia="en-GB"/>
        </w:rPr>
        <w:t>Shahri</w:t>
      </w:r>
      <w:proofErr w:type="spellEnd"/>
      <w:r>
        <w:rPr>
          <w:rFonts w:ascii="Times New Roman" w:eastAsia="Times New Roman" w:hAnsi="Times New Roman" w:cs="Times New Roman"/>
          <w:sz w:val="24"/>
          <w:szCs w:val="24"/>
          <w:lang w:eastAsia="en-GB"/>
        </w:rPr>
        <w:t xml:space="preserve"> (2016) sets out the various advices that Prophet Muhammed gave with regard to palliative care, including ways of coping and the use of medication. </w:t>
      </w:r>
    </w:p>
    <w:p w14:paraId="37D384F5" w14:textId="77777777" w:rsidR="00B83AB6" w:rsidRDefault="00B83AB6" w:rsidP="00B83AB6">
      <w:pPr>
        <w:spacing w:line="360" w:lineRule="auto"/>
        <w:rPr>
          <w:rFonts w:ascii="Times New Roman" w:hAnsi="Times New Roman" w:cs="Times New Roman"/>
          <w:sz w:val="24"/>
          <w:szCs w:val="24"/>
          <w:lang w:eastAsia="en-GB"/>
        </w:rPr>
      </w:pPr>
      <w:r>
        <w:rPr>
          <w:rFonts w:ascii="Times New Roman" w:hAnsi="Times New Roman" w:cs="Times New Roman"/>
          <w:sz w:val="24"/>
          <w:szCs w:val="24"/>
        </w:rPr>
        <w:t>A further point is the use of the word Sunnah, as this means “a way, course, rule, mode, or manner of acting or conduct of life” (</w:t>
      </w:r>
      <w:proofErr w:type="spellStart"/>
      <w:r>
        <w:rPr>
          <w:rFonts w:ascii="Times New Roman" w:hAnsi="Times New Roman" w:cs="Times New Roman"/>
          <w:sz w:val="24"/>
          <w:szCs w:val="24"/>
        </w:rPr>
        <w:t>Azami</w:t>
      </w:r>
      <w:proofErr w:type="spellEnd"/>
      <w:r>
        <w:rPr>
          <w:rFonts w:ascii="Times New Roman" w:hAnsi="Times New Roman" w:cs="Times New Roman"/>
          <w:sz w:val="24"/>
          <w:szCs w:val="24"/>
        </w:rPr>
        <w:t xml:space="preserve"> 1977 p.6). This reference to conduct and how to act is evidence that the Prophet was not only sent to give advice on matters of worship; after all, people do not spend their whole lives in worship, apart from a small number of extremely religious ascetics. Thus, </w:t>
      </w:r>
      <w:proofErr w:type="spellStart"/>
      <w:r>
        <w:rPr>
          <w:rFonts w:ascii="Times New Roman" w:hAnsi="Times New Roman" w:cs="Times New Roman"/>
          <w:sz w:val="24"/>
          <w:szCs w:val="24"/>
          <w:lang w:eastAsia="en-GB"/>
        </w:rPr>
        <w:t>Azami</w:t>
      </w:r>
      <w:proofErr w:type="spellEnd"/>
      <w:r>
        <w:rPr>
          <w:rFonts w:ascii="Times New Roman" w:hAnsi="Times New Roman" w:cs="Times New Roman"/>
          <w:sz w:val="24"/>
          <w:szCs w:val="24"/>
          <w:lang w:eastAsia="en-GB"/>
        </w:rPr>
        <w:t xml:space="preserve"> (1977 p.6) explains that it is incumbent on Muslims to obey Prophet Muhammad in their affairs. Furthermore, he (ibid p.8) explains that this even includes powers of legislation. </w:t>
      </w:r>
    </w:p>
    <w:p w14:paraId="48A06A3E" w14:textId="77777777" w:rsidR="00B83AB6" w:rsidRDefault="00B83AB6" w:rsidP="00B83AB6">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The authority of Prophet Muhammed is mentioned many times in the Quran, for example in Surah </w:t>
      </w:r>
      <w:proofErr w:type="spellStart"/>
      <w:r>
        <w:rPr>
          <w:rFonts w:ascii="Times New Roman" w:hAnsi="Times New Roman" w:cs="Times New Roman"/>
          <w:sz w:val="24"/>
          <w:szCs w:val="24"/>
        </w:rPr>
        <w:t>Nahl</w:t>
      </w:r>
      <w:proofErr w:type="spellEnd"/>
      <w:r>
        <w:rPr>
          <w:rFonts w:ascii="Times New Roman" w:hAnsi="Times New Roman" w:cs="Times New Roman"/>
          <w:sz w:val="24"/>
          <w:szCs w:val="24"/>
        </w:rPr>
        <w:t xml:space="preserve"> verse 44: “And We have also sent down unto you (O </w:t>
      </w:r>
      <w:proofErr w:type="gramStart"/>
      <w:r>
        <w:rPr>
          <w:rFonts w:ascii="Times New Roman" w:hAnsi="Times New Roman" w:cs="Times New Roman"/>
          <w:sz w:val="24"/>
          <w:szCs w:val="24"/>
        </w:rPr>
        <w:t>Muhammad )</w:t>
      </w:r>
      <w:proofErr w:type="gramEnd"/>
      <w:r>
        <w:rPr>
          <w:rFonts w:ascii="Times New Roman" w:hAnsi="Times New Roman" w:cs="Times New Roman"/>
          <w:sz w:val="24"/>
          <w:szCs w:val="24"/>
        </w:rPr>
        <w:t xml:space="preserve"> the reminder and the advice (the Qur'an), that you may explain clearly to men what is sent down to them, and that they may give thought.” And Surah </w:t>
      </w:r>
      <w:proofErr w:type="spellStart"/>
      <w:r>
        <w:rPr>
          <w:rFonts w:ascii="Times New Roman" w:hAnsi="Times New Roman" w:cs="Times New Roman"/>
          <w:sz w:val="24"/>
          <w:szCs w:val="24"/>
        </w:rPr>
        <w:t>Nisa</w:t>
      </w:r>
      <w:proofErr w:type="spellEnd"/>
      <w:r>
        <w:rPr>
          <w:rFonts w:ascii="Times New Roman" w:hAnsi="Times New Roman" w:cs="Times New Roman"/>
          <w:sz w:val="24"/>
          <w:szCs w:val="24"/>
        </w:rPr>
        <w:t xml:space="preserve"> verse 59: “</w:t>
      </w:r>
      <w:r>
        <w:rPr>
          <w:rFonts w:ascii="Times New Roman" w:eastAsia="Times New Roman" w:hAnsi="Times New Roman" w:cs="Times New Roman"/>
          <w:sz w:val="24"/>
          <w:szCs w:val="24"/>
          <w:lang w:eastAsia="en-GB"/>
        </w:rPr>
        <w:t xml:space="preserve">O you who have believed, obey Allah and obey the Messenger and those in authority among you. And if you disagree over anything, refer it to Allah and the Messenger, if you should believe in Allah and the Last Day. That is the best [way] and best in result.” These verses suggest authority in the worldly sense- not only with regard to religion. </w:t>
      </w:r>
    </w:p>
    <w:p w14:paraId="4D18B20D" w14:textId="77777777" w:rsidR="00B83AB6" w:rsidRDefault="00B83AB6" w:rsidP="00B83AB6">
      <w:pPr>
        <w:pStyle w:val="NormalWeb"/>
        <w:spacing w:line="360" w:lineRule="auto"/>
      </w:pPr>
      <w:r>
        <w:t>Regarding worldly matters, it is useful to look at what happened in the years immediately following Prophet Muhammed’s death, and whether the companions at that time considered his rulings in their daily lives. Firstly, it is clear that his companions were concerned with adhering to his Sunnah, for example Abu Huraira memorised 5374 hadith (Hasan 2011 p.69); in addition, the transmission of hadith (isnad) down the centuries has continued to be carefully assessed by Islamic scholars in order to check their authenticity (Shah 2009); for example, whether they are classed as genuine or weak (Hasan 2011 p.77).  Secondly, the early companions were concerned about living their lives according to the rulings of Prophet Muhammed. One example of this is when Umar ibn al-</w:t>
      </w:r>
      <w:proofErr w:type="spellStart"/>
      <w:r>
        <w:t>Khattaab</w:t>
      </w:r>
      <w:proofErr w:type="spellEnd"/>
      <w:r>
        <w:t xml:space="preserve"> forbade men giving too much in dowries, but when he descended from the </w:t>
      </w:r>
      <w:proofErr w:type="spellStart"/>
      <w:r>
        <w:t>mimbar</w:t>
      </w:r>
      <w:proofErr w:type="spellEnd"/>
      <w:r>
        <w:t xml:space="preserve">, a woman stopped him and corrected him, and he changed this ruling (Jawad 1998 p. 108). This highlights how Islam does not only focus on doctrinal affairs, but also worldly affairs such as marriage. </w:t>
      </w:r>
    </w:p>
    <w:p w14:paraId="47737B48" w14:textId="77777777" w:rsidR="00B83AB6" w:rsidRDefault="00B83AB6" w:rsidP="00B83AB6">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Therefore, while Prophet Muhammed acted as an example and gave advice on doctrinal affairs and matters of worship, there is clear evidence that he gave advice on a wide range of worldly matters, from the marriage dowry to how judges should treat the accused; furthermore, this is confirmed in many verses in the Quran. Moreover, the concern of Muslims regarding adhering to the </w:t>
      </w:r>
      <w:proofErr w:type="spellStart"/>
      <w:r>
        <w:rPr>
          <w:rFonts w:ascii="Times New Roman" w:hAnsi="Times New Roman" w:cs="Times New Roman"/>
          <w:sz w:val="24"/>
          <w:szCs w:val="24"/>
          <w:shd w:val="clear" w:color="auto" w:fill="FFFFFF"/>
        </w:rPr>
        <w:t>Fiqh</w:t>
      </w:r>
      <w:proofErr w:type="spellEnd"/>
      <w:r>
        <w:rPr>
          <w:rFonts w:ascii="Times New Roman" w:hAnsi="Times New Roman" w:cs="Times New Roman"/>
          <w:sz w:val="24"/>
          <w:szCs w:val="24"/>
          <w:shd w:val="clear" w:color="auto" w:fill="FFFFFF"/>
        </w:rPr>
        <w:t xml:space="preserve"> (rulings) and Sunnah in their daily lives, such as assessing whether something is halal or haram, also gives weight to the argument that Islam covers both doctrinal and worldly affairs.      </w:t>
      </w:r>
    </w:p>
    <w:p w14:paraId="55CB6AE0" w14:textId="77777777" w:rsidR="00B83AB6" w:rsidRDefault="00B83AB6" w:rsidP="00B83AB6">
      <w:pPr>
        <w:spacing w:line="360" w:lineRule="auto"/>
        <w:rPr>
          <w:rFonts w:ascii="Times New Roman" w:hAnsi="Times New Roman" w:cs="Times New Roman"/>
          <w:b/>
          <w:sz w:val="24"/>
          <w:szCs w:val="24"/>
          <w:lang w:eastAsia="en-GB"/>
        </w:rPr>
      </w:pPr>
    </w:p>
    <w:p w14:paraId="16C9030D" w14:textId="11070805" w:rsidR="00B83AB6" w:rsidRDefault="00B83AB6" w:rsidP="00B83AB6">
      <w:pPr>
        <w:spacing w:line="360" w:lineRule="auto"/>
        <w:rPr>
          <w:rFonts w:ascii="Times New Roman" w:hAnsi="Times New Roman" w:cs="Times New Roman"/>
          <w:b/>
          <w:sz w:val="24"/>
          <w:szCs w:val="24"/>
          <w:lang w:eastAsia="en-GB"/>
        </w:rPr>
      </w:pPr>
      <w:r>
        <w:rPr>
          <w:rFonts w:ascii="Times New Roman" w:hAnsi="Times New Roman" w:cs="Times New Roman"/>
          <w:b/>
          <w:sz w:val="24"/>
          <w:szCs w:val="24"/>
          <w:lang w:eastAsia="en-GB"/>
        </w:rPr>
        <w:t xml:space="preserve">References </w:t>
      </w:r>
    </w:p>
    <w:p w14:paraId="3886C930" w14:textId="77777777" w:rsidR="00B83AB6" w:rsidRPr="00B83AB6" w:rsidRDefault="00B83AB6" w:rsidP="00B83AB6">
      <w:pPr>
        <w:pStyle w:val="NoSpacing"/>
        <w:spacing w:line="276" w:lineRule="auto"/>
        <w:rPr>
          <w:rFonts w:asciiTheme="majorBidi" w:hAnsiTheme="majorBidi" w:cstheme="majorBidi"/>
          <w:sz w:val="24"/>
          <w:szCs w:val="24"/>
          <w:lang w:eastAsia="en-GB"/>
        </w:rPr>
      </w:pPr>
      <w:r w:rsidRPr="00B83AB6">
        <w:rPr>
          <w:rFonts w:asciiTheme="majorBidi" w:hAnsiTheme="majorBidi" w:cstheme="majorBidi"/>
          <w:sz w:val="24"/>
          <w:szCs w:val="24"/>
          <w:lang w:eastAsia="en-GB"/>
        </w:rPr>
        <w:t>Al-</w:t>
      </w:r>
      <w:proofErr w:type="spellStart"/>
      <w:r w:rsidRPr="00B83AB6">
        <w:rPr>
          <w:rFonts w:asciiTheme="majorBidi" w:hAnsiTheme="majorBidi" w:cstheme="majorBidi"/>
          <w:sz w:val="24"/>
          <w:szCs w:val="24"/>
          <w:lang w:eastAsia="en-GB"/>
        </w:rPr>
        <w:t>Shahri</w:t>
      </w:r>
      <w:proofErr w:type="spellEnd"/>
      <w:r w:rsidRPr="00B83AB6">
        <w:rPr>
          <w:rFonts w:asciiTheme="majorBidi" w:hAnsiTheme="majorBidi" w:cstheme="majorBidi"/>
          <w:sz w:val="24"/>
          <w:szCs w:val="24"/>
          <w:lang w:eastAsia="en-GB"/>
        </w:rPr>
        <w:t xml:space="preserve">, M.Z. (2016) Islamic theology and the principles of palliative care. </w:t>
      </w:r>
      <w:r w:rsidRPr="00B83AB6">
        <w:rPr>
          <w:rFonts w:asciiTheme="majorBidi" w:hAnsiTheme="majorBidi" w:cstheme="majorBidi"/>
          <w:i/>
          <w:iCs/>
          <w:sz w:val="24"/>
          <w:szCs w:val="24"/>
          <w:lang w:eastAsia="en-GB"/>
        </w:rPr>
        <w:t>Palliative &amp; supportive care</w:t>
      </w:r>
      <w:r w:rsidRPr="00B83AB6">
        <w:rPr>
          <w:rFonts w:asciiTheme="majorBidi" w:hAnsiTheme="majorBidi" w:cstheme="majorBidi"/>
          <w:sz w:val="24"/>
          <w:szCs w:val="24"/>
          <w:lang w:eastAsia="en-GB"/>
        </w:rPr>
        <w:t xml:space="preserve">, </w:t>
      </w:r>
      <w:r w:rsidRPr="00B83AB6">
        <w:rPr>
          <w:rFonts w:asciiTheme="majorBidi" w:hAnsiTheme="majorBidi" w:cstheme="majorBidi"/>
          <w:i/>
          <w:iCs/>
          <w:sz w:val="24"/>
          <w:szCs w:val="24"/>
          <w:lang w:eastAsia="en-GB"/>
        </w:rPr>
        <w:t>14</w:t>
      </w:r>
      <w:r w:rsidRPr="00B83AB6">
        <w:rPr>
          <w:rFonts w:asciiTheme="majorBidi" w:hAnsiTheme="majorBidi" w:cstheme="majorBidi"/>
          <w:sz w:val="24"/>
          <w:szCs w:val="24"/>
          <w:lang w:eastAsia="en-GB"/>
        </w:rPr>
        <w:t>(6), pp.635-640.</w:t>
      </w:r>
    </w:p>
    <w:p w14:paraId="25E10A82" w14:textId="77777777" w:rsidR="00B83AB6" w:rsidRPr="00B83AB6" w:rsidRDefault="00B83AB6" w:rsidP="00B83AB6">
      <w:pPr>
        <w:pStyle w:val="NoSpacing"/>
        <w:spacing w:line="276" w:lineRule="auto"/>
        <w:rPr>
          <w:rFonts w:asciiTheme="majorBidi" w:hAnsiTheme="majorBidi" w:cstheme="majorBidi"/>
          <w:sz w:val="24"/>
          <w:szCs w:val="24"/>
          <w:lang w:eastAsia="en-GB"/>
        </w:rPr>
      </w:pPr>
      <w:proofErr w:type="spellStart"/>
      <w:r w:rsidRPr="00B83AB6">
        <w:rPr>
          <w:rFonts w:asciiTheme="majorBidi" w:hAnsiTheme="majorBidi" w:cstheme="majorBidi"/>
          <w:sz w:val="24"/>
          <w:szCs w:val="24"/>
          <w:lang w:eastAsia="en-GB"/>
        </w:rPr>
        <w:t>Aʻẓamī</w:t>
      </w:r>
      <w:proofErr w:type="spellEnd"/>
      <w:r w:rsidRPr="00B83AB6">
        <w:rPr>
          <w:rFonts w:asciiTheme="majorBidi" w:hAnsiTheme="majorBidi" w:cstheme="majorBidi"/>
          <w:sz w:val="24"/>
          <w:szCs w:val="24"/>
          <w:lang w:eastAsia="en-GB"/>
        </w:rPr>
        <w:t xml:space="preserve">, M.M. (1977) </w:t>
      </w:r>
      <w:r w:rsidRPr="00B83AB6">
        <w:rPr>
          <w:rFonts w:asciiTheme="majorBidi" w:hAnsiTheme="majorBidi" w:cstheme="majorBidi"/>
          <w:i/>
          <w:iCs/>
          <w:sz w:val="24"/>
          <w:szCs w:val="24"/>
          <w:lang w:eastAsia="en-GB"/>
        </w:rPr>
        <w:t xml:space="preserve">Studies in </w:t>
      </w:r>
      <w:proofErr w:type="spellStart"/>
      <w:r w:rsidRPr="00B83AB6">
        <w:rPr>
          <w:rFonts w:asciiTheme="majorBidi" w:hAnsiTheme="majorBidi" w:cstheme="majorBidi"/>
          <w:i/>
          <w:iCs/>
          <w:sz w:val="24"/>
          <w:szCs w:val="24"/>
          <w:lang w:eastAsia="en-GB"/>
        </w:rPr>
        <w:t>Hadīth</w:t>
      </w:r>
      <w:proofErr w:type="spellEnd"/>
      <w:r w:rsidRPr="00B83AB6">
        <w:rPr>
          <w:rFonts w:asciiTheme="majorBidi" w:hAnsiTheme="majorBidi" w:cstheme="majorBidi"/>
          <w:i/>
          <w:iCs/>
          <w:sz w:val="24"/>
          <w:szCs w:val="24"/>
          <w:lang w:eastAsia="en-GB"/>
        </w:rPr>
        <w:t xml:space="preserve"> Methodology and Literature</w:t>
      </w:r>
      <w:r w:rsidRPr="00B83AB6">
        <w:rPr>
          <w:rFonts w:asciiTheme="majorBidi" w:hAnsiTheme="majorBidi" w:cstheme="majorBidi"/>
          <w:sz w:val="24"/>
          <w:szCs w:val="24"/>
          <w:lang w:eastAsia="en-GB"/>
        </w:rPr>
        <w:t xml:space="preserve"> </w:t>
      </w:r>
      <w:proofErr w:type="gramStart"/>
      <w:r w:rsidRPr="00B83AB6">
        <w:rPr>
          <w:rFonts w:asciiTheme="majorBidi" w:hAnsiTheme="majorBidi" w:cstheme="majorBidi"/>
          <w:sz w:val="24"/>
          <w:szCs w:val="24"/>
          <w:lang w:eastAsia="en-GB"/>
        </w:rPr>
        <w:t>The</w:t>
      </w:r>
      <w:proofErr w:type="gramEnd"/>
      <w:r w:rsidRPr="00B83AB6">
        <w:rPr>
          <w:rFonts w:asciiTheme="majorBidi" w:hAnsiTheme="majorBidi" w:cstheme="majorBidi"/>
          <w:sz w:val="24"/>
          <w:szCs w:val="24"/>
          <w:lang w:eastAsia="en-GB"/>
        </w:rPr>
        <w:t xml:space="preserve"> Other Press New York</w:t>
      </w:r>
    </w:p>
    <w:p w14:paraId="455CEF6C" w14:textId="77777777" w:rsidR="00B83AB6" w:rsidRPr="00B83AB6" w:rsidRDefault="00B83AB6" w:rsidP="00B83AB6">
      <w:pPr>
        <w:pStyle w:val="NoSpacing"/>
        <w:spacing w:line="276" w:lineRule="auto"/>
        <w:rPr>
          <w:rFonts w:asciiTheme="majorBidi" w:hAnsiTheme="majorBidi" w:cstheme="majorBidi"/>
          <w:sz w:val="24"/>
          <w:szCs w:val="24"/>
          <w:lang w:eastAsia="en-GB"/>
        </w:rPr>
      </w:pPr>
      <w:r w:rsidRPr="00B83AB6">
        <w:rPr>
          <w:rFonts w:asciiTheme="majorBidi" w:hAnsiTheme="majorBidi" w:cstheme="majorBidi"/>
          <w:color w:val="222222"/>
          <w:sz w:val="24"/>
          <w:szCs w:val="24"/>
          <w:shd w:val="clear" w:color="auto" w:fill="FFFFFF"/>
        </w:rPr>
        <w:t>Hasan, I. (2011) </w:t>
      </w:r>
      <w:r w:rsidRPr="00B83AB6">
        <w:rPr>
          <w:rFonts w:asciiTheme="majorBidi" w:hAnsiTheme="majorBidi" w:cstheme="majorBidi"/>
          <w:i/>
          <w:iCs/>
          <w:color w:val="222222"/>
          <w:sz w:val="24"/>
          <w:szCs w:val="24"/>
          <w:shd w:val="clear" w:color="auto" w:fill="FFFFFF"/>
        </w:rPr>
        <w:t>The Conflict Within Islam: Expressing Religion Through Politics</w:t>
      </w:r>
      <w:r w:rsidRPr="00B83AB6">
        <w:rPr>
          <w:rFonts w:asciiTheme="majorBidi" w:hAnsiTheme="majorBidi" w:cstheme="majorBidi"/>
          <w:color w:val="222222"/>
          <w:sz w:val="24"/>
          <w:szCs w:val="24"/>
          <w:shd w:val="clear" w:color="auto" w:fill="FFFFFF"/>
        </w:rPr>
        <w:t xml:space="preserve"> </w:t>
      </w:r>
      <w:proofErr w:type="spellStart"/>
      <w:r w:rsidRPr="00B83AB6">
        <w:rPr>
          <w:rFonts w:asciiTheme="majorBidi" w:hAnsiTheme="majorBidi" w:cstheme="majorBidi"/>
          <w:color w:val="222222"/>
          <w:sz w:val="24"/>
          <w:szCs w:val="24"/>
          <w:shd w:val="clear" w:color="auto" w:fill="FFFFFF"/>
        </w:rPr>
        <w:t>Iuniverse</w:t>
      </w:r>
      <w:proofErr w:type="spellEnd"/>
      <w:r w:rsidRPr="00B83AB6">
        <w:rPr>
          <w:rFonts w:asciiTheme="majorBidi" w:hAnsiTheme="majorBidi" w:cstheme="majorBidi"/>
          <w:color w:val="222222"/>
          <w:sz w:val="24"/>
          <w:szCs w:val="24"/>
          <w:shd w:val="clear" w:color="auto" w:fill="FFFFFF"/>
        </w:rPr>
        <w:t xml:space="preserve"> Indiana</w:t>
      </w:r>
    </w:p>
    <w:p w14:paraId="1959E60B" w14:textId="77777777" w:rsidR="00B83AB6" w:rsidRPr="00B83AB6" w:rsidRDefault="00B83AB6" w:rsidP="00B83AB6">
      <w:pPr>
        <w:pStyle w:val="NoSpacing"/>
        <w:spacing w:line="276" w:lineRule="auto"/>
        <w:rPr>
          <w:rFonts w:asciiTheme="majorBidi" w:hAnsiTheme="majorBidi" w:cstheme="majorBidi"/>
          <w:sz w:val="24"/>
          <w:szCs w:val="24"/>
          <w:lang w:eastAsia="en-GB"/>
        </w:rPr>
      </w:pPr>
      <w:r w:rsidRPr="00B83AB6">
        <w:rPr>
          <w:rFonts w:asciiTheme="majorBidi" w:hAnsiTheme="majorBidi" w:cstheme="majorBidi"/>
          <w:color w:val="222222"/>
          <w:sz w:val="24"/>
          <w:szCs w:val="24"/>
          <w:shd w:val="clear" w:color="auto" w:fill="FFFFFF"/>
        </w:rPr>
        <w:t>Jawad, H. (1998) </w:t>
      </w:r>
      <w:r w:rsidRPr="00B83AB6">
        <w:rPr>
          <w:rFonts w:asciiTheme="majorBidi" w:hAnsiTheme="majorBidi" w:cstheme="majorBidi"/>
          <w:i/>
          <w:iCs/>
          <w:color w:val="222222"/>
          <w:sz w:val="24"/>
          <w:szCs w:val="24"/>
          <w:shd w:val="clear" w:color="auto" w:fill="FFFFFF"/>
        </w:rPr>
        <w:t>The rights of women in Islam: An authentic approach</w:t>
      </w:r>
      <w:r w:rsidRPr="00B83AB6">
        <w:rPr>
          <w:rFonts w:asciiTheme="majorBidi" w:hAnsiTheme="majorBidi" w:cstheme="majorBidi"/>
          <w:color w:val="222222"/>
          <w:sz w:val="24"/>
          <w:szCs w:val="24"/>
          <w:shd w:val="clear" w:color="auto" w:fill="FFFFFF"/>
        </w:rPr>
        <w:t>. Springer Berlin</w:t>
      </w:r>
    </w:p>
    <w:p w14:paraId="28DAE560" w14:textId="77777777" w:rsidR="00B83AB6" w:rsidRPr="00B83AB6" w:rsidRDefault="00B83AB6" w:rsidP="00B83AB6">
      <w:pPr>
        <w:pStyle w:val="NoSpacing"/>
        <w:spacing w:line="276" w:lineRule="auto"/>
        <w:rPr>
          <w:rFonts w:asciiTheme="majorBidi" w:hAnsiTheme="majorBidi" w:cstheme="majorBidi"/>
          <w:sz w:val="24"/>
          <w:szCs w:val="24"/>
          <w:lang w:eastAsia="en-GB"/>
        </w:rPr>
      </w:pPr>
      <w:r w:rsidRPr="00B83AB6">
        <w:rPr>
          <w:rFonts w:asciiTheme="majorBidi" w:hAnsiTheme="majorBidi" w:cstheme="majorBidi"/>
          <w:sz w:val="24"/>
          <w:szCs w:val="24"/>
          <w:lang w:eastAsia="en-GB"/>
        </w:rPr>
        <w:t xml:space="preserve">Shah, M. (2009) </w:t>
      </w:r>
      <w:r w:rsidRPr="00B83AB6">
        <w:rPr>
          <w:rFonts w:asciiTheme="majorBidi" w:hAnsiTheme="majorBidi" w:cstheme="majorBidi"/>
          <w:i/>
          <w:sz w:val="24"/>
          <w:szCs w:val="24"/>
          <w:lang w:eastAsia="en-GB"/>
        </w:rPr>
        <w:t>The Hadith: Critical Concepts in Islamic Studies</w:t>
      </w:r>
      <w:r w:rsidRPr="00B83AB6">
        <w:rPr>
          <w:rFonts w:asciiTheme="majorBidi" w:hAnsiTheme="majorBidi" w:cstheme="majorBidi"/>
          <w:sz w:val="24"/>
          <w:szCs w:val="24"/>
          <w:lang w:eastAsia="en-GB"/>
        </w:rPr>
        <w:t xml:space="preserve"> Routledge London</w:t>
      </w:r>
    </w:p>
    <w:p w14:paraId="709E623F" w14:textId="77777777" w:rsidR="00B83AB6" w:rsidRPr="00B83AB6" w:rsidRDefault="00B83AB6" w:rsidP="00B83AB6">
      <w:pPr>
        <w:pStyle w:val="NoSpacing"/>
        <w:spacing w:line="276" w:lineRule="auto"/>
        <w:rPr>
          <w:rFonts w:asciiTheme="majorBidi" w:hAnsiTheme="majorBidi" w:cstheme="majorBidi"/>
          <w:sz w:val="24"/>
          <w:szCs w:val="24"/>
          <w:lang w:eastAsia="en-GB"/>
        </w:rPr>
      </w:pPr>
      <w:r w:rsidRPr="00B83AB6">
        <w:rPr>
          <w:rFonts w:asciiTheme="majorBidi" w:hAnsiTheme="majorBidi" w:cstheme="majorBidi"/>
          <w:sz w:val="24"/>
          <w:szCs w:val="24"/>
          <w:lang w:eastAsia="en-GB"/>
        </w:rPr>
        <w:t xml:space="preserve">The Holy Quran Sahih International </w:t>
      </w:r>
      <w:proofErr w:type="spellStart"/>
      <w:r w:rsidRPr="00B83AB6">
        <w:rPr>
          <w:rFonts w:asciiTheme="majorBidi" w:hAnsiTheme="majorBidi" w:cstheme="majorBidi"/>
          <w:sz w:val="24"/>
          <w:szCs w:val="24"/>
          <w:lang w:eastAsia="en-GB"/>
        </w:rPr>
        <w:t>A</w:t>
      </w:r>
      <w:r w:rsidRPr="00B83AB6">
        <w:rPr>
          <w:rFonts w:asciiTheme="majorBidi" w:hAnsiTheme="majorBidi" w:cstheme="majorBidi"/>
          <w:color w:val="333333"/>
          <w:sz w:val="24"/>
          <w:szCs w:val="24"/>
          <w:shd w:val="clear" w:color="auto" w:fill="FFFFFF"/>
        </w:rPr>
        <w:t>bulqasim</w:t>
      </w:r>
      <w:proofErr w:type="spellEnd"/>
      <w:r w:rsidRPr="00B83AB6">
        <w:rPr>
          <w:rFonts w:asciiTheme="majorBidi" w:hAnsiTheme="majorBidi" w:cstheme="majorBidi"/>
          <w:color w:val="333333"/>
          <w:sz w:val="24"/>
          <w:szCs w:val="24"/>
          <w:shd w:val="clear" w:color="auto" w:fill="FFFFFF"/>
        </w:rPr>
        <w:t xml:space="preserve"> Publishing Jeddah </w:t>
      </w:r>
    </w:p>
    <w:p w14:paraId="072C0AF1" w14:textId="77777777" w:rsidR="00B83AB6" w:rsidRPr="00B83AB6" w:rsidRDefault="00B83AB6" w:rsidP="00B83AB6">
      <w:pPr>
        <w:pStyle w:val="NoSpacing"/>
        <w:spacing w:line="276" w:lineRule="auto"/>
        <w:rPr>
          <w:rFonts w:asciiTheme="majorBidi" w:hAnsiTheme="majorBidi" w:cstheme="majorBidi"/>
          <w:sz w:val="24"/>
          <w:szCs w:val="24"/>
          <w:shd w:val="clear" w:color="auto" w:fill="FFFFFF"/>
        </w:rPr>
      </w:pPr>
      <w:proofErr w:type="spellStart"/>
      <w:r w:rsidRPr="00B83AB6">
        <w:rPr>
          <w:rStyle w:val="lineheight"/>
          <w:rFonts w:asciiTheme="majorBidi" w:hAnsiTheme="majorBidi" w:cstheme="majorBidi"/>
          <w:iCs/>
          <w:sz w:val="24"/>
          <w:szCs w:val="24"/>
        </w:rPr>
        <w:t>Tirmidhi</w:t>
      </w:r>
      <w:proofErr w:type="spellEnd"/>
      <w:r w:rsidRPr="00B83AB6">
        <w:rPr>
          <w:rStyle w:val="lineheight"/>
          <w:rFonts w:asciiTheme="majorBidi" w:hAnsiTheme="majorBidi" w:cstheme="majorBidi"/>
          <w:i/>
          <w:iCs/>
          <w:sz w:val="24"/>
          <w:szCs w:val="24"/>
        </w:rPr>
        <w:t xml:space="preserve"> </w:t>
      </w:r>
      <w:proofErr w:type="spellStart"/>
      <w:r w:rsidRPr="00B83AB6">
        <w:rPr>
          <w:rStyle w:val="lineheight"/>
          <w:rFonts w:asciiTheme="majorBidi" w:hAnsiTheme="majorBidi" w:cstheme="majorBidi"/>
          <w:i/>
          <w:iCs/>
          <w:sz w:val="24"/>
          <w:szCs w:val="24"/>
        </w:rPr>
        <w:t>Saheeh</w:t>
      </w:r>
      <w:proofErr w:type="spellEnd"/>
      <w:r w:rsidRPr="00B83AB6">
        <w:rPr>
          <w:rStyle w:val="lineheight"/>
          <w:rFonts w:asciiTheme="majorBidi" w:hAnsiTheme="majorBidi" w:cstheme="majorBidi"/>
          <w:i/>
          <w:iCs/>
          <w:sz w:val="24"/>
          <w:szCs w:val="24"/>
        </w:rPr>
        <w:t xml:space="preserve"> </w:t>
      </w:r>
      <w:proofErr w:type="spellStart"/>
      <w:r w:rsidRPr="00B83AB6">
        <w:rPr>
          <w:rStyle w:val="lineheight"/>
          <w:rFonts w:asciiTheme="majorBidi" w:hAnsiTheme="majorBidi" w:cstheme="majorBidi"/>
          <w:i/>
          <w:iCs/>
          <w:sz w:val="24"/>
          <w:szCs w:val="24"/>
        </w:rPr>
        <w:t>Sunan</w:t>
      </w:r>
      <w:proofErr w:type="spellEnd"/>
      <w:r w:rsidRPr="00B83AB6">
        <w:rPr>
          <w:rStyle w:val="lineheight"/>
          <w:rFonts w:asciiTheme="majorBidi" w:hAnsiTheme="majorBidi" w:cstheme="majorBidi"/>
          <w:i/>
          <w:iCs/>
          <w:sz w:val="24"/>
          <w:szCs w:val="24"/>
        </w:rPr>
        <w:t xml:space="preserve"> al-</w:t>
      </w:r>
      <w:proofErr w:type="spellStart"/>
      <w:r w:rsidRPr="00B83AB6">
        <w:rPr>
          <w:rStyle w:val="lineheight"/>
          <w:rFonts w:asciiTheme="majorBidi" w:hAnsiTheme="majorBidi" w:cstheme="majorBidi"/>
          <w:i/>
          <w:iCs/>
          <w:sz w:val="24"/>
          <w:szCs w:val="24"/>
        </w:rPr>
        <w:t>Tirmidhi</w:t>
      </w:r>
      <w:proofErr w:type="spellEnd"/>
    </w:p>
    <w:p w14:paraId="01575D75" w14:textId="77777777" w:rsidR="000752D9" w:rsidRPr="00567165" w:rsidRDefault="000752D9" w:rsidP="000752D9">
      <w:pPr>
        <w:spacing w:line="360" w:lineRule="auto"/>
        <w:rPr>
          <w:rFonts w:ascii="Times New Roman" w:hAnsi="Times New Roman" w:cs="Times New Roman"/>
          <w:sz w:val="24"/>
          <w:szCs w:val="24"/>
          <w:lang w:eastAsia="en-GB"/>
        </w:rPr>
      </w:pPr>
    </w:p>
    <w:p w14:paraId="0FA9067B" w14:textId="77777777" w:rsidR="000752D9" w:rsidRPr="00567165" w:rsidRDefault="000752D9" w:rsidP="000752D9">
      <w:pPr>
        <w:spacing w:line="360" w:lineRule="auto"/>
        <w:rPr>
          <w:rFonts w:ascii="Times New Roman" w:hAnsi="Times New Roman" w:cs="Times New Roman"/>
          <w:sz w:val="24"/>
          <w:szCs w:val="24"/>
          <w:shd w:val="clear" w:color="auto" w:fill="FFFFFF"/>
        </w:rPr>
      </w:pPr>
    </w:p>
    <w:p w14:paraId="626A6045" w14:textId="77777777" w:rsidR="0010002E" w:rsidRDefault="00B83AB6"/>
    <w:sectPr w:rsidR="001000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2D9"/>
    <w:rsid w:val="000752D9"/>
    <w:rsid w:val="00221C80"/>
    <w:rsid w:val="00505ED5"/>
    <w:rsid w:val="00B83A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EECBE"/>
  <w15:chartTrackingRefBased/>
  <w15:docId w15:val="{60449632-F4A7-47BE-9CB0-E9A3B6B13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52D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
    <w:name w:val="body"/>
    <w:basedOn w:val="DefaultParagraphFont"/>
    <w:rsid w:val="000752D9"/>
  </w:style>
  <w:style w:type="paragraph" w:styleId="NormalWeb">
    <w:name w:val="Normal (Web)"/>
    <w:basedOn w:val="Normal"/>
    <w:uiPriority w:val="99"/>
    <w:unhideWhenUsed/>
    <w:rsid w:val="000752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eheight">
    <w:name w:val="line_height"/>
    <w:basedOn w:val="DefaultParagraphFont"/>
    <w:rsid w:val="000752D9"/>
  </w:style>
  <w:style w:type="character" w:styleId="Hyperlink">
    <w:name w:val="Hyperlink"/>
    <w:basedOn w:val="DefaultParagraphFont"/>
    <w:uiPriority w:val="99"/>
    <w:semiHidden/>
    <w:unhideWhenUsed/>
    <w:rsid w:val="00B83AB6"/>
    <w:rPr>
      <w:color w:val="0563C1" w:themeColor="hyperlink"/>
      <w:u w:val="single"/>
    </w:rPr>
  </w:style>
  <w:style w:type="paragraph" w:styleId="NoSpacing">
    <w:name w:val="No Spacing"/>
    <w:uiPriority w:val="1"/>
    <w:qFormat/>
    <w:rsid w:val="00B83A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382778">
      <w:bodyDiv w:val="1"/>
      <w:marLeft w:val="0"/>
      <w:marRight w:val="0"/>
      <w:marTop w:val="0"/>
      <w:marBottom w:val="0"/>
      <w:divBdr>
        <w:top w:val="none" w:sz="0" w:space="0" w:color="auto"/>
        <w:left w:val="none" w:sz="0" w:space="0" w:color="auto"/>
        <w:bottom w:val="none" w:sz="0" w:space="0" w:color="auto"/>
        <w:right w:val="none" w:sz="0" w:space="0" w:color="auto"/>
      </w:divBdr>
    </w:div>
    <w:div w:id="199217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readislamicbooks.com/the-prophetic-authority-in-worldly-affai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1062</Words>
  <Characters>6060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Ali Al-khulaidy</dc:creator>
  <cp:keywords/>
  <dc:description/>
  <cp:lastModifiedBy>Ahmed Ali Al-khulaidy</cp:lastModifiedBy>
  <cp:revision>2</cp:revision>
  <dcterms:created xsi:type="dcterms:W3CDTF">2018-01-24T09:21:00Z</dcterms:created>
  <dcterms:modified xsi:type="dcterms:W3CDTF">2018-02-22T13:58:00Z</dcterms:modified>
</cp:coreProperties>
</file>