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DA010CF" wp14:paraId="609F4DF2" wp14:textId="7C2BC584">
      <w:pPr>
        <w:pStyle w:val="Normal"/>
        <w:spacing w:after="160" w:line="279" w:lineRule="auto"/>
        <w:jc w:val="right"/>
        <w:rPr>
          <w:rFonts w:ascii="Arial" w:hAnsi="Arial" w:eastAsia="Arial" w:cs="Arial"/>
          <w:b w:val="0"/>
          <w:bCs w:val="0"/>
          <w:i w:val="0"/>
          <w:iCs w:val="0"/>
          <w:caps w:val="0"/>
          <w:smallCaps w:val="0"/>
          <w:noProof w:val="0"/>
          <w:color w:val="000000" w:themeColor="text1" w:themeTint="FF" w:themeShade="FF"/>
          <w:sz w:val="40"/>
          <w:szCs w:val="40"/>
          <w:lang w:val="en-US"/>
        </w:rPr>
      </w:pPr>
      <w:r>
        <w:br w:type="page"/>
      </w:r>
      <w:r w:rsidRPr="7DA010CF" w:rsidR="3B59AFFE">
        <w:rPr>
          <w:rFonts w:ascii="Arial" w:hAnsi="Arial" w:eastAsia="Arial" w:cs="Arial"/>
          <w:b w:val="1"/>
          <w:bCs w:val="1"/>
          <w:i w:val="0"/>
          <w:iCs w:val="0"/>
          <w:caps w:val="0"/>
          <w:smallCaps w:val="0"/>
          <w:noProof w:val="0"/>
          <w:color w:val="000000" w:themeColor="text1" w:themeTint="FF" w:themeShade="FF"/>
          <w:sz w:val="40"/>
          <w:szCs w:val="40"/>
          <w:lang w:val="en-US"/>
        </w:rPr>
        <w:t>BA International Hotel Management</w:t>
      </w:r>
    </w:p>
    <w:p xmlns:wp14="http://schemas.microsoft.com/office/word/2010/wordml" w:rsidP="7DA010CF" wp14:paraId="677193EA" wp14:textId="32F393CA">
      <w:pPr>
        <w:spacing w:after="160" w:line="279" w:lineRule="auto"/>
        <w:jc w:val="right"/>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7DA010CF" wp14:paraId="7726E34C" wp14:textId="2694F8A1">
      <w:pPr>
        <w:spacing w:after="160" w:line="279" w:lineRule="auto"/>
        <w:jc w:val="right"/>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7DA010CF" wp14:paraId="27A10732" wp14:textId="228530F4">
      <w:pPr>
        <w:spacing w:before="0" w:beforeAutospacing="off" w:after="0" w:afterAutospacing="off"/>
        <w:jc w:val="right"/>
        <w:rPr>
          <w:rFonts w:ascii="Arial" w:hAnsi="Arial" w:eastAsia="Arial" w:cs="Arial"/>
          <w:b w:val="0"/>
          <w:bCs w:val="0"/>
          <w:i w:val="0"/>
          <w:iCs w:val="0"/>
          <w:caps w:val="0"/>
          <w:smallCaps w:val="0"/>
          <w:noProof w:val="0"/>
          <w:color w:val="000000" w:themeColor="text1" w:themeTint="FF" w:themeShade="FF"/>
          <w:sz w:val="36"/>
          <w:szCs w:val="36"/>
          <w:lang w:val="en-US"/>
        </w:rPr>
      </w:pPr>
      <w:r w:rsidRPr="7DA010CF" w:rsidR="3B59AFFE">
        <w:rPr>
          <w:rFonts w:ascii="Arial" w:hAnsi="Arial" w:eastAsia="Arial" w:cs="Arial"/>
          <w:b w:val="1"/>
          <w:bCs w:val="1"/>
          <w:i w:val="0"/>
          <w:iCs w:val="0"/>
          <w:caps w:val="0"/>
          <w:smallCaps w:val="0"/>
          <w:noProof w:val="0"/>
          <w:color w:val="000000" w:themeColor="text1" w:themeTint="FF" w:themeShade="FF"/>
          <w:sz w:val="36"/>
          <w:szCs w:val="36"/>
          <w:lang w:val="en-US"/>
        </w:rPr>
        <w:t xml:space="preserve">Business Report -Comparison of Two Hospitality </w:t>
      </w:r>
      <w:r w:rsidRPr="7DA010CF" w:rsidR="3B59AFFE">
        <w:rPr>
          <w:rFonts w:ascii="Arial" w:hAnsi="Arial" w:eastAsia="Arial" w:cs="Arial"/>
          <w:b w:val="1"/>
          <w:bCs w:val="1"/>
          <w:i w:val="0"/>
          <w:iCs w:val="0"/>
          <w:caps w:val="0"/>
          <w:smallCaps w:val="0"/>
          <w:noProof w:val="0"/>
          <w:color w:val="000000" w:themeColor="text1" w:themeTint="FF" w:themeShade="FF"/>
          <w:sz w:val="36"/>
          <w:szCs w:val="36"/>
          <w:lang w:val="en-US"/>
        </w:rPr>
        <w:t>Organizations</w:t>
      </w:r>
    </w:p>
    <w:p xmlns:wp14="http://schemas.microsoft.com/office/word/2010/wordml" w:rsidP="7DA010CF" wp14:paraId="4B0633FB" wp14:textId="76CD559F">
      <w:pPr>
        <w:spacing w:before="0" w:beforeAutospacing="off" w:after="0" w:afterAutospacing="off"/>
        <w:jc w:val="right"/>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7DA010CF" wp14:paraId="490F8FD0" wp14:textId="53A120CF">
      <w:pPr>
        <w:spacing w:before="0" w:beforeAutospacing="off" w:after="0" w:afterAutospacing="off"/>
        <w:jc w:val="right"/>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7DA010CF" wp14:paraId="435D02C0" wp14:textId="48E28DB2">
      <w:pPr>
        <w:spacing w:after="160" w:line="279" w:lineRule="auto"/>
        <w:jc w:val="right"/>
        <w:rPr>
          <w:rFonts w:ascii="Arial" w:hAnsi="Arial" w:eastAsia="Arial" w:cs="Arial"/>
          <w:b w:val="0"/>
          <w:bCs w:val="0"/>
          <w:i w:val="0"/>
          <w:iCs w:val="0"/>
          <w:caps w:val="0"/>
          <w:smallCaps w:val="0"/>
          <w:noProof w:val="0"/>
          <w:color w:val="000000" w:themeColor="text1" w:themeTint="FF" w:themeShade="FF"/>
          <w:sz w:val="40"/>
          <w:szCs w:val="40"/>
          <w:lang w:val="en-US"/>
        </w:rPr>
      </w:pPr>
      <w:r w:rsidRPr="7DA010CF" w:rsidR="3B59AFFE">
        <w:rPr>
          <w:rFonts w:ascii="Arial" w:hAnsi="Arial" w:eastAsia="Arial" w:cs="Arial"/>
          <w:b w:val="0"/>
          <w:bCs w:val="0"/>
          <w:i w:val="0"/>
          <w:iCs w:val="0"/>
          <w:caps w:val="0"/>
          <w:smallCaps w:val="0"/>
          <w:noProof w:val="0"/>
          <w:color w:val="000000" w:themeColor="text1" w:themeTint="FF" w:themeShade="FF"/>
          <w:sz w:val="40"/>
          <w:szCs w:val="40"/>
          <w:lang w:val="en-US"/>
        </w:rPr>
        <w:t>Student Name: Adriana-Isabela Trefas</w:t>
      </w:r>
    </w:p>
    <w:p xmlns:wp14="http://schemas.microsoft.com/office/word/2010/wordml" w:rsidP="7DA010CF" wp14:paraId="562204FA" wp14:textId="0CEB2EF1">
      <w:pPr>
        <w:spacing w:after="160" w:line="279" w:lineRule="auto"/>
        <w:jc w:val="right"/>
        <w:rPr>
          <w:rFonts w:ascii="Arial" w:hAnsi="Arial" w:eastAsia="Arial" w:cs="Arial"/>
          <w:b w:val="0"/>
          <w:bCs w:val="0"/>
          <w:i w:val="0"/>
          <w:iCs w:val="0"/>
          <w:caps w:val="0"/>
          <w:smallCaps w:val="0"/>
          <w:noProof w:val="0"/>
          <w:color w:val="000000" w:themeColor="text1" w:themeTint="FF" w:themeShade="FF"/>
          <w:sz w:val="40"/>
          <w:szCs w:val="40"/>
          <w:lang w:val="en-US"/>
        </w:rPr>
      </w:pPr>
      <w:r w:rsidRPr="7DA010CF" w:rsidR="3B59AFFE">
        <w:rPr>
          <w:rFonts w:ascii="Arial" w:hAnsi="Arial" w:eastAsia="Arial" w:cs="Arial"/>
          <w:b w:val="0"/>
          <w:bCs w:val="0"/>
          <w:i w:val="0"/>
          <w:iCs w:val="0"/>
          <w:caps w:val="0"/>
          <w:smallCaps w:val="0"/>
          <w:noProof w:val="0"/>
          <w:color w:val="000000" w:themeColor="text1" w:themeTint="FF" w:themeShade="FF"/>
          <w:sz w:val="40"/>
          <w:szCs w:val="40"/>
          <w:lang w:val="en-US"/>
        </w:rPr>
        <w:t>Student ID: 2242075</w:t>
      </w:r>
    </w:p>
    <w:p xmlns:wp14="http://schemas.microsoft.com/office/word/2010/wordml" w:rsidP="7DA010CF" wp14:paraId="2ABA52AE" wp14:textId="505D9332">
      <w:pPr>
        <w:spacing w:before="0" w:beforeAutospacing="off" w:after="0" w:afterAutospacing="off"/>
        <w:jc w:val="right"/>
        <w:rPr>
          <w:rFonts w:ascii="Arial" w:hAnsi="Arial" w:eastAsia="Arial" w:cs="Arial"/>
          <w:b w:val="0"/>
          <w:bCs w:val="0"/>
          <w:i w:val="0"/>
          <w:iCs w:val="0"/>
          <w:caps w:val="0"/>
          <w:smallCaps w:val="0"/>
          <w:noProof w:val="0"/>
          <w:color w:val="000000" w:themeColor="text1" w:themeTint="FF" w:themeShade="FF"/>
          <w:sz w:val="40"/>
          <w:szCs w:val="40"/>
          <w:lang w:val="en-US"/>
        </w:rPr>
      </w:pPr>
      <w:r w:rsidRPr="7DA010CF" w:rsidR="3B59AFFE">
        <w:rPr>
          <w:rFonts w:ascii="Arial" w:hAnsi="Arial" w:eastAsia="Arial" w:cs="Arial"/>
          <w:b w:val="0"/>
          <w:bCs w:val="0"/>
          <w:i w:val="0"/>
          <w:iCs w:val="0"/>
          <w:caps w:val="0"/>
          <w:smallCaps w:val="0"/>
          <w:noProof w:val="0"/>
          <w:color w:val="000000" w:themeColor="text1" w:themeTint="FF" w:themeShade="FF"/>
          <w:sz w:val="40"/>
          <w:szCs w:val="40"/>
          <w:lang w:val="en-US"/>
        </w:rPr>
        <w:t>BMIH5007- Financial Management for the Hotel Industry</w:t>
      </w:r>
    </w:p>
    <w:p xmlns:wp14="http://schemas.microsoft.com/office/word/2010/wordml" w:rsidP="7DA010CF" wp14:paraId="588DDA09" wp14:textId="296AA78C">
      <w:pPr>
        <w:spacing w:before="0" w:beforeAutospacing="off" w:after="0" w:afterAutospacing="off"/>
        <w:jc w:val="right"/>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7DA010CF" wp14:paraId="64A32C04" wp14:textId="6F3616ED">
      <w:pPr>
        <w:spacing w:after="160" w:line="279" w:lineRule="auto"/>
        <w:jc w:val="right"/>
        <w:rPr>
          <w:rFonts w:ascii="Arial" w:hAnsi="Arial" w:eastAsia="Arial" w:cs="Arial"/>
          <w:b w:val="0"/>
          <w:bCs w:val="0"/>
          <w:i w:val="0"/>
          <w:iCs w:val="0"/>
          <w:caps w:val="0"/>
          <w:smallCaps w:val="0"/>
          <w:noProof w:val="0"/>
          <w:color w:val="000000" w:themeColor="text1" w:themeTint="FF" w:themeShade="FF"/>
          <w:sz w:val="40"/>
          <w:szCs w:val="40"/>
          <w:lang w:val="en-US"/>
        </w:rPr>
      </w:pPr>
      <w:r w:rsidRPr="7DA010CF" w:rsidR="3B59AFFE">
        <w:rPr>
          <w:rFonts w:ascii="Arial" w:hAnsi="Arial" w:eastAsia="Arial" w:cs="Arial"/>
          <w:b w:val="1"/>
          <w:bCs w:val="1"/>
          <w:i w:val="0"/>
          <w:iCs w:val="0"/>
          <w:caps w:val="0"/>
          <w:smallCaps w:val="0"/>
          <w:noProof w:val="0"/>
          <w:color w:val="000000" w:themeColor="text1" w:themeTint="FF" w:themeShade="FF"/>
          <w:sz w:val="40"/>
          <w:szCs w:val="40"/>
          <w:lang w:val="en-US"/>
        </w:rPr>
        <w:t>LEVEL 5</w:t>
      </w:r>
    </w:p>
    <w:p xmlns:wp14="http://schemas.microsoft.com/office/word/2010/wordml" w:rsidP="7DA010CF" wp14:paraId="175EBA22" wp14:textId="28C386F1">
      <w:pPr>
        <w:spacing w:before="0" w:beforeAutospacing="off" w:after="0" w:afterAutospacing="off"/>
        <w:jc w:val="right"/>
        <w:rPr>
          <w:rFonts w:ascii="Arial" w:hAnsi="Arial" w:eastAsia="Arial" w:cs="Arial"/>
          <w:b w:val="0"/>
          <w:bCs w:val="0"/>
          <w:i w:val="0"/>
          <w:iCs w:val="0"/>
          <w:caps w:val="0"/>
          <w:smallCaps w:val="0"/>
          <w:noProof w:val="0"/>
          <w:color w:val="000000" w:themeColor="text1" w:themeTint="FF" w:themeShade="FF"/>
          <w:sz w:val="40"/>
          <w:szCs w:val="40"/>
          <w:lang w:val="en-US"/>
        </w:rPr>
      </w:pPr>
      <w:r w:rsidRPr="7DA010CF" w:rsidR="3B59AFFE">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US"/>
        </w:rPr>
        <w:t>Module Lead: Tristan Hawkins</w:t>
      </w:r>
    </w:p>
    <w:p xmlns:wp14="http://schemas.microsoft.com/office/word/2010/wordml" w:rsidP="7DA010CF" wp14:paraId="77B72D3A" wp14:textId="7E7EB802">
      <w:pPr>
        <w:spacing w:before="0" w:beforeAutospacing="off" w:after="0" w:afterAutospacing="off"/>
        <w:jc w:val="right"/>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US"/>
        </w:rPr>
      </w:pPr>
      <w:r w:rsidRPr="7DA010CF" w:rsidR="3170C764">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US"/>
        </w:rPr>
        <w:t>Word count: 2032</w:t>
      </w:r>
    </w:p>
    <w:p xmlns:wp14="http://schemas.microsoft.com/office/word/2010/wordml" wp14:paraId="7507B199" wp14:textId="0B4F4DC2">
      <w:r>
        <w:br w:type="page"/>
      </w:r>
    </w:p>
    <w:p xmlns:wp14="http://schemas.microsoft.com/office/word/2010/wordml" w:rsidP="7DA010CF" wp14:paraId="6711C35F" wp14:textId="3A4BFDD2">
      <w:pPr>
        <w:spacing w:line="360" w:lineRule="auto"/>
        <w:jc w:val="both"/>
        <w:rPr>
          <w:rFonts w:ascii="Arial" w:hAnsi="Arial" w:eastAsia="Arial" w:cs="Arial"/>
        </w:rPr>
      </w:pPr>
      <w:r w:rsidRPr="7DA010CF">
        <w:rPr>
          <w:rFonts w:ascii="Arial" w:hAnsi="Arial" w:eastAsia="Arial" w:cs="Arial"/>
        </w:rPr>
        <w:br w:type="page"/>
      </w:r>
      <w:r w:rsidRPr="7DA010CF" w:rsidR="04E5D9E6">
        <w:rPr>
          <w:rFonts w:ascii="Arial" w:hAnsi="Arial" w:eastAsia="Arial" w:cs="Arial"/>
        </w:rPr>
        <w:t xml:space="preserve">AI Statement – </w:t>
      </w:r>
      <w:r w:rsidRPr="7DA010CF" w:rsidR="027DBDAB">
        <w:rPr>
          <w:rFonts w:ascii="Arial" w:hAnsi="Arial" w:eastAsia="Arial" w:cs="Arial"/>
        </w:rPr>
        <w:t xml:space="preserve">I confirm that I have used AI </w:t>
      </w:r>
      <w:r w:rsidRPr="7DA010CF" w:rsidR="027DBDAB">
        <w:rPr>
          <w:rFonts w:ascii="Arial" w:hAnsi="Arial" w:eastAsia="Arial" w:cs="Arial"/>
        </w:rPr>
        <w:t>assistance</w:t>
      </w:r>
      <w:r w:rsidRPr="7DA010CF" w:rsidR="027DBDAB">
        <w:rPr>
          <w:rFonts w:ascii="Arial" w:hAnsi="Arial" w:eastAsia="Arial" w:cs="Arial"/>
        </w:rPr>
        <w:t xml:space="preserve"> (ChatGPT) to check my grammar, review my word usage, help create one bullet-point section from my original text</w:t>
      </w:r>
      <w:r w:rsidRPr="7DA010CF" w:rsidR="05E88411">
        <w:rPr>
          <w:rFonts w:ascii="Arial" w:hAnsi="Arial" w:eastAsia="Arial" w:cs="Arial"/>
        </w:rPr>
        <w:t xml:space="preserve"> and for putting my reference list in alphabetical order.</w:t>
      </w:r>
    </w:p>
    <w:p xmlns:wp14="http://schemas.microsoft.com/office/word/2010/wordml" w:rsidP="7DA010CF" wp14:paraId="6E794617" wp14:textId="25A56838">
      <w:pPr>
        <w:spacing w:line="360" w:lineRule="auto"/>
        <w:jc w:val="both"/>
      </w:pPr>
    </w:p>
    <w:p xmlns:wp14="http://schemas.microsoft.com/office/word/2010/wordml" w:rsidP="7DA010CF" wp14:paraId="2AA036D4" wp14:textId="53F43C8F">
      <w:pPr>
        <w:spacing w:line="360" w:lineRule="auto"/>
        <w:jc w:val="left"/>
        <w:rPr>
          <w:rFonts w:ascii="Arial" w:hAnsi="Arial" w:eastAsia="Arial" w:cs="Arial"/>
          <w:b w:val="1"/>
          <w:bCs w:val="1"/>
        </w:rPr>
      </w:pPr>
      <w:r w:rsidRPr="7DA010CF" w:rsidR="0DF16EC0">
        <w:rPr>
          <w:rFonts w:ascii="Arial" w:hAnsi="Arial" w:eastAsia="Arial" w:cs="Arial"/>
          <w:b w:val="1"/>
          <w:bCs w:val="1"/>
        </w:rPr>
        <w:t xml:space="preserve">Executive </w:t>
      </w:r>
      <w:r w:rsidRPr="7DA010CF" w:rsidR="0DF16EC0">
        <w:rPr>
          <w:rFonts w:ascii="Arial" w:hAnsi="Arial" w:eastAsia="Arial" w:cs="Arial"/>
          <w:b w:val="1"/>
          <w:bCs w:val="1"/>
        </w:rPr>
        <w:t>Summary</w:t>
      </w:r>
      <w:r w:rsidRPr="7DA010CF" w:rsidR="0DF16EC0">
        <w:rPr>
          <w:rFonts w:ascii="Arial" w:hAnsi="Arial" w:eastAsia="Arial" w:cs="Arial"/>
          <w:b w:val="1"/>
          <w:bCs w:val="1"/>
        </w:rPr>
        <w:t xml:space="preserve"> </w:t>
      </w:r>
    </w:p>
    <w:p xmlns:wp14="http://schemas.microsoft.com/office/word/2010/wordml" w:rsidP="7DA010CF" wp14:paraId="78985071" wp14:textId="27889743">
      <w:pPr>
        <w:pStyle w:val="Normal"/>
        <w:spacing w:line="360" w:lineRule="auto"/>
        <w:jc w:val="both"/>
        <w:rPr>
          <w:rFonts w:ascii="Arial" w:hAnsi="Arial" w:eastAsia="Arial" w:cs="Arial"/>
        </w:rPr>
      </w:pPr>
      <w:r w:rsidRPr="7DA010CF" w:rsidR="0DF16EC0">
        <w:rPr>
          <w:rFonts w:ascii="Arial" w:hAnsi="Arial" w:eastAsia="Arial" w:cs="Arial"/>
        </w:rPr>
        <w:t xml:space="preserve">This report will critically compare the </w:t>
      </w:r>
      <w:r w:rsidRPr="7DA010CF" w:rsidR="0DF16EC0">
        <w:rPr>
          <w:rFonts w:ascii="Arial" w:hAnsi="Arial" w:eastAsia="Arial" w:cs="Arial"/>
        </w:rPr>
        <w:t>financial management</w:t>
      </w:r>
      <w:r w:rsidRPr="7DA010CF" w:rsidR="0DF16EC0">
        <w:rPr>
          <w:rFonts w:ascii="Arial" w:hAnsi="Arial" w:eastAsia="Arial" w:cs="Arial"/>
        </w:rPr>
        <w:t xml:space="preserve"> strategies of Shangri-La Hotels and Premier Inn Hotels, focusing on key areas such as total revenue, market positioning, growth potential, and corporate social responsibility (CSR).</w:t>
      </w:r>
    </w:p>
    <w:p xmlns:wp14="http://schemas.microsoft.com/office/word/2010/wordml" w:rsidP="7DA010CF" wp14:paraId="102466AA" wp14:textId="66F9737F">
      <w:pPr>
        <w:pStyle w:val="Normal"/>
        <w:spacing w:line="360" w:lineRule="auto"/>
        <w:jc w:val="both"/>
        <w:rPr>
          <w:rFonts w:ascii="Arial" w:hAnsi="Arial" w:eastAsia="Arial" w:cs="Arial"/>
        </w:rPr>
      </w:pPr>
      <w:r w:rsidRPr="7DA010CF" w:rsidR="0D6E2888">
        <w:rPr>
          <w:rFonts w:ascii="Arial" w:hAnsi="Arial" w:eastAsia="Arial" w:cs="Arial"/>
        </w:rPr>
        <w:t>Shangri-La Hotels experienced significant fluctuations in revenue due to the COVID-19 pandemic but demonstrated resilience with a substantial recovery in 2023, driven by the return of international travel. The brand's strong positioning in the luxury market, commitment to sustainability, and strategic location choices have bolstered its growth. Conversely, Premier Inn has maintained robust revenue growth, particularly in the UK, where it benefits from high occupancy rates and effective commercial strategies. Its commitment to affordability, quality service, and sustainability initiatives enhances its market position.</w:t>
      </w:r>
    </w:p>
    <w:p xmlns:wp14="http://schemas.microsoft.com/office/word/2010/wordml" w:rsidP="7DA010CF" wp14:paraId="467C9512" wp14:textId="6EE759C7">
      <w:pPr>
        <w:pStyle w:val="Normal"/>
        <w:spacing w:line="360" w:lineRule="auto"/>
        <w:jc w:val="both"/>
      </w:pPr>
      <w:r w:rsidRPr="7DA010CF" w:rsidR="0D6E2888">
        <w:rPr>
          <w:rFonts w:ascii="Arial" w:hAnsi="Arial" w:eastAsia="Arial" w:cs="Arial"/>
        </w:rPr>
        <w:t xml:space="preserve">The analysis reveals that both organizations have distinct approaches to </w:t>
      </w:r>
      <w:r w:rsidRPr="7DA010CF" w:rsidR="0D6E2888">
        <w:rPr>
          <w:rFonts w:ascii="Arial" w:hAnsi="Arial" w:eastAsia="Arial" w:cs="Arial"/>
        </w:rPr>
        <w:t>financial management</w:t>
      </w:r>
      <w:r w:rsidRPr="7DA010CF" w:rsidR="0D6E2888">
        <w:rPr>
          <w:rFonts w:ascii="Arial" w:hAnsi="Arial" w:eastAsia="Arial" w:cs="Arial"/>
        </w:rPr>
        <w:t>, reflecting their target demographics and market segments. While Shangri-La focuses on luxury experiences and sustainability, Premier Inn emphasizes affordability and community engagement. This report concludes with targeted recommendations aimed at leveraging growth opportunities and enhancing financial performance for both hotel groups.</w:t>
      </w:r>
    </w:p>
    <w:p xmlns:wp14="http://schemas.microsoft.com/office/word/2010/wordml" w:rsidP="7DA010CF" wp14:paraId="05DD467C" wp14:textId="29F72813">
      <w:pPr>
        <w:pStyle w:val="Normal"/>
        <w:spacing w:line="360" w:lineRule="auto"/>
        <w:jc w:val="both"/>
        <w:rPr>
          <w:rFonts w:ascii="Arial" w:hAnsi="Arial" w:eastAsia="Arial" w:cs="Arial"/>
          <w:b w:val="1"/>
          <w:bCs w:val="1"/>
        </w:rPr>
      </w:pPr>
      <w:r w:rsidRPr="7DA010CF" w:rsidR="050F5FBC">
        <w:rPr>
          <w:rFonts w:ascii="Arial" w:hAnsi="Arial" w:eastAsia="Arial" w:cs="Arial"/>
          <w:b w:val="1"/>
          <w:bCs w:val="1"/>
        </w:rPr>
        <w:t xml:space="preserve">Table of Contents </w:t>
      </w:r>
    </w:p>
    <w:p xmlns:wp14="http://schemas.microsoft.com/office/word/2010/wordml" w:rsidP="7DA010CF" wp14:paraId="457F70DD" wp14:textId="715F4185">
      <w:pPr>
        <w:pStyle w:val="ListParagraph"/>
        <w:numPr>
          <w:ilvl w:val="0"/>
          <w:numId w:val="1"/>
        </w:numPr>
        <w:spacing w:line="360" w:lineRule="auto"/>
        <w:jc w:val="both"/>
        <w:rPr>
          <w:rFonts w:ascii="Arial" w:hAnsi="Arial" w:eastAsia="Arial" w:cs="Arial"/>
          <w:b w:val="1"/>
          <w:bCs w:val="1"/>
        </w:rPr>
      </w:pPr>
      <w:r w:rsidRPr="7DA010CF" w:rsidR="050F5FBC">
        <w:rPr>
          <w:rFonts w:ascii="Arial" w:hAnsi="Arial" w:eastAsia="Arial" w:cs="Arial"/>
          <w:b w:val="1"/>
          <w:bCs w:val="1"/>
        </w:rPr>
        <w:t xml:space="preserve">Introduction </w:t>
      </w:r>
    </w:p>
    <w:p xmlns:wp14="http://schemas.microsoft.com/office/word/2010/wordml" w:rsidP="7DA010CF" wp14:paraId="178C96E4" wp14:textId="67484759">
      <w:pPr>
        <w:pStyle w:val="ListParagraph"/>
        <w:numPr>
          <w:ilvl w:val="0"/>
          <w:numId w:val="1"/>
        </w:numPr>
        <w:spacing w:line="360" w:lineRule="auto"/>
        <w:jc w:val="both"/>
        <w:rPr>
          <w:rFonts w:ascii="Arial" w:hAnsi="Arial" w:eastAsia="Arial" w:cs="Arial"/>
        </w:rPr>
      </w:pPr>
      <w:r w:rsidRPr="7DA010CF" w:rsidR="050F5FBC">
        <w:rPr>
          <w:rFonts w:ascii="Arial" w:hAnsi="Arial" w:eastAsia="Arial" w:cs="Arial"/>
          <w:b w:val="1"/>
          <w:bCs w:val="1"/>
        </w:rPr>
        <w:t xml:space="preserve">Total Revenue Analysis </w:t>
      </w:r>
      <w:r>
        <w:br/>
      </w:r>
      <w:r w:rsidRPr="7DA010CF" w:rsidR="050F5FBC">
        <w:rPr>
          <w:rFonts w:ascii="Arial" w:hAnsi="Arial" w:eastAsia="Arial" w:cs="Arial"/>
        </w:rPr>
        <w:t xml:space="preserve">2.1 Shangri-La Revenue </w:t>
      </w:r>
      <w:r>
        <w:br/>
      </w:r>
      <w:r w:rsidRPr="7DA010CF" w:rsidR="050F5FBC">
        <w:rPr>
          <w:rFonts w:ascii="Arial" w:hAnsi="Arial" w:eastAsia="Arial" w:cs="Arial"/>
        </w:rPr>
        <w:t xml:space="preserve">2.2 Premier Inn Revenue </w:t>
      </w:r>
    </w:p>
    <w:p xmlns:wp14="http://schemas.microsoft.com/office/word/2010/wordml" w:rsidP="7DA010CF" wp14:paraId="30328AF5" wp14:textId="5C620A46">
      <w:pPr>
        <w:pStyle w:val="ListParagraph"/>
        <w:numPr>
          <w:ilvl w:val="0"/>
          <w:numId w:val="1"/>
        </w:numPr>
        <w:spacing w:line="360" w:lineRule="auto"/>
        <w:jc w:val="both"/>
        <w:rPr>
          <w:rFonts w:ascii="Arial" w:hAnsi="Arial" w:eastAsia="Arial" w:cs="Arial"/>
        </w:rPr>
      </w:pPr>
      <w:r w:rsidRPr="7DA010CF" w:rsidR="050F5FBC">
        <w:rPr>
          <w:rFonts w:ascii="Arial" w:hAnsi="Arial" w:eastAsia="Arial" w:cs="Arial"/>
          <w:b w:val="1"/>
          <w:bCs w:val="1"/>
        </w:rPr>
        <w:t xml:space="preserve">Market Positioning </w:t>
      </w:r>
      <w:r>
        <w:br/>
      </w:r>
      <w:r w:rsidRPr="7DA010CF" w:rsidR="050F5FBC">
        <w:rPr>
          <w:rFonts w:ascii="Arial" w:hAnsi="Arial" w:eastAsia="Arial" w:cs="Arial"/>
        </w:rPr>
        <w:t xml:space="preserve">3.1 Shangri-La Hotel </w:t>
      </w:r>
      <w:r>
        <w:br/>
      </w:r>
      <w:r w:rsidRPr="7DA010CF" w:rsidR="050F5FBC">
        <w:rPr>
          <w:rFonts w:ascii="Arial" w:hAnsi="Arial" w:eastAsia="Arial" w:cs="Arial"/>
        </w:rPr>
        <w:t xml:space="preserve">3.2 Premier Inn </w:t>
      </w:r>
    </w:p>
    <w:p xmlns:wp14="http://schemas.microsoft.com/office/word/2010/wordml" w:rsidP="7DA010CF" wp14:paraId="3AA3EF46" wp14:textId="03E77CD7">
      <w:pPr>
        <w:pStyle w:val="ListParagraph"/>
        <w:spacing w:line="360" w:lineRule="auto"/>
        <w:ind w:left="720"/>
        <w:jc w:val="both"/>
        <w:rPr>
          <w:rFonts w:ascii="Arial" w:hAnsi="Arial" w:eastAsia="Arial" w:cs="Arial"/>
        </w:rPr>
      </w:pPr>
      <w:r w:rsidRPr="7DA010CF" w:rsidR="6BDCF143">
        <w:rPr>
          <w:rFonts w:ascii="Arial" w:hAnsi="Arial" w:eastAsia="Arial" w:cs="Arial"/>
        </w:rPr>
        <w:t>3.3 Bowman’s Strategy Clock Application</w:t>
      </w:r>
    </w:p>
    <w:p xmlns:wp14="http://schemas.microsoft.com/office/word/2010/wordml" w:rsidP="7DA010CF" wp14:paraId="7C8550E4" wp14:textId="2CBF18B1">
      <w:pPr>
        <w:pStyle w:val="ListParagraph"/>
        <w:spacing w:line="360" w:lineRule="auto"/>
        <w:ind w:left="720"/>
        <w:jc w:val="both"/>
        <w:rPr>
          <w:rFonts w:ascii="Arial" w:hAnsi="Arial" w:eastAsia="Arial" w:cs="Arial"/>
        </w:rPr>
      </w:pPr>
      <w:r w:rsidRPr="7DA010CF" w:rsidR="6BDCF143">
        <w:rPr>
          <w:rFonts w:ascii="Arial" w:hAnsi="Arial" w:eastAsia="Arial" w:cs="Arial"/>
        </w:rPr>
        <w:t>3.4 Bowman’s Strategy</w:t>
      </w:r>
    </w:p>
    <w:p xmlns:wp14="http://schemas.microsoft.com/office/word/2010/wordml" w:rsidP="7DA010CF" wp14:paraId="68DBDDB9" wp14:textId="796B5B30">
      <w:pPr>
        <w:pStyle w:val="ListParagraph"/>
        <w:numPr>
          <w:ilvl w:val="0"/>
          <w:numId w:val="1"/>
        </w:numPr>
        <w:spacing w:line="360" w:lineRule="auto"/>
        <w:jc w:val="both"/>
        <w:rPr>
          <w:rFonts w:ascii="Arial" w:hAnsi="Arial" w:eastAsia="Arial" w:cs="Arial"/>
          <w:b w:val="1"/>
          <w:bCs w:val="1"/>
        </w:rPr>
      </w:pPr>
      <w:r w:rsidRPr="7DA010CF" w:rsidR="050F5FBC">
        <w:rPr>
          <w:rFonts w:ascii="Arial" w:hAnsi="Arial" w:eastAsia="Arial" w:cs="Arial"/>
          <w:b w:val="1"/>
          <w:bCs w:val="1"/>
        </w:rPr>
        <w:t xml:space="preserve">Growth Potential </w:t>
      </w:r>
    </w:p>
    <w:p xmlns:wp14="http://schemas.microsoft.com/office/word/2010/wordml" w:rsidP="7DA010CF" wp14:paraId="0AE9A571" wp14:textId="464DF803">
      <w:pPr>
        <w:pStyle w:val="ListParagraph"/>
        <w:numPr>
          <w:ilvl w:val="0"/>
          <w:numId w:val="1"/>
        </w:numPr>
        <w:spacing w:line="360" w:lineRule="auto"/>
        <w:jc w:val="both"/>
        <w:rPr>
          <w:rFonts w:ascii="Arial" w:hAnsi="Arial" w:eastAsia="Arial" w:cs="Arial"/>
          <w:b w:val="1"/>
          <w:bCs w:val="1"/>
        </w:rPr>
      </w:pPr>
      <w:r w:rsidRPr="7DA010CF" w:rsidR="050F5FBC">
        <w:rPr>
          <w:rFonts w:ascii="Arial" w:hAnsi="Arial" w:eastAsia="Arial" w:cs="Arial"/>
          <w:b w:val="1"/>
          <w:bCs w:val="1"/>
        </w:rPr>
        <w:t xml:space="preserve">Corporate Social Responsibility (CSR) </w:t>
      </w:r>
    </w:p>
    <w:p xmlns:wp14="http://schemas.microsoft.com/office/word/2010/wordml" w:rsidP="7DA010CF" wp14:paraId="4222F9F9" wp14:textId="1D1B7D3F">
      <w:pPr>
        <w:pStyle w:val="ListParagraph"/>
        <w:numPr>
          <w:ilvl w:val="0"/>
          <w:numId w:val="1"/>
        </w:numPr>
        <w:spacing w:line="360" w:lineRule="auto"/>
        <w:jc w:val="both"/>
        <w:rPr>
          <w:rFonts w:ascii="Arial" w:hAnsi="Arial" w:eastAsia="Arial" w:cs="Arial"/>
          <w:b w:val="1"/>
          <w:bCs w:val="1"/>
        </w:rPr>
      </w:pPr>
      <w:r w:rsidRPr="7DA010CF" w:rsidR="050F5FBC">
        <w:rPr>
          <w:rFonts w:ascii="Arial" w:hAnsi="Arial" w:eastAsia="Arial" w:cs="Arial"/>
          <w:b w:val="1"/>
          <w:bCs w:val="1"/>
        </w:rPr>
        <w:t xml:space="preserve">Conclusion </w:t>
      </w:r>
    </w:p>
    <w:p xmlns:wp14="http://schemas.microsoft.com/office/word/2010/wordml" w:rsidP="7DA010CF" wp14:paraId="1C708F1C" wp14:textId="42F21C1C">
      <w:pPr>
        <w:pStyle w:val="ListParagraph"/>
        <w:numPr>
          <w:ilvl w:val="0"/>
          <w:numId w:val="1"/>
        </w:numPr>
        <w:spacing w:line="360" w:lineRule="auto"/>
        <w:jc w:val="both"/>
        <w:rPr>
          <w:rFonts w:ascii="Arial" w:hAnsi="Arial" w:eastAsia="Arial" w:cs="Arial"/>
          <w:b w:val="1"/>
          <w:bCs w:val="1"/>
        </w:rPr>
      </w:pPr>
      <w:r w:rsidRPr="7DA010CF" w:rsidR="050F5FBC">
        <w:rPr>
          <w:rFonts w:ascii="Arial" w:hAnsi="Arial" w:eastAsia="Arial" w:cs="Arial"/>
          <w:b w:val="1"/>
          <w:bCs w:val="1"/>
        </w:rPr>
        <w:t>Recommendations</w:t>
      </w:r>
    </w:p>
    <w:p xmlns:wp14="http://schemas.microsoft.com/office/word/2010/wordml" w:rsidP="7DA010CF" wp14:paraId="3428138B" wp14:textId="28148D77">
      <w:pPr>
        <w:pStyle w:val="ListParagraph"/>
        <w:numPr>
          <w:ilvl w:val="0"/>
          <w:numId w:val="1"/>
        </w:numPr>
        <w:spacing w:line="360" w:lineRule="auto"/>
        <w:jc w:val="both"/>
        <w:rPr>
          <w:rFonts w:ascii="Arial" w:hAnsi="Arial" w:eastAsia="Arial" w:cs="Arial"/>
          <w:b w:val="1"/>
          <w:bCs w:val="1"/>
        </w:rPr>
      </w:pPr>
      <w:r w:rsidRPr="7DA010CF" w:rsidR="0F5159DC">
        <w:rPr>
          <w:rFonts w:ascii="Arial" w:hAnsi="Arial" w:eastAsia="Arial" w:cs="Arial"/>
          <w:b w:val="1"/>
          <w:bCs w:val="1"/>
        </w:rPr>
        <w:t>Reference List</w:t>
      </w:r>
    </w:p>
    <w:p xmlns:wp14="http://schemas.microsoft.com/office/word/2010/wordml" w:rsidP="7DA010CF" wp14:paraId="1D3D3120" wp14:textId="7C01B253">
      <w:pPr>
        <w:pStyle w:val="ListParagraph"/>
        <w:numPr>
          <w:ilvl w:val="0"/>
          <w:numId w:val="1"/>
        </w:numPr>
        <w:spacing w:line="360" w:lineRule="auto"/>
        <w:jc w:val="both"/>
        <w:rPr>
          <w:rFonts w:ascii="Arial" w:hAnsi="Arial" w:eastAsia="Arial" w:cs="Arial"/>
          <w:b w:val="1"/>
          <w:bCs w:val="1"/>
        </w:rPr>
      </w:pPr>
      <w:r w:rsidRPr="7DA010CF" w:rsidR="0F5159DC">
        <w:rPr>
          <w:rFonts w:ascii="Arial" w:hAnsi="Arial" w:eastAsia="Arial" w:cs="Arial"/>
          <w:b w:val="1"/>
          <w:bCs w:val="1"/>
        </w:rPr>
        <w:t>Appendices</w:t>
      </w:r>
    </w:p>
    <w:p xmlns:wp14="http://schemas.microsoft.com/office/word/2010/wordml" wp14:paraId="622B8BD9" wp14:textId="223BD153">
      <w:r>
        <w:br w:type="page"/>
      </w:r>
    </w:p>
    <w:p xmlns:wp14="http://schemas.microsoft.com/office/word/2010/wordml" w:rsidP="7DA010CF" wp14:paraId="11B89901" wp14:textId="1F4AD4FB">
      <w:pPr>
        <w:pStyle w:val="Normal"/>
        <w:spacing w:line="360" w:lineRule="auto"/>
        <w:ind w:left="0"/>
        <w:jc w:val="both"/>
        <w:rPr>
          <w:rFonts w:ascii="Arial" w:hAnsi="Arial" w:eastAsia="Arial" w:cs="Arial"/>
          <w:b w:val="1"/>
          <w:bCs w:val="1"/>
        </w:rPr>
      </w:pPr>
    </w:p>
    <w:p xmlns:wp14="http://schemas.microsoft.com/office/word/2010/wordml" w:rsidP="7DA010CF" wp14:paraId="20E9C2B1" wp14:textId="5AFD4280">
      <w:pPr>
        <w:pStyle w:val="ListParagraph"/>
        <w:numPr>
          <w:ilvl w:val="0"/>
          <w:numId w:val="2"/>
        </w:numPr>
        <w:spacing w:line="360" w:lineRule="auto"/>
        <w:jc w:val="both"/>
        <w:rPr>
          <w:rFonts w:ascii="Arial" w:hAnsi="Arial" w:eastAsia="Arial" w:cs="Arial"/>
          <w:b w:val="1"/>
          <w:bCs w:val="1"/>
        </w:rPr>
      </w:pPr>
      <w:r w:rsidRPr="7DA010CF" w:rsidR="7BC621FE">
        <w:rPr>
          <w:rFonts w:ascii="Arial" w:hAnsi="Arial" w:eastAsia="Arial" w:cs="Arial"/>
          <w:b w:val="1"/>
          <w:bCs w:val="1"/>
        </w:rPr>
        <w:t>Introduction</w:t>
      </w:r>
    </w:p>
    <w:p xmlns:wp14="http://schemas.microsoft.com/office/word/2010/wordml" w:rsidP="7DA010CF" wp14:paraId="5AF4820E" wp14:textId="41CCF9A6">
      <w:pPr>
        <w:pStyle w:val="Normal"/>
        <w:spacing w:line="360" w:lineRule="auto"/>
        <w:jc w:val="both"/>
        <w:rPr>
          <w:rFonts w:ascii="Arial" w:hAnsi="Arial" w:eastAsia="Arial" w:cs="Arial"/>
        </w:rPr>
      </w:pPr>
      <w:r w:rsidRPr="7DA010CF" w:rsidR="7BC621FE">
        <w:rPr>
          <w:rFonts w:ascii="Arial" w:hAnsi="Arial" w:eastAsia="Arial" w:cs="Arial"/>
        </w:rPr>
        <w:t xml:space="preserve">Understanding a business's financial structure is essential in finance. Investors provide equity funding, while borrowing creates liabilities, which are used to </w:t>
      </w:r>
      <w:r w:rsidRPr="7DA010CF" w:rsidR="7BC621FE">
        <w:rPr>
          <w:rFonts w:ascii="Arial" w:hAnsi="Arial" w:eastAsia="Arial" w:cs="Arial"/>
        </w:rPr>
        <w:t>acquire</w:t>
      </w:r>
      <w:r w:rsidRPr="7DA010CF" w:rsidR="7BC621FE">
        <w:rPr>
          <w:rFonts w:ascii="Arial" w:hAnsi="Arial" w:eastAsia="Arial" w:cs="Arial"/>
        </w:rPr>
        <w:t xml:space="preserve"> income-generating assets such as property and equipment. Management </w:t>
      </w:r>
      <w:r w:rsidRPr="7DA010CF" w:rsidR="7BC621FE">
        <w:rPr>
          <w:rFonts w:ascii="Arial" w:hAnsi="Arial" w:eastAsia="Arial" w:cs="Arial"/>
        </w:rPr>
        <w:t>leverages</w:t>
      </w:r>
      <w:r w:rsidRPr="7DA010CF" w:rsidR="7BC621FE">
        <w:rPr>
          <w:rFonts w:ascii="Arial" w:hAnsi="Arial" w:eastAsia="Arial" w:cs="Arial"/>
        </w:rPr>
        <w:t xml:space="preserve"> these resources to maximize revenue and control expenses, </w:t>
      </w:r>
      <w:r w:rsidRPr="7DA010CF" w:rsidR="7BC621FE">
        <w:rPr>
          <w:rFonts w:ascii="Arial" w:hAnsi="Arial" w:eastAsia="Arial" w:cs="Arial"/>
        </w:rPr>
        <w:t>ultimately increasing</w:t>
      </w:r>
      <w:r w:rsidRPr="7DA010CF" w:rsidR="7BC621FE">
        <w:rPr>
          <w:rFonts w:ascii="Arial" w:hAnsi="Arial" w:eastAsia="Arial" w:cs="Arial"/>
        </w:rPr>
        <w:t xml:space="preserve"> investors' equity through profit, the difference between income and expenses (</w:t>
      </w:r>
      <w:r w:rsidRPr="7DA010CF" w:rsidR="7BC621FE">
        <w:rPr>
          <w:rFonts w:ascii="Arial" w:hAnsi="Arial" w:eastAsia="Arial" w:cs="Arial"/>
        </w:rPr>
        <w:t>Guilding</w:t>
      </w:r>
      <w:r w:rsidRPr="7DA010CF" w:rsidR="7BC621FE">
        <w:rPr>
          <w:rFonts w:ascii="Arial" w:hAnsi="Arial" w:eastAsia="Arial" w:cs="Arial"/>
        </w:rPr>
        <w:t>, 2014, p. 6).</w:t>
      </w:r>
    </w:p>
    <w:p xmlns:wp14="http://schemas.microsoft.com/office/word/2010/wordml" w:rsidP="7DA010CF" wp14:paraId="18718EF9" wp14:textId="3515683B">
      <w:pPr>
        <w:pStyle w:val="Normal"/>
        <w:spacing w:line="360" w:lineRule="auto"/>
        <w:jc w:val="both"/>
        <w:rPr>
          <w:rFonts w:ascii="Arial" w:hAnsi="Arial" w:eastAsia="Arial" w:cs="Arial"/>
        </w:rPr>
      </w:pPr>
      <w:r w:rsidRPr="7DA010CF" w:rsidR="7BC621FE">
        <w:rPr>
          <w:rFonts w:ascii="Arial" w:hAnsi="Arial" w:eastAsia="Arial" w:cs="Arial"/>
        </w:rPr>
        <w:t>In the hospitality industry, the open systems model illustrates how organizations transform external inputs</w:t>
      </w:r>
      <w:r w:rsidRPr="7DA010CF" w:rsidR="7047CB29">
        <w:rPr>
          <w:rFonts w:ascii="Arial" w:hAnsi="Arial" w:eastAsia="Arial" w:cs="Arial"/>
        </w:rPr>
        <w:t>-</w:t>
      </w:r>
      <w:r w:rsidRPr="7DA010CF" w:rsidR="7BC621FE">
        <w:rPr>
          <w:rFonts w:ascii="Arial" w:hAnsi="Arial" w:eastAsia="Arial" w:cs="Arial"/>
        </w:rPr>
        <w:t>ike personnel, finance, and materials</w:t>
      </w:r>
      <w:r w:rsidRPr="7DA010CF" w:rsidR="4300B3FE">
        <w:rPr>
          <w:rFonts w:ascii="Arial" w:hAnsi="Arial" w:eastAsia="Arial" w:cs="Arial"/>
        </w:rPr>
        <w:t>-</w:t>
      </w:r>
      <w:r w:rsidRPr="7DA010CF" w:rsidR="7BC621FE">
        <w:rPr>
          <w:rFonts w:ascii="Arial" w:hAnsi="Arial" w:eastAsia="Arial" w:cs="Arial"/>
        </w:rPr>
        <w:t xml:space="preserve">into outputs such as goods and services. This transformation aims for goals like profitability and customer satisfaction, enabling managers to analyze resource </w:t>
      </w:r>
      <w:r w:rsidRPr="7DA010CF" w:rsidR="7BC621FE">
        <w:rPr>
          <w:rFonts w:ascii="Arial" w:hAnsi="Arial" w:eastAsia="Arial" w:cs="Arial"/>
        </w:rPr>
        <w:t>utilization</w:t>
      </w:r>
      <w:r w:rsidRPr="7DA010CF" w:rsidR="7BC621FE">
        <w:rPr>
          <w:rFonts w:ascii="Arial" w:hAnsi="Arial" w:eastAsia="Arial" w:cs="Arial"/>
        </w:rPr>
        <w:t xml:space="preserve"> effectively (Mullins and </w:t>
      </w:r>
      <w:r w:rsidRPr="7DA010CF" w:rsidR="7BC621FE">
        <w:rPr>
          <w:rFonts w:ascii="Arial" w:hAnsi="Arial" w:eastAsia="Arial" w:cs="Arial"/>
        </w:rPr>
        <w:t>Dossor</w:t>
      </w:r>
      <w:r w:rsidRPr="7DA010CF" w:rsidR="7BC621FE">
        <w:rPr>
          <w:rFonts w:ascii="Arial" w:hAnsi="Arial" w:eastAsia="Arial" w:cs="Arial"/>
        </w:rPr>
        <w:t>, 2013, p. 25).</w:t>
      </w:r>
    </w:p>
    <w:p xmlns:wp14="http://schemas.microsoft.com/office/word/2010/wordml" w:rsidP="7DA010CF" wp14:paraId="13D5DEB8" wp14:textId="6CAF11C6">
      <w:pPr>
        <w:pStyle w:val="Normal"/>
        <w:spacing w:line="360" w:lineRule="auto"/>
        <w:jc w:val="both"/>
        <w:rPr>
          <w:rFonts w:ascii="Arial" w:hAnsi="Arial" w:eastAsia="Arial" w:cs="Arial"/>
        </w:rPr>
      </w:pPr>
      <w:r w:rsidRPr="7DA010CF" w:rsidR="7BC621FE">
        <w:rPr>
          <w:rFonts w:ascii="Arial" w:hAnsi="Arial" w:eastAsia="Arial" w:cs="Arial"/>
        </w:rPr>
        <w:t>Financial management</w:t>
      </w:r>
      <w:r w:rsidRPr="7DA010CF" w:rsidR="7BC621FE">
        <w:rPr>
          <w:rFonts w:ascii="Arial" w:hAnsi="Arial" w:eastAsia="Arial" w:cs="Arial"/>
        </w:rPr>
        <w:t xml:space="preserve"> encompasses the recording, processing, and presentation of financial information to </w:t>
      </w:r>
      <w:r w:rsidRPr="7DA010CF" w:rsidR="7BC621FE">
        <w:rPr>
          <w:rFonts w:ascii="Arial" w:hAnsi="Arial" w:eastAsia="Arial" w:cs="Arial"/>
        </w:rPr>
        <w:t>benefit</w:t>
      </w:r>
      <w:r w:rsidRPr="7DA010CF" w:rsidR="7BC621FE">
        <w:rPr>
          <w:rFonts w:ascii="Arial" w:hAnsi="Arial" w:eastAsia="Arial" w:cs="Arial"/>
        </w:rPr>
        <w:t xml:space="preserve"> external users such as investors and creditors. It involves analyzing financial data, preparing statements, and monitoring cash flow, allowing stakeholders to make informed decisions about investments and business strategy (</w:t>
      </w:r>
      <w:r w:rsidRPr="7DA010CF" w:rsidR="7BC621FE">
        <w:rPr>
          <w:rFonts w:ascii="Arial" w:hAnsi="Arial" w:eastAsia="Arial" w:cs="Arial"/>
        </w:rPr>
        <w:t>Stittle</w:t>
      </w:r>
      <w:r w:rsidRPr="7DA010CF" w:rsidR="7BC621FE">
        <w:rPr>
          <w:rFonts w:ascii="Arial" w:hAnsi="Arial" w:eastAsia="Arial" w:cs="Arial"/>
        </w:rPr>
        <w:t xml:space="preserve"> and Wearing, 2008, p. 4-6). </w:t>
      </w:r>
      <w:r w:rsidRPr="7DA010CF" w:rsidR="7BC621FE">
        <w:rPr>
          <w:rFonts w:ascii="Arial" w:hAnsi="Arial" w:eastAsia="Arial" w:cs="Arial"/>
        </w:rPr>
        <w:t>Ultimately, profit</w:t>
      </w:r>
      <w:r w:rsidRPr="7DA010CF" w:rsidR="7BC621FE">
        <w:rPr>
          <w:rFonts w:ascii="Arial" w:hAnsi="Arial" w:eastAsia="Arial" w:cs="Arial"/>
        </w:rPr>
        <w:t xml:space="preserve"> or loss serves as the primary measure of a business’s financial performance, as reflected in the profit and loss statement (</w:t>
      </w:r>
      <w:r w:rsidRPr="7DA010CF" w:rsidR="7BC621FE">
        <w:rPr>
          <w:rFonts w:ascii="Arial" w:hAnsi="Arial" w:eastAsia="Arial" w:cs="Arial"/>
        </w:rPr>
        <w:t>Kolitz</w:t>
      </w:r>
      <w:r w:rsidRPr="7DA010CF" w:rsidR="7BC621FE">
        <w:rPr>
          <w:rFonts w:ascii="Arial" w:hAnsi="Arial" w:eastAsia="Arial" w:cs="Arial"/>
        </w:rPr>
        <w:t xml:space="preserve"> and </w:t>
      </w:r>
      <w:r w:rsidRPr="7DA010CF" w:rsidR="7BC621FE">
        <w:rPr>
          <w:rFonts w:ascii="Arial" w:hAnsi="Arial" w:eastAsia="Arial" w:cs="Arial"/>
        </w:rPr>
        <w:t>Kolitz</w:t>
      </w:r>
      <w:r w:rsidRPr="7DA010CF" w:rsidR="7BC621FE">
        <w:rPr>
          <w:rFonts w:ascii="Arial" w:hAnsi="Arial" w:eastAsia="Arial" w:cs="Arial"/>
        </w:rPr>
        <w:t>, 2023, p. 190).</w:t>
      </w:r>
    </w:p>
    <w:p xmlns:wp14="http://schemas.microsoft.com/office/word/2010/wordml" w:rsidP="7DA010CF" wp14:paraId="1CB18623" wp14:textId="0E1E8453">
      <w:pPr>
        <w:spacing w:line="360" w:lineRule="auto"/>
        <w:jc w:val="both"/>
      </w:pPr>
    </w:p>
    <w:p xmlns:wp14="http://schemas.microsoft.com/office/word/2010/wordml" w:rsidP="7DA010CF" wp14:paraId="4A9CEBEE" wp14:textId="5BF9F7E7">
      <w:pPr>
        <w:pStyle w:val="Normal"/>
        <w:spacing w:line="360" w:lineRule="auto"/>
        <w:jc w:val="both"/>
        <w:rPr>
          <w:rFonts w:ascii="Arial" w:hAnsi="Arial" w:eastAsia="Arial" w:cs="Arial"/>
          <w:b w:val="1"/>
          <w:bCs w:val="1"/>
        </w:rPr>
      </w:pPr>
      <w:r w:rsidRPr="7DA010CF" w:rsidR="58E53FAE">
        <w:rPr>
          <w:rFonts w:ascii="Arial" w:hAnsi="Arial" w:eastAsia="Arial" w:cs="Arial"/>
          <w:b w:val="1"/>
          <w:bCs w:val="1"/>
        </w:rPr>
        <w:t xml:space="preserve">2. Total Revenue Analysis </w:t>
      </w:r>
    </w:p>
    <w:p xmlns:wp14="http://schemas.microsoft.com/office/word/2010/wordml" w:rsidP="7DA010CF" wp14:paraId="5CC94ECA" wp14:textId="075FD5C5">
      <w:pPr>
        <w:pStyle w:val="Normal"/>
        <w:spacing w:line="360" w:lineRule="auto"/>
        <w:jc w:val="both"/>
      </w:pPr>
      <w:r w:rsidRPr="7DA010CF" w:rsidR="58E53FAE">
        <w:rPr>
          <w:rFonts w:ascii="Arial" w:hAnsi="Arial" w:eastAsia="Arial" w:cs="Arial"/>
        </w:rPr>
        <w:t xml:space="preserve">Total revenue refers to income generated from providing services or selling products. Effective revenue management involves forecasting market variables to optimize income (Tranter et al., 2014, p.9). </w:t>
      </w:r>
    </w:p>
    <w:p xmlns:wp14="http://schemas.microsoft.com/office/word/2010/wordml" w:rsidP="7DA010CF" wp14:paraId="4DA05978" wp14:textId="33B183AF">
      <w:pPr>
        <w:pStyle w:val="Normal"/>
        <w:spacing w:line="360" w:lineRule="auto"/>
        <w:jc w:val="both"/>
        <w:rPr>
          <w:rFonts w:ascii="Arial" w:hAnsi="Arial" w:eastAsia="Arial" w:cs="Arial"/>
          <w:b w:val="1"/>
          <w:bCs w:val="1"/>
        </w:rPr>
      </w:pPr>
      <w:r w:rsidRPr="7DA010CF" w:rsidR="58E53FAE">
        <w:rPr>
          <w:rFonts w:ascii="Arial" w:hAnsi="Arial" w:eastAsia="Arial" w:cs="Arial"/>
          <w:b w:val="1"/>
          <w:bCs w:val="1"/>
        </w:rPr>
        <w:t xml:space="preserve">2.1. Shangri-La Revenue </w:t>
      </w:r>
    </w:p>
    <w:p xmlns:wp14="http://schemas.microsoft.com/office/word/2010/wordml" w:rsidP="7DA010CF" wp14:paraId="0E338CCE" wp14:textId="704A9C33">
      <w:pPr>
        <w:pStyle w:val="Normal"/>
        <w:spacing w:line="360" w:lineRule="auto"/>
        <w:jc w:val="both"/>
      </w:pPr>
      <w:r w:rsidRPr="7DA010CF" w:rsidR="58E53FAE">
        <w:rPr>
          <w:rFonts w:ascii="Arial" w:hAnsi="Arial" w:eastAsia="Arial" w:cs="Arial"/>
        </w:rPr>
        <w:t xml:space="preserve">• In 2020, Shangri-La’s revenue was USD 1,033.4 million, a 57.5% decline from 2019 due to COVID-19 (Shangri-La Group, 2024). </w:t>
      </w:r>
    </w:p>
    <w:p xmlns:wp14="http://schemas.microsoft.com/office/word/2010/wordml" w:rsidP="7DA010CF" wp14:paraId="05496336" wp14:textId="5EB5D7AB">
      <w:pPr>
        <w:pStyle w:val="Normal"/>
        <w:spacing w:line="360" w:lineRule="auto"/>
        <w:jc w:val="both"/>
      </w:pPr>
      <w:r w:rsidRPr="7DA010CF" w:rsidR="58E53FAE">
        <w:rPr>
          <w:rFonts w:ascii="Arial" w:hAnsi="Arial" w:eastAsia="Arial" w:cs="Arial"/>
        </w:rPr>
        <w:t xml:space="preserve">• 2021 saw a revenue recovery to USD 1,241.0 million, a 20.1% increase (Shangri-La Group, 2024). </w:t>
      </w:r>
    </w:p>
    <w:p xmlns:wp14="http://schemas.microsoft.com/office/word/2010/wordml" w:rsidP="7DA010CF" wp14:paraId="1BAB42C2" wp14:textId="75D45A29">
      <w:pPr>
        <w:pStyle w:val="Normal"/>
        <w:spacing w:line="360" w:lineRule="auto"/>
        <w:jc w:val="both"/>
      </w:pPr>
      <w:r w:rsidRPr="7DA010CF" w:rsidR="58E53FAE">
        <w:rPr>
          <w:rFonts w:ascii="Arial" w:hAnsi="Arial" w:eastAsia="Arial" w:cs="Arial"/>
        </w:rPr>
        <w:t xml:space="preserve">• By 2022, revenue reached USD 1,462.1 million (a 17.8% increase), with EBITDA improving by 31.3% (Shangri-La Asia Limited, 2023). </w:t>
      </w:r>
    </w:p>
    <w:p xmlns:wp14="http://schemas.microsoft.com/office/word/2010/wordml" w:rsidP="7DA010CF" wp14:paraId="6DE980B4" wp14:textId="1971B17D">
      <w:pPr>
        <w:pStyle w:val="Normal"/>
        <w:spacing w:line="360" w:lineRule="auto"/>
        <w:jc w:val="both"/>
      </w:pPr>
      <w:r w:rsidRPr="7DA010CF" w:rsidR="58E53FAE">
        <w:rPr>
          <w:rFonts w:ascii="Arial" w:hAnsi="Arial" w:eastAsia="Arial" w:cs="Arial"/>
        </w:rPr>
        <w:t xml:space="preserve">• In 2023, consolidated revenue rose by 46.5% to USD 2,141.8 million, driven by a resurgence in travel demand, particularly in China, Japan, and Southeast Asia (Shangri-La Group, 2024). </w:t>
      </w:r>
    </w:p>
    <w:p xmlns:wp14="http://schemas.microsoft.com/office/word/2010/wordml" w:rsidP="7DA010CF" wp14:paraId="73A36A1A" wp14:textId="30B1DEA1">
      <w:pPr>
        <w:pStyle w:val="Normal"/>
        <w:spacing w:line="360" w:lineRule="auto"/>
        <w:jc w:val="both"/>
      </w:pPr>
      <w:r w:rsidRPr="7DA010CF" w:rsidR="58E53FAE">
        <w:rPr>
          <w:rFonts w:ascii="Arial" w:hAnsi="Arial" w:eastAsia="Arial" w:cs="Arial"/>
        </w:rPr>
        <w:t xml:space="preserve">Key Factors Driving Revenue Growth: </w:t>
      </w:r>
    </w:p>
    <w:p xmlns:wp14="http://schemas.microsoft.com/office/word/2010/wordml" w:rsidP="7DA010CF" wp14:paraId="3C5C27C8" wp14:textId="60462A7E">
      <w:pPr>
        <w:pStyle w:val="Normal"/>
        <w:spacing w:line="360" w:lineRule="auto"/>
        <w:jc w:val="both"/>
      </w:pPr>
      <w:r w:rsidRPr="7DA010CF" w:rsidR="58E53FAE">
        <w:rPr>
          <w:rFonts w:ascii="Arial" w:hAnsi="Arial" w:eastAsia="Arial" w:cs="Arial"/>
        </w:rPr>
        <w:t xml:space="preserve">• Post-pandemic recovery in international tourism, especially in Mainland China (Shangri-La Group, 2024). </w:t>
      </w:r>
    </w:p>
    <w:p xmlns:wp14="http://schemas.microsoft.com/office/word/2010/wordml" w:rsidP="7DA010CF" wp14:paraId="468F4572" wp14:textId="0F7FFD04">
      <w:pPr>
        <w:pStyle w:val="Normal"/>
        <w:spacing w:line="360" w:lineRule="auto"/>
        <w:jc w:val="both"/>
      </w:pPr>
      <w:r w:rsidRPr="7DA010CF" w:rsidR="58E53FAE">
        <w:rPr>
          <w:rFonts w:ascii="Arial" w:hAnsi="Arial" w:eastAsia="Arial" w:cs="Arial"/>
          <w:b w:val="1"/>
          <w:bCs w:val="1"/>
        </w:rPr>
        <w:t>2.2. Premier Inn Revenue</w:t>
      </w:r>
      <w:r w:rsidRPr="7DA010CF" w:rsidR="58E53FAE">
        <w:rPr>
          <w:rFonts w:ascii="Arial" w:hAnsi="Arial" w:eastAsia="Arial" w:cs="Arial"/>
        </w:rPr>
        <w:t xml:space="preserve"> </w:t>
      </w:r>
    </w:p>
    <w:p xmlns:wp14="http://schemas.microsoft.com/office/word/2010/wordml" w:rsidP="7DA010CF" wp14:paraId="2932CEA7" wp14:textId="688FDC08">
      <w:pPr>
        <w:pStyle w:val="Normal"/>
        <w:spacing w:line="360" w:lineRule="auto"/>
        <w:jc w:val="both"/>
      </w:pPr>
      <w:r w:rsidRPr="7DA010CF" w:rsidR="58E53FAE">
        <w:rPr>
          <w:rFonts w:ascii="Arial" w:hAnsi="Arial" w:eastAsia="Arial" w:cs="Arial"/>
        </w:rPr>
        <w:t xml:space="preserve">• Premier Inn UK reported a 10% increase in revenue for 2023/24, with accommodation sales rising by 12% and an occupancy rate of 82.2% (Whitbread PLC, 2023/24). </w:t>
      </w:r>
    </w:p>
    <w:p xmlns:wp14="http://schemas.microsoft.com/office/word/2010/wordml" w:rsidP="7DA010CF" wp14:paraId="40103245" wp14:textId="611EBFCE">
      <w:pPr>
        <w:pStyle w:val="Normal"/>
        <w:spacing w:line="360" w:lineRule="auto"/>
        <w:jc w:val="both"/>
      </w:pPr>
      <w:r w:rsidRPr="7DA010CF" w:rsidR="58E53FAE">
        <w:rPr>
          <w:rFonts w:ascii="Arial" w:hAnsi="Arial" w:eastAsia="Arial" w:cs="Arial"/>
        </w:rPr>
        <w:t xml:space="preserve">• FY20 revenue was £911.5 million, with an operating profit of £266.5 million (Whitbread PLC, 2021). </w:t>
      </w:r>
    </w:p>
    <w:p xmlns:wp14="http://schemas.microsoft.com/office/word/2010/wordml" w:rsidP="7DA010CF" wp14:paraId="3478D110" wp14:textId="0097788A">
      <w:pPr>
        <w:pStyle w:val="Normal"/>
        <w:spacing w:line="360" w:lineRule="auto"/>
        <w:jc w:val="both"/>
      </w:pPr>
      <w:r w:rsidRPr="7DA010CF" w:rsidR="58E53FAE">
        <w:rPr>
          <w:rFonts w:ascii="Arial" w:hAnsi="Arial" w:eastAsia="Arial" w:cs="Arial"/>
        </w:rPr>
        <w:t xml:space="preserve">• COVID-19 caused FY21 revenue to fall by 71.5% to £589.4 million, though Premier Inn received £154.0 million in government aid (Whitbread PLC, 2021). </w:t>
      </w:r>
    </w:p>
    <w:p xmlns:wp14="http://schemas.microsoft.com/office/word/2010/wordml" w:rsidP="7DA010CF" wp14:paraId="7AE128E5" wp14:textId="02D65601">
      <w:pPr>
        <w:pStyle w:val="Normal"/>
        <w:spacing w:line="360" w:lineRule="auto"/>
        <w:jc w:val="both"/>
      </w:pPr>
      <w:r w:rsidRPr="7DA010CF" w:rsidR="58E53FAE">
        <w:rPr>
          <w:rFonts w:ascii="Arial" w:hAnsi="Arial" w:eastAsia="Arial" w:cs="Arial"/>
        </w:rPr>
        <w:t>• In 2022, Premier Inn's revenue surged by 209.6% to £772.8 million (Premier Inn Hotels Limited, 2022).</w:t>
      </w:r>
    </w:p>
    <w:p xmlns:wp14="http://schemas.microsoft.com/office/word/2010/wordml" w:rsidP="7DA010CF" wp14:paraId="3349E363" wp14:textId="430411C9">
      <w:pPr>
        <w:spacing w:line="360" w:lineRule="auto"/>
        <w:jc w:val="both"/>
        <w:rPr>
          <w:rFonts w:ascii="Arial" w:hAnsi="Arial" w:eastAsia="Arial" w:cs="Arial"/>
          <w:b w:val="1"/>
          <w:bCs w:val="1"/>
        </w:rPr>
      </w:pPr>
      <w:r w:rsidRPr="7DA010CF" w:rsidR="3E94AE8E">
        <w:rPr>
          <w:rFonts w:ascii="Arial" w:hAnsi="Arial" w:eastAsia="Arial" w:cs="Arial"/>
          <w:b w:val="1"/>
          <w:bCs w:val="1"/>
        </w:rPr>
        <w:t>3</w:t>
      </w:r>
      <w:r w:rsidRPr="7DA010CF" w:rsidR="2E4C4EA1">
        <w:rPr>
          <w:rFonts w:ascii="Arial" w:hAnsi="Arial" w:eastAsia="Arial" w:cs="Arial"/>
          <w:b w:val="1"/>
          <w:bCs w:val="1"/>
        </w:rPr>
        <w:t xml:space="preserve">. </w:t>
      </w:r>
      <w:r w:rsidRPr="7DA010CF" w:rsidR="421D27E5">
        <w:rPr>
          <w:rFonts w:ascii="Arial" w:hAnsi="Arial" w:eastAsia="Arial" w:cs="Arial"/>
          <w:b w:val="1"/>
          <w:bCs w:val="1"/>
        </w:rPr>
        <w:t>Market Positioning</w:t>
      </w:r>
    </w:p>
    <w:p xmlns:wp14="http://schemas.microsoft.com/office/word/2010/wordml" w:rsidP="7DA010CF" wp14:paraId="396A3910" wp14:textId="0B430BA7">
      <w:pPr>
        <w:pStyle w:val="Normal"/>
        <w:spacing w:line="360" w:lineRule="auto"/>
        <w:jc w:val="both"/>
        <w:rPr>
          <w:rFonts w:ascii="Arial" w:hAnsi="Arial" w:eastAsia="Arial" w:cs="Arial"/>
        </w:rPr>
      </w:pPr>
      <w:r w:rsidRPr="7DA010CF" w:rsidR="421D27E5">
        <w:rPr>
          <w:rFonts w:ascii="Arial" w:hAnsi="Arial" w:eastAsia="Arial" w:cs="Arial"/>
        </w:rPr>
        <w:t>Market positioning defines how a company targets specific market segments and distinguishes itself from competitors to gain a competitive edge (Hooley et al., 2012, p. 42). It involves understanding the broader competitive landscape and the direct competition within specific industries (</w:t>
      </w:r>
      <w:r w:rsidRPr="7DA010CF" w:rsidR="421D27E5">
        <w:rPr>
          <w:rFonts w:ascii="Arial" w:hAnsi="Arial" w:eastAsia="Arial" w:cs="Arial"/>
        </w:rPr>
        <w:t>Pitkethly</w:t>
      </w:r>
      <w:r w:rsidRPr="7DA010CF" w:rsidR="421D27E5">
        <w:rPr>
          <w:rFonts w:ascii="Arial" w:hAnsi="Arial" w:eastAsia="Arial" w:cs="Arial"/>
        </w:rPr>
        <w:t xml:space="preserve"> and Campbell, 2006).</w:t>
      </w:r>
    </w:p>
    <w:p xmlns:wp14="http://schemas.microsoft.com/office/word/2010/wordml" w:rsidP="7DA010CF" wp14:paraId="1045BE04" wp14:textId="4540F902">
      <w:pPr>
        <w:pStyle w:val="Normal"/>
        <w:spacing w:line="360" w:lineRule="auto"/>
        <w:jc w:val="both"/>
        <w:rPr>
          <w:rFonts w:ascii="Arial" w:hAnsi="Arial" w:eastAsia="Arial" w:cs="Arial"/>
          <w:b w:val="1"/>
          <w:bCs w:val="1"/>
        </w:rPr>
      </w:pPr>
      <w:r w:rsidRPr="7DA010CF" w:rsidR="3D758A82">
        <w:rPr>
          <w:rFonts w:ascii="Arial" w:hAnsi="Arial" w:eastAsia="Arial" w:cs="Arial"/>
          <w:b w:val="1"/>
          <w:bCs w:val="1"/>
        </w:rPr>
        <w:t>3</w:t>
      </w:r>
      <w:r w:rsidRPr="7DA010CF" w:rsidR="2508D055">
        <w:rPr>
          <w:rFonts w:ascii="Arial" w:hAnsi="Arial" w:eastAsia="Arial" w:cs="Arial"/>
          <w:b w:val="1"/>
          <w:bCs w:val="1"/>
        </w:rPr>
        <w:t xml:space="preserve">.1 </w:t>
      </w:r>
      <w:r w:rsidRPr="7DA010CF" w:rsidR="421D27E5">
        <w:rPr>
          <w:rFonts w:ascii="Arial" w:hAnsi="Arial" w:eastAsia="Arial" w:cs="Arial"/>
          <w:b w:val="1"/>
          <w:bCs w:val="1"/>
        </w:rPr>
        <w:t>Shangri-La Hotel</w:t>
      </w:r>
    </w:p>
    <w:p xmlns:wp14="http://schemas.microsoft.com/office/word/2010/wordml" w:rsidP="7DA010CF" wp14:paraId="09890114" wp14:textId="25A7679E">
      <w:pPr>
        <w:pStyle w:val="Normal"/>
        <w:spacing w:line="360" w:lineRule="auto"/>
        <w:jc w:val="both"/>
        <w:rPr>
          <w:rFonts w:ascii="Arial" w:hAnsi="Arial" w:eastAsia="Arial" w:cs="Arial"/>
        </w:rPr>
      </w:pPr>
      <w:r w:rsidRPr="7DA010CF" w:rsidR="5AC07898">
        <w:rPr>
          <w:rFonts w:ascii="Arial" w:hAnsi="Arial" w:eastAsia="Arial" w:cs="Arial"/>
        </w:rPr>
        <w:t xml:space="preserve">• </w:t>
      </w:r>
      <w:r w:rsidRPr="7DA010CF" w:rsidR="421D27E5">
        <w:rPr>
          <w:rFonts w:ascii="Arial" w:hAnsi="Arial" w:eastAsia="Arial" w:cs="Arial"/>
        </w:rPr>
        <w:t xml:space="preserve">Shangri-La’s market position focuses on its luxury Asian brand, customer-centric approach, and adaptability. With five decades of hospitality experience, the company prioritizes global expansion while </w:t>
      </w:r>
      <w:r w:rsidRPr="7DA010CF" w:rsidR="421D27E5">
        <w:rPr>
          <w:rFonts w:ascii="Arial" w:hAnsi="Arial" w:eastAsia="Arial" w:cs="Arial"/>
        </w:rPr>
        <w:t>maintaining</w:t>
      </w:r>
      <w:r w:rsidRPr="7DA010CF" w:rsidR="421D27E5">
        <w:rPr>
          <w:rFonts w:ascii="Arial" w:hAnsi="Arial" w:eastAsia="Arial" w:cs="Arial"/>
        </w:rPr>
        <w:t xml:space="preserve"> service excellence and building long-term partnerships (Shangri-La Group, 2024). Additionally, their Triple S strategy emphasizes sustainability through ESG initiatives, aligning with government priorities and supporting local communities (Sham, 2024). Positioned in prestigious global locations, Shangri-La caters to luxury-seeking customers (Shangri-La Group, 2024).</w:t>
      </w:r>
    </w:p>
    <w:p xmlns:wp14="http://schemas.microsoft.com/office/word/2010/wordml" w:rsidP="7DA010CF" wp14:paraId="521D9503" wp14:textId="3E3D2D2C">
      <w:pPr>
        <w:pStyle w:val="Normal"/>
        <w:spacing w:line="360" w:lineRule="auto"/>
        <w:jc w:val="both"/>
        <w:rPr>
          <w:rFonts w:ascii="Arial" w:hAnsi="Arial" w:eastAsia="Arial" w:cs="Arial"/>
          <w:b w:val="1"/>
          <w:bCs w:val="1"/>
        </w:rPr>
      </w:pPr>
      <w:r w:rsidRPr="7DA010CF" w:rsidR="2F24189C">
        <w:rPr>
          <w:rFonts w:ascii="Arial" w:hAnsi="Arial" w:eastAsia="Arial" w:cs="Arial"/>
          <w:b w:val="1"/>
          <w:bCs w:val="1"/>
        </w:rPr>
        <w:t>3</w:t>
      </w:r>
      <w:r w:rsidRPr="7DA010CF" w:rsidR="31095E5A">
        <w:rPr>
          <w:rFonts w:ascii="Arial" w:hAnsi="Arial" w:eastAsia="Arial" w:cs="Arial"/>
          <w:b w:val="1"/>
          <w:bCs w:val="1"/>
        </w:rPr>
        <w:t xml:space="preserve">.2 </w:t>
      </w:r>
      <w:r w:rsidRPr="7DA010CF" w:rsidR="421D27E5">
        <w:rPr>
          <w:rFonts w:ascii="Arial" w:hAnsi="Arial" w:eastAsia="Arial" w:cs="Arial"/>
          <w:b w:val="1"/>
          <w:bCs w:val="1"/>
        </w:rPr>
        <w:t>Premier Inn</w:t>
      </w:r>
    </w:p>
    <w:p xmlns:wp14="http://schemas.microsoft.com/office/word/2010/wordml" w:rsidP="7DA010CF" wp14:paraId="531A6E83" wp14:textId="63E1BF50">
      <w:pPr>
        <w:pStyle w:val="Normal"/>
        <w:spacing w:line="360" w:lineRule="auto"/>
        <w:jc w:val="both"/>
        <w:rPr>
          <w:rFonts w:ascii="Arial" w:hAnsi="Arial" w:eastAsia="Arial" w:cs="Arial"/>
        </w:rPr>
      </w:pPr>
      <w:r w:rsidRPr="7DA010CF" w:rsidR="0D5D7EB0">
        <w:rPr>
          <w:rFonts w:ascii="Arial" w:hAnsi="Arial" w:eastAsia="Arial" w:cs="Arial"/>
        </w:rPr>
        <w:t xml:space="preserve">• </w:t>
      </w:r>
      <w:r w:rsidRPr="7DA010CF" w:rsidR="421D27E5">
        <w:rPr>
          <w:rFonts w:ascii="Arial" w:hAnsi="Arial" w:eastAsia="Arial" w:cs="Arial"/>
        </w:rPr>
        <w:t>Premier Inn, part of Whitbread, integrates social responsibility through its “Force for Good” initiative, focusing on sustainability and community engagement. Their strategy includes donating surplus food, aiming for net-zero carbon emissions, and supporting Great Ormond Street Hospital (Premier Inn, 2024). As the UK’s largest hospitality business, Premier Inn appeals to cost-conscious customers with affordable accommodations and strong food and beverage offerings (Whitbread, 2022/23). Premier Inn continues to expand in Germany, replicating its UK success, backed by strong property investments and long-term growth strategies (Whitbread PLC, 2024).</w:t>
      </w:r>
    </w:p>
    <w:p xmlns:wp14="http://schemas.microsoft.com/office/word/2010/wordml" w:rsidP="7DA010CF" wp14:paraId="66590FB1" wp14:textId="3F0A5ABE">
      <w:pPr>
        <w:spacing w:line="360" w:lineRule="auto"/>
        <w:jc w:val="both"/>
        <w:rPr>
          <w:rFonts w:ascii="Arial" w:hAnsi="Arial" w:eastAsia="Arial" w:cs="Arial"/>
        </w:rPr>
      </w:pPr>
    </w:p>
    <w:p xmlns:wp14="http://schemas.microsoft.com/office/word/2010/wordml" w:rsidP="7DA010CF" wp14:paraId="415764CC" wp14:textId="25B4DFA5">
      <w:pPr>
        <w:pStyle w:val="Normal"/>
        <w:spacing w:line="360" w:lineRule="auto"/>
        <w:jc w:val="both"/>
        <w:rPr>
          <w:rFonts w:ascii="Arial" w:hAnsi="Arial" w:eastAsia="Arial" w:cs="Arial"/>
          <w:b w:val="1"/>
          <w:bCs w:val="1"/>
        </w:rPr>
      </w:pPr>
      <w:r w:rsidRPr="7DA010CF" w:rsidR="369FA017">
        <w:rPr>
          <w:rFonts w:ascii="Arial" w:hAnsi="Arial" w:eastAsia="Arial" w:cs="Arial"/>
          <w:b w:val="1"/>
          <w:bCs w:val="1"/>
        </w:rPr>
        <w:t>3.3</w:t>
      </w:r>
      <w:r w:rsidRPr="7DA010CF" w:rsidR="467F95FF">
        <w:rPr>
          <w:rFonts w:ascii="Arial" w:hAnsi="Arial" w:eastAsia="Arial" w:cs="Arial"/>
          <w:b w:val="1"/>
          <w:bCs w:val="1"/>
        </w:rPr>
        <w:t xml:space="preserve"> </w:t>
      </w:r>
      <w:r w:rsidRPr="7DA010CF" w:rsidR="2BC21440">
        <w:rPr>
          <w:rFonts w:ascii="Arial" w:hAnsi="Arial" w:eastAsia="Arial" w:cs="Arial"/>
          <w:b w:val="1"/>
          <w:bCs w:val="1"/>
        </w:rPr>
        <w:t>Bowman’s Strategy Clock Application</w:t>
      </w:r>
    </w:p>
    <w:p xmlns:wp14="http://schemas.microsoft.com/office/word/2010/wordml" w:rsidP="7DA010CF" wp14:paraId="6E71B7A0" wp14:textId="65746B47">
      <w:pPr>
        <w:pStyle w:val="Normal"/>
        <w:spacing w:line="360" w:lineRule="auto"/>
        <w:jc w:val="both"/>
        <w:rPr>
          <w:rFonts w:ascii="Arial" w:hAnsi="Arial" w:eastAsia="Arial" w:cs="Arial"/>
        </w:rPr>
      </w:pPr>
      <w:r w:rsidRPr="7DA010CF" w:rsidR="2BC21440">
        <w:rPr>
          <w:rFonts w:ascii="Arial" w:hAnsi="Arial" w:eastAsia="Arial" w:cs="Arial"/>
        </w:rPr>
        <w:t xml:space="preserve">Using Bowman’s Strategy Clock, Shangri-La can be seen as </w:t>
      </w:r>
      <w:r w:rsidRPr="7DA010CF" w:rsidR="2BC21440">
        <w:rPr>
          <w:rFonts w:ascii="Arial" w:hAnsi="Arial" w:eastAsia="Arial" w:cs="Arial"/>
        </w:rPr>
        <w:t>operating</w:t>
      </w:r>
      <w:r w:rsidRPr="7DA010CF" w:rsidR="2BC21440">
        <w:rPr>
          <w:rFonts w:ascii="Arial" w:hAnsi="Arial" w:eastAsia="Arial" w:cs="Arial"/>
        </w:rPr>
        <w:t xml:space="preserve"> in a differentiation position, offering luxury services and high-end experiences to customers willing to pay for superior value. Their focus on luxury, sustainability, and high-quality service aligns them with a premium customer base looking for exclusive experiences.</w:t>
      </w:r>
    </w:p>
    <w:p xmlns:wp14="http://schemas.microsoft.com/office/word/2010/wordml" w:rsidP="7DA010CF" wp14:paraId="3F840122" wp14:textId="300766B6">
      <w:pPr>
        <w:pStyle w:val="Normal"/>
        <w:spacing w:line="360" w:lineRule="auto"/>
        <w:jc w:val="both"/>
        <w:rPr>
          <w:rFonts w:ascii="Arial" w:hAnsi="Arial" w:eastAsia="Arial" w:cs="Arial"/>
        </w:rPr>
      </w:pPr>
      <w:r w:rsidRPr="7DA010CF" w:rsidR="2BC21440">
        <w:rPr>
          <w:rFonts w:ascii="Arial" w:hAnsi="Arial" w:eastAsia="Arial" w:cs="Arial"/>
        </w:rPr>
        <w:t xml:space="preserve">In contrast, Premier Inn </w:t>
      </w:r>
      <w:r w:rsidRPr="7DA010CF" w:rsidR="2BC21440">
        <w:rPr>
          <w:rFonts w:ascii="Arial" w:hAnsi="Arial" w:eastAsia="Arial" w:cs="Arial"/>
        </w:rPr>
        <w:t>appears to adopt</w:t>
      </w:r>
      <w:r w:rsidRPr="7DA010CF" w:rsidR="2BC21440">
        <w:rPr>
          <w:rFonts w:ascii="Arial" w:hAnsi="Arial" w:eastAsia="Arial" w:cs="Arial"/>
        </w:rPr>
        <w:t xml:space="preserve"> a hybrid strategy, offering high value at competitive pricing. They combine affordable </w:t>
      </w:r>
      <w:r w:rsidRPr="7DA010CF" w:rsidR="2BC21440">
        <w:rPr>
          <w:rFonts w:ascii="Arial" w:hAnsi="Arial" w:eastAsia="Arial" w:cs="Arial"/>
        </w:rPr>
        <w:t>accommodation</w:t>
      </w:r>
      <w:r w:rsidRPr="7DA010CF" w:rsidR="2BC21440">
        <w:rPr>
          <w:rFonts w:ascii="Arial" w:hAnsi="Arial" w:eastAsia="Arial" w:cs="Arial"/>
        </w:rPr>
        <w:t xml:space="preserve"> with strong customer service and sustainability practices. This strategy appeals to cost-conscious travelers who still value a high-quality experience. Their international expansion into Germany reflects their market penetration and geographical growth strategy, </w:t>
      </w:r>
      <w:r w:rsidRPr="7DA010CF" w:rsidR="2BC21440">
        <w:rPr>
          <w:rFonts w:ascii="Arial" w:hAnsi="Arial" w:eastAsia="Arial" w:cs="Arial"/>
        </w:rPr>
        <w:t>leveraging</w:t>
      </w:r>
      <w:r w:rsidRPr="7DA010CF" w:rsidR="2BC21440">
        <w:rPr>
          <w:rFonts w:ascii="Arial" w:hAnsi="Arial" w:eastAsia="Arial" w:cs="Arial"/>
        </w:rPr>
        <w:t xml:space="preserve"> their successful UK model in new markets.</w:t>
      </w:r>
    </w:p>
    <w:p xmlns:wp14="http://schemas.microsoft.com/office/word/2010/wordml" w:rsidP="7DA010CF" wp14:paraId="0CC3ACD1" wp14:textId="095291E4">
      <w:pPr>
        <w:spacing w:line="360" w:lineRule="auto"/>
        <w:jc w:val="both"/>
        <w:rPr>
          <w:rFonts w:ascii="Arial" w:hAnsi="Arial" w:eastAsia="Arial" w:cs="Arial"/>
        </w:rPr>
      </w:pPr>
      <w:r w:rsidRPr="7DA010CF" w:rsidR="19ED78AF">
        <w:rPr>
          <w:rFonts w:ascii="Arial" w:hAnsi="Arial" w:eastAsia="Arial" w:cs="Arial"/>
          <w:b w:val="1"/>
          <w:bCs w:val="1"/>
        </w:rPr>
        <w:t>3</w:t>
      </w:r>
      <w:r w:rsidRPr="7DA010CF" w:rsidR="14D111D3">
        <w:rPr>
          <w:rFonts w:ascii="Arial" w:hAnsi="Arial" w:eastAsia="Arial" w:cs="Arial"/>
          <w:b w:val="1"/>
          <w:bCs w:val="1"/>
        </w:rPr>
        <w:t xml:space="preserve">.4 </w:t>
      </w:r>
      <w:r w:rsidRPr="7DA010CF" w:rsidR="39D4620F">
        <w:rPr>
          <w:rFonts w:ascii="Arial" w:hAnsi="Arial" w:eastAsia="Arial" w:cs="Arial"/>
          <w:b w:val="1"/>
          <w:bCs w:val="1"/>
        </w:rPr>
        <w:t>Bowman’s</w:t>
      </w:r>
      <w:r w:rsidRPr="7DA010CF" w:rsidR="39D4620F">
        <w:rPr>
          <w:rFonts w:ascii="Arial" w:hAnsi="Arial" w:eastAsia="Arial" w:cs="Arial"/>
          <w:b w:val="1"/>
          <w:bCs w:val="1"/>
        </w:rPr>
        <w:t xml:space="preserve"> Strategy </w:t>
      </w:r>
      <w:r w:rsidRPr="7DA010CF" w:rsidR="39D4620F">
        <w:rPr>
          <w:rFonts w:ascii="Arial" w:hAnsi="Arial" w:eastAsia="Arial" w:cs="Arial"/>
        </w:rPr>
        <w:t xml:space="preserve"> </w:t>
      </w:r>
    </w:p>
    <w:p xmlns:wp14="http://schemas.microsoft.com/office/word/2010/wordml" w:rsidP="7DA010CF" wp14:paraId="27ED7CC0" wp14:textId="6E86120B">
      <w:pPr>
        <w:pStyle w:val="Normal"/>
        <w:spacing w:line="360" w:lineRule="auto"/>
        <w:jc w:val="both"/>
      </w:pPr>
      <w:r w:rsidRPr="7DA010CF" w:rsidR="69A2DEE2">
        <w:rPr>
          <w:rFonts w:ascii="Arial" w:hAnsi="Arial" w:eastAsia="Arial" w:cs="Arial"/>
        </w:rPr>
        <w:t xml:space="preserve">• </w:t>
      </w:r>
      <w:r w:rsidRPr="7DA010CF" w:rsidR="39D4620F">
        <w:rPr>
          <w:rFonts w:ascii="Arial" w:hAnsi="Arial" w:eastAsia="Arial" w:cs="Arial"/>
        </w:rPr>
        <w:t xml:space="preserve">According to appendix </w:t>
      </w:r>
      <w:r w:rsidRPr="7DA010CF" w:rsidR="1F65729D">
        <w:rPr>
          <w:rFonts w:ascii="Arial" w:hAnsi="Arial" w:eastAsia="Arial" w:cs="Arial"/>
        </w:rPr>
        <w:t>1</w:t>
      </w:r>
      <w:r w:rsidRPr="7DA010CF" w:rsidR="39D4620F">
        <w:rPr>
          <w:rFonts w:ascii="Arial" w:hAnsi="Arial" w:eastAsia="Arial" w:cs="Arial"/>
        </w:rPr>
        <w:t xml:space="preserve">. Shangri-La could be seen as </w:t>
      </w:r>
      <w:r w:rsidRPr="7DA010CF" w:rsidR="39D4620F">
        <w:rPr>
          <w:rFonts w:ascii="Arial" w:hAnsi="Arial" w:eastAsia="Arial" w:cs="Arial"/>
        </w:rPr>
        <w:t>operating</w:t>
      </w:r>
      <w:r w:rsidRPr="7DA010CF" w:rsidR="39D4620F">
        <w:rPr>
          <w:rFonts w:ascii="Arial" w:hAnsi="Arial" w:eastAsia="Arial" w:cs="Arial"/>
        </w:rPr>
        <w:t xml:space="preserve"> in a differentiation position, providing luxury services and high-end experiences to customers who are willing to pay for superior value. </w:t>
      </w:r>
    </w:p>
    <w:p xmlns:wp14="http://schemas.microsoft.com/office/word/2010/wordml" w:rsidP="7DA010CF" wp14:paraId="4156F524" wp14:textId="3D0C6096">
      <w:pPr>
        <w:pStyle w:val="Normal"/>
        <w:spacing w:line="360" w:lineRule="auto"/>
        <w:jc w:val="both"/>
      </w:pPr>
      <w:r w:rsidRPr="7DA010CF" w:rsidR="4EA4EB9E">
        <w:rPr>
          <w:rFonts w:ascii="Arial" w:hAnsi="Arial" w:eastAsia="Arial" w:cs="Arial"/>
        </w:rPr>
        <w:t xml:space="preserve">• </w:t>
      </w:r>
      <w:r w:rsidRPr="7DA010CF" w:rsidR="39D4620F">
        <w:rPr>
          <w:rFonts w:ascii="Arial" w:hAnsi="Arial" w:eastAsia="Arial" w:cs="Arial"/>
        </w:rPr>
        <w:t xml:space="preserve">Premier Inn may be positioned in the hybrid or focused low-price quadrant, combining affordable prices with reliable, quality services, and focusing on cost-conscious travelers while also emphasizing social responsibility and sustainability. </w:t>
      </w:r>
    </w:p>
    <w:p xmlns:wp14="http://schemas.microsoft.com/office/word/2010/wordml" w:rsidP="7DA010CF" wp14:paraId="2C078E63" wp14:textId="3D412110">
      <w:pPr>
        <w:pStyle w:val="Normal"/>
        <w:spacing w:line="360" w:lineRule="auto"/>
        <w:jc w:val="both"/>
      </w:pPr>
      <w:r w:rsidRPr="7DA010CF" w:rsidR="3DE46788">
        <w:rPr>
          <w:rFonts w:ascii="Arial" w:hAnsi="Arial" w:eastAsia="Arial" w:cs="Arial"/>
        </w:rPr>
        <w:t xml:space="preserve">• </w:t>
      </w:r>
      <w:r w:rsidRPr="7DA010CF" w:rsidR="39D4620F">
        <w:rPr>
          <w:rFonts w:ascii="Arial" w:hAnsi="Arial" w:eastAsia="Arial" w:cs="Arial"/>
        </w:rPr>
        <w:t xml:space="preserve">According to Appendix </w:t>
      </w:r>
      <w:r w:rsidRPr="7DA010CF" w:rsidR="51C08AA4">
        <w:rPr>
          <w:rFonts w:ascii="Arial" w:hAnsi="Arial" w:eastAsia="Arial" w:cs="Arial"/>
        </w:rPr>
        <w:t>2</w:t>
      </w:r>
      <w:r w:rsidRPr="7DA010CF" w:rsidR="39D4620F">
        <w:rPr>
          <w:rFonts w:ascii="Arial" w:hAnsi="Arial" w:eastAsia="Arial" w:cs="Arial"/>
        </w:rPr>
        <w:t xml:space="preserve">, Similar Web (2024) shows that in September 2024, Shangri-La's website had 1.636 million global visits, while Premier Inn recorded significantly higher traffic with 9.058 million visits. The gender distribution for Shangri-La's audience was more balanced, with 48.23% male and 51.77% female visitors, while Premier Inn's audience was </w:t>
      </w:r>
      <w:r w:rsidRPr="7DA010CF" w:rsidR="39D4620F">
        <w:rPr>
          <w:rFonts w:ascii="Arial" w:hAnsi="Arial" w:eastAsia="Arial" w:cs="Arial"/>
        </w:rPr>
        <w:t>predominantly male</w:t>
      </w:r>
      <w:r w:rsidRPr="7DA010CF" w:rsidR="39D4620F">
        <w:rPr>
          <w:rFonts w:ascii="Arial" w:hAnsi="Arial" w:eastAsia="Arial" w:cs="Arial"/>
        </w:rPr>
        <w:t xml:space="preserve"> at 52.82%. In terms of age, Shangri-La attracted a younger demographic, with most visitors aged 25-34 (over 25%), while Premier Inn's largest age group was 45-54, </w:t>
      </w:r>
      <w:r w:rsidRPr="7DA010CF" w:rsidR="39D4620F">
        <w:rPr>
          <w:rFonts w:ascii="Arial" w:hAnsi="Arial" w:eastAsia="Arial" w:cs="Arial"/>
        </w:rPr>
        <w:t>representing</w:t>
      </w:r>
      <w:r w:rsidRPr="7DA010CF" w:rsidR="39D4620F">
        <w:rPr>
          <w:rFonts w:ascii="Arial" w:hAnsi="Arial" w:eastAsia="Arial" w:cs="Arial"/>
        </w:rPr>
        <w:t xml:space="preserve"> 20% of their audience. Both hotels saw a </w:t>
      </w:r>
      <w:r w:rsidRPr="7DA010CF" w:rsidR="39D4620F">
        <w:rPr>
          <w:rFonts w:ascii="Arial" w:hAnsi="Arial" w:eastAsia="Arial" w:cs="Arial"/>
        </w:rPr>
        <w:t>relatively smaller</w:t>
      </w:r>
      <w:r w:rsidRPr="7DA010CF" w:rsidR="39D4620F">
        <w:rPr>
          <w:rFonts w:ascii="Arial" w:hAnsi="Arial" w:eastAsia="Arial" w:cs="Arial"/>
        </w:rPr>
        <w:t xml:space="preserve"> percentage of visitors aged 18-24, around 10-11%, and the lowest engagement came from those aged 65+ for both brands.</w:t>
      </w:r>
    </w:p>
    <w:p w:rsidR="7DA010CF" w:rsidP="7DA010CF" w:rsidRDefault="7DA010CF" w14:paraId="327F4987" w14:textId="2CBB4902">
      <w:pPr>
        <w:pStyle w:val="Normal"/>
        <w:spacing w:line="360" w:lineRule="auto"/>
        <w:jc w:val="both"/>
        <w:rPr>
          <w:rFonts w:ascii="Arial" w:hAnsi="Arial" w:eastAsia="Arial" w:cs="Arial"/>
        </w:rPr>
      </w:pPr>
    </w:p>
    <w:p w:rsidR="3ADD2205" w:rsidP="7DA010CF" w:rsidRDefault="3ADD2205" w14:paraId="68BE139C" w14:textId="6E969837">
      <w:pPr>
        <w:pStyle w:val="Normal"/>
        <w:spacing w:line="360" w:lineRule="auto"/>
        <w:jc w:val="both"/>
        <w:rPr>
          <w:rFonts w:ascii="Arial" w:hAnsi="Arial" w:eastAsia="Arial" w:cs="Arial"/>
          <w:b w:val="1"/>
          <w:bCs w:val="1"/>
        </w:rPr>
      </w:pPr>
      <w:r w:rsidRPr="7DA010CF" w:rsidR="3ADD2205">
        <w:rPr>
          <w:rFonts w:ascii="Arial" w:hAnsi="Arial" w:eastAsia="Arial" w:cs="Arial"/>
          <w:b w:val="1"/>
          <w:bCs w:val="1"/>
        </w:rPr>
        <w:t>4</w:t>
      </w:r>
      <w:r w:rsidRPr="7DA010CF" w:rsidR="7094A319">
        <w:rPr>
          <w:rFonts w:ascii="Arial" w:hAnsi="Arial" w:eastAsia="Arial" w:cs="Arial"/>
          <w:b w:val="1"/>
          <w:bCs w:val="1"/>
        </w:rPr>
        <w:t xml:space="preserve">. </w:t>
      </w:r>
      <w:r w:rsidRPr="7DA010CF" w:rsidR="34851E48">
        <w:rPr>
          <w:rFonts w:ascii="Arial" w:hAnsi="Arial" w:eastAsia="Arial" w:cs="Arial"/>
          <w:b w:val="1"/>
          <w:bCs w:val="1"/>
        </w:rPr>
        <w:t>Growth Potential</w:t>
      </w:r>
    </w:p>
    <w:p w:rsidR="3ACFEFF4" w:rsidP="7DA010CF" w:rsidRDefault="3ACFEFF4" w14:paraId="755C499D" w14:textId="75BA6CD2">
      <w:pPr>
        <w:pStyle w:val="Normal"/>
        <w:spacing w:line="360" w:lineRule="auto"/>
        <w:jc w:val="both"/>
        <w:rPr>
          <w:rFonts w:ascii="Arial" w:hAnsi="Arial" w:eastAsia="Arial" w:cs="Arial"/>
          <w:b w:val="1"/>
          <w:bCs w:val="1"/>
        </w:rPr>
      </w:pPr>
      <w:r w:rsidRPr="7DA010CF" w:rsidR="3ACFEFF4">
        <w:rPr>
          <w:rFonts w:ascii="Arial" w:hAnsi="Arial" w:eastAsia="Arial" w:cs="Arial"/>
          <w:b w:val="1"/>
          <w:bCs w:val="1"/>
        </w:rPr>
        <w:t>4</w:t>
      </w:r>
      <w:r w:rsidRPr="7DA010CF" w:rsidR="365F1DD3">
        <w:rPr>
          <w:rFonts w:ascii="Arial" w:hAnsi="Arial" w:eastAsia="Arial" w:cs="Arial"/>
          <w:b w:val="1"/>
          <w:bCs w:val="1"/>
        </w:rPr>
        <w:t xml:space="preserve">.1 </w:t>
      </w:r>
      <w:r w:rsidRPr="7DA010CF" w:rsidR="44362648">
        <w:rPr>
          <w:rFonts w:ascii="Arial" w:hAnsi="Arial" w:eastAsia="Arial" w:cs="Arial"/>
          <w:b w:val="1"/>
          <w:bCs w:val="1"/>
        </w:rPr>
        <w:t>Expansion strategies</w:t>
      </w:r>
    </w:p>
    <w:p w:rsidR="036C277C" w:rsidP="7DA010CF" w:rsidRDefault="036C277C" w14:paraId="11577BB0" w14:textId="6D976F1C">
      <w:pPr>
        <w:pStyle w:val="Normal"/>
        <w:spacing w:line="360" w:lineRule="auto"/>
        <w:jc w:val="both"/>
        <w:rPr>
          <w:rFonts w:ascii="Arial" w:hAnsi="Arial" w:eastAsia="Arial" w:cs="Arial"/>
        </w:rPr>
      </w:pPr>
      <w:r w:rsidRPr="7DA010CF" w:rsidR="036C277C">
        <w:rPr>
          <w:rFonts w:ascii="Arial" w:hAnsi="Arial" w:eastAsia="Arial" w:cs="Arial"/>
        </w:rPr>
        <w:t>Most strategic management frameworks have traditionally focused on manufacturing industries. However, the global service industry, particularly in hospitality, requires distinct strategic considerations based on the nature of service activities in developing versus advanced economies (</w:t>
      </w:r>
      <w:r w:rsidRPr="7DA010CF" w:rsidR="036C277C">
        <w:rPr>
          <w:rFonts w:ascii="Arial" w:hAnsi="Arial" w:eastAsia="Arial" w:cs="Arial"/>
          <w:noProof w:val="0"/>
          <w:sz w:val="24"/>
          <w:szCs w:val="24"/>
          <w:lang w:val="en-US"/>
        </w:rPr>
        <w:t>Campbell and Faulkner,2006, pp.</w:t>
      </w:r>
      <w:r w:rsidRPr="7DA010CF" w:rsidR="76BCA3A1">
        <w:rPr>
          <w:rFonts w:ascii="Arial" w:hAnsi="Arial" w:eastAsia="Arial" w:cs="Arial"/>
          <w:noProof w:val="0"/>
          <w:sz w:val="24"/>
          <w:szCs w:val="24"/>
          <w:lang w:val="en-US"/>
        </w:rPr>
        <w:t xml:space="preserve"> 472–506</w:t>
      </w:r>
      <w:r w:rsidRPr="7DA010CF" w:rsidR="036C277C">
        <w:rPr>
          <w:rFonts w:ascii="Arial" w:hAnsi="Arial" w:eastAsia="Arial" w:cs="Arial"/>
          <w:noProof w:val="0"/>
          <w:sz w:val="24"/>
          <w:szCs w:val="24"/>
          <w:lang w:val="en-US"/>
        </w:rPr>
        <w:t>)</w:t>
      </w:r>
      <w:r w:rsidRPr="7DA010CF" w:rsidR="6B826807">
        <w:rPr>
          <w:rFonts w:ascii="Arial" w:hAnsi="Arial" w:eastAsia="Arial" w:cs="Arial"/>
          <w:noProof w:val="0"/>
          <w:sz w:val="24"/>
          <w:szCs w:val="24"/>
          <w:lang w:val="en-US"/>
        </w:rPr>
        <w:t>.</w:t>
      </w:r>
      <w:r w:rsidRPr="7DA010CF" w:rsidR="036C277C">
        <w:rPr>
          <w:rFonts w:ascii="Arial" w:hAnsi="Arial" w:eastAsia="Arial" w:cs="Arial"/>
        </w:rPr>
        <w:t xml:space="preserve"> For instance, Shangri-La Hotels, with its focus on luxury and personalized service, and Premier Inn, catering to budget-conscious travelers, each leverage different segments of the service sector. The hospitality industry encompasses a wide range of services, including hotels, restaurants, transport, and professional services. This diversity presents significant growth opportunities for both Shangri-La and Premier Inn, as they can tailor their offerings to meet various market demands. Understanding these distinctions can help both organizations </w:t>
      </w:r>
      <w:r w:rsidRPr="7DA010CF" w:rsidR="036C277C">
        <w:rPr>
          <w:rFonts w:ascii="Arial" w:hAnsi="Arial" w:eastAsia="Arial" w:cs="Arial"/>
        </w:rPr>
        <w:t>identify</w:t>
      </w:r>
      <w:r w:rsidRPr="7DA010CF" w:rsidR="036C277C">
        <w:rPr>
          <w:rFonts w:ascii="Arial" w:hAnsi="Arial" w:eastAsia="Arial" w:cs="Arial"/>
        </w:rPr>
        <w:t xml:space="preserve"> strategic initiatives that align with market trends and consumer preferences, enhancing their growth potential in both established and emerging markets.</w:t>
      </w:r>
    </w:p>
    <w:p w:rsidR="6F32C2E7" w:rsidP="7DA010CF" w:rsidRDefault="6F32C2E7" w14:paraId="61E8485C" w14:textId="5C45B6D5">
      <w:pPr>
        <w:spacing w:line="360" w:lineRule="auto"/>
        <w:jc w:val="both"/>
        <w:rPr>
          <w:rFonts w:ascii="Arial" w:hAnsi="Arial" w:eastAsia="Arial" w:cs="Arial"/>
          <w:b w:val="1"/>
          <w:bCs w:val="1"/>
        </w:rPr>
      </w:pPr>
      <w:r w:rsidRPr="7DA010CF" w:rsidR="6F32C2E7">
        <w:rPr>
          <w:rFonts w:ascii="Arial" w:hAnsi="Arial" w:eastAsia="Arial" w:cs="Arial"/>
          <w:b w:val="1"/>
          <w:bCs w:val="1"/>
        </w:rPr>
        <w:t>4</w:t>
      </w:r>
      <w:r w:rsidRPr="7DA010CF" w:rsidR="67CFFF6D">
        <w:rPr>
          <w:rFonts w:ascii="Arial" w:hAnsi="Arial" w:eastAsia="Arial" w:cs="Arial"/>
          <w:b w:val="1"/>
          <w:bCs w:val="1"/>
        </w:rPr>
        <w:t xml:space="preserve">.2 </w:t>
      </w:r>
      <w:r w:rsidRPr="7DA010CF" w:rsidR="007E32EC">
        <w:rPr>
          <w:rFonts w:ascii="Arial" w:hAnsi="Arial" w:eastAsia="Arial" w:cs="Arial"/>
          <w:b w:val="1"/>
          <w:bCs w:val="1"/>
        </w:rPr>
        <w:t>Market opportunities</w:t>
      </w:r>
    </w:p>
    <w:p w:rsidR="63C81E0E" w:rsidP="7DA010CF" w:rsidRDefault="63C81E0E" w14:paraId="6D725BF7" w14:textId="46E6A0A2">
      <w:pPr>
        <w:spacing w:line="360" w:lineRule="auto"/>
        <w:jc w:val="both"/>
        <w:rPr>
          <w:rFonts w:ascii="Arial" w:hAnsi="Arial" w:eastAsia="Arial" w:cs="Arial"/>
        </w:rPr>
      </w:pPr>
      <w:r w:rsidRPr="7DA010CF" w:rsidR="63C81E0E">
        <w:rPr>
          <w:rFonts w:ascii="Arial" w:hAnsi="Arial" w:eastAsia="Arial" w:cs="Arial"/>
        </w:rPr>
        <w:t xml:space="preserve">According to </w:t>
      </w:r>
      <w:r w:rsidRPr="7DA010CF" w:rsidR="69463595">
        <w:rPr>
          <w:rFonts w:ascii="Arial" w:hAnsi="Arial" w:eastAsia="Arial" w:cs="Arial"/>
        </w:rPr>
        <w:t>De Lemos and Pinho (2020)</w:t>
      </w:r>
      <w:r w:rsidRPr="7DA010CF" w:rsidR="63C81E0E">
        <w:rPr>
          <w:rFonts w:ascii="Arial" w:hAnsi="Arial" w:eastAsia="Arial" w:cs="Arial"/>
        </w:rPr>
        <w:t xml:space="preserve">, the tourism sector is evolving towards new supply frameworks that focus on innovation, differentiation, and modernization. As a cross-cutting industry, it must adapt to the diverse preferences and demands of modern travelers, enhancing their experiences and creating new business opportunities. Current trends </w:t>
      </w:r>
      <w:r w:rsidRPr="7DA010CF" w:rsidR="63C81E0E">
        <w:rPr>
          <w:rFonts w:ascii="Arial" w:hAnsi="Arial" w:eastAsia="Arial" w:cs="Arial"/>
        </w:rPr>
        <w:t>indicate</w:t>
      </w:r>
      <w:r w:rsidRPr="7DA010CF" w:rsidR="63C81E0E">
        <w:rPr>
          <w:rFonts w:ascii="Arial" w:hAnsi="Arial" w:eastAsia="Arial" w:cs="Arial"/>
        </w:rPr>
        <w:t xml:space="preserve"> that consumer behaviors are rapidly changing, </w:t>
      </w:r>
      <w:r w:rsidRPr="7DA010CF" w:rsidR="63C81E0E">
        <w:rPr>
          <w:rFonts w:ascii="Arial" w:hAnsi="Arial" w:eastAsia="Arial" w:cs="Arial"/>
        </w:rPr>
        <w:t>largely influenced</w:t>
      </w:r>
      <w:r w:rsidRPr="7DA010CF" w:rsidR="63C81E0E">
        <w:rPr>
          <w:rFonts w:ascii="Arial" w:hAnsi="Arial" w:eastAsia="Arial" w:cs="Arial"/>
        </w:rPr>
        <w:t xml:space="preserve"> by technological advancements that enable better access to information and the use of digital marketing tools.</w:t>
      </w:r>
    </w:p>
    <w:p w:rsidR="63C81E0E" w:rsidP="7DA010CF" w:rsidRDefault="63C81E0E" w14:paraId="68EB7BAA" w14:textId="3CD93AA4">
      <w:pPr>
        <w:pStyle w:val="Normal"/>
        <w:spacing w:line="360" w:lineRule="auto"/>
        <w:jc w:val="both"/>
        <w:rPr>
          <w:rFonts w:ascii="Arial" w:hAnsi="Arial" w:eastAsia="Arial" w:cs="Arial"/>
        </w:rPr>
      </w:pPr>
      <w:r w:rsidRPr="7DA010CF" w:rsidR="63C81E0E">
        <w:rPr>
          <w:rFonts w:ascii="Arial" w:hAnsi="Arial" w:eastAsia="Arial" w:cs="Arial"/>
        </w:rPr>
        <w:t xml:space="preserve">For hospitality organizations like Shangri-La and Premier Inn, this shift presents significant market opportunities. The rise of social networks and digital platforms </w:t>
      </w:r>
      <w:r w:rsidRPr="7DA010CF" w:rsidR="63C81E0E">
        <w:rPr>
          <w:rFonts w:ascii="Arial" w:hAnsi="Arial" w:eastAsia="Arial" w:cs="Arial"/>
        </w:rPr>
        <w:t>facilitates</w:t>
      </w:r>
      <w:r w:rsidRPr="7DA010CF" w:rsidR="63C81E0E">
        <w:rPr>
          <w:rFonts w:ascii="Arial" w:hAnsi="Arial" w:eastAsia="Arial" w:cs="Arial"/>
        </w:rPr>
        <w:t xml:space="preserve"> the dissemination of services and brands, allowing these companies to reach new and traditional markets more effectively. By embracing tools such as Electronic Word-of-Mouth (</w:t>
      </w:r>
      <w:r w:rsidRPr="7DA010CF" w:rsidR="63C81E0E">
        <w:rPr>
          <w:rFonts w:ascii="Arial" w:hAnsi="Arial" w:eastAsia="Arial" w:cs="Arial"/>
        </w:rPr>
        <w:t>eWOM</w:t>
      </w:r>
      <w:r w:rsidRPr="7DA010CF" w:rsidR="63C81E0E">
        <w:rPr>
          <w:rFonts w:ascii="Arial" w:hAnsi="Arial" w:eastAsia="Arial" w:cs="Arial"/>
        </w:rPr>
        <w:t>) and social media, both Shangri-La and Premier Inn can redefine their marketing strategies to attract diverse target markets, thereby capitalizing on the dynamic nature of the tourism industry.</w:t>
      </w:r>
      <w:r w:rsidRPr="7DA010CF" w:rsidR="6DC7C8BC">
        <w:rPr>
          <w:rFonts w:ascii="Arial" w:hAnsi="Arial" w:eastAsia="Arial" w:cs="Arial"/>
        </w:rPr>
        <w:t xml:space="preserve"> </w:t>
      </w:r>
    </w:p>
    <w:p w:rsidR="6DC7C8BC" w:rsidP="7DA010CF" w:rsidRDefault="6DC7C8BC" w14:paraId="7BA2294D" w14:textId="05F54C81">
      <w:pPr>
        <w:pStyle w:val="Normal"/>
        <w:spacing w:line="360" w:lineRule="auto"/>
        <w:jc w:val="both"/>
        <w:rPr>
          <w:rFonts w:ascii="Arial" w:hAnsi="Arial" w:eastAsia="Arial" w:cs="Arial"/>
        </w:rPr>
      </w:pPr>
      <w:r w:rsidRPr="7DA010CF" w:rsidR="6DC7C8BC">
        <w:rPr>
          <w:rFonts w:ascii="Arial" w:hAnsi="Arial" w:eastAsia="Arial" w:cs="Arial"/>
        </w:rPr>
        <w:t xml:space="preserve">Regular training can be implemented for both hotels cited </w:t>
      </w:r>
      <w:r w:rsidRPr="7DA010CF" w:rsidR="4CE37FD3">
        <w:rPr>
          <w:rFonts w:ascii="Arial" w:hAnsi="Arial" w:eastAsia="Arial" w:cs="Arial"/>
        </w:rPr>
        <w:t xml:space="preserve">Feiertag (2019, p.610) </w:t>
      </w:r>
      <w:r w:rsidRPr="7DA010CF" w:rsidR="6DC7C8BC">
        <w:rPr>
          <w:rFonts w:ascii="Arial" w:hAnsi="Arial" w:eastAsia="Arial" w:cs="Arial"/>
        </w:rPr>
        <w:t>i</w:t>
      </w:r>
      <w:r w:rsidRPr="7DA010CF" w:rsidR="0F7430BB">
        <w:rPr>
          <w:rFonts w:ascii="Arial" w:hAnsi="Arial" w:eastAsia="Arial" w:cs="Arial"/>
        </w:rPr>
        <w:t xml:space="preserve">t is </w:t>
      </w:r>
      <w:r w:rsidRPr="7DA010CF" w:rsidR="6DC7C8BC">
        <w:rPr>
          <w:rFonts w:ascii="Arial" w:hAnsi="Arial" w:eastAsia="Arial" w:cs="Arial"/>
        </w:rPr>
        <w:t>essential for ensuring all staff members understand their role in enhancing guest satisfaction and driving sales. By fostering a culture of service excellence, employees at all levels</w:t>
      </w:r>
      <w:r w:rsidRPr="7DA010CF" w:rsidR="4EA9E8A0">
        <w:rPr>
          <w:rFonts w:ascii="Arial" w:hAnsi="Arial" w:eastAsia="Arial" w:cs="Arial"/>
        </w:rPr>
        <w:t>-</w:t>
      </w:r>
      <w:r w:rsidRPr="7DA010CF" w:rsidR="6DC7C8BC">
        <w:rPr>
          <w:rFonts w:ascii="Arial" w:hAnsi="Arial" w:eastAsia="Arial" w:cs="Arial"/>
        </w:rPr>
        <w:t>from housekeeping to front desk</w:t>
      </w:r>
      <w:r w:rsidRPr="7DA010CF" w:rsidR="6C90E585">
        <w:rPr>
          <w:rFonts w:ascii="Arial" w:hAnsi="Arial" w:eastAsia="Arial" w:cs="Arial"/>
        </w:rPr>
        <w:t>-</w:t>
      </w:r>
      <w:r w:rsidRPr="7DA010CF" w:rsidR="6DC7C8BC">
        <w:rPr>
          <w:rFonts w:ascii="Arial" w:hAnsi="Arial" w:eastAsia="Arial" w:cs="Arial"/>
        </w:rPr>
        <w:t>are equipped to create positive experiences that encourage repeat visits.</w:t>
      </w:r>
    </w:p>
    <w:p w:rsidR="7A9FF2B7" w:rsidP="7DA010CF" w:rsidRDefault="7A9FF2B7" w14:paraId="6D699498" w14:textId="67441E8A">
      <w:pPr>
        <w:spacing w:line="360" w:lineRule="auto"/>
        <w:jc w:val="both"/>
        <w:rPr>
          <w:rFonts w:ascii="Arial" w:hAnsi="Arial" w:eastAsia="Arial" w:cs="Arial"/>
          <w:b w:val="1"/>
          <w:bCs w:val="1"/>
        </w:rPr>
      </w:pPr>
      <w:r w:rsidRPr="7DA010CF" w:rsidR="7A9FF2B7">
        <w:rPr>
          <w:rFonts w:ascii="Arial" w:hAnsi="Arial" w:eastAsia="Arial" w:cs="Arial"/>
          <w:b w:val="1"/>
          <w:bCs w:val="1"/>
        </w:rPr>
        <w:t>4</w:t>
      </w:r>
      <w:r w:rsidRPr="7DA010CF" w:rsidR="2D76F2C3">
        <w:rPr>
          <w:rFonts w:ascii="Arial" w:hAnsi="Arial" w:eastAsia="Arial" w:cs="Arial"/>
          <w:b w:val="1"/>
          <w:bCs w:val="1"/>
        </w:rPr>
        <w:t xml:space="preserve">.3. </w:t>
      </w:r>
      <w:r w:rsidRPr="7DA010CF" w:rsidR="659BBDE8">
        <w:rPr>
          <w:rFonts w:ascii="Arial" w:hAnsi="Arial" w:eastAsia="Arial" w:cs="Arial"/>
          <w:b w:val="1"/>
          <w:bCs w:val="1"/>
        </w:rPr>
        <w:t>Potential barriers to growth</w:t>
      </w:r>
    </w:p>
    <w:p w:rsidR="5A57A2C5" w:rsidP="7DA010CF" w:rsidRDefault="5A57A2C5" w14:paraId="4D2A14B1" w14:textId="3077B72C">
      <w:pPr>
        <w:spacing w:line="360" w:lineRule="auto"/>
        <w:jc w:val="both"/>
        <w:rPr>
          <w:rFonts w:ascii="Arial" w:hAnsi="Arial" w:eastAsia="Arial" w:cs="Arial"/>
        </w:rPr>
      </w:pPr>
      <w:r w:rsidRPr="7DA010CF" w:rsidR="5A57A2C5">
        <w:rPr>
          <w:rFonts w:ascii="Arial" w:hAnsi="Arial" w:eastAsia="Arial" w:cs="Arial"/>
          <w:b w:val="1"/>
          <w:bCs w:val="1"/>
        </w:rPr>
        <w:t xml:space="preserve">• </w:t>
      </w:r>
      <w:r w:rsidRPr="7DA010CF" w:rsidR="3386F419">
        <w:rPr>
          <w:rFonts w:ascii="Arial" w:hAnsi="Arial" w:eastAsia="Arial" w:cs="Arial"/>
          <w:b w:val="1"/>
          <w:bCs w:val="1"/>
        </w:rPr>
        <w:t xml:space="preserve">Economic Factors: </w:t>
      </w:r>
      <w:r w:rsidRPr="7DA010CF" w:rsidR="3386F419">
        <w:rPr>
          <w:rFonts w:ascii="Arial" w:hAnsi="Arial" w:eastAsia="Arial" w:cs="Arial"/>
        </w:rPr>
        <w:t xml:space="preserve">Fluctuating economic conditions, such as fuel availability and economic uncertainty, can reduce hotel occupancy rates, particularly in roadside and suburban locations. For Shangri-La, these challenges could </w:t>
      </w:r>
      <w:r w:rsidRPr="7DA010CF" w:rsidR="3386F419">
        <w:rPr>
          <w:rFonts w:ascii="Arial" w:hAnsi="Arial" w:eastAsia="Arial" w:cs="Arial"/>
        </w:rPr>
        <w:t>impact</w:t>
      </w:r>
      <w:r w:rsidRPr="7DA010CF" w:rsidR="3386F419">
        <w:rPr>
          <w:rFonts w:ascii="Arial" w:hAnsi="Arial" w:eastAsia="Arial" w:cs="Arial"/>
        </w:rPr>
        <w:t xml:space="preserve"> its global luxury markets, while Premier Inn may face similar issues in its UK and European budget segments. To counter these, both hotels may </w:t>
      </w:r>
      <w:r w:rsidRPr="7DA010CF" w:rsidR="3386F419">
        <w:rPr>
          <w:rFonts w:ascii="Arial" w:hAnsi="Arial" w:eastAsia="Arial" w:cs="Arial"/>
        </w:rPr>
        <w:t>benefit</w:t>
      </w:r>
      <w:r w:rsidRPr="7DA010CF" w:rsidR="3386F419">
        <w:rPr>
          <w:rFonts w:ascii="Arial" w:hAnsi="Arial" w:eastAsia="Arial" w:cs="Arial"/>
        </w:rPr>
        <w:t xml:space="preserve"> from proactive sales efforts, such as hiring dedicated sales staff to attract new business during slow economic periods (Feiertag, 2019, p.</w:t>
      </w:r>
      <w:r w:rsidRPr="7DA010CF" w:rsidR="611ABD7D">
        <w:rPr>
          <w:rFonts w:ascii="Arial" w:hAnsi="Arial" w:eastAsia="Arial" w:cs="Arial"/>
        </w:rPr>
        <w:t>45, p.129</w:t>
      </w:r>
      <w:r w:rsidRPr="7DA010CF" w:rsidR="0E998979">
        <w:rPr>
          <w:rFonts w:ascii="Arial" w:hAnsi="Arial" w:eastAsia="Arial" w:cs="Arial"/>
        </w:rPr>
        <w:t xml:space="preserve">). </w:t>
      </w:r>
    </w:p>
    <w:p w:rsidR="29A43E5F" w:rsidP="7DA010CF" w:rsidRDefault="29A43E5F" w14:paraId="4D980738" w14:textId="37B57B51">
      <w:pPr>
        <w:spacing w:line="360" w:lineRule="auto"/>
        <w:jc w:val="both"/>
        <w:rPr>
          <w:rFonts w:ascii="Arial" w:hAnsi="Arial" w:eastAsia="Arial" w:cs="Arial"/>
        </w:rPr>
      </w:pPr>
      <w:r w:rsidRPr="7DA010CF" w:rsidR="29A43E5F">
        <w:rPr>
          <w:rFonts w:ascii="Arial" w:hAnsi="Arial" w:eastAsia="Arial" w:cs="Arial"/>
          <w:b w:val="1"/>
          <w:bCs w:val="1"/>
        </w:rPr>
        <w:t xml:space="preserve">• </w:t>
      </w:r>
      <w:r w:rsidRPr="7DA010CF" w:rsidR="0E998979">
        <w:rPr>
          <w:rFonts w:ascii="Arial" w:hAnsi="Arial" w:eastAsia="Arial" w:cs="Arial"/>
          <w:b w:val="1"/>
          <w:bCs w:val="1"/>
        </w:rPr>
        <w:t>Competitors and Barriers to Growth:</w:t>
      </w:r>
      <w:r w:rsidRPr="7DA010CF" w:rsidR="0E998979">
        <w:rPr>
          <w:rFonts w:ascii="Arial" w:hAnsi="Arial" w:eastAsia="Arial" w:cs="Arial"/>
        </w:rPr>
        <w:t xml:space="preserve"> In competitive markets, knowledge of competitors and customer needs is crucial for negotiating effectively. For Shangri-La and Premier Inn, understanding their strengths </w:t>
      </w:r>
      <w:r w:rsidRPr="7DA010CF" w:rsidR="0E998979">
        <w:rPr>
          <w:rFonts w:ascii="Arial" w:hAnsi="Arial" w:eastAsia="Arial" w:cs="Arial"/>
        </w:rPr>
        <w:t>relative</w:t>
      </w:r>
      <w:r w:rsidRPr="7DA010CF" w:rsidR="0E998979">
        <w:rPr>
          <w:rFonts w:ascii="Arial" w:hAnsi="Arial" w:eastAsia="Arial" w:cs="Arial"/>
        </w:rPr>
        <w:t xml:space="preserve"> to competitors-such as room size, facilities, or service quality-can help them tailor offerings to specific market segments. Sales teams at both hotels should conduct thorough product and competitive analyses to </w:t>
      </w:r>
      <w:r w:rsidRPr="7DA010CF" w:rsidR="0E998979">
        <w:rPr>
          <w:rFonts w:ascii="Arial" w:hAnsi="Arial" w:eastAsia="Arial" w:cs="Arial"/>
        </w:rPr>
        <w:t>identify</w:t>
      </w:r>
      <w:r w:rsidRPr="7DA010CF" w:rsidR="0E998979">
        <w:rPr>
          <w:rFonts w:ascii="Arial" w:hAnsi="Arial" w:eastAsia="Arial" w:cs="Arial"/>
        </w:rPr>
        <w:t xml:space="preserve"> areas where they outperform competitors or need improvement, which can help overcome barriers to growth (Feiertag, 2019, p.385). </w:t>
      </w:r>
    </w:p>
    <w:p w:rsidR="20189596" w:rsidP="7DA010CF" w:rsidRDefault="20189596" w14:paraId="3B5B2D29" w14:textId="43D8D363">
      <w:pPr>
        <w:spacing w:line="360" w:lineRule="auto"/>
        <w:jc w:val="both"/>
        <w:rPr>
          <w:rFonts w:ascii="Arial" w:hAnsi="Arial" w:eastAsia="Arial" w:cs="Arial"/>
          <w:b w:val="1"/>
          <w:bCs w:val="1"/>
        </w:rPr>
      </w:pPr>
      <w:r w:rsidRPr="7DA010CF" w:rsidR="20189596">
        <w:rPr>
          <w:rFonts w:ascii="Arial" w:hAnsi="Arial" w:eastAsia="Arial" w:cs="Arial"/>
          <w:b w:val="1"/>
          <w:bCs w:val="1"/>
        </w:rPr>
        <w:t>5</w:t>
      </w:r>
      <w:r w:rsidRPr="7DA010CF" w:rsidR="162E6BA7">
        <w:rPr>
          <w:rFonts w:ascii="Arial" w:hAnsi="Arial" w:eastAsia="Arial" w:cs="Arial"/>
          <w:b w:val="1"/>
          <w:bCs w:val="1"/>
        </w:rPr>
        <w:t xml:space="preserve">. </w:t>
      </w:r>
      <w:r w:rsidRPr="7DA010CF" w:rsidR="6C2F1A9E">
        <w:rPr>
          <w:rFonts w:ascii="Arial" w:hAnsi="Arial" w:eastAsia="Arial" w:cs="Arial"/>
          <w:b w:val="1"/>
          <w:bCs w:val="1"/>
        </w:rPr>
        <w:t>Financial Commitment to CSR (Corporate Social Responsibility):</w:t>
      </w:r>
    </w:p>
    <w:p w:rsidR="3B24CE81" w:rsidP="7DA010CF" w:rsidRDefault="3B24CE81" w14:paraId="4F51571A" w14:textId="48DBC280">
      <w:pPr>
        <w:spacing w:line="360" w:lineRule="auto"/>
        <w:jc w:val="both"/>
        <w:rPr>
          <w:rFonts w:ascii="Arial" w:hAnsi="Arial" w:eastAsia="Arial" w:cs="Arial"/>
        </w:rPr>
      </w:pPr>
      <w:r w:rsidRPr="7DA010CF" w:rsidR="3B24CE81">
        <w:rPr>
          <w:rFonts w:ascii="Arial" w:hAnsi="Arial" w:eastAsia="Arial" w:cs="Arial"/>
        </w:rPr>
        <w:t xml:space="preserve">Corporate Social Responsibility (CSR), also known as business ethics, corporate accountability, or corporate citizenship, involves integrating the interests of various stakeholders—customers, employees, suppliers, shareholders, communities, and the environment—into a company’s strategies. Caroll's 'Four-Part Model of CSR' emphasizes four levels of responsibility: economic (profitability), legal (compliance with laws), ethical (doing what is fair beyond legal requirements), and philanthropic (voluntary actions to </w:t>
      </w:r>
      <w:r w:rsidRPr="7DA010CF" w:rsidR="3B24CE81">
        <w:rPr>
          <w:rFonts w:ascii="Arial" w:hAnsi="Arial" w:eastAsia="Arial" w:cs="Arial"/>
        </w:rPr>
        <w:t>benefit</w:t>
      </w:r>
      <w:r w:rsidRPr="7DA010CF" w:rsidR="3B24CE81">
        <w:rPr>
          <w:rFonts w:ascii="Arial" w:hAnsi="Arial" w:eastAsia="Arial" w:cs="Arial"/>
        </w:rPr>
        <w:t xml:space="preserve"> society). CSR aligns with sustainable development and ensures companies consider the social and environmental impacts of their decisions in a transparent and ethical manner (</w:t>
      </w:r>
      <w:r w:rsidRPr="7DA010CF" w:rsidR="3463A017">
        <w:rPr>
          <w:rFonts w:ascii="Arial" w:hAnsi="Arial" w:eastAsia="Arial" w:cs="Arial"/>
        </w:rPr>
        <w:t>Legrand</w:t>
      </w:r>
      <w:r w:rsidRPr="7DA010CF" w:rsidR="49835783">
        <w:rPr>
          <w:rFonts w:ascii="Arial" w:hAnsi="Arial" w:eastAsia="Arial" w:cs="Arial"/>
        </w:rPr>
        <w:t xml:space="preserve"> and </w:t>
      </w:r>
      <w:r w:rsidRPr="7DA010CF" w:rsidR="2966681C">
        <w:rPr>
          <w:rFonts w:ascii="Arial" w:hAnsi="Arial" w:eastAsia="Arial" w:cs="Arial"/>
        </w:rPr>
        <w:t>Laeis</w:t>
      </w:r>
      <w:r w:rsidRPr="7DA010CF" w:rsidR="3B24CE81">
        <w:rPr>
          <w:rFonts w:ascii="Arial" w:hAnsi="Arial" w:eastAsia="Arial" w:cs="Arial"/>
        </w:rPr>
        <w:t>,</w:t>
      </w:r>
      <w:r w:rsidRPr="7DA010CF" w:rsidR="15EC36BF">
        <w:rPr>
          <w:rFonts w:ascii="Arial" w:hAnsi="Arial" w:eastAsia="Arial" w:cs="Arial"/>
        </w:rPr>
        <w:t xml:space="preserve"> 202</w:t>
      </w:r>
      <w:r w:rsidRPr="7DA010CF" w:rsidR="4AE8F852">
        <w:rPr>
          <w:rFonts w:ascii="Arial" w:hAnsi="Arial" w:eastAsia="Arial" w:cs="Arial"/>
        </w:rPr>
        <w:t>3</w:t>
      </w:r>
      <w:r w:rsidRPr="7DA010CF" w:rsidR="15EC36BF">
        <w:rPr>
          <w:rFonts w:ascii="Arial" w:hAnsi="Arial" w:eastAsia="Arial" w:cs="Arial"/>
        </w:rPr>
        <w:t>,</w:t>
      </w:r>
      <w:r w:rsidRPr="7DA010CF" w:rsidR="3B24CE81">
        <w:rPr>
          <w:rFonts w:ascii="Arial" w:hAnsi="Arial" w:eastAsia="Arial" w:cs="Arial"/>
        </w:rPr>
        <w:t xml:space="preserve"> pp.711-712)</w:t>
      </w:r>
      <w:r w:rsidRPr="7DA010CF" w:rsidR="2AF3CEE7">
        <w:rPr>
          <w:rFonts w:ascii="Arial" w:hAnsi="Arial" w:eastAsia="Arial" w:cs="Arial"/>
        </w:rPr>
        <w:t xml:space="preserve">. </w:t>
      </w:r>
    </w:p>
    <w:p w:rsidR="2907B10D" w:rsidP="7DA010CF" w:rsidRDefault="2907B10D" w14:paraId="686D13BE" w14:textId="70F679E3">
      <w:pPr>
        <w:spacing w:line="360" w:lineRule="auto"/>
        <w:jc w:val="both"/>
        <w:rPr>
          <w:rFonts w:ascii="Arial" w:hAnsi="Arial" w:eastAsia="Arial" w:cs="Arial"/>
        </w:rPr>
      </w:pPr>
      <w:r w:rsidRPr="7DA010CF" w:rsidR="2907B10D">
        <w:rPr>
          <w:rFonts w:ascii="Arial" w:hAnsi="Arial" w:eastAsia="Arial" w:cs="Arial"/>
        </w:rPr>
        <w:t>Shangri-</w:t>
      </w:r>
      <w:r w:rsidRPr="7DA010CF" w:rsidR="2907B10D">
        <w:rPr>
          <w:rFonts w:ascii="Arial" w:hAnsi="Arial" w:eastAsia="Arial" w:cs="Arial"/>
        </w:rPr>
        <w:t xml:space="preserve">La </w:t>
      </w:r>
      <w:r w:rsidRPr="7DA010CF" w:rsidR="1F2695DC">
        <w:rPr>
          <w:rFonts w:ascii="Arial" w:hAnsi="Arial" w:eastAsia="Arial" w:cs="Arial"/>
        </w:rPr>
        <w:t>In</w:t>
      </w:r>
      <w:r w:rsidRPr="7DA010CF" w:rsidR="1F2695DC">
        <w:rPr>
          <w:rFonts w:ascii="Arial" w:hAnsi="Arial" w:eastAsia="Arial" w:cs="Arial"/>
        </w:rPr>
        <w:t>ternational Hotel Management</w:t>
      </w:r>
      <w:r w:rsidRPr="7DA010CF" w:rsidR="2907B10D">
        <w:rPr>
          <w:rFonts w:ascii="Arial" w:hAnsi="Arial" w:eastAsia="Arial" w:cs="Arial"/>
        </w:rPr>
        <w:t xml:space="preserve"> (2024) is committed to Corporate Social Responsibility (CSR) by integrating economic, social, and environmental considerations into its operations. The CSR Committee oversees initiatives in stakeholder relations, environmental sustainability, health and safety, the supply chain, and employee welfare, reflecting the company’s aim to lead corporate citizenship and sustainable development.</w:t>
      </w:r>
    </w:p>
    <w:p w:rsidR="0FF2D4D1" w:rsidP="7DA010CF" w:rsidRDefault="0FF2D4D1" w14:paraId="0DD749A8" w14:textId="59800B7C">
      <w:pPr>
        <w:spacing w:line="360" w:lineRule="auto"/>
        <w:jc w:val="both"/>
        <w:rPr>
          <w:rFonts w:ascii="Arial" w:hAnsi="Arial" w:eastAsia="Arial" w:cs="Arial"/>
        </w:rPr>
      </w:pPr>
      <w:r w:rsidRPr="7DA010CF" w:rsidR="0FF2D4D1">
        <w:rPr>
          <w:rFonts w:ascii="Arial" w:hAnsi="Arial" w:eastAsia="Arial" w:cs="Arial"/>
        </w:rPr>
        <w:t xml:space="preserve">According to Whitbread PLC ESG Report (2023/24) Premier Inn’s Corporate Accountability Report emphasizes its "Force for Good" initiative, focusing on three pillars: Opportunity for team development and inclusivity, Community engagement to positively </w:t>
      </w:r>
      <w:r w:rsidRPr="7DA010CF" w:rsidR="0FF2D4D1">
        <w:rPr>
          <w:rFonts w:ascii="Arial" w:hAnsi="Arial" w:eastAsia="Arial" w:cs="Arial"/>
        </w:rPr>
        <w:t>impact</w:t>
      </w:r>
      <w:r w:rsidRPr="7DA010CF" w:rsidR="0FF2D4D1">
        <w:rPr>
          <w:rFonts w:ascii="Arial" w:hAnsi="Arial" w:eastAsia="Arial" w:cs="Arial"/>
        </w:rPr>
        <w:t xml:space="preserve"> local areas, and Responsibility through ethical sourcing and environmental stewardship, all aligned with Whitbread’s strategic goals for long-term success. </w:t>
      </w:r>
    </w:p>
    <w:p w:rsidR="746E74DD" w:rsidP="7DA010CF" w:rsidRDefault="746E74DD" w14:paraId="57EE5E64" w14:textId="6CC7E08E">
      <w:pPr>
        <w:spacing w:line="360" w:lineRule="auto"/>
        <w:jc w:val="both"/>
        <w:rPr>
          <w:rFonts w:ascii="Arial" w:hAnsi="Arial" w:eastAsia="Arial" w:cs="Arial"/>
          <w:b w:val="1"/>
          <w:bCs w:val="1"/>
        </w:rPr>
      </w:pPr>
      <w:r w:rsidRPr="7DA010CF" w:rsidR="746E74DD">
        <w:rPr>
          <w:rFonts w:ascii="Arial" w:hAnsi="Arial" w:eastAsia="Arial" w:cs="Arial"/>
          <w:b w:val="1"/>
          <w:bCs w:val="1"/>
        </w:rPr>
        <w:t>6</w:t>
      </w:r>
      <w:r w:rsidRPr="7DA010CF" w:rsidR="3DEC0AEE">
        <w:rPr>
          <w:rFonts w:ascii="Arial" w:hAnsi="Arial" w:eastAsia="Arial" w:cs="Arial"/>
          <w:b w:val="1"/>
          <w:bCs w:val="1"/>
        </w:rPr>
        <w:t xml:space="preserve">. </w:t>
      </w:r>
      <w:r w:rsidRPr="7DA010CF" w:rsidR="36EBED0B">
        <w:rPr>
          <w:rFonts w:ascii="Arial" w:hAnsi="Arial" w:eastAsia="Arial" w:cs="Arial"/>
          <w:b w:val="1"/>
          <w:bCs w:val="1"/>
        </w:rPr>
        <w:t>Conclusion</w:t>
      </w:r>
    </w:p>
    <w:p w:rsidR="1F24DF5C" w:rsidP="7DA010CF" w:rsidRDefault="1F24DF5C" w14:paraId="26B44397" w14:textId="6E05B467">
      <w:pPr>
        <w:spacing w:line="360" w:lineRule="auto"/>
        <w:jc w:val="both"/>
        <w:rPr>
          <w:rFonts w:ascii="Arial" w:hAnsi="Arial" w:eastAsia="Arial" w:cs="Arial"/>
        </w:rPr>
      </w:pPr>
      <w:r w:rsidRPr="7DA010CF" w:rsidR="1F24DF5C">
        <w:rPr>
          <w:rFonts w:ascii="Arial" w:hAnsi="Arial" w:eastAsia="Arial" w:cs="Arial"/>
        </w:rPr>
        <w:t>In conclusion, the financial management strategies of Shangri-La Hotels and Premier Inn Hotels highlight their unique approaches within the hospitality industry. Shangri-La, with its focus on luxury and sustainability, has shown resilience and recovery post-pandemic, emphasizing high-end service and responsible business practices. Premier Inn, meanwhile, has maintained steady growth by catering to budget-conscious travelers while emphasizing sustainability through its "Force for Good" initiative.</w:t>
      </w:r>
    </w:p>
    <w:p w:rsidR="1F24DF5C" w:rsidP="7DA010CF" w:rsidRDefault="1F24DF5C" w14:paraId="10EDE29D" w14:textId="72D84B12">
      <w:pPr>
        <w:pStyle w:val="Normal"/>
        <w:spacing w:line="360" w:lineRule="auto"/>
        <w:jc w:val="both"/>
      </w:pPr>
      <w:r w:rsidRPr="7DA010CF" w:rsidR="1F24DF5C">
        <w:rPr>
          <w:rFonts w:ascii="Arial" w:hAnsi="Arial" w:eastAsia="Arial" w:cs="Arial"/>
        </w:rPr>
        <w:t>Both hotels demonstrate adaptability in integrating Corporate Social Responsibility (CSR) into their business models, contributing to long-term financial health and customer loyalty. While Shangri-La leverages its global luxury positioning to enhance customer experiences and environmental responsibility, Premier Inn capitalizes on its market-leading presence in the UK with affordable, quality accommodation and community engagement.</w:t>
      </w:r>
    </w:p>
    <w:p w:rsidR="1F24DF5C" w:rsidP="7DA010CF" w:rsidRDefault="1F24DF5C" w14:paraId="0730F3D7" w14:textId="14B97A49">
      <w:pPr>
        <w:pStyle w:val="Normal"/>
        <w:spacing w:line="360" w:lineRule="auto"/>
        <w:jc w:val="both"/>
      </w:pPr>
      <w:r w:rsidRPr="7DA010CF" w:rsidR="1F24DF5C">
        <w:rPr>
          <w:rFonts w:ascii="Arial" w:hAnsi="Arial" w:eastAsia="Arial" w:cs="Arial"/>
        </w:rPr>
        <w:t>Recommendations for both hotels include continuing to enhance digital marketing strategies, leveraging tools such as MPI Net for cost-effective customer engagement and networking. By aligning their financial and sustainability goals, both Shangri-La and Premier Inn can achieve greater operational efficiency, strengthen their market positions, and ensure sustained profitability.</w:t>
      </w:r>
    </w:p>
    <w:p w:rsidR="7DA010CF" w:rsidP="7DA010CF" w:rsidRDefault="7DA010CF" w14:paraId="36EF118C" w14:textId="1446F313">
      <w:pPr>
        <w:spacing w:line="360" w:lineRule="auto"/>
        <w:jc w:val="both"/>
        <w:rPr>
          <w:rFonts w:ascii="Arial" w:hAnsi="Arial" w:eastAsia="Arial" w:cs="Arial"/>
        </w:rPr>
      </w:pPr>
    </w:p>
    <w:p w:rsidR="0C054476" w:rsidP="7DA010CF" w:rsidRDefault="0C054476" w14:paraId="26627C56" w14:textId="14A5D745">
      <w:pPr>
        <w:spacing w:line="360" w:lineRule="auto"/>
        <w:jc w:val="both"/>
        <w:rPr>
          <w:rFonts w:ascii="Arial" w:hAnsi="Arial" w:eastAsia="Arial" w:cs="Arial"/>
          <w:b w:val="1"/>
          <w:bCs w:val="1"/>
        </w:rPr>
      </w:pPr>
      <w:r w:rsidRPr="7DA010CF" w:rsidR="0C054476">
        <w:rPr>
          <w:rFonts w:ascii="Arial" w:hAnsi="Arial" w:eastAsia="Arial" w:cs="Arial"/>
          <w:b w:val="1"/>
          <w:bCs w:val="1"/>
        </w:rPr>
        <w:t>7</w:t>
      </w:r>
      <w:r w:rsidRPr="7DA010CF" w:rsidR="3123F45B">
        <w:rPr>
          <w:rFonts w:ascii="Arial" w:hAnsi="Arial" w:eastAsia="Arial" w:cs="Arial"/>
          <w:b w:val="1"/>
          <w:bCs w:val="1"/>
        </w:rPr>
        <w:t xml:space="preserve">. </w:t>
      </w:r>
      <w:r w:rsidRPr="7DA010CF" w:rsidR="36EBED0B">
        <w:rPr>
          <w:rFonts w:ascii="Arial" w:hAnsi="Arial" w:eastAsia="Arial" w:cs="Arial"/>
          <w:b w:val="1"/>
          <w:bCs w:val="1"/>
        </w:rPr>
        <w:t xml:space="preserve">Recommendations </w:t>
      </w:r>
      <w:r w:rsidRPr="7DA010CF" w:rsidR="36EBED0B">
        <w:rPr>
          <w:rFonts w:ascii="Arial" w:hAnsi="Arial" w:eastAsia="Arial" w:cs="Arial"/>
          <w:b w:val="1"/>
          <w:bCs w:val="1"/>
        </w:rPr>
        <w:t xml:space="preserve"> </w:t>
      </w:r>
    </w:p>
    <w:p w:rsidR="7245F9C9" w:rsidP="7DA010CF" w:rsidRDefault="7245F9C9" w14:paraId="55C51B41" w14:textId="2B8DCC1E">
      <w:pPr>
        <w:spacing w:line="360" w:lineRule="auto"/>
        <w:jc w:val="both"/>
        <w:rPr>
          <w:rFonts w:ascii="Arial" w:hAnsi="Arial" w:eastAsia="Arial" w:cs="Arial"/>
        </w:rPr>
      </w:pPr>
      <w:r w:rsidRPr="7DA010CF" w:rsidR="7245F9C9">
        <w:rPr>
          <w:rFonts w:ascii="Arial" w:hAnsi="Arial" w:eastAsia="Arial" w:cs="Arial"/>
        </w:rPr>
        <w:t xml:space="preserve">According to Legrand and </w:t>
      </w:r>
      <w:r w:rsidRPr="7DA010CF" w:rsidR="7245F9C9">
        <w:rPr>
          <w:rFonts w:ascii="Arial" w:hAnsi="Arial" w:eastAsia="Arial" w:cs="Arial"/>
        </w:rPr>
        <w:t xml:space="preserve">Laeis </w:t>
      </w:r>
      <w:r w:rsidRPr="7DA010CF" w:rsidR="7245F9C9">
        <w:rPr>
          <w:rFonts w:ascii="Arial" w:hAnsi="Arial" w:eastAsia="Arial" w:cs="Arial"/>
        </w:rPr>
        <w:t>(2023, p.561), i</w:t>
      </w:r>
      <w:r w:rsidRPr="7DA010CF" w:rsidR="7E3B3B5C">
        <w:rPr>
          <w:rFonts w:ascii="Arial" w:hAnsi="Arial" w:eastAsia="Arial" w:cs="Arial"/>
        </w:rPr>
        <w:t xml:space="preserve">n today's competitive hospitality industry, </w:t>
      </w:r>
      <w:r w:rsidRPr="7DA010CF" w:rsidR="7E3B3B5C">
        <w:rPr>
          <w:rFonts w:ascii="Arial" w:hAnsi="Arial" w:eastAsia="Arial" w:cs="Arial"/>
        </w:rPr>
        <w:t>financial management</w:t>
      </w:r>
      <w:r w:rsidRPr="7DA010CF" w:rsidR="7E3B3B5C">
        <w:rPr>
          <w:rFonts w:ascii="Arial" w:hAnsi="Arial" w:eastAsia="Arial" w:cs="Arial"/>
        </w:rPr>
        <w:t xml:space="preserve"> strategies increasingly emphasize sustainability, transparency, and long-term value creation. Both Shangri-La Hotels and Premier Inn Hotels face market pressures to </w:t>
      </w:r>
      <w:r w:rsidRPr="7DA010CF" w:rsidR="7E3B3B5C">
        <w:rPr>
          <w:rFonts w:ascii="Arial" w:hAnsi="Arial" w:eastAsia="Arial" w:cs="Arial"/>
        </w:rPr>
        <w:t>demonstrate</w:t>
      </w:r>
      <w:r w:rsidRPr="7DA010CF" w:rsidR="7E3B3B5C">
        <w:rPr>
          <w:rFonts w:ascii="Arial" w:hAnsi="Arial" w:eastAsia="Arial" w:cs="Arial"/>
        </w:rPr>
        <w:t xml:space="preserve"> social and environmental responsibility while </w:t>
      </w:r>
      <w:r w:rsidRPr="7DA010CF" w:rsidR="7E3B3B5C">
        <w:rPr>
          <w:rFonts w:ascii="Arial" w:hAnsi="Arial" w:eastAsia="Arial" w:cs="Arial"/>
        </w:rPr>
        <w:t>maintaining</w:t>
      </w:r>
      <w:r w:rsidRPr="7DA010CF" w:rsidR="7E3B3B5C">
        <w:rPr>
          <w:rFonts w:ascii="Arial" w:hAnsi="Arial" w:eastAsia="Arial" w:cs="Arial"/>
        </w:rPr>
        <w:t xml:space="preserve"> financial performance. As described in the broader context of corporate sustainability, companies are driven by the need to adopt green practices, often tempted by short-term financial gains from greenwashing. However, long-term success depends on developing well-rounded strategies that integrate the triple bottom line: economic, social, and environmental performance.</w:t>
      </w:r>
    </w:p>
    <w:p w:rsidR="7E3B3B5C" w:rsidP="7DA010CF" w:rsidRDefault="7E3B3B5C" w14:paraId="0C56B915" w14:textId="2A8752D2">
      <w:pPr>
        <w:pStyle w:val="Normal"/>
        <w:spacing w:line="360" w:lineRule="auto"/>
        <w:jc w:val="both"/>
        <w:rPr>
          <w:rFonts w:ascii="Arial" w:hAnsi="Arial" w:eastAsia="Arial" w:cs="Arial"/>
        </w:rPr>
      </w:pPr>
      <w:r w:rsidRPr="7DA010CF" w:rsidR="7E3B3B5C">
        <w:rPr>
          <w:rFonts w:ascii="Arial" w:hAnsi="Arial" w:eastAsia="Arial" w:cs="Arial"/>
        </w:rPr>
        <w:t xml:space="preserve">Shangri-La Hotels, with its luxury positioning, has focused on high-impact sustainability initiatives such as biodiversity conservation and community engagement. On the other hand, Premier Inn Hotels, part of Whitbread PLC, emphasizes energy efficiency and waste reduction, aligning with its budget-conscious operational model. Both companies reflect the growing trend in the hospitality industry to merge economic performance with social and environmental responsibilities, moving toward unified sustainability reporting to capture the full scope of their impact. </w:t>
      </w:r>
      <w:r w:rsidRPr="7DA010CF" w:rsidR="18CADC0F">
        <w:rPr>
          <w:rFonts w:ascii="Arial" w:hAnsi="Arial" w:eastAsia="Arial" w:cs="Arial"/>
        </w:rPr>
        <w:t xml:space="preserve">(Legrand and </w:t>
      </w:r>
      <w:r w:rsidRPr="7DA010CF" w:rsidR="18CADC0F">
        <w:rPr>
          <w:rFonts w:ascii="Arial" w:hAnsi="Arial" w:eastAsia="Arial" w:cs="Arial"/>
        </w:rPr>
        <w:t>Laeis</w:t>
      </w:r>
      <w:r w:rsidRPr="7DA010CF" w:rsidR="18CADC0F">
        <w:rPr>
          <w:rFonts w:ascii="Arial" w:hAnsi="Arial" w:eastAsia="Arial" w:cs="Arial"/>
        </w:rPr>
        <w:t xml:space="preserve">, </w:t>
      </w:r>
      <w:r w:rsidRPr="7DA010CF" w:rsidR="59665C42">
        <w:rPr>
          <w:rFonts w:ascii="Arial" w:hAnsi="Arial" w:eastAsia="Arial" w:cs="Arial"/>
        </w:rPr>
        <w:t>2023,</w:t>
      </w:r>
      <w:r w:rsidRPr="7DA010CF" w:rsidR="7E3B3B5C">
        <w:rPr>
          <w:rFonts w:ascii="Arial" w:hAnsi="Arial" w:eastAsia="Arial" w:cs="Arial"/>
        </w:rPr>
        <w:t xml:space="preserve"> </w:t>
      </w:r>
      <w:r w:rsidRPr="7DA010CF" w:rsidR="379D96BE">
        <w:rPr>
          <w:rFonts w:ascii="Arial" w:hAnsi="Arial" w:eastAsia="Arial" w:cs="Arial"/>
        </w:rPr>
        <w:t>p.682, p.</w:t>
      </w:r>
      <w:r w:rsidRPr="7DA010CF" w:rsidR="7E3B3B5C">
        <w:rPr>
          <w:rFonts w:ascii="Arial" w:hAnsi="Arial" w:eastAsia="Arial" w:cs="Arial"/>
        </w:rPr>
        <w:t xml:space="preserve"> 683</w:t>
      </w:r>
      <w:r w:rsidRPr="7DA010CF" w:rsidR="78FE10BB">
        <w:rPr>
          <w:rFonts w:ascii="Arial" w:hAnsi="Arial" w:eastAsia="Arial" w:cs="Arial"/>
        </w:rPr>
        <w:t>).</w:t>
      </w:r>
    </w:p>
    <w:p w:rsidR="327BAB9E" w:rsidP="7DA010CF" w:rsidRDefault="327BAB9E" w14:paraId="1968602C" w14:textId="415B703A">
      <w:pPr>
        <w:spacing w:line="360" w:lineRule="auto"/>
        <w:jc w:val="both"/>
        <w:rPr>
          <w:rFonts w:ascii="Arial" w:hAnsi="Arial" w:eastAsia="Arial" w:cs="Arial"/>
        </w:rPr>
      </w:pPr>
      <w:r w:rsidRPr="7DA010CF" w:rsidR="327BAB9E">
        <w:rPr>
          <w:rFonts w:ascii="Arial" w:hAnsi="Arial" w:eastAsia="Arial" w:cs="Arial"/>
        </w:rPr>
        <w:t xml:space="preserve">Both Shangri-La and Premier Inn empower employees to lead sustainability efforts, with regular training and feedback driving efficiency, financial returns, and improved reputation. Engaged staff enhance adaptability, making this strategy vital for long-term success (Legrand and </w:t>
      </w:r>
      <w:r w:rsidRPr="7DA010CF" w:rsidR="327BAB9E">
        <w:rPr>
          <w:rFonts w:ascii="Arial" w:hAnsi="Arial" w:eastAsia="Arial" w:cs="Arial"/>
        </w:rPr>
        <w:t>Laeis</w:t>
      </w:r>
      <w:r w:rsidRPr="7DA010CF" w:rsidR="327BAB9E">
        <w:rPr>
          <w:rFonts w:ascii="Arial" w:hAnsi="Arial" w:eastAsia="Arial" w:cs="Arial"/>
        </w:rPr>
        <w:t xml:space="preserve">, </w:t>
      </w:r>
      <w:r w:rsidRPr="7DA010CF" w:rsidR="327BAB9E">
        <w:rPr>
          <w:rFonts w:ascii="Arial" w:hAnsi="Arial" w:eastAsia="Arial" w:cs="Arial"/>
        </w:rPr>
        <w:t xml:space="preserve"> 2023, p.363).</w:t>
      </w:r>
    </w:p>
    <w:p w:rsidR="586B98D2" w:rsidP="7DA010CF" w:rsidRDefault="586B98D2" w14:paraId="024EE865" w14:textId="7BD59444">
      <w:pPr>
        <w:spacing w:line="360" w:lineRule="auto"/>
        <w:jc w:val="both"/>
        <w:rPr>
          <w:rFonts w:ascii="Arial" w:hAnsi="Arial" w:eastAsia="Arial" w:cs="Arial"/>
        </w:rPr>
      </w:pPr>
      <w:r w:rsidRPr="7DA010CF" w:rsidR="586B98D2">
        <w:rPr>
          <w:rFonts w:ascii="Arial" w:hAnsi="Arial" w:eastAsia="Arial" w:cs="Arial"/>
        </w:rPr>
        <w:t>Leveraging MPI Net for hospitality sales and digital marketing. Conference Works. Digital tools such as email and message boards have proven to be effective for prospecting, client engagement, and networking, allowing hospitality professionals to efficiently exchange information, develop relationships, and secure leads at a lower cost</w:t>
      </w:r>
      <w:r w:rsidRPr="7DA010CF" w:rsidR="360772EE">
        <w:rPr>
          <w:rFonts w:ascii="Arial" w:hAnsi="Arial" w:eastAsia="Arial" w:cs="Arial"/>
        </w:rPr>
        <w:t xml:space="preserve"> (Feiertag,2020,</w:t>
      </w:r>
      <w:r w:rsidRPr="7DA010CF" w:rsidR="586B98D2">
        <w:rPr>
          <w:rFonts w:ascii="Arial" w:hAnsi="Arial" w:eastAsia="Arial" w:cs="Arial"/>
        </w:rPr>
        <w:t xml:space="preserve"> p.342). </w:t>
      </w:r>
    </w:p>
    <w:p w:rsidR="7DA010CF" w:rsidP="7DA010CF" w:rsidRDefault="7DA010CF" w14:paraId="78634844" w14:textId="5323BA9B">
      <w:pPr>
        <w:spacing w:line="360" w:lineRule="auto"/>
        <w:jc w:val="both"/>
        <w:rPr>
          <w:rFonts w:ascii="Arial" w:hAnsi="Arial" w:eastAsia="Arial" w:cs="Arial"/>
        </w:rPr>
      </w:pPr>
    </w:p>
    <w:p w:rsidR="7DA010CF" w:rsidRDefault="7DA010CF" w14:paraId="0A2DFF87" w14:textId="7F05DF91"/>
    <w:p w:rsidR="3E08E8A7" w:rsidP="7DA010CF" w:rsidRDefault="3E08E8A7" w14:paraId="54C6B16D" w14:textId="1BE0E09C">
      <w:pPr>
        <w:spacing w:line="360" w:lineRule="auto"/>
        <w:jc w:val="both"/>
        <w:rPr>
          <w:rFonts w:ascii="Arial" w:hAnsi="Arial" w:eastAsia="Arial" w:cs="Arial"/>
          <w:b w:val="1"/>
          <w:bCs w:val="1"/>
        </w:rPr>
      </w:pPr>
      <w:r w:rsidRPr="7DA010CF" w:rsidR="3E08E8A7">
        <w:rPr>
          <w:rFonts w:ascii="Arial" w:hAnsi="Arial" w:eastAsia="Arial" w:cs="Arial"/>
          <w:b w:val="1"/>
          <w:bCs w:val="1"/>
        </w:rPr>
        <w:t xml:space="preserve">8. Reference List: </w:t>
      </w:r>
    </w:p>
    <w:p w:rsidR="0F61EE08" w:rsidP="7DA010CF" w:rsidRDefault="0F61EE08" w14:paraId="45A0372A" w14:textId="66042AC3">
      <w:pPr>
        <w:spacing w:line="360" w:lineRule="auto"/>
        <w:jc w:val="both"/>
        <w:rPr>
          <w:rFonts w:ascii="Arial" w:hAnsi="Arial" w:eastAsia="Arial" w:cs="Arial"/>
        </w:rPr>
      </w:pPr>
      <w:r w:rsidRPr="7DA010CF" w:rsidR="0F61EE08">
        <w:rPr>
          <w:rFonts w:ascii="Arial" w:hAnsi="Arial" w:eastAsia="Arial" w:cs="Arial"/>
        </w:rPr>
        <w:t xml:space="preserve">1. De Lemos, F. F., Vieira, D., &amp; Pinho, T. (2020). </w:t>
      </w:r>
      <w:r w:rsidRPr="7DA010CF" w:rsidR="0F61EE08">
        <w:rPr>
          <w:rFonts w:ascii="Arial" w:hAnsi="Arial" w:eastAsia="Arial" w:cs="Arial"/>
          <w:i w:val="1"/>
          <w:iCs w:val="1"/>
        </w:rPr>
        <w:t>Digital Marketing Strategies for Accessible Tourism.</w:t>
      </w:r>
      <w:r w:rsidRPr="7DA010CF" w:rsidR="0F61EE08">
        <w:rPr>
          <w:rFonts w:ascii="Arial" w:hAnsi="Arial" w:eastAsia="Arial" w:cs="Arial"/>
        </w:rPr>
        <w:t xml:space="preserve"> In J. Santos &amp; Ó. Silva (Eds.), Digital Marketing Strategies for Tourism, Hospitality, and Airline Industries (pp. 71-92). IGI Global. </w:t>
      </w:r>
      <w:hyperlink r:id="Rd62523a0d8cd4fdd">
        <w:r w:rsidRPr="7DA010CF" w:rsidR="0F61EE08">
          <w:rPr>
            <w:rStyle w:val="Hyperlink"/>
            <w:rFonts w:ascii="Arial" w:hAnsi="Arial" w:eastAsia="Arial" w:cs="Arial"/>
          </w:rPr>
          <w:t>https://doi-org.ezproxy.uwtsd.ac.uk/10.4018/978-1-5225-9783-4.ch004</w:t>
        </w:r>
      </w:hyperlink>
      <w:r w:rsidRPr="7DA010CF" w:rsidR="0F61EE08">
        <w:rPr>
          <w:rFonts w:ascii="Arial" w:hAnsi="Arial" w:eastAsia="Arial" w:cs="Arial"/>
        </w:rPr>
        <w:t xml:space="preserve"> </w:t>
      </w:r>
    </w:p>
    <w:p w:rsidR="0F61EE08" w:rsidP="7DA010CF" w:rsidRDefault="0F61EE08" w14:paraId="14FCE338" w14:textId="10526135">
      <w:pPr>
        <w:pStyle w:val="Normal"/>
        <w:spacing w:line="360" w:lineRule="auto"/>
        <w:jc w:val="both"/>
      </w:pPr>
      <w:r w:rsidRPr="7DA010CF" w:rsidR="0F61EE08">
        <w:rPr>
          <w:rFonts w:ascii="Arial" w:hAnsi="Arial" w:eastAsia="Arial" w:cs="Arial"/>
        </w:rPr>
        <w:t xml:space="preserve">2. Feiertag, H. (2019) </w:t>
      </w:r>
      <w:r w:rsidRPr="7DA010CF" w:rsidR="0F61EE08">
        <w:rPr>
          <w:rFonts w:ascii="Arial" w:hAnsi="Arial" w:eastAsia="Arial" w:cs="Arial"/>
          <w:i w:val="1"/>
          <w:iCs w:val="1"/>
        </w:rPr>
        <w:t>Hospitality sales and marketing: through a period of evolutions.</w:t>
      </w:r>
      <w:r w:rsidRPr="7DA010CF" w:rsidR="0F61EE08">
        <w:rPr>
          <w:rFonts w:ascii="Arial" w:hAnsi="Arial" w:eastAsia="Arial" w:cs="Arial"/>
        </w:rPr>
        <w:t xml:space="preserve"> 1st ed. Oakville, ON, Canada; Apple Academic Press.</w:t>
      </w:r>
    </w:p>
    <w:p w:rsidR="0F61EE08" w:rsidP="7DA010CF" w:rsidRDefault="0F61EE08" w14:paraId="73151D07" w14:textId="1CC0AE71">
      <w:pPr>
        <w:pStyle w:val="Normal"/>
        <w:spacing w:line="360" w:lineRule="auto"/>
        <w:jc w:val="both"/>
      </w:pPr>
      <w:r w:rsidRPr="7DA010CF" w:rsidR="0F61EE08">
        <w:rPr>
          <w:rFonts w:ascii="Arial" w:hAnsi="Arial" w:eastAsia="Arial" w:cs="Arial"/>
        </w:rPr>
        <w:t>3. Faulkner, D. and Campbell, A. (eds) (2006) T</w:t>
      </w:r>
      <w:r w:rsidRPr="7DA010CF" w:rsidR="0F61EE08">
        <w:rPr>
          <w:rFonts w:ascii="Arial" w:hAnsi="Arial" w:eastAsia="Arial" w:cs="Arial"/>
          <w:i w:val="1"/>
          <w:iCs w:val="1"/>
        </w:rPr>
        <w:t>he Oxford handbook of strategy: a strategy overview and competitive strategy.</w:t>
      </w:r>
      <w:r w:rsidRPr="7DA010CF" w:rsidR="0F61EE08">
        <w:rPr>
          <w:rFonts w:ascii="Arial" w:hAnsi="Arial" w:eastAsia="Arial" w:cs="Arial"/>
        </w:rPr>
        <w:t xml:space="preserve"> New York, New York: Oxford University Press.</w:t>
      </w:r>
    </w:p>
    <w:p w:rsidR="0F61EE08" w:rsidP="7DA010CF" w:rsidRDefault="0F61EE08" w14:paraId="58F4CC37" w14:textId="1EC38538">
      <w:pPr>
        <w:pStyle w:val="Normal"/>
        <w:spacing w:line="360" w:lineRule="auto"/>
        <w:jc w:val="both"/>
      </w:pPr>
      <w:r w:rsidRPr="7DA010CF" w:rsidR="0F61EE08">
        <w:rPr>
          <w:rFonts w:ascii="Arial" w:hAnsi="Arial" w:eastAsia="Arial" w:cs="Arial"/>
        </w:rPr>
        <w:t xml:space="preserve">4. </w:t>
      </w:r>
      <w:r w:rsidRPr="7DA010CF" w:rsidR="0F61EE08">
        <w:rPr>
          <w:rFonts w:ascii="Arial" w:hAnsi="Arial" w:eastAsia="Arial" w:cs="Arial"/>
        </w:rPr>
        <w:t>Guilding</w:t>
      </w:r>
      <w:r w:rsidRPr="7DA010CF" w:rsidR="0F61EE08">
        <w:rPr>
          <w:rFonts w:ascii="Arial" w:hAnsi="Arial" w:eastAsia="Arial" w:cs="Arial"/>
        </w:rPr>
        <w:t xml:space="preserve">, C. (2014) </w:t>
      </w:r>
      <w:r w:rsidRPr="7DA010CF" w:rsidR="0F61EE08">
        <w:rPr>
          <w:rFonts w:ascii="Arial" w:hAnsi="Arial" w:eastAsia="Arial" w:cs="Arial"/>
          <w:i w:val="1"/>
          <w:iCs w:val="1"/>
        </w:rPr>
        <w:t>Accounting essentials for hospitality managers.</w:t>
      </w:r>
      <w:r w:rsidRPr="7DA010CF" w:rsidR="0F61EE08">
        <w:rPr>
          <w:rFonts w:ascii="Arial" w:hAnsi="Arial" w:eastAsia="Arial" w:cs="Arial"/>
        </w:rPr>
        <w:t xml:space="preserve"> 3rd ed. Abingdon, Oxon: Routledge. Available at: </w:t>
      </w:r>
      <w:hyperlink r:id="R9762fb44db6f48ca">
        <w:r w:rsidRPr="7DA010CF" w:rsidR="0F61EE08">
          <w:rPr>
            <w:rStyle w:val="Hyperlink"/>
            <w:rFonts w:ascii="Arial" w:hAnsi="Arial" w:eastAsia="Arial" w:cs="Arial"/>
          </w:rPr>
          <w:t>https://doi.org/10.4324/9780203766668</w:t>
        </w:r>
      </w:hyperlink>
      <w:r w:rsidRPr="7DA010CF" w:rsidR="0F61EE08">
        <w:rPr>
          <w:rFonts w:ascii="Arial" w:hAnsi="Arial" w:eastAsia="Arial" w:cs="Arial"/>
        </w:rPr>
        <w:t>.</w:t>
      </w:r>
      <w:r w:rsidRPr="7DA010CF" w:rsidR="3C9B05F2">
        <w:rPr>
          <w:rFonts w:ascii="Arial" w:hAnsi="Arial" w:eastAsia="Arial" w:cs="Arial"/>
        </w:rPr>
        <w:t xml:space="preserve"> </w:t>
      </w:r>
    </w:p>
    <w:p w:rsidR="0F61EE08" w:rsidP="7DA010CF" w:rsidRDefault="0F61EE08" w14:paraId="2449E826" w14:textId="19EDA7B7">
      <w:pPr>
        <w:pStyle w:val="Normal"/>
        <w:spacing w:line="360" w:lineRule="auto"/>
        <w:jc w:val="both"/>
      </w:pPr>
      <w:r w:rsidRPr="7DA010CF" w:rsidR="0F61EE08">
        <w:rPr>
          <w:rFonts w:ascii="Arial" w:hAnsi="Arial" w:eastAsia="Arial" w:cs="Arial"/>
        </w:rPr>
        <w:t xml:space="preserve">5. Hooley, G., Piercy, N.F. and </w:t>
      </w:r>
      <w:r w:rsidRPr="7DA010CF" w:rsidR="0F61EE08">
        <w:rPr>
          <w:rFonts w:ascii="Arial" w:hAnsi="Arial" w:eastAsia="Arial" w:cs="Arial"/>
        </w:rPr>
        <w:t>Nicoulaud</w:t>
      </w:r>
      <w:r w:rsidRPr="7DA010CF" w:rsidR="0F61EE08">
        <w:rPr>
          <w:rFonts w:ascii="Arial" w:hAnsi="Arial" w:eastAsia="Arial" w:cs="Arial"/>
        </w:rPr>
        <w:t xml:space="preserve">, B. (2012) </w:t>
      </w:r>
      <w:r w:rsidRPr="7DA010CF" w:rsidR="0F61EE08">
        <w:rPr>
          <w:rFonts w:ascii="Arial" w:hAnsi="Arial" w:eastAsia="Arial" w:cs="Arial"/>
          <w:i w:val="1"/>
          <w:iCs w:val="1"/>
        </w:rPr>
        <w:t>Marketing strategy &amp; competitive positioning.</w:t>
      </w:r>
      <w:r w:rsidRPr="7DA010CF" w:rsidR="0F61EE08">
        <w:rPr>
          <w:rFonts w:ascii="Arial" w:hAnsi="Arial" w:eastAsia="Arial" w:cs="Arial"/>
        </w:rPr>
        <w:t xml:space="preserve"> Fifth edition. Harlow, England: Financial Times/Prentice Hall.</w:t>
      </w:r>
    </w:p>
    <w:p w:rsidR="0F61EE08" w:rsidP="7DA010CF" w:rsidRDefault="0F61EE08" w14:paraId="2327769F" w14:textId="1F538FCD">
      <w:pPr>
        <w:pStyle w:val="Normal"/>
        <w:spacing w:line="360" w:lineRule="auto"/>
        <w:jc w:val="both"/>
      </w:pPr>
      <w:r w:rsidRPr="7DA010CF" w:rsidR="0F61EE08">
        <w:rPr>
          <w:rFonts w:ascii="Arial" w:hAnsi="Arial" w:eastAsia="Arial" w:cs="Arial"/>
        </w:rPr>
        <w:t xml:space="preserve">6. Jagels, M. and Ralston, C.E. (2007) </w:t>
      </w:r>
      <w:r w:rsidRPr="7DA010CF" w:rsidR="0F61EE08">
        <w:rPr>
          <w:rFonts w:ascii="Arial" w:hAnsi="Arial" w:eastAsia="Arial" w:cs="Arial"/>
          <w:i w:val="1"/>
          <w:iCs w:val="1"/>
        </w:rPr>
        <w:t>Hospitality management accounting</w:t>
      </w:r>
      <w:r w:rsidRPr="7DA010CF" w:rsidR="0F61EE08">
        <w:rPr>
          <w:rFonts w:ascii="Arial" w:hAnsi="Arial" w:eastAsia="Arial" w:cs="Arial"/>
        </w:rPr>
        <w:t>. 9th ed. Hoboken, N.J: John Wiley &amp; Sons.</w:t>
      </w:r>
    </w:p>
    <w:p w:rsidR="0F61EE08" w:rsidP="7DA010CF" w:rsidRDefault="0F61EE08" w14:paraId="74F87453" w14:textId="1DCAB60B">
      <w:pPr>
        <w:pStyle w:val="Normal"/>
        <w:spacing w:line="360" w:lineRule="auto"/>
        <w:jc w:val="both"/>
      </w:pPr>
      <w:r w:rsidRPr="7DA010CF" w:rsidR="0F61EE08">
        <w:rPr>
          <w:rFonts w:ascii="Arial" w:hAnsi="Arial" w:eastAsia="Arial" w:cs="Arial"/>
        </w:rPr>
        <w:t xml:space="preserve">7. Kolitz, D.L. and </w:t>
      </w:r>
      <w:r w:rsidRPr="7DA010CF" w:rsidR="0F61EE08">
        <w:rPr>
          <w:rFonts w:ascii="Arial" w:hAnsi="Arial" w:eastAsia="Arial" w:cs="Arial"/>
        </w:rPr>
        <w:t>Kolitz</w:t>
      </w:r>
      <w:r w:rsidRPr="7DA010CF" w:rsidR="0F61EE08">
        <w:rPr>
          <w:rFonts w:ascii="Arial" w:hAnsi="Arial" w:eastAsia="Arial" w:cs="Arial"/>
        </w:rPr>
        <w:t xml:space="preserve">, M. (2023) </w:t>
      </w:r>
      <w:r w:rsidRPr="7DA010CF" w:rsidR="0F61EE08">
        <w:rPr>
          <w:rFonts w:ascii="Arial" w:hAnsi="Arial" w:eastAsia="Arial" w:cs="Arial"/>
          <w:i w:val="1"/>
          <w:iCs w:val="1"/>
        </w:rPr>
        <w:t>A concepts-based introduction to financial accounting.</w:t>
      </w:r>
      <w:r w:rsidRPr="7DA010CF" w:rsidR="0F61EE08">
        <w:rPr>
          <w:rFonts w:ascii="Arial" w:hAnsi="Arial" w:eastAsia="Arial" w:cs="Arial"/>
        </w:rPr>
        <w:t xml:space="preserve"> 7th edition. Cape Town: Juta &amp; Company, Limited.</w:t>
      </w:r>
    </w:p>
    <w:p w:rsidR="0F61EE08" w:rsidP="7DA010CF" w:rsidRDefault="0F61EE08" w14:paraId="66136AB8" w14:textId="65B3C02A">
      <w:pPr>
        <w:pStyle w:val="Normal"/>
        <w:spacing w:line="360" w:lineRule="auto"/>
        <w:jc w:val="both"/>
      </w:pPr>
      <w:r w:rsidRPr="7DA010CF" w:rsidR="0F61EE08">
        <w:rPr>
          <w:rFonts w:ascii="Arial" w:hAnsi="Arial" w:eastAsia="Arial" w:cs="Arial"/>
        </w:rPr>
        <w:t xml:space="preserve">8. KUOK Hui Kwong, (2024), </w:t>
      </w:r>
      <w:r w:rsidRPr="7DA010CF" w:rsidR="0F61EE08">
        <w:rPr>
          <w:rFonts w:ascii="Arial" w:hAnsi="Arial" w:eastAsia="Arial" w:cs="Arial"/>
          <w:i w:val="1"/>
          <w:iCs w:val="1"/>
        </w:rPr>
        <w:t>2023 FINAL RESULTS ANNOUNCEMENT</w:t>
      </w:r>
      <w:r w:rsidRPr="7DA010CF" w:rsidR="0F61EE08">
        <w:rPr>
          <w:rFonts w:ascii="Arial" w:hAnsi="Arial" w:eastAsia="Arial" w:cs="Arial"/>
        </w:rPr>
        <w:t>, Hong Kong, 22 March 2024.</w:t>
      </w:r>
    </w:p>
    <w:p w:rsidR="0F61EE08" w:rsidP="7DA010CF" w:rsidRDefault="0F61EE08" w14:paraId="559B78B8" w14:textId="7341C0D6">
      <w:pPr>
        <w:pStyle w:val="Normal"/>
        <w:spacing w:line="360" w:lineRule="auto"/>
        <w:jc w:val="both"/>
      </w:pPr>
      <w:r w:rsidRPr="7DA010CF" w:rsidR="0F61EE08">
        <w:rPr>
          <w:rFonts w:ascii="Arial" w:hAnsi="Arial" w:eastAsia="Arial" w:cs="Arial"/>
        </w:rPr>
        <w:t xml:space="preserve">9. Legrand and </w:t>
      </w:r>
      <w:r w:rsidRPr="7DA010CF" w:rsidR="0F61EE08">
        <w:rPr>
          <w:rFonts w:ascii="Arial" w:hAnsi="Arial" w:eastAsia="Arial" w:cs="Arial"/>
        </w:rPr>
        <w:t>Laeis</w:t>
      </w:r>
      <w:r w:rsidRPr="7DA010CF" w:rsidR="0F61EE08">
        <w:rPr>
          <w:rFonts w:ascii="Arial" w:hAnsi="Arial" w:eastAsia="Arial" w:cs="Arial"/>
        </w:rPr>
        <w:t xml:space="preserve"> (2023), </w:t>
      </w:r>
      <w:r w:rsidRPr="7DA010CF" w:rsidR="0F61EE08">
        <w:rPr>
          <w:rFonts w:ascii="Arial" w:hAnsi="Arial" w:eastAsia="Arial" w:cs="Arial"/>
          <w:i w:val="1"/>
          <w:iCs w:val="1"/>
        </w:rPr>
        <w:t>SUSTAINABILITY IN THE HOSPITALITY INDUSTRY-Principle of sustainable operations,</w:t>
      </w:r>
      <w:r w:rsidRPr="7DA010CF" w:rsidR="0F61EE08">
        <w:rPr>
          <w:rFonts w:ascii="Arial" w:hAnsi="Arial" w:eastAsia="Arial" w:cs="Arial"/>
        </w:rPr>
        <w:t xml:space="preserve"> 4th edition published 2023 by Routledge4 Park Square, Milton Park, Abingdon, Oxon, OX14 4RN.</w:t>
      </w:r>
    </w:p>
    <w:p w:rsidR="0F61EE08" w:rsidP="7DA010CF" w:rsidRDefault="0F61EE08" w14:paraId="2CBED652" w14:textId="44DD611E">
      <w:pPr>
        <w:pStyle w:val="Normal"/>
        <w:spacing w:line="360" w:lineRule="auto"/>
        <w:jc w:val="both"/>
      </w:pPr>
      <w:r w:rsidRPr="7DA010CF" w:rsidR="0F61EE08">
        <w:rPr>
          <w:rFonts w:ascii="Arial" w:hAnsi="Arial" w:eastAsia="Arial" w:cs="Arial"/>
        </w:rPr>
        <w:t xml:space="preserve">10. Mullins, L.J. and </w:t>
      </w:r>
      <w:r w:rsidRPr="7DA010CF" w:rsidR="0F61EE08">
        <w:rPr>
          <w:rFonts w:ascii="Arial" w:hAnsi="Arial" w:eastAsia="Arial" w:cs="Arial"/>
        </w:rPr>
        <w:t>Dossor</w:t>
      </w:r>
      <w:r w:rsidRPr="7DA010CF" w:rsidR="0F61EE08">
        <w:rPr>
          <w:rFonts w:ascii="Arial" w:hAnsi="Arial" w:eastAsia="Arial" w:cs="Arial"/>
        </w:rPr>
        <w:t xml:space="preserve">, P. (2013) </w:t>
      </w:r>
      <w:r w:rsidRPr="7DA010CF" w:rsidR="0F61EE08">
        <w:rPr>
          <w:rFonts w:ascii="Arial" w:hAnsi="Arial" w:eastAsia="Arial" w:cs="Arial"/>
          <w:i w:val="1"/>
          <w:iCs w:val="1"/>
        </w:rPr>
        <w:t xml:space="preserve">Hospitality management and </w:t>
      </w:r>
      <w:r w:rsidRPr="7DA010CF" w:rsidR="0F61EE08">
        <w:rPr>
          <w:rFonts w:ascii="Arial" w:hAnsi="Arial" w:eastAsia="Arial" w:cs="Arial"/>
          <w:i w:val="1"/>
          <w:iCs w:val="1"/>
        </w:rPr>
        <w:t>organisational</w:t>
      </w:r>
      <w:r w:rsidRPr="7DA010CF" w:rsidR="0F61EE08">
        <w:rPr>
          <w:rFonts w:ascii="Arial" w:hAnsi="Arial" w:eastAsia="Arial" w:cs="Arial"/>
          <w:i w:val="1"/>
          <w:iCs w:val="1"/>
        </w:rPr>
        <w:t xml:space="preserve"> </w:t>
      </w:r>
      <w:r w:rsidRPr="7DA010CF" w:rsidR="0F61EE08">
        <w:rPr>
          <w:rFonts w:ascii="Arial" w:hAnsi="Arial" w:eastAsia="Arial" w:cs="Arial"/>
          <w:i w:val="1"/>
          <w:iCs w:val="1"/>
        </w:rPr>
        <w:t>behaviour</w:t>
      </w:r>
      <w:r w:rsidRPr="7DA010CF" w:rsidR="0F61EE08">
        <w:rPr>
          <w:rFonts w:ascii="Arial" w:hAnsi="Arial" w:eastAsia="Arial" w:cs="Arial"/>
          <w:i w:val="1"/>
          <w:iCs w:val="1"/>
        </w:rPr>
        <w:t>.</w:t>
      </w:r>
      <w:r w:rsidRPr="7DA010CF" w:rsidR="0F61EE08">
        <w:rPr>
          <w:rFonts w:ascii="Arial" w:hAnsi="Arial" w:eastAsia="Arial" w:cs="Arial"/>
        </w:rPr>
        <w:t xml:space="preserve"> Fifth edition. Harlow, England: Pearson.</w:t>
      </w:r>
    </w:p>
    <w:p w:rsidR="0F61EE08" w:rsidP="7DA010CF" w:rsidRDefault="0F61EE08" w14:paraId="23ECE47A" w14:textId="723E3A3D">
      <w:pPr>
        <w:pStyle w:val="Normal"/>
        <w:spacing w:line="360" w:lineRule="auto"/>
        <w:jc w:val="both"/>
      </w:pPr>
      <w:r w:rsidRPr="7DA010CF" w:rsidR="0F61EE08">
        <w:rPr>
          <w:rFonts w:ascii="Arial" w:hAnsi="Arial" w:eastAsia="Arial" w:cs="Arial"/>
        </w:rPr>
        <w:t xml:space="preserve">11. Premier Inn (2024) </w:t>
      </w:r>
      <w:r w:rsidRPr="7DA010CF" w:rsidR="0F61EE08">
        <w:rPr>
          <w:rFonts w:ascii="Arial" w:hAnsi="Arial" w:eastAsia="Arial" w:cs="Arial"/>
          <w:i w:val="1"/>
          <w:iCs w:val="1"/>
        </w:rPr>
        <w:t>We're a Force for Good</w:t>
      </w:r>
      <w:r w:rsidRPr="7DA010CF" w:rsidR="0F61EE08">
        <w:rPr>
          <w:rFonts w:ascii="Arial" w:hAnsi="Arial" w:eastAsia="Arial" w:cs="Arial"/>
        </w:rPr>
        <w:t xml:space="preserve">, Accessed on:17th October 2024, Available at: </w:t>
      </w:r>
      <w:hyperlink r:id="R1aa88e74306a44ce">
        <w:r w:rsidRPr="7DA010CF" w:rsidR="0F61EE08">
          <w:rPr>
            <w:rStyle w:val="Hyperlink"/>
            <w:rFonts w:ascii="Arial" w:hAnsi="Arial" w:eastAsia="Arial" w:cs="Arial"/>
          </w:rPr>
          <w:t>https://www.premierinn.com/gb/en/why/force-for-good.html</w:t>
        </w:r>
      </w:hyperlink>
      <w:r w:rsidRPr="7DA010CF" w:rsidR="0F61EE08">
        <w:rPr>
          <w:rFonts w:ascii="Arial" w:hAnsi="Arial" w:eastAsia="Arial" w:cs="Arial"/>
        </w:rPr>
        <w:t xml:space="preserve"> </w:t>
      </w:r>
    </w:p>
    <w:p w:rsidR="0F61EE08" w:rsidP="7DA010CF" w:rsidRDefault="0F61EE08" w14:paraId="380AE6AE" w14:textId="15BD5FFE">
      <w:pPr>
        <w:pStyle w:val="Normal"/>
        <w:spacing w:line="360" w:lineRule="auto"/>
        <w:jc w:val="both"/>
      </w:pPr>
      <w:r w:rsidRPr="7DA010CF" w:rsidR="0F61EE08">
        <w:rPr>
          <w:rFonts w:ascii="Arial" w:hAnsi="Arial" w:eastAsia="Arial" w:cs="Arial"/>
        </w:rPr>
        <w:t xml:space="preserve">12. Premier Inn Hotel Limited (2022), </w:t>
      </w:r>
      <w:r w:rsidRPr="7DA010CF" w:rsidR="0F61EE08">
        <w:rPr>
          <w:rFonts w:ascii="Arial" w:hAnsi="Arial" w:eastAsia="Arial" w:cs="Arial"/>
          <w:i w:val="1"/>
          <w:iCs w:val="1"/>
        </w:rPr>
        <w:t>Annual Report and Financial Statements for the Year Ended 3 March 2022</w:t>
      </w:r>
      <w:r w:rsidRPr="7DA010CF" w:rsidR="0F61EE08">
        <w:rPr>
          <w:rFonts w:ascii="Arial" w:hAnsi="Arial" w:eastAsia="Arial" w:cs="Arial"/>
        </w:rPr>
        <w:t>, Accessed on: 16th October 2024.</w:t>
      </w:r>
    </w:p>
    <w:p w:rsidR="0F61EE08" w:rsidP="7DA010CF" w:rsidRDefault="0F61EE08" w14:paraId="47EE4656" w14:textId="560DA96B">
      <w:pPr>
        <w:pStyle w:val="Normal"/>
        <w:spacing w:line="360" w:lineRule="auto"/>
        <w:jc w:val="both"/>
      </w:pPr>
      <w:r w:rsidRPr="7DA010CF" w:rsidR="0F61EE08">
        <w:rPr>
          <w:rFonts w:ascii="Arial" w:hAnsi="Arial" w:eastAsia="Arial" w:cs="Arial"/>
        </w:rPr>
        <w:t xml:space="preserve">13. Premier Inn Hotels Limited (2019), </w:t>
      </w:r>
      <w:r w:rsidRPr="7DA010CF" w:rsidR="0F61EE08">
        <w:rPr>
          <w:rFonts w:ascii="Arial" w:hAnsi="Arial" w:eastAsia="Arial" w:cs="Arial"/>
          <w:i w:val="1"/>
          <w:iCs w:val="1"/>
        </w:rPr>
        <w:t>Annual Report and Financial Statements for the Year Ended 28 February 2019</w:t>
      </w:r>
      <w:r w:rsidRPr="7DA010CF" w:rsidR="0F61EE08">
        <w:rPr>
          <w:rFonts w:ascii="Arial" w:hAnsi="Arial" w:eastAsia="Arial" w:cs="Arial"/>
        </w:rPr>
        <w:t>, Accessed on: 16th October 2024.</w:t>
      </w:r>
    </w:p>
    <w:p w:rsidR="0F61EE08" w:rsidP="7DA010CF" w:rsidRDefault="0F61EE08" w14:paraId="12828A96" w14:textId="3E4D4932">
      <w:pPr>
        <w:pStyle w:val="Normal"/>
        <w:spacing w:line="360" w:lineRule="auto"/>
        <w:jc w:val="both"/>
      </w:pPr>
      <w:r w:rsidRPr="7DA010CF" w:rsidR="0F61EE08">
        <w:rPr>
          <w:rFonts w:ascii="Arial" w:hAnsi="Arial" w:eastAsia="Arial" w:cs="Arial"/>
        </w:rPr>
        <w:t xml:space="preserve">14. Segal-Horn, Susan, </w:t>
      </w:r>
      <w:r w:rsidRPr="7DA010CF" w:rsidR="0F61EE08">
        <w:rPr>
          <w:rFonts w:ascii="Arial" w:hAnsi="Arial" w:eastAsia="Arial" w:cs="Arial"/>
          <w:i w:val="1"/>
          <w:iCs w:val="1"/>
        </w:rPr>
        <w:t>' Strategy in Service Organizations', in Andrew Campbell, and David O. Faulkner (eds)</w:t>
      </w:r>
      <w:r w:rsidRPr="7DA010CF" w:rsidR="0F61EE08">
        <w:rPr>
          <w:rFonts w:ascii="Arial" w:hAnsi="Arial" w:eastAsia="Arial" w:cs="Arial"/>
        </w:rPr>
        <w:t xml:space="preserve">, pp. 472–506, The Oxford Handbook of Strategy: A Strategy Overview and Competitive Strategy (2006; online </w:t>
      </w:r>
      <w:r w:rsidRPr="7DA010CF" w:rsidR="0F61EE08">
        <w:rPr>
          <w:rFonts w:ascii="Arial" w:hAnsi="Arial" w:eastAsia="Arial" w:cs="Arial"/>
        </w:rPr>
        <w:t>edn</w:t>
      </w:r>
      <w:r w:rsidRPr="7DA010CF" w:rsidR="0F61EE08">
        <w:rPr>
          <w:rFonts w:ascii="Arial" w:hAnsi="Arial" w:eastAsia="Arial" w:cs="Arial"/>
        </w:rPr>
        <w:t xml:space="preserve">, Oxford Academic, 2 Sept. 2009), </w:t>
      </w:r>
      <w:r w:rsidRPr="7DA010CF" w:rsidR="0F61EE08">
        <w:rPr>
          <w:rFonts w:ascii="Arial" w:hAnsi="Arial" w:eastAsia="Arial" w:cs="Arial"/>
        </w:rPr>
        <w:t>https://doi.org/10.1093/oxfordhb/9780199275212.003.0016 ,</w:t>
      </w:r>
      <w:r w:rsidRPr="7DA010CF" w:rsidR="0F61EE08">
        <w:rPr>
          <w:rFonts w:ascii="Arial" w:hAnsi="Arial" w:eastAsia="Arial" w:cs="Arial"/>
        </w:rPr>
        <w:t xml:space="preserve"> accessed 18 Oct. 2024.</w:t>
      </w:r>
    </w:p>
    <w:p w:rsidR="1A377711" w:rsidP="7DA010CF" w:rsidRDefault="1A377711" w14:paraId="55A57A32" w14:textId="52AEEEEE">
      <w:pPr>
        <w:pStyle w:val="Normal"/>
        <w:spacing w:line="360" w:lineRule="auto"/>
        <w:jc w:val="both"/>
      </w:pPr>
      <w:r w:rsidRPr="7DA010CF" w:rsidR="1A377711">
        <w:rPr>
          <w:rFonts w:ascii="Arial" w:hAnsi="Arial" w:eastAsia="Arial" w:cs="Arial"/>
        </w:rPr>
        <w:t xml:space="preserve">15. </w:t>
      </w:r>
      <w:r w:rsidRPr="7DA010CF" w:rsidR="0F61EE08">
        <w:rPr>
          <w:rFonts w:ascii="Arial" w:hAnsi="Arial" w:eastAsia="Arial" w:cs="Arial"/>
        </w:rPr>
        <w:t xml:space="preserve">Sham (2024), </w:t>
      </w:r>
      <w:r w:rsidRPr="7DA010CF" w:rsidR="0F61EE08">
        <w:rPr>
          <w:rFonts w:ascii="Arial" w:hAnsi="Arial" w:eastAsia="Arial" w:cs="Arial"/>
          <w:i w:val="1"/>
          <w:iCs w:val="1"/>
        </w:rPr>
        <w:t>SUSTAINABILITY REPORT 2023,</w:t>
      </w:r>
      <w:r w:rsidRPr="7DA010CF" w:rsidR="0F61EE08">
        <w:rPr>
          <w:rFonts w:ascii="Arial" w:hAnsi="Arial" w:eastAsia="Arial" w:cs="Arial"/>
        </w:rPr>
        <w:t xml:space="preserve"> Accessed on 17th October 2024, Available at: </w:t>
      </w:r>
      <w:hyperlink r:id="R3e78d1e408954345">
        <w:r w:rsidRPr="7DA010CF" w:rsidR="0F61EE08">
          <w:rPr>
            <w:rStyle w:val="Hyperlink"/>
            <w:rFonts w:ascii="Arial" w:hAnsi="Arial" w:eastAsia="Arial" w:cs="Arial"/>
          </w:rPr>
          <w:t>https://sitecore-cd.shangri-la.com/-/media/Project/Shangri-La-Group/Sustainability/Images/Sustainability-Report/2023_SustainabilityReport</w:t>
        </w:r>
        <w:r w:rsidRPr="7DA010CF" w:rsidR="0F61EE08">
          <w:rPr>
            <w:rStyle w:val="Hyperlink"/>
            <w:rFonts w:ascii="Arial" w:hAnsi="Arial" w:eastAsia="Arial" w:cs="Arial"/>
          </w:rPr>
          <w:t>.pdf</w:t>
        </w:r>
      </w:hyperlink>
      <w:r w:rsidRPr="7DA010CF" w:rsidR="65913A94">
        <w:rPr>
          <w:rFonts w:ascii="Arial" w:hAnsi="Arial" w:eastAsia="Arial" w:cs="Arial"/>
        </w:rPr>
        <w:t xml:space="preserve"> </w:t>
      </w:r>
    </w:p>
    <w:p w:rsidR="65913A94" w:rsidP="7DA010CF" w:rsidRDefault="65913A94" w14:paraId="1641F704" w14:textId="3249E2C4">
      <w:pPr>
        <w:pStyle w:val="Normal"/>
        <w:spacing w:line="360" w:lineRule="auto"/>
        <w:jc w:val="both"/>
      </w:pPr>
      <w:r w:rsidRPr="7DA010CF" w:rsidR="65913A94">
        <w:rPr>
          <w:rFonts w:ascii="Arial" w:hAnsi="Arial" w:eastAsia="Arial" w:cs="Arial"/>
        </w:rPr>
        <w:t xml:space="preserve">16. </w:t>
      </w:r>
      <w:r w:rsidRPr="7DA010CF" w:rsidR="0F61EE08">
        <w:rPr>
          <w:rFonts w:ascii="Arial" w:hAnsi="Arial" w:eastAsia="Arial" w:cs="Arial"/>
        </w:rPr>
        <w:t xml:space="preserve">Shangri-La Asia Limited (2023), </w:t>
      </w:r>
      <w:r w:rsidRPr="7DA010CF" w:rsidR="0F61EE08">
        <w:rPr>
          <w:rFonts w:ascii="Arial" w:hAnsi="Arial" w:eastAsia="Arial" w:cs="Arial"/>
          <w:i w:val="1"/>
          <w:iCs w:val="1"/>
        </w:rPr>
        <w:t>2022 FINAL RESULTS ANNOUNCEMENT,</w:t>
      </w:r>
      <w:r w:rsidRPr="7DA010CF" w:rsidR="0F61EE08">
        <w:rPr>
          <w:rFonts w:ascii="Arial" w:hAnsi="Arial" w:eastAsia="Arial" w:cs="Arial"/>
        </w:rPr>
        <w:t xml:space="preserve"> Accessed on: 15th October 2024, Available at: </w:t>
      </w:r>
      <w:hyperlink r:id="R68b17d31bc57476c">
        <w:r w:rsidRPr="7DA010CF" w:rsidR="0F61EE08">
          <w:rPr>
            <w:rStyle w:val="Hyperlink"/>
            <w:rFonts w:ascii="Arial" w:hAnsi="Arial" w:eastAsia="Arial" w:cs="Arial"/>
          </w:rPr>
          <w:t>https://sitecore-cd.shangri-la.com/-/media/Project/Shangri-La-Group/Investor/Files/Public-Disclosures/Latest-Top-Publications/e_final-results_20230324</w:t>
        </w:r>
        <w:r w:rsidRPr="7DA010CF" w:rsidR="0F61EE08">
          <w:rPr>
            <w:rStyle w:val="Hyperlink"/>
            <w:rFonts w:ascii="Arial" w:hAnsi="Arial" w:eastAsia="Arial" w:cs="Arial"/>
          </w:rPr>
          <w:t>.pdf</w:t>
        </w:r>
      </w:hyperlink>
      <w:r w:rsidRPr="7DA010CF" w:rsidR="417089E6">
        <w:rPr>
          <w:rFonts w:ascii="Arial" w:hAnsi="Arial" w:eastAsia="Arial" w:cs="Arial"/>
        </w:rPr>
        <w:t xml:space="preserve"> </w:t>
      </w:r>
    </w:p>
    <w:p w:rsidR="417089E6" w:rsidP="7DA010CF" w:rsidRDefault="417089E6" w14:paraId="451A1BFC" w14:textId="610F7A39">
      <w:pPr>
        <w:pStyle w:val="Normal"/>
        <w:spacing w:line="360" w:lineRule="auto"/>
        <w:jc w:val="both"/>
      </w:pPr>
      <w:r w:rsidRPr="7DA010CF" w:rsidR="417089E6">
        <w:rPr>
          <w:rFonts w:ascii="Arial" w:hAnsi="Arial" w:eastAsia="Arial" w:cs="Arial"/>
        </w:rPr>
        <w:t xml:space="preserve">17. </w:t>
      </w:r>
      <w:r w:rsidRPr="7DA010CF" w:rsidR="0F61EE08">
        <w:rPr>
          <w:rFonts w:ascii="Arial" w:hAnsi="Arial" w:eastAsia="Arial" w:cs="Arial"/>
        </w:rPr>
        <w:t xml:space="preserve">Shangri-La Group (2024), </w:t>
      </w:r>
      <w:r w:rsidRPr="7DA010CF" w:rsidR="0F61EE08">
        <w:rPr>
          <w:rFonts w:ascii="Arial" w:hAnsi="Arial" w:eastAsia="Arial" w:cs="Arial"/>
          <w:i w:val="1"/>
          <w:iCs w:val="1"/>
        </w:rPr>
        <w:t>Our Businesses</w:t>
      </w:r>
      <w:r w:rsidRPr="7DA010CF" w:rsidR="0F61EE08">
        <w:rPr>
          <w:rFonts w:ascii="Arial" w:hAnsi="Arial" w:eastAsia="Arial" w:cs="Arial"/>
        </w:rPr>
        <w:t xml:space="preserve">, Accessed on: 17th October 2024, Available at: </w:t>
      </w:r>
      <w:hyperlink r:id="R5d949d2d1bbe489f">
        <w:r w:rsidRPr="7DA010CF" w:rsidR="0F61EE08">
          <w:rPr>
            <w:rStyle w:val="Hyperlink"/>
            <w:rFonts w:ascii="Arial" w:hAnsi="Arial" w:eastAsia="Arial" w:cs="Arial"/>
          </w:rPr>
          <w:t>https://www.shangri-la.com/group/our</w:t>
        </w:r>
        <w:r w:rsidRPr="7DA010CF" w:rsidR="0F61EE08">
          <w:rPr>
            <w:rStyle w:val="Hyperlink"/>
            <w:rFonts w:ascii="Arial" w:hAnsi="Arial" w:eastAsia="Arial" w:cs="Arial"/>
          </w:rPr>
          <w:t>-businesses/</w:t>
        </w:r>
      </w:hyperlink>
      <w:r w:rsidRPr="7DA010CF" w:rsidR="4203BC80">
        <w:rPr>
          <w:rFonts w:ascii="Arial" w:hAnsi="Arial" w:eastAsia="Arial" w:cs="Arial"/>
        </w:rPr>
        <w:t xml:space="preserve"> </w:t>
      </w:r>
    </w:p>
    <w:p w:rsidR="4203BC80" w:rsidP="7DA010CF" w:rsidRDefault="4203BC80" w14:paraId="48D9AA90" w14:textId="5DE3F756">
      <w:pPr>
        <w:pStyle w:val="Normal"/>
        <w:spacing w:line="360" w:lineRule="auto"/>
        <w:jc w:val="both"/>
      </w:pPr>
      <w:r w:rsidRPr="7DA010CF" w:rsidR="4203BC80">
        <w:rPr>
          <w:rFonts w:ascii="Arial" w:hAnsi="Arial" w:eastAsia="Arial" w:cs="Arial"/>
        </w:rPr>
        <w:t xml:space="preserve">18. </w:t>
      </w:r>
      <w:r w:rsidRPr="7DA010CF" w:rsidR="0F61EE08">
        <w:rPr>
          <w:rFonts w:ascii="Arial" w:hAnsi="Arial" w:eastAsia="Arial" w:cs="Arial"/>
        </w:rPr>
        <w:t xml:space="preserve">Shangri-La Group (2024), </w:t>
      </w:r>
      <w:r w:rsidRPr="7DA010CF" w:rsidR="0F61EE08">
        <w:rPr>
          <w:rFonts w:ascii="Arial" w:hAnsi="Arial" w:eastAsia="Arial" w:cs="Arial"/>
          <w:i w:val="1"/>
          <w:iCs w:val="1"/>
        </w:rPr>
        <w:t>Shangri-La Group Releases 2020 Full Year Results, March 26</w:t>
      </w:r>
      <w:r w:rsidRPr="7DA010CF" w:rsidR="0F61EE08">
        <w:rPr>
          <w:rFonts w:ascii="Arial" w:hAnsi="Arial" w:eastAsia="Arial" w:cs="Arial"/>
        </w:rPr>
        <w:t xml:space="preserve">, 2021, Accessed on:15th October 2024, Available at: </w:t>
      </w:r>
      <w:hyperlink r:id="R96544e097f6042f8">
        <w:r w:rsidRPr="7DA010CF" w:rsidR="0F61EE08">
          <w:rPr>
            <w:rStyle w:val="Hyperlink"/>
            <w:rFonts w:ascii="Arial" w:hAnsi="Arial" w:eastAsia="Arial" w:cs="Arial"/>
          </w:rPr>
          <w:t>https://www.shangri-la.com/group/media/media_post?post</w:t>
        </w:r>
        <w:r w:rsidRPr="7DA010CF" w:rsidR="0F61EE08">
          <w:rPr>
            <w:rStyle w:val="Hyperlink"/>
            <w:rFonts w:ascii="Arial" w:hAnsi="Arial" w:eastAsia="Arial" w:cs="Arial"/>
          </w:rPr>
          <w:t>=Mar26_2020FY_Results</w:t>
        </w:r>
      </w:hyperlink>
      <w:r w:rsidRPr="7DA010CF" w:rsidR="7DD1EE1E">
        <w:rPr>
          <w:rFonts w:ascii="Arial" w:hAnsi="Arial" w:eastAsia="Arial" w:cs="Arial"/>
        </w:rPr>
        <w:t xml:space="preserve"> </w:t>
      </w:r>
    </w:p>
    <w:p w:rsidR="7DD1EE1E" w:rsidP="7DA010CF" w:rsidRDefault="7DD1EE1E" w14:paraId="5B547C92" w14:textId="18B97236">
      <w:pPr>
        <w:pStyle w:val="Normal"/>
        <w:spacing w:line="360" w:lineRule="auto"/>
        <w:jc w:val="both"/>
      </w:pPr>
      <w:r w:rsidRPr="7DA010CF" w:rsidR="7DD1EE1E">
        <w:rPr>
          <w:rFonts w:ascii="Arial" w:hAnsi="Arial" w:eastAsia="Arial" w:cs="Arial"/>
        </w:rPr>
        <w:t xml:space="preserve">19. </w:t>
      </w:r>
      <w:r w:rsidRPr="7DA010CF" w:rsidR="0F61EE08">
        <w:rPr>
          <w:rFonts w:ascii="Arial" w:hAnsi="Arial" w:eastAsia="Arial" w:cs="Arial"/>
        </w:rPr>
        <w:t xml:space="preserve">Shangri-La Group (2024), </w:t>
      </w:r>
      <w:r w:rsidRPr="7DA010CF" w:rsidR="0F61EE08">
        <w:rPr>
          <w:rFonts w:ascii="Arial" w:hAnsi="Arial" w:eastAsia="Arial" w:cs="Arial"/>
          <w:i w:val="1"/>
          <w:iCs w:val="1"/>
        </w:rPr>
        <w:t>Shangri-La Group Releases 2021 Full Year Results, March 24</w:t>
      </w:r>
      <w:r w:rsidRPr="7DA010CF" w:rsidR="0F61EE08">
        <w:rPr>
          <w:rFonts w:ascii="Arial" w:hAnsi="Arial" w:eastAsia="Arial" w:cs="Arial"/>
        </w:rPr>
        <w:t xml:space="preserve">, 2022. Accessed on 15th 2024, Available at: </w:t>
      </w:r>
      <w:hyperlink r:id="Red1e04dcb60248ad">
        <w:r w:rsidRPr="7DA010CF" w:rsidR="0F61EE08">
          <w:rPr>
            <w:rStyle w:val="Hyperlink"/>
            <w:rFonts w:ascii="Arial" w:hAnsi="Arial" w:eastAsia="Arial" w:cs="Arial"/>
          </w:rPr>
          <w:t>https://www.shangri-la.com/group/media/media_post?post</w:t>
        </w:r>
        <w:r w:rsidRPr="7DA010CF" w:rsidR="0F61EE08">
          <w:rPr>
            <w:rStyle w:val="Hyperlink"/>
            <w:rFonts w:ascii="Arial" w:hAnsi="Arial" w:eastAsia="Arial" w:cs="Arial"/>
          </w:rPr>
          <w:t>=Mar24_2021AnnualResults</w:t>
        </w:r>
      </w:hyperlink>
      <w:r w:rsidRPr="7DA010CF" w:rsidR="15F9975F">
        <w:rPr>
          <w:rFonts w:ascii="Arial" w:hAnsi="Arial" w:eastAsia="Arial" w:cs="Arial"/>
        </w:rPr>
        <w:t xml:space="preserve"> </w:t>
      </w:r>
    </w:p>
    <w:p w:rsidR="15F9975F" w:rsidP="7DA010CF" w:rsidRDefault="15F9975F" w14:paraId="5918633A" w14:textId="513AE789">
      <w:pPr>
        <w:pStyle w:val="Normal"/>
        <w:spacing w:line="360" w:lineRule="auto"/>
        <w:jc w:val="both"/>
      </w:pPr>
      <w:r w:rsidRPr="7DA010CF" w:rsidR="15F9975F">
        <w:rPr>
          <w:rFonts w:ascii="Arial" w:hAnsi="Arial" w:eastAsia="Arial" w:cs="Arial"/>
        </w:rPr>
        <w:t xml:space="preserve">20. </w:t>
      </w:r>
      <w:r w:rsidRPr="7DA010CF" w:rsidR="0F61EE08">
        <w:rPr>
          <w:rFonts w:ascii="Arial" w:hAnsi="Arial" w:eastAsia="Arial" w:cs="Arial"/>
        </w:rPr>
        <w:t xml:space="preserve">Shangri-La Group (2024) </w:t>
      </w:r>
      <w:r w:rsidRPr="7DA010CF" w:rsidR="0F61EE08">
        <w:rPr>
          <w:rFonts w:ascii="Arial" w:hAnsi="Arial" w:eastAsia="Arial" w:cs="Arial"/>
          <w:i w:val="1"/>
          <w:iCs w:val="1"/>
        </w:rPr>
        <w:t>A Trusted Partner in Asia’s Economic Growth</w:t>
      </w:r>
      <w:r w:rsidRPr="7DA010CF" w:rsidR="0F61EE08">
        <w:rPr>
          <w:rFonts w:ascii="Arial" w:hAnsi="Arial" w:eastAsia="Arial" w:cs="Arial"/>
        </w:rPr>
        <w:t xml:space="preserve">, Accessed on: 17th October 2024, Available at: </w:t>
      </w:r>
      <w:hyperlink r:id="R56128094139040d7">
        <w:r w:rsidRPr="7DA010CF" w:rsidR="0F61EE08">
          <w:rPr>
            <w:rStyle w:val="Hyperlink"/>
            <w:rFonts w:ascii="Arial" w:hAnsi="Arial" w:eastAsia="Arial" w:cs="Arial"/>
          </w:rPr>
          <w:t>https://www.shangri-la.com/group/our-story/about-shangri</w:t>
        </w:r>
        <w:r w:rsidRPr="7DA010CF" w:rsidR="0F61EE08">
          <w:rPr>
            <w:rStyle w:val="Hyperlink"/>
            <w:rFonts w:ascii="Arial" w:hAnsi="Arial" w:eastAsia="Arial" w:cs="Arial"/>
          </w:rPr>
          <w:t>-la</w:t>
        </w:r>
      </w:hyperlink>
      <w:r w:rsidRPr="7DA010CF" w:rsidR="19F346FA">
        <w:rPr>
          <w:rFonts w:ascii="Arial" w:hAnsi="Arial" w:eastAsia="Arial" w:cs="Arial"/>
        </w:rPr>
        <w:t xml:space="preserve"> </w:t>
      </w:r>
    </w:p>
    <w:p w:rsidR="19F346FA" w:rsidP="7DA010CF" w:rsidRDefault="19F346FA" w14:paraId="1CCD54B4" w14:textId="0B895B66">
      <w:pPr>
        <w:pStyle w:val="Normal"/>
        <w:spacing w:line="360" w:lineRule="auto"/>
        <w:jc w:val="both"/>
      </w:pPr>
      <w:r w:rsidRPr="7DA010CF" w:rsidR="19F346FA">
        <w:rPr>
          <w:rFonts w:ascii="Arial" w:hAnsi="Arial" w:eastAsia="Arial" w:cs="Arial"/>
        </w:rPr>
        <w:t xml:space="preserve">21. </w:t>
      </w:r>
      <w:r w:rsidRPr="7DA010CF" w:rsidR="0F61EE08">
        <w:rPr>
          <w:rFonts w:ascii="Arial" w:hAnsi="Arial" w:eastAsia="Arial" w:cs="Arial"/>
        </w:rPr>
        <w:t xml:space="preserve">Shangri-La International Hotel Management (2024), </w:t>
      </w:r>
      <w:r w:rsidRPr="7DA010CF" w:rsidR="0F61EE08">
        <w:rPr>
          <w:rFonts w:ascii="Arial" w:hAnsi="Arial" w:eastAsia="Arial" w:cs="Arial"/>
          <w:i w:val="1"/>
          <w:iCs w:val="1"/>
        </w:rPr>
        <w:t>Corporate Social Responsibility,</w:t>
      </w:r>
      <w:r w:rsidRPr="7DA010CF" w:rsidR="0F61EE08">
        <w:rPr>
          <w:rFonts w:ascii="Arial" w:hAnsi="Arial" w:eastAsia="Arial" w:cs="Arial"/>
        </w:rPr>
        <w:t xml:space="preserve"> Accessed on:19th October 2024, Available at: </w:t>
      </w:r>
      <w:hyperlink r:id="R595380d8412f47f4">
        <w:r w:rsidRPr="7DA010CF" w:rsidR="0F61EE08">
          <w:rPr>
            <w:rStyle w:val="Hyperlink"/>
            <w:rFonts w:ascii="Arial" w:hAnsi="Arial" w:eastAsia="Arial" w:cs="Arial"/>
          </w:rPr>
          <w:t>https://www.shangri-la.com/xian/shangrila/about/corporate-social</w:t>
        </w:r>
        <w:r w:rsidRPr="7DA010CF" w:rsidR="0F61EE08">
          <w:rPr>
            <w:rStyle w:val="Hyperlink"/>
            <w:rFonts w:ascii="Arial" w:hAnsi="Arial" w:eastAsia="Arial" w:cs="Arial"/>
          </w:rPr>
          <w:t>-responsibility/</w:t>
        </w:r>
      </w:hyperlink>
      <w:r w:rsidRPr="7DA010CF" w:rsidR="037B5177">
        <w:rPr>
          <w:rFonts w:ascii="Arial" w:hAnsi="Arial" w:eastAsia="Arial" w:cs="Arial"/>
        </w:rPr>
        <w:t xml:space="preserve"> </w:t>
      </w:r>
    </w:p>
    <w:p w:rsidR="037B5177" w:rsidP="7DA010CF" w:rsidRDefault="037B5177" w14:paraId="48C149FC" w14:textId="2CADA3CB">
      <w:pPr>
        <w:pStyle w:val="Normal"/>
        <w:spacing w:line="360" w:lineRule="auto"/>
        <w:jc w:val="both"/>
      </w:pPr>
      <w:r w:rsidRPr="7DA010CF" w:rsidR="037B5177">
        <w:rPr>
          <w:rFonts w:ascii="Arial" w:hAnsi="Arial" w:eastAsia="Arial" w:cs="Arial"/>
        </w:rPr>
        <w:t xml:space="preserve">22. </w:t>
      </w:r>
      <w:r w:rsidRPr="7DA010CF" w:rsidR="0F61EE08">
        <w:rPr>
          <w:rFonts w:ascii="Arial" w:hAnsi="Arial" w:eastAsia="Arial" w:cs="Arial"/>
        </w:rPr>
        <w:t xml:space="preserve">Similar Web (2024), </w:t>
      </w:r>
      <w:r w:rsidRPr="7DA010CF" w:rsidR="0F61EE08">
        <w:rPr>
          <w:rFonts w:ascii="Arial" w:hAnsi="Arial" w:eastAsia="Arial" w:cs="Arial"/>
          <w:i w:val="1"/>
          <w:iCs w:val="1"/>
        </w:rPr>
        <w:t>Website Performance Shangri-La vs Premier Inn</w:t>
      </w:r>
      <w:r w:rsidRPr="7DA010CF" w:rsidR="0F61EE08">
        <w:rPr>
          <w:rFonts w:ascii="Arial" w:hAnsi="Arial" w:eastAsia="Arial" w:cs="Arial"/>
        </w:rPr>
        <w:t xml:space="preserve">, Accessed on:18th October 2024, Available at: </w:t>
      </w:r>
      <w:hyperlink w:anchor="/digitalsuite/websiteanalysis/overview/website-performance/*/999/1m?webSource=Total&amp;key=shangri-la.com,premierinn.com" r:id="Refcd9193f6634c7a">
        <w:r w:rsidRPr="7DA010CF" w:rsidR="0F61EE08">
          <w:rPr>
            <w:rStyle w:val="Hyperlink"/>
            <w:rFonts w:ascii="Arial" w:hAnsi="Arial" w:eastAsia="Arial" w:cs="Arial"/>
          </w:rPr>
          <w:t>https://pro.similarweb.com/#/digitalsuite/websiteanalysis/overview/website-performance/*/999/1m?webSource=Total&amp;key=shangri-la.com,premierinn</w:t>
        </w:r>
        <w:r w:rsidRPr="7DA010CF" w:rsidR="0F61EE08">
          <w:rPr>
            <w:rStyle w:val="Hyperlink"/>
            <w:rFonts w:ascii="Arial" w:hAnsi="Arial" w:eastAsia="Arial" w:cs="Arial"/>
          </w:rPr>
          <w:t>.com</w:t>
        </w:r>
      </w:hyperlink>
      <w:r w:rsidRPr="7DA010CF" w:rsidR="5C0358AA">
        <w:rPr>
          <w:rFonts w:ascii="Arial" w:hAnsi="Arial" w:eastAsia="Arial" w:cs="Arial"/>
        </w:rPr>
        <w:t xml:space="preserve"> </w:t>
      </w:r>
    </w:p>
    <w:p w:rsidR="5C0358AA" w:rsidP="7DA010CF" w:rsidRDefault="5C0358AA" w14:paraId="70A61D66" w14:textId="257B385F">
      <w:pPr>
        <w:pStyle w:val="Normal"/>
        <w:spacing w:line="360" w:lineRule="auto"/>
        <w:jc w:val="both"/>
      </w:pPr>
      <w:r w:rsidRPr="7DA010CF" w:rsidR="5C0358AA">
        <w:rPr>
          <w:rFonts w:ascii="Arial" w:hAnsi="Arial" w:eastAsia="Arial" w:cs="Arial"/>
        </w:rPr>
        <w:t xml:space="preserve">23. </w:t>
      </w:r>
      <w:r w:rsidRPr="7DA010CF" w:rsidR="0F61EE08">
        <w:rPr>
          <w:rFonts w:ascii="Arial" w:hAnsi="Arial" w:eastAsia="Arial" w:cs="Arial"/>
        </w:rPr>
        <w:t>Stittle</w:t>
      </w:r>
      <w:r w:rsidRPr="7DA010CF" w:rsidR="0F61EE08">
        <w:rPr>
          <w:rFonts w:ascii="Arial" w:hAnsi="Arial" w:eastAsia="Arial" w:cs="Arial"/>
        </w:rPr>
        <w:t xml:space="preserve">, J. and Wearing, R. (2008) </w:t>
      </w:r>
      <w:r w:rsidRPr="7DA010CF" w:rsidR="0F61EE08">
        <w:rPr>
          <w:rFonts w:ascii="Arial" w:hAnsi="Arial" w:eastAsia="Arial" w:cs="Arial"/>
          <w:i w:val="1"/>
          <w:iCs w:val="1"/>
        </w:rPr>
        <w:t>Financial accounting</w:t>
      </w:r>
      <w:r w:rsidRPr="7DA010CF" w:rsidR="0F61EE08">
        <w:rPr>
          <w:rFonts w:ascii="Arial" w:hAnsi="Arial" w:eastAsia="Arial" w:cs="Arial"/>
        </w:rPr>
        <w:t>. 1st ed. Los Angeles: Sage Publications.</w:t>
      </w:r>
    </w:p>
    <w:p w:rsidR="1B614BC6" w:rsidP="7DA010CF" w:rsidRDefault="1B614BC6" w14:paraId="1CE1A97B" w14:textId="40EF2175">
      <w:pPr>
        <w:pStyle w:val="Normal"/>
        <w:spacing w:line="360" w:lineRule="auto"/>
        <w:jc w:val="both"/>
        <w:rPr>
          <w:rFonts w:ascii="Arial" w:hAnsi="Arial" w:eastAsia="Arial" w:cs="Arial"/>
        </w:rPr>
      </w:pPr>
      <w:r w:rsidRPr="7DA010CF" w:rsidR="1B614BC6">
        <w:rPr>
          <w:rFonts w:ascii="Arial" w:hAnsi="Arial" w:eastAsia="Arial" w:cs="Arial"/>
        </w:rPr>
        <w:t xml:space="preserve">24. </w:t>
      </w:r>
      <w:r w:rsidRPr="7DA010CF" w:rsidR="0F61EE08">
        <w:rPr>
          <w:rFonts w:ascii="Arial" w:hAnsi="Arial" w:eastAsia="Arial" w:cs="Arial"/>
        </w:rPr>
        <w:t xml:space="preserve">Tranter, K.A., Stuart-Hill, T. and Parker, J. (2014) </w:t>
      </w:r>
      <w:r w:rsidRPr="7DA010CF" w:rsidR="0F61EE08">
        <w:rPr>
          <w:rFonts w:ascii="Arial" w:hAnsi="Arial" w:eastAsia="Arial" w:cs="Arial"/>
          <w:i w:val="1"/>
          <w:iCs w:val="1"/>
        </w:rPr>
        <w:t>An introduction to revenue management for the hospitality industry: principles and practices for the real world.</w:t>
      </w:r>
      <w:r w:rsidRPr="7DA010CF" w:rsidR="0F61EE08">
        <w:rPr>
          <w:rFonts w:ascii="Arial" w:hAnsi="Arial" w:eastAsia="Arial" w:cs="Arial"/>
        </w:rPr>
        <w:t xml:space="preserve"> Pearson new international edition. Harlow, England: Pearson.</w:t>
      </w:r>
    </w:p>
    <w:p w:rsidR="0A066F04" w:rsidP="7DA010CF" w:rsidRDefault="0A066F04" w14:paraId="361DD6E0" w14:textId="448F8EE9">
      <w:pPr>
        <w:pStyle w:val="Normal"/>
        <w:spacing w:line="360" w:lineRule="auto"/>
        <w:jc w:val="both"/>
      </w:pPr>
      <w:r w:rsidRPr="7DA010CF" w:rsidR="0A066F04">
        <w:rPr>
          <w:rFonts w:ascii="Arial" w:hAnsi="Arial" w:eastAsia="Arial" w:cs="Arial"/>
        </w:rPr>
        <w:t xml:space="preserve">25. </w:t>
      </w:r>
      <w:r w:rsidRPr="7DA010CF" w:rsidR="0F61EE08">
        <w:rPr>
          <w:rFonts w:ascii="Arial" w:hAnsi="Arial" w:eastAsia="Arial" w:cs="Arial"/>
        </w:rPr>
        <w:t xml:space="preserve">Whitbread (2021), </w:t>
      </w:r>
      <w:r w:rsidRPr="7DA010CF" w:rsidR="0F61EE08">
        <w:rPr>
          <w:rFonts w:ascii="Arial" w:hAnsi="Arial" w:eastAsia="Arial" w:cs="Arial"/>
          <w:i w:val="1"/>
          <w:iCs w:val="1"/>
        </w:rPr>
        <w:t>Annual Report and Financial Statements for the Year Ended 27 February 2020</w:t>
      </w:r>
      <w:r w:rsidRPr="7DA010CF" w:rsidR="0F61EE08">
        <w:rPr>
          <w:rFonts w:ascii="Arial" w:hAnsi="Arial" w:eastAsia="Arial" w:cs="Arial"/>
        </w:rPr>
        <w:t xml:space="preserve">, Accessed on: 15th October 2024, Available at: </w:t>
      </w:r>
      <w:hyperlink r:id="Radd5922b71bb425f">
        <w:r w:rsidRPr="7DA010CF" w:rsidR="0F61EE08">
          <w:rPr>
            <w:rStyle w:val="Hyperlink"/>
            <w:rFonts w:ascii="Arial" w:hAnsi="Arial" w:eastAsia="Arial" w:cs="Arial"/>
          </w:rPr>
          <w:t>https://cdn.whitbread.co.uk/media/2021/02/12122648/pihl-accounts-final-signed</w:t>
        </w:r>
        <w:r w:rsidRPr="7DA010CF" w:rsidR="0F61EE08">
          <w:rPr>
            <w:rStyle w:val="Hyperlink"/>
            <w:rFonts w:ascii="Arial" w:hAnsi="Arial" w:eastAsia="Arial" w:cs="Arial"/>
          </w:rPr>
          <w:t>.pdf</w:t>
        </w:r>
      </w:hyperlink>
      <w:r w:rsidRPr="7DA010CF" w:rsidR="33302D3A">
        <w:rPr>
          <w:rFonts w:ascii="Arial" w:hAnsi="Arial" w:eastAsia="Arial" w:cs="Arial"/>
        </w:rPr>
        <w:t xml:space="preserve"> </w:t>
      </w:r>
    </w:p>
    <w:p w:rsidR="33302D3A" w:rsidP="7DA010CF" w:rsidRDefault="33302D3A" w14:paraId="0517B866" w14:textId="672AE26D">
      <w:pPr>
        <w:pStyle w:val="Normal"/>
        <w:spacing w:line="360" w:lineRule="auto"/>
        <w:jc w:val="both"/>
      </w:pPr>
      <w:r w:rsidRPr="7DA010CF" w:rsidR="33302D3A">
        <w:rPr>
          <w:rFonts w:ascii="Arial" w:hAnsi="Arial" w:eastAsia="Arial" w:cs="Arial"/>
        </w:rPr>
        <w:t xml:space="preserve">26. </w:t>
      </w:r>
      <w:r w:rsidRPr="7DA010CF" w:rsidR="0F61EE08">
        <w:rPr>
          <w:rFonts w:ascii="Arial" w:hAnsi="Arial" w:eastAsia="Arial" w:cs="Arial"/>
        </w:rPr>
        <w:t xml:space="preserve">Whitbread (2021), </w:t>
      </w:r>
      <w:r w:rsidRPr="7DA010CF" w:rsidR="0F61EE08">
        <w:rPr>
          <w:rFonts w:ascii="Arial" w:hAnsi="Arial" w:eastAsia="Arial" w:cs="Arial"/>
          <w:i w:val="1"/>
          <w:iCs w:val="1"/>
        </w:rPr>
        <w:t>FY21 Full Year Results 27 April 2021</w:t>
      </w:r>
      <w:r w:rsidRPr="7DA010CF" w:rsidR="0F61EE08">
        <w:rPr>
          <w:rFonts w:ascii="Arial" w:hAnsi="Arial" w:eastAsia="Arial" w:cs="Arial"/>
        </w:rPr>
        <w:t xml:space="preserve">, Accessed on. 15th October 2024, Available at: </w:t>
      </w:r>
      <w:hyperlink r:id="R69d46a0c98104839">
        <w:r w:rsidRPr="7DA010CF" w:rsidR="0F61EE08">
          <w:rPr>
            <w:rStyle w:val="Hyperlink"/>
            <w:rFonts w:ascii="Arial" w:hAnsi="Arial" w:eastAsia="Arial" w:cs="Arial"/>
          </w:rPr>
          <w:t>https://cdn.whitbread.co.uk/media/2021/04/26173332/Whitbread-FY21-Full-Year-Results_1</w:t>
        </w:r>
        <w:r w:rsidRPr="7DA010CF" w:rsidR="0F61EE08">
          <w:rPr>
            <w:rStyle w:val="Hyperlink"/>
            <w:rFonts w:ascii="Arial" w:hAnsi="Arial" w:eastAsia="Arial" w:cs="Arial"/>
          </w:rPr>
          <w:t>.pdf</w:t>
        </w:r>
      </w:hyperlink>
      <w:r w:rsidRPr="7DA010CF" w:rsidR="6ED782BB">
        <w:rPr>
          <w:rFonts w:ascii="Arial" w:hAnsi="Arial" w:eastAsia="Arial" w:cs="Arial"/>
        </w:rPr>
        <w:t xml:space="preserve"> </w:t>
      </w:r>
    </w:p>
    <w:p w:rsidR="1C0EB97B" w:rsidP="7DA010CF" w:rsidRDefault="1C0EB97B" w14:paraId="52E4BA21" w14:textId="5A0B1858">
      <w:pPr>
        <w:pStyle w:val="Normal"/>
        <w:spacing w:line="360" w:lineRule="auto"/>
        <w:jc w:val="both"/>
      </w:pPr>
      <w:r w:rsidRPr="7DA010CF" w:rsidR="1C0EB97B">
        <w:rPr>
          <w:rFonts w:ascii="Arial" w:hAnsi="Arial" w:eastAsia="Arial" w:cs="Arial"/>
        </w:rPr>
        <w:t xml:space="preserve">27. </w:t>
      </w:r>
      <w:r w:rsidRPr="7DA010CF" w:rsidR="0F61EE08">
        <w:rPr>
          <w:rFonts w:ascii="Arial" w:hAnsi="Arial" w:eastAsia="Arial" w:cs="Arial"/>
        </w:rPr>
        <w:t xml:space="preserve">Whitbread (2022/23), </w:t>
      </w:r>
      <w:r w:rsidRPr="7DA010CF" w:rsidR="0F61EE08">
        <w:rPr>
          <w:rFonts w:ascii="Arial" w:hAnsi="Arial" w:eastAsia="Arial" w:cs="Arial"/>
          <w:i w:val="1"/>
          <w:iCs w:val="1"/>
        </w:rPr>
        <w:t>Environmental, Social and Governance Report 2022/23</w:t>
      </w:r>
      <w:r w:rsidRPr="7DA010CF" w:rsidR="0F61EE08">
        <w:rPr>
          <w:rFonts w:ascii="Arial" w:hAnsi="Arial" w:eastAsia="Arial" w:cs="Arial"/>
        </w:rPr>
        <w:t xml:space="preserve">, Accessed on: 17th October 2024, Available at: </w:t>
      </w:r>
      <w:hyperlink r:id="Rd4dd3b5f950a41e5">
        <w:r w:rsidRPr="7DA010CF" w:rsidR="0F61EE08">
          <w:rPr>
            <w:rStyle w:val="Hyperlink"/>
            <w:rFonts w:ascii="Arial" w:hAnsi="Arial" w:eastAsia="Arial" w:cs="Arial"/>
          </w:rPr>
          <w:t>https://cdn.whitbread.co.uk/media/2023/07/Whitbread_ESG_Report_2022.pdf</w:t>
        </w:r>
      </w:hyperlink>
      <w:r w:rsidRPr="7DA010CF" w:rsidR="3B5F109A">
        <w:rPr>
          <w:rFonts w:ascii="Arial" w:hAnsi="Arial" w:eastAsia="Arial" w:cs="Arial"/>
        </w:rPr>
        <w:t xml:space="preserve"> </w:t>
      </w:r>
    </w:p>
    <w:p w:rsidR="3B5F109A" w:rsidP="7DA010CF" w:rsidRDefault="3B5F109A" w14:paraId="3F3880C7" w14:textId="61145BB0">
      <w:pPr>
        <w:pStyle w:val="Normal"/>
        <w:spacing w:line="360" w:lineRule="auto"/>
        <w:jc w:val="both"/>
      </w:pPr>
      <w:r w:rsidRPr="7DA010CF" w:rsidR="3B5F109A">
        <w:rPr>
          <w:rFonts w:ascii="Arial" w:hAnsi="Arial" w:eastAsia="Arial" w:cs="Arial"/>
        </w:rPr>
        <w:t xml:space="preserve">28. </w:t>
      </w:r>
      <w:r w:rsidRPr="7DA010CF" w:rsidR="0F61EE08">
        <w:rPr>
          <w:rFonts w:ascii="Arial" w:hAnsi="Arial" w:eastAsia="Arial" w:cs="Arial"/>
        </w:rPr>
        <w:t xml:space="preserve">Whitbread PLC (2024), About Us, Accessed on: 18th October 2024, Available at: </w:t>
      </w:r>
      <w:hyperlink r:id="R86413f60f93f4d5f">
        <w:r w:rsidRPr="7DA010CF" w:rsidR="0F61EE08">
          <w:rPr>
            <w:rStyle w:val="Hyperlink"/>
            <w:rFonts w:ascii="Arial" w:hAnsi="Arial" w:eastAsia="Arial" w:cs="Arial"/>
          </w:rPr>
          <w:t>https://www.whitbread.co.uk/about-us/our-business-model/</w:t>
        </w:r>
      </w:hyperlink>
      <w:r w:rsidRPr="7DA010CF" w:rsidR="5E01FCEB">
        <w:rPr>
          <w:rFonts w:ascii="Arial" w:hAnsi="Arial" w:eastAsia="Arial" w:cs="Arial"/>
        </w:rPr>
        <w:t xml:space="preserve"> </w:t>
      </w:r>
    </w:p>
    <w:p w:rsidR="5E01FCEB" w:rsidP="7DA010CF" w:rsidRDefault="5E01FCEB" w14:paraId="44494ACC" w14:textId="39C99254">
      <w:pPr>
        <w:pStyle w:val="Normal"/>
        <w:spacing w:line="360" w:lineRule="auto"/>
        <w:jc w:val="both"/>
      </w:pPr>
      <w:r w:rsidRPr="7DA010CF" w:rsidR="5E01FCEB">
        <w:rPr>
          <w:rFonts w:ascii="Arial" w:hAnsi="Arial" w:eastAsia="Arial" w:cs="Arial"/>
        </w:rPr>
        <w:t xml:space="preserve">29. </w:t>
      </w:r>
      <w:r w:rsidRPr="7DA010CF" w:rsidR="0F61EE08">
        <w:rPr>
          <w:rFonts w:ascii="Arial" w:hAnsi="Arial" w:eastAsia="Arial" w:cs="Arial"/>
        </w:rPr>
        <w:t xml:space="preserve">Whitbread PLC (2023/24), </w:t>
      </w:r>
      <w:r w:rsidRPr="7DA010CF" w:rsidR="0F61EE08">
        <w:rPr>
          <w:rFonts w:ascii="Arial" w:hAnsi="Arial" w:eastAsia="Arial" w:cs="Arial"/>
          <w:i w:val="1"/>
          <w:iCs w:val="1"/>
        </w:rPr>
        <w:t>Environmental, Social and Governance Report 2023/24</w:t>
      </w:r>
      <w:r w:rsidRPr="7DA010CF" w:rsidR="0F61EE08">
        <w:rPr>
          <w:rFonts w:ascii="Arial" w:hAnsi="Arial" w:eastAsia="Arial" w:cs="Arial"/>
        </w:rPr>
        <w:t xml:space="preserve"> Force for Good, Accessed on 19th October 2024, Available at: </w:t>
      </w:r>
      <w:hyperlink r:id="Rc457c12524fc49c7">
        <w:r w:rsidRPr="7DA010CF" w:rsidR="0F61EE08">
          <w:rPr>
            <w:rStyle w:val="Hyperlink"/>
            <w:rFonts w:ascii="Arial" w:hAnsi="Arial" w:eastAsia="Arial" w:cs="Arial"/>
          </w:rPr>
          <w:t>https://cdn.whitbread.co.uk/media/2024/05/Whitbread-PLC-ESG-Report-2023.pdf</w:t>
        </w:r>
      </w:hyperlink>
      <w:r w:rsidRPr="7DA010CF" w:rsidR="2F668EFE">
        <w:rPr>
          <w:rFonts w:ascii="Arial" w:hAnsi="Arial" w:eastAsia="Arial" w:cs="Arial"/>
        </w:rPr>
        <w:t xml:space="preserve"> </w:t>
      </w:r>
    </w:p>
    <w:p w:rsidR="7DA010CF" w:rsidRDefault="7DA010CF" w14:paraId="71F647CD" w14:textId="3414BD67">
      <w:r>
        <w:br w:type="page"/>
      </w:r>
    </w:p>
    <w:p w:rsidR="7DA010CF" w:rsidP="7DA010CF" w:rsidRDefault="7DA010CF" w14:paraId="1CBA2814" w14:textId="53801CB0">
      <w:pPr>
        <w:pStyle w:val="Normal"/>
        <w:spacing w:line="360" w:lineRule="auto"/>
        <w:jc w:val="both"/>
        <w:rPr>
          <w:rFonts w:ascii="Arial" w:hAnsi="Arial" w:eastAsia="Arial" w:cs="Arial"/>
          <w:b w:val="1"/>
          <w:bCs w:val="1"/>
        </w:rPr>
      </w:pPr>
      <w:r w:rsidRPr="7DA010CF" w:rsidR="7DA010CF">
        <w:rPr>
          <w:rFonts w:ascii="Arial" w:hAnsi="Arial" w:eastAsia="Arial" w:cs="Arial"/>
          <w:b w:val="1"/>
          <w:bCs w:val="1"/>
        </w:rPr>
        <w:t xml:space="preserve">9. </w:t>
      </w:r>
      <w:r w:rsidRPr="7DA010CF" w:rsidR="585B31BA">
        <w:rPr>
          <w:rFonts w:ascii="Arial" w:hAnsi="Arial" w:eastAsia="Arial" w:cs="Arial"/>
          <w:b w:val="1"/>
          <w:bCs w:val="1"/>
        </w:rPr>
        <w:t xml:space="preserve">Appendices </w:t>
      </w:r>
    </w:p>
    <w:p w:rsidR="585B31BA" w:rsidP="7DA010CF" w:rsidRDefault="585B31BA" w14:paraId="34784E32" w14:textId="5DA53283">
      <w:pPr>
        <w:spacing w:line="360" w:lineRule="auto"/>
        <w:jc w:val="both"/>
        <w:rPr>
          <w:rFonts w:ascii="Arial" w:hAnsi="Arial" w:eastAsia="Arial" w:cs="Arial"/>
        </w:rPr>
      </w:pPr>
      <w:r w:rsidRPr="7DA010CF" w:rsidR="585B31BA">
        <w:rPr>
          <w:rFonts w:ascii="Arial" w:hAnsi="Arial" w:eastAsia="Arial" w:cs="Arial"/>
        </w:rPr>
        <w:t xml:space="preserve">Appendix 1: </w:t>
      </w:r>
      <w:r w:rsidRPr="7DA010CF" w:rsidR="22F65738">
        <w:rPr>
          <w:rFonts w:ascii="Arial" w:hAnsi="Arial" w:eastAsia="Arial" w:cs="Arial"/>
        </w:rPr>
        <w:t>Bowman’s Strategy</w:t>
      </w:r>
    </w:p>
    <w:p w:rsidR="22F65738" w:rsidP="7DA010CF" w:rsidRDefault="22F65738" w14:paraId="4C7673F3" w14:textId="34187D70">
      <w:pPr>
        <w:pStyle w:val="Normal"/>
        <w:spacing w:line="360" w:lineRule="auto"/>
        <w:jc w:val="both"/>
      </w:pPr>
      <w:r w:rsidR="22F65738">
        <w:drawing>
          <wp:inline wp14:editId="49634CFB" wp14:anchorId="1BCF01B7">
            <wp:extent cx="5943600" cy="4371975"/>
            <wp:effectExtent l="0" t="0" r="0" b="0"/>
            <wp:docPr id="1155204848" name="" title=""/>
            <wp:cNvGraphicFramePr>
              <a:graphicFrameLocks noChangeAspect="1"/>
            </wp:cNvGraphicFramePr>
            <a:graphic>
              <a:graphicData uri="http://schemas.openxmlformats.org/drawingml/2006/picture">
                <pic:pic>
                  <pic:nvPicPr>
                    <pic:cNvPr id="0" name=""/>
                    <pic:cNvPicPr/>
                  </pic:nvPicPr>
                  <pic:blipFill>
                    <a:blip r:embed="R012ee6342733456e">
                      <a:extLst>
                        <a:ext xmlns:a="http://schemas.openxmlformats.org/drawingml/2006/main" uri="{28A0092B-C50C-407E-A947-70E740481C1C}">
                          <a14:useLocalDpi val="0"/>
                        </a:ext>
                      </a:extLst>
                    </a:blip>
                    <a:stretch>
                      <a:fillRect/>
                    </a:stretch>
                  </pic:blipFill>
                  <pic:spPr>
                    <a:xfrm>
                      <a:off x="0" y="0"/>
                      <a:ext cx="5943600" cy="4371975"/>
                    </a:xfrm>
                    <a:prstGeom prst="rect">
                      <a:avLst/>
                    </a:prstGeom>
                  </pic:spPr>
                </pic:pic>
              </a:graphicData>
            </a:graphic>
          </wp:inline>
        </w:drawing>
      </w:r>
      <w:r>
        <w:br/>
      </w:r>
    </w:p>
    <w:p w:rsidR="7DA010CF" w:rsidP="7DA010CF" w:rsidRDefault="7DA010CF" w14:paraId="60863159" w14:textId="113E10EA">
      <w:pPr>
        <w:pStyle w:val="Normal"/>
        <w:spacing w:line="360" w:lineRule="auto"/>
        <w:jc w:val="both"/>
      </w:pPr>
    </w:p>
    <w:p w:rsidR="7DA010CF" w:rsidP="7DA010CF" w:rsidRDefault="7DA010CF" w14:paraId="76BE55B0" w14:textId="3715322C">
      <w:pPr>
        <w:pStyle w:val="Normal"/>
        <w:spacing w:line="360" w:lineRule="auto"/>
        <w:jc w:val="both"/>
      </w:pPr>
    </w:p>
    <w:p w:rsidR="7DA010CF" w:rsidP="7DA010CF" w:rsidRDefault="7DA010CF" w14:paraId="444BBEED" w14:textId="6BBF05CD">
      <w:pPr>
        <w:pStyle w:val="Normal"/>
        <w:spacing w:line="360" w:lineRule="auto"/>
        <w:jc w:val="both"/>
      </w:pPr>
    </w:p>
    <w:p w:rsidR="7DA010CF" w:rsidP="7DA010CF" w:rsidRDefault="7DA010CF" w14:paraId="0C267ACC" w14:textId="373A9E22">
      <w:pPr>
        <w:pStyle w:val="Normal"/>
        <w:spacing w:line="360" w:lineRule="auto"/>
        <w:jc w:val="both"/>
      </w:pPr>
    </w:p>
    <w:p w:rsidR="7DA010CF" w:rsidP="7DA010CF" w:rsidRDefault="7DA010CF" w14:paraId="7498B001" w14:textId="1FE61127">
      <w:pPr>
        <w:pStyle w:val="Normal"/>
        <w:spacing w:line="360" w:lineRule="auto"/>
        <w:jc w:val="both"/>
      </w:pPr>
    </w:p>
    <w:p w:rsidR="7DA010CF" w:rsidP="7DA010CF" w:rsidRDefault="7DA010CF" w14:paraId="2556B261" w14:textId="2DDD6F7C">
      <w:pPr>
        <w:pStyle w:val="Normal"/>
        <w:spacing w:line="360" w:lineRule="auto"/>
        <w:jc w:val="both"/>
      </w:pPr>
    </w:p>
    <w:p w:rsidR="22F65738" w:rsidP="7DA010CF" w:rsidRDefault="22F65738" w14:paraId="50E96F1A" w14:textId="406F09D6">
      <w:pPr>
        <w:pStyle w:val="Normal"/>
        <w:spacing w:line="360" w:lineRule="auto"/>
        <w:jc w:val="both"/>
      </w:pPr>
      <w:r w:rsidR="22F65738">
        <w:rPr/>
        <w:t xml:space="preserve">Appendix 2: </w:t>
      </w:r>
      <w:r w:rsidR="383B92C1">
        <w:rPr/>
        <w:t>Similar Web (2024)</w:t>
      </w:r>
    </w:p>
    <w:p w:rsidR="383B92C1" w:rsidP="7DA010CF" w:rsidRDefault="383B92C1" w14:paraId="24414EA4" w14:textId="3BAC21F6">
      <w:pPr>
        <w:pStyle w:val="Normal"/>
        <w:spacing w:line="360" w:lineRule="auto"/>
        <w:jc w:val="both"/>
      </w:pPr>
      <w:r w:rsidR="383B92C1">
        <w:drawing>
          <wp:inline wp14:editId="3B6757B0" wp14:anchorId="4F9C2482">
            <wp:extent cx="5943600" cy="1990725"/>
            <wp:effectExtent l="0" t="0" r="0" b="0"/>
            <wp:docPr id="120366378" name="" title=""/>
            <wp:cNvGraphicFramePr>
              <a:graphicFrameLocks noChangeAspect="1"/>
            </wp:cNvGraphicFramePr>
            <a:graphic>
              <a:graphicData uri="http://schemas.openxmlformats.org/drawingml/2006/picture">
                <pic:pic>
                  <pic:nvPicPr>
                    <pic:cNvPr id="0" name=""/>
                    <pic:cNvPicPr/>
                  </pic:nvPicPr>
                  <pic:blipFill>
                    <a:blip r:embed="Rcead9e3e5d144011">
                      <a:extLst>
                        <a:ext xmlns:a="http://schemas.openxmlformats.org/drawingml/2006/main" uri="{28A0092B-C50C-407E-A947-70E740481C1C}">
                          <a14:useLocalDpi val="0"/>
                        </a:ext>
                      </a:extLst>
                    </a:blip>
                    <a:stretch>
                      <a:fillRect/>
                    </a:stretch>
                  </pic:blipFill>
                  <pic:spPr>
                    <a:xfrm>
                      <a:off x="0" y="0"/>
                      <a:ext cx="5943600" cy="1990725"/>
                    </a:xfrm>
                    <a:prstGeom prst="rect">
                      <a:avLst/>
                    </a:prstGeom>
                  </pic:spPr>
                </pic:pic>
              </a:graphicData>
            </a:graphic>
          </wp:inline>
        </w:drawing>
      </w:r>
      <w:r>
        <w:br/>
      </w:r>
      <w:r w:rsidR="383B92C1">
        <w:drawing>
          <wp:inline wp14:editId="204694D3" wp14:anchorId="61402C5F">
            <wp:extent cx="5943600" cy="2971800"/>
            <wp:effectExtent l="0" t="0" r="0" b="0"/>
            <wp:docPr id="2142054191" name="" title=""/>
            <wp:cNvGraphicFramePr>
              <a:graphicFrameLocks noChangeAspect="1"/>
            </wp:cNvGraphicFramePr>
            <a:graphic>
              <a:graphicData uri="http://schemas.openxmlformats.org/drawingml/2006/picture">
                <pic:pic>
                  <pic:nvPicPr>
                    <pic:cNvPr id="0" name=""/>
                    <pic:cNvPicPr/>
                  </pic:nvPicPr>
                  <pic:blipFill>
                    <a:blip r:embed="R41b57e27b9114c4f">
                      <a:extLst>
                        <a:ext xmlns:a="http://schemas.openxmlformats.org/drawingml/2006/main" uri="{28A0092B-C50C-407E-A947-70E740481C1C}">
                          <a14:useLocalDpi val="0"/>
                        </a:ext>
                      </a:extLst>
                    </a:blip>
                    <a:stretch>
                      <a:fillRect/>
                    </a:stretch>
                  </pic:blipFill>
                  <pic:spPr>
                    <a:xfrm>
                      <a:off x="0" y="0"/>
                      <a:ext cx="5943600" cy="2971800"/>
                    </a:xfrm>
                    <a:prstGeom prst="rect">
                      <a:avLst/>
                    </a:prstGeom>
                  </pic:spPr>
                </pic:pic>
              </a:graphicData>
            </a:graphic>
          </wp:inline>
        </w:drawing>
      </w:r>
      <w:r>
        <w:br/>
      </w:r>
      <w:r w:rsidR="383B92C1">
        <w:drawing>
          <wp:inline wp14:editId="7B1E1378" wp14:anchorId="3F08DB6E">
            <wp:extent cx="5943600" cy="2000250"/>
            <wp:effectExtent l="0" t="0" r="0" b="0"/>
            <wp:docPr id="1849566405" name="" title=""/>
            <wp:cNvGraphicFramePr>
              <a:graphicFrameLocks noChangeAspect="1"/>
            </wp:cNvGraphicFramePr>
            <a:graphic>
              <a:graphicData uri="http://schemas.openxmlformats.org/drawingml/2006/picture">
                <pic:pic>
                  <pic:nvPicPr>
                    <pic:cNvPr id="0" name=""/>
                    <pic:cNvPicPr/>
                  </pic:nvPicPr>
                  <pic:blipFill>
                    <a:blip r:embed="R53565e33e4ed44b2">
                      <a:extLst>
                        <a:ext xmlns:a="http://schemas.openxmlformats.org/drawingml/2006/main" uri="{28A0092B-C50C-407E-A947-70E740481C1C}">
                          <a14:useLocalDpi val="0"/>
                        </a:ext>
                      </a:extLst>
                    </a:blip>
                    <a:stretch>
                      <a:fillRect/>
                    </a:stretch>
                  </pic:blipFill>
                  <pic:spPr>
                    <a:xfrm>
                      <a:off x="0" y="0"/>
                      <a:ext cx="5943600" cy="2000250"/>
                    </a:xfrm>
                    <a:prstGeom prst="rect">
                      <a:avLst/>
                    </a:prstGeom>
                  </pic:spPr>
                </pic:pic>
              </a:graphicData>
            </a:graphic>
          </wp:inline>
        </w:drawing>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621e1d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c4a71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18C221"/>
    <w:rsid w:val="00537578"/>
    <w:rsid w:val="007E32EC"/>
    <w:rsid w:val="020C7507"/>
    <w:rsid w:val="0231A5B2"/>
    <w:rsid w:val="027DBDAB"/>
    <w:rsid w:val="02850BEA"/>
    <w:rsid w:val="02850BEA"/>
    <w:rsid w:val="036C277C"/>
    <w:rsid w:val="037B5177"/>
    <w:rsid w:val="03B0FC7A"/>
    <w:rsid w:val="04E5D9E6"/>
    <w:rsid w:val="050F5FBC"/>
    <w:rsid w:val="053790EB"/>
    <w:rsid w:val="05E88411"/>
    <w:rsid w:val="0763B62E"/>
    <w:rsid w:val="08D0D384"/>
    <w:rsid w:val="0A066F04"/>
    <w:rsid w:val="0A46D55F"/>
    <w:rsid w:val="0A6CC1B6"/>
    <w:rsid w:val="0A74A60C"/>
    <w:rsid w:val="0AA945BF"/>
    <w:rsid w:val="0ABE57E3"/>
    <w:rsid w:val="0BC41D9F"/>
    <w:rsid w:val="0C054476"/>
    <w:rsid w:val="0C8E170A"/>
    <w:rsid w:val="0D5D7EB0"/>
    <w:rsid w:val="0D6E2888"/>
    <w:rsid w:val="0DBB61F5"/>
    <w:rsid w:val="0DF16EC0"/>
    <w:rsid w:val="0E998979"/>
    <w:rsid w:val="0F5159DC"/>
    <w:rsid w:val="0F61EE08"/>
    <w:rsid w:val="0F7430BB"/>
    <w:rsid w:val="0FF2D4D1"/>
    <w:rsid w:val="11933700"/>
    <w:rsid w:val="11B294C6"/>
    <w:rsid w:val="1326793F"/>
    <w:rsid w:val="13C99FED"/>
    <w:rsid w:val="14965523"/>
    <w:rsid w:val="14D111D3"/>
    <w:rsid w:val="1563FE30"/>
    <w:rsid w:val="1563FE30"/>
    <w:rsid w:val="15D1B93D"/>
    <w:rsid w:val="15EC36BF"/>
    <w:rsid w:val="15F9975F"/>
    <w:rsid w:val="162E6BA7"/>
    <w:rsid w:val="16697551"/>
    <w:rsid w:val="16697551"/>
    <w:rsid w:val="16D2ADD3"/>
    <w:rsid w:val="16D2ADD3"/>
    <w:rsid w:val="17ED4241"/>
    <w:rsid w:val="18CADC0F"/>
    <w:rsid w:val="1918C221"/>
    <w:rsid w:val="19ED78AF"/>
    <w:rsid w:val="19F346FA"/>
    <w:rsid w:val="1A377711"/>
    <w:rsid w:val="1B614BC6"/>
    <w:rsid w:val="1BA8D202"/>
    <w:rsid w:val="1BA8D202"/>
    <w:rsid w:val="1BE1A4A2"/>
    <w:rsid w:val="1C0EB97B"/>
    <w:rsid w:val="1D238406"/>
    <w:rsid w:val="1F24DF5C"/>
    <w:rsid w:val="1F2695DC"/>
    <w:rsid w:val="1F46890A"/>
    <w:rsid w:val="1F65729D"/>
    <w:rsid w:val="20189596"/>
    <w:rsid w:val="21E7108D"/>
    <w:rsid w:val="225CB277"/>
    <w:rsid w:val="22F65738"/>
    <w:rsid w:val="22F8FE65"/>
    <w:rsid w:val="2332986E"/>
    <w:rsid w:val="2332986E"/>
    <w:rsid w:val="23D2BD62"/>
    <w:rsid w:val="2465A76B"/>
    <w:rsid w:val="248D03BF"/>
    <w:rsid w:val="2508D055"/>
    <w:rsid w:val="2510CA5C"/>
    <w:rsid w:val="251D3B22"/>
    <w:rsid w:val="2745CAA6"/>
    <w:rsid w:val="28999AA2"/>
    <w:rsid w:val="2907B10D"/>
    <w:rsid w:val="2966681C"/>
    <w:rsid w:val="29A43E5F"/>
    <w:rsid w:val="2A57FBBA"/>
    <w:rsid w:val="2AE3CE19"/>
    <w:rsid w:val="2AF3CEE7"/>
    <w:rsid w:val="2B7F9E79"/>
    <w:rsid w:val="2B8FC486"/>
    <w:rsid w:val="2B8FC486"/>
    <w:rsid w:val="2B9C2AE4"/>
    <w:rsid w:val="2BC21440"/>
    <w:rsid w:val="2D76F2C3"/>
    <w:rsid w:val="2E0C3389"/>
    <w:rsid w:val="2E40811C"/>
    <w:rsid w:val="2E4C4EA1"/>
    <w:rsid w:val="2ECCE286"/>
    <w:rsid w:val="2F24189C"/>
    <w:rsid w:val="2F668EFE"/>
    <w:rsid w:val="306D1711"/>
    <w:rsid w:val="30E33686"/>
    <w:rsid w:val="31095E5A"/>
    <w:rsid w:val="3123F45B"/>
    <w:rsid w:val="315ABCF6"/>
    <w:rsid w:val="3170C764"/>
    <w:rsid w:val="327BAB9E"/>
    <w:rsid w:val="33302D3A"/>
    <w:rsid w:val="3386F419"/>
    <w:rsid w:val="3463A017"/>
    <w:rsid w:val="34851E48"/>
    <w:rsid w:val="34E0FF31"/>
    <w:rsid w:val="35D0AE0A"/>
    <w:rsid w:val="360772EE"/>
    <w:rsid w:val="363A54CD"/>
    <w:rsid w:val="365F1DD3"/>
    <w:rsid w:val="369FA017"/>
    <w:rsid w:val="36CCA5D4"/>
    <w:rsid w:val="36CCA5D4"/>
    <w:rsid w:val="36EBED0B"/>
    <w:rsid w:val="379D96BE"/>
    <w:rsid w:val="383B92C1"/>
    <w:rsid w:val="38D959B1"/>
    <w:rsid w:val="38D959B1"/>
    <w:rsid w:val="39D4620F"/>
    <w:rsid w:val="3ACFEFF4"/>
    <w:rsid w:val="3ADD2205"/>
    <w:rsid w:val="3B24CE81"/>
    <w:rsid w:val="3B59AFFE"/>
    <w:rsid w:val="3B5F109A"/>
    <w:rsid w:val="3B98A371"/>
    <w:rsid w:val="3C9B05F2"/>
    <w:rsid w:val="3C9F9F8E"/>
    <w:rsid w:val="3D758A82"/>
    <w:rsid w:val="3DE46788"/>
    <w:rsid w:val="3DEC0AEE"/>
    <w:rsid w:val="3E08E8A7"/>
    <w:rsid w:val="3E94AE8E"/>
    <w:rsid w:val="417089E6"/>
    <w:rsid w:val="41DC7016"/>
    <w:rsid w:val="4203BC80"/>
    <w:rsid w:val="421D27E5"/>
    <w:rsid w:val="4297B5AE"/>
    <w:rsid w:val="4297B5AE"/>
    <w:rsid w:val="4300B3FE"/>
    <w:rsid w:val="43F22733"/>
    <w:rsid w:val="43F22733"/>
    <w:rsid w:val="44362648"/>
    <w:rsid w:val="467F95FF"/>
    <w:rsid w:val="46D6ACE7"/>
    <w:rsid w:val="47A0678E"/>
    <w:rsid w:val="49152FAA"/>
    <w:rsid w:val="494C419E"/>
    <w:rsid w:val="49835783"/>
    <w:rsid w:val="4A425F46"/>
    <w:rsid w:val="4A425F46"/>
    <w:rsid w:val="4AE8F852"/>
    <w:rsid w:val="4CE37FD3"/>
    <w:rsid w:val="4EA4EB9E"/>
    <w:rsid w:val="4EA9E8A0"/>
    <w:rsid w:val="4ECE46E8"/>
    <w:rsid w:val="4F66B1DB"/>
    <w:rsid w:val="4FE45FC2"/>
    <w:rsid w:val="50E40CC5"/>
    <w:rsid w:val="51416C94"/>
    <w:rsid w:val="51416C94"/>
    <w:rsid w:val="51C08AA4"/>
    <w:rsid w:val="52E27EF4"/>
    <w:rsid w:val="5441BD18"/>
    <w:rsid w:val="54B2095F"/>
    <w:rsid w:val="54B2095F"/>
    <w:rsid w:val="56A3A169"/>
    <w:rsid w:val="56C17C20"/>
    <w:rsid w:val="56CB576B"/>
    <w:rsid w:val="56CDB390"/>
    <w:rsid w:val="585B31BA"/>
    <w:rsid w:val="586B98D2"/>
    <w:rsid w:val="58E53FAE"/>
    <w:rsid w:val="59665C42"/>
    <w:rsid w:val="5A0C8C54"/>
    <w:rsid w:val="5A57A2C5"/>
    <w:rsid w:val="5AC07898"/>
    <w:rsid w:val="5BC43AC0"/>
    <w:rsid w:val="5BC43AC0"/>
    <w:rsid w:val="5C0358AA"/>
    <w:rsid w:val="5CD6DB63"/>
    <w:rsid w:val="5E01FCEB"/>
    <w:rsid w:val="5E1D5191"/>
    <w:rsid w:val="5E2F9D8E"/>
    <w:rsid w:val="611ABD7D"/>
    <w:rsid w:val="61506F75"/>
    <w:rsid w:val="61506F75"/>
    <w:rsid w:val="617FF1D8"/>
    <w:rsid w:val="628FB018"/>
    <w:rsid w:val="63C81E0E"/>
    <w:rsid w:val="64E2E909"/>
    <w:rsid w:val="6591109B"/>
    <w:rsid w:val="65913A94"/>
    <w:rsid w:val="659BBDE8"/>
    <w:rsid w:val="673B7704"/>
    <w:rsid w:val="67CFFF6D"/>
    <w:rsid w:val="69463595"/>
    <w:rsid w:val="69A2DEE2"/>
    <w:rsid w:val="6A516C4C"/>
    <w:rsid w:val="6AA91B2A"/>
    <w:rsid w:val="6B826807"/>
    <w:rsid w:val="6BDCF143"/>
    <w:rsid w:val="6C2F1A9E"/>
    <w:rsid w:val="6C90E585"/>
    <w:rsid w:val="6D2A565B"/>
    <w:rsid w:val="6DC7C8BC"/>
    <w:rsid w:val="6ED782BB"/>
    <w:rsid w:val="6F32C2E7"/>
    <w:rsid w:val="703110AE"/>
    <w:rsid w:val="7035F871"/>
    <w:rsid w:val="7047CB29"/>
    <w:rsid w:val="7094A319"/>
    <w:rsid w:val="723E5577"/>
    <w:rsid w:val="7245F9C9"/>
    <w:rsid w:val="7344631C"/>
    <w:rsid w:val="745C9A1A"/>
    <w:rsid w:val="74645757"/>
    <w:rsid w:val="746E74DD"/>
    <w:rsid w:val="74A2E671"/>
    <w:rsid w:val="7630BB51"/>
    <w:rsid w:val="7630BB51"/>
    <w:rsid w:val="76BCA3A1"/>
    <w:rsid w:val="77678CC1"/>
    <w:rsid w:val="78245011"/>
    <w:rsid w:val="78FE10BB"/>
    <w:rsid w:val="7A9FF2B7"/>
    <w:rsid w:val="7B69C404"/>
    <w:rsid w:val="7BC621FE"/>
    <w:rsid w:val="7D38DA41"/>
    <w:rsid w:val="7D9600E7"/>
    <w:rsid w:val="7DA010CF"/>
    <w:rsid w:val="7DD1EE1E"/>
    <w:rsid w:val="7E3B3B5C"/>
    <w:rsid w:val="7E94D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8C221"/>
  <w15:chartTrackingRefBased/>
  <w15:docId w15:val="{CFD99BF7-4D84-4D45-AEDC-C6637F2FBE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ezproxy.uwtsd.ac.uk/10.4018/978-1-5225-9783-4.ch004" TargetMode="External" Id="Rd62523a0d8cd4fdd" /><Relationship Type="http://schemas.openxmlformats.org/officeDocument/2006/relationships/hyperlink" Target="https://doi.org/10.4324/9780203766668" TargetMode="External" Id="R9762fb44db6f48ca" /><Relationship Type="http://schemas.openxmlformats.org/officeDocument/2006/relationships/hyperlink" Target="https://www.premierinn.com/gb/en/why/force-for-good.html" TargetMode="External" Id="R1aa88e74306a44ce" /><Relationship Type="http://schemas.openxmlformats.org/officeDocument/2006/relationships/hyperlink" Target="https://sitecore-cd.shangri-la.com/-/media/Project/Shangri-La-Group/Sustainability/Images/Sustainability-Report/2023_SustainabilityReport.pdf" TargetMode="External" Id="R3e78d1e408954345" /><Relationship Type="http://schemas.openxmlformats.org/officeDocument/2006/relationships/hyperlink" Target="https://sitecore-cd.shangri-la.com/-/media/Project/Shangri-La-Group/Investor/Files/Public-Disclosures/Latest-Top-Publications/e_final-results_20230324.pdf" TargetMode="External" Id="R68b17d31bc57476c" /><Relationship Type="http://schemas.openxmlformats.org/officeDocument/2006/relationships/hyperlink" Target="https://www.shangri-la.com/group/our-businesses/" TargetMode="External" Id="R5d949d2d1bbe489f" /><Relationship Type="http://schemas.openxmlformats.org/officeDocument/2006/relationships/hyperlink" Target="https://www.shangri-la.com/group/media/media_post?post=Mar26_2020FY_Results" TargetMode="External" Id="R96544e097f6042f8" /><Relationship Type="http://schemas.openxmlformats.org/officeDocument/2006/relationships/hyperlink" Target="https://www.shangri-la.com/group/media/media_post?post=Mar24_2021AnnualResults" TargetMode="External" Id="Red1e04dcb60248ad" /><Relationship Type="http://schemas.openxmlformats.org/officeDocument/2006/relationships/hyperlink" Target="https://www.shangri-la.com/group/our-story/about-shangri-la" TargetMode="External" Id="R56128094139040d7" /><Relationship Type="http://schemas.openxmlformats.org/officeDocument/2006/relationships/hyperlink" Target="https://www.shangri-la.com/xian/shangrila/about/corporate-social-responsibility/" TargetMode="External" Id="R595380d8412f47f4" /><Relationship Type="http://schemas.openxmlformats.org/officeDocument/2006/relationships/hyperlink" Target="https://pro.similarweb.com/" TargetMode="External" Id="Refcd9193f6634c7a" /><Relationship Type="http://schemas.openxmlformats.org/officeDocument/2006/relationships/hyperlink" Target="https://cdn.whitbread.co.uk/media/2021/02/12122648/pihl-accounts-final-signed.pdf" TargetMode="External" Id="Radd5922b71bb425f" /><Relationship Type="http://schemas.openxmlformats.org/officeDocument/2006/relationships/hyperlink" Target="https://cdn.whitbread.co.uk/media/2021/04/26173332/Whitbread-FY21-Full-Year-Results_1.pdf" TargetMode="External" Id="R69d46a0c98104839" /><Relationship Type="http://schemas.openxmlformats.org/officeDocument/2006/relationships/hyperlink" Target="https://cdn.whitbread.co.uk/media/2023/07/Whitbread_ESG_Report_2022.pdf" TargetMode="External" Id="Rd4dd3b5f950a41e5" /><Relationship Type="http://schemas.openxmlformats.org/officeDocument/2006/relationships/hyperlink" Target="https://www.whitbread.co.uk/about-us/our-business-model/" TargetMode="External" Id="R86413f60f93f4d5f" /><Relationship Type="http://schemas.openxmlformats.org/officeDocument/2006/relationships/hyperlink" Target="https://cdn.whitbread.co.uk/media/2024/05/Whitbread-PLC-ESG-Report-2023.pdf" TargetMode="External" Id="Rc457c12524fc49c7" /><Relationship Type="http://schemas.openxmlformats.org/officeDocument/2006/relationships/image" Target="/media/image.png" Id="R012ee6342733456e" /><Relationship Type="http://schemas.openxmlformats.org/officeDocument/2006/relationships/image" Target="/media/image2.png" Id="Rcead9e3e5d144011" /><Relationship Type="http://schemas.openxmlformats.org/officeDocument/2006/relationships/image" Target="/media/image3.png" Id="R41b57e27b9114c4f" /><Relationship Type="http://schemas.openxmlformats.org/officeDocument/2006/relationships/image" Target="/media/image4.png" Id="R53565e33e4ed44b2" /><Relationship Type="http://schemas.openxmlformats.org/officeDocument/2006/relationships/numbering" Target="numbering.xml" Id="R4e0765eee7614b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2024-10-18T20:01:28.0086521Z</dcterms:created>
  <dcterms:modified xsi:type="dcterms:W3CDTF">2024-10-20T20:38:55.4653949Z</dcterms:modified>
  <dc:creator>Adriana-Isabela Trefas (2242075)</dc:creator>
  <lastModifiedBy>Adriana-Isabela Trefas (2242075)</lastModifiedBy>
</coreProperties>
</file>