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AF4424"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Section 1-Usability</w:t>
      </w:r>
    </w:p>
    <w:p w14:paraId="6CD60ECA"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1a. Website loading speed</w:t>
      </w:r>
    </w:p>
    <w:p w14:paraId="230A8920" w14:textId="159480B2" w:rsidR="0075583E" w:rsidRPr="0075583E" w:rsidRDefault="0075583E" w:rsidP="0075583E">
      <w:pPr>
        <w:rPr>
          <w:rFonts w:ascii="Arial" w:hAnsi="Arial" w:cs="Arial"/>
          <w:sz w:val="24"/>
          <w:szCs w:val="24"/>
        </w:rPr>
      </w:pPr>
      <w:r w:rsidRPr="0075583E">
        <w:rPr>
          <w:rFonts w:ascii="Arial" w:hAnsi="Arial" w:cs="Arial"/>
          <w:sz w:val="24"/>
          <w:szCs w:val="24"/>
        </w:rPr>
        <w:t>The Cleaners of London website demonstrates strong performance through fast loading times that enable immediate access to essential content. Loading speed is a critical factor in user satisfaction, as it minimises friction and supports efficient task completion. This aligns with Nielsen’s usability framework, which emphasises that system response time plays a central role in shaping users’ sense of control, efficiency, and focus. Nielsen explains that rapid responses reduce uncertainty and help users perceive the interface as reliable and predictable, thereby sustaining task flow (Nielsen, 1993, pp. 42–44; Nielsen, 2012, see sections on the 0.1</w:t>
      </w:r>
      <w:r w:rsidRPr="0075583E">
        <w:rPr>
          <w:rFonts w:ascii="Arial" w:hAnsi="Arial" w:cs="Arial"/>
          <w:sz w:val="24"/>
          <w:szCs w:val="24"/>
        </w:rPr>
        <w:noBreakHyphen/>
        <w:t xml:space="preserve"> and 1</w:t>
      </w:r>
      <w:r w:rsidRPr="0075583E">
        <w:rPr>
          <w:rFonts w:ascii="Arial" w:hAnsi="Arial" w:cs="Arial"/>
          <w:sz w:val="24"/>
          <w:szCs w:val="24"/>
        </w:rPr>
        <w:noBreakHyphen/>
        <w:t xml:space="preserve">second thresholds). Subsequent usability research further demonstrates that slow response times can undermine perceived reliability and negatively influence brand perception (Nielsen, 2010, section </w:t>
      </w:r>
      <w:r w:rsidRPr="0075583E">
        <w:rPr>
          <w:rFonts w:ascii="Arial" w:hAnsi="Arial" w:cs="Arial"/>
          <w:i/>
          <w:iCs/>
          <w:sz w:val="24"/>
          <w:szCs w:val="24"/>
        </w:rPr>
        <w:t>“Speed Matters”</w:t>
      </w:r>
      <w:r w:rsidRPr="0075583E">
        <w:rPr>
          <w:rFonts w:ascii="Arial" w:hAnsi="Arial" w:cs="Arial"/>
          <w:sz w:val="24"/>
          <w:szCs w:val="24"/>
        </w:rPr>
        <w:t>). Compared with similar service</w:t>
      </w:r>
      <w:r w:rsidRPr="0075583E">
        <w:rPr>
          <w:rFonts w:ascii="Arial" w:hAnsi="Arial" w:cs="Arial"/>
          <w:sz w:val="24"/>
          <w:szCs w:val="24"/>
        </w:rPr>
        <w:noBreakHyphen/>
        <w:t>sector websites, the platform offers a smooth and responsive experience, which positively influences users’ perceptions of competence and satisfaction and ultimately enhances overall usability.</w:t>
      </w:r>
    </w:p>
    <w:p w14:paraId="557A7C12"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Nielsen, J. (2010) ‘Website response times’, </w:t>
      </w:r>
      <w:r w:rsidRPr="0075583E">
        <w:rPr>
          <w:rFonts w:ascii="Arial" w:hAnsi="Arial" w:cs="Arial"/>
          <w:i/>
          <w:iCs/>
          <w:sz w:val="24"/>
          <w:szCs w:val="24"/>
        </w:rPr>
        <w:t>Nielsen Norman Group</w:t>
      </w:r>
      <w:r w:rsidRPr="0075583E">
        <w:rPr>
          <w:rFonts w:ascii="Arial" w:hAnsi="Arial" w:cs="Arial"/>
          <w:sz w:val="24"/>
          <w:szCs w:val="24"/>
        </w:rPr>
        <w:t>. Available at:</w:t>
      </w:r>
      <w:r w:rsidRPr="0075583E">
        <w:rPr>
          <w:rFonts w:ascii="Arial" w:hAnsi="Arial" w:cs="Arial"/>
          <w:sz w:val="24"/>
          <w:szCs w:val="24"/>
        </w:rPr>
        <w:br/>
        <w:t>https://www.nngroup.com/articles/website-response-times/</w:t>
      </w:r>
      <w:r w:rsidRPr="0075583E">
        <w:rPr>
          <w:rFonts w:ascii="Arial" w:hAnsi="Arial" w:cs="Arial"/>
          <w:sz w:val="24"/>
          <w:szCs w:val="24"/>
        </w:rPr>
        <w:br/>
        <w:t>(Accessed: 17 April 2026).</w:t>
      </w:r>
    </w:p>
    <w:p w14:paraId="56F690E3"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Nielsen, J. (2012) ‘Response times: The 3 important limits’, </w:t>
      </w:r>
      <w:r w:rsidRPr="0075583E">
        <w:rPr>
          <w:rFonts w:ascii="Arial" w:hAnsi="Arial" w:cs="Arial"/>
          <w:i/>
          <w:iCs/>
          <w:sz w:val="24"/>
          <w:szCs w:val="24"/>
        </w:rPr>
        <w:t>Nielsen Norman Group</w:t>
      </w:r>
      <w:r w:rsidRPr="0075583E">
        <w:rPr>
          <w:rFonts w:ascii="Arial" w:hAnsi="Arial" w:cs="Arial"/>
          <w:sz w:val="24"/>
          <w:szCs w:val="24"/>
        </w:rPr>
        <w:t>. Available at:</w:t>
      </w:r>
      <w:r w:rsidRPr="0075583E">
        <w:rPr>
          <w:rFonts w:ascii="Arial" w:hAnsi="Arial" w:cs="Arial"/>
          <w:sz w:val="24"/>
          <w:szCs w:val="24"/>
        </w:rPr>
        <w:br/>
        <w:t>https://www.nngroup.com/articles/response-times-3-important-limits/</w:t>
      </w:r>
      <w:r w:rsidRPr="0075583E">
        <w:rPr>
          <w:rFonts w:ascii="Arial" w:hAnsi="Arial" w:cs="Arial"/>
          <w:sz w:val="24"/>
          <w:szCs w:val="24"/>
        </w:rPr>
        <w:br/>
        <w:t>(Accessed: 17 April 2026).</w:t>
      </w:r>
    </w:p>
    <w:p w14:paraId="7D2DC41E" w14:textId="76853D33" w:rsidR="00D86AED" w:rsidRPr="00D86AED" w:rsidRDefault="00D86AED" w:rsidP="0075583E">
      <w:pPr>
        <w:rPr>
          <w:rFonts w:ascii="Arial" w:hAnsi="Arial" w:cs="Arial"/>
          <w:sz w:val="24"/>
          <w:szCs w:val="24"/>
        </w:rPr>
      </w:pPr>
      <w:r w:rsidRPr="00D86AED">
        <w:rPr>
          <w:rFonts w:ascii="Arial" w:hAnsi="Arial" w:cs="Arial"/>
          <w:b/>
          <w:bCs/>
          <w:sz w:val="24"/>
          <w:szCs w:val="24"/>
        </w:rPr>
        <w:t>1b. Number of sub-pages and navigation</w:t>
      </w:r>
      <w:r w:rsidRPr="00D86AED">
        <w:rPr>
          <w:rFonts w:ascii="Arial" w:hAnsi="Arial" w:cs="Arial"/>
          <w:sz w:val="24"/>
          <w:szCs w:val="24"/>
        </w:rPr>
        <w:br/>
        <w:t>The website features a limited number of sub-pages, which simplifies navigation and reduces the cognitive load for potential customers. This approach aligns with Krug’s usability principle, which emphasises that users prefer clear and intuitive structures that allow them to orient themselves quickly without having to consciously analyse how the site works (Krug, 2014, pp. 24–26). Minimalist site architectures therefore promote effective user orientation and facilitate navigation, enabling users to access the desired information with reduced cognitive effort.</w:t>
      </w:r>
    </w:p>
    <w:p w14:paraId="62DBDA35" w14:textId="77777777" w:rsidR="00D86AED" w:rsidRPr="00D86AED" w:rsidRDefault="00D86AED" w:rsidP="0075583E">
      <w:pPr>
        <w:rPr>
          <w:rFonts w:ascii="Arial" w:hAnsi="Arial" w:cs="Arial"/>
          <w:sz w:val="24"/>
          <w:szCs w:val="24"/>
        </w:rPr>
      </w:pPr>
      <w:r w:rsidRPr="00D86AED">
        <w:rPr>
          <w:rFonts w:ascii="Arial" w:hAnsi="Arial" w:cs="Arial"/>
          <w:sz w:val="24"/>
          <w:szCs w:val="24"/>
        </w:rPr>
        <w:t xml:space="preserve">Krug, S. (2014) </w:t>
      </w:r>
      <w:r w:rsidRPr="00D86AED">
        <w:rPr>
          <w:rFonts w:ascii="Arial" w:hAnsi="Arial" w:cs="Arial"/>
          <w:i/>
          <w:iCs/>
          <w:sz w:val="24"/>
          <w:szCs w:val="24"/>
        </w:rPr>
        <w:t xml:space="preserve">Don’t Make Me Think, Revisited: A </w:t>
      </w:r>
      <w:proofErr w:type="gramStart"/>
      <w:r w:rsidRPr="00D86AED">
        <w:rPr>
          <w:rFonts w:ascii="Arial" w:hAnsi="Arial" w:cs="Arial"/>
          <w:i/>
          <w:iCs/>
          <w:sz w:val="24"/>
          <w:szCs w:val="24"/>
        </w:rPr>
        <w:t>Common Sense</w:t>
      </w:r>
      <w:proofErr w:type="gramEnd"/>
      <w:r w:rsidRPr="00D86AED">
        <w:rPr>
          <w:rFonts w:ascii="Arial" w:hAnsi="Arial" w:cs="Arial"/>
          <w:i/>
          <w:iCs/>
          <w:sz w:val="24"/>
          <w:szCs w:val="24"/>
        </w:rPr>
        <w:t xml:space="preserve"> Approach to Web Usability</w:t>
      </w:r>
      <w:r w:rsidRPr="00D86AED">
        <w:rPr>
          <w:rFonts w:ascii="Arial" w:hAnsi="Arial" w:cs="Arial"/>
          <w:sz w:val="24"/>
          <w:szCs w:val="24"/>
        </w:rPr>
        <w:t xml:space="preserve">. 3rd </w:t>
      </w:r>
      <w:proofErr w:type="spellStart"/>
      <w:r w:rsidRPr="00D86AED">
        <w:rPr>
          <w:rFonts w:ascii="Arial" w:hAnsi="Arial" w:cs="Arial"/>
          <w:sz w:val="24"/>
          <w:szCs w:val="24"/>
        </w:rPr>
        <w:t>edn</w:t>
      </w:r>
      <w:proofErr w:type="spellEnd"/>
      <w:r w:rsidRPr="00D86AED">
        <w:rPr>
          <w:rFonts w:ascii="Arial" w:hAnsi="Arial" w:cs="Arial"/>
          <w:sz w:val="24"/>
          <w:szCs w:val="24"/>
        </w:rPr>
        <w:t>. Berkeley, CA: New Riders.</w:t>
      </w:r>
    </w:p>
    <w:p w14:paraId="58CAF8C6" w14:textId="77777777" w:rsidR="00D86AED" w:rsidRPr="00D86AED" w:rsidRDefault="00D86AED" w:rsidP="0075583E">
      <w:pPr>
        <w:rPr>
          <w:rFonts w:ascii="Arial" w:hAnsi="Arial" w:cs="Arial"/>
          <w:sz w:val="24"/>
          <w:szCs w:val="24"/>
        </w:rPr>
      </w:pPr>
      <w:r w:rsidRPr="00D86AED">
        <w:rPr>
          <w:rFonts w:ascii="Arial" w:hAnsi="Arial" w:cs="Arial"/>
          <w:b/>
          <w:bCs/>
          <w:sz w:val="24"/>
          <w:szCs w:val="24"/>
        </w:rPr>
        <w:t>1c. Online booking functionality</w:t>
      </w:r>
      <w:r w:rsidRPr="00D86AED">
        <w:rPr>
          <w:rFonts w:ascii="Arial" w:hAnsi="Arial" w:cs="Arial"/>
          <w:sz w:val="24"/>
          <w:szCs w:val="24"/>
        </w:rPr>
        <w:br/>
        <w:t xml:space="preserve">The platform integrates an online booking system that allows customers to schedule services directly. This functionality responds to current expectations of digital convenience and aligns with Laudon and Traver’s user-centred e-commerce approach, which emphasises that online transactional tools should reduce intermediary steps and simplify access to services </w:t>
      </w:r>
      <w:proofErr w:type="gramStart"/>
      <w:r w:rsidRPr="00D86AED">
        <w:rPr>
          <w:rFonts w:ascii="Arial" w:hAnsi="Arial" w:cs="Arial"/>
          <w:sz w:val="24"/>
          <w:szCs w:val="24"/>
        </w:rPr>
        <w:t>in order to</w:t>
      </w:r>
      <w:proofErr w:type="gramEnd"/>
      <w:r w:rsidRPr="00D86AED">
        <w:rPr>
          <w:rFonts w:ascii="Arial" w:hAnsi="Arial" w:cs="Arial"/>
          <w:sz w:val="24"/>
          <w:szCs w:val="24"/>
        </w:rPr>
        <w:t xml:space="preserve"> enhance efficiency and </w:t>
      </w:r>
      <w:r w:rsidRPr="00D86AED">
        <w:rPr>
          <w:rFonts w:ascii="Arial" w:hAnsi="Arial" w:cs="Arial"/>
          <w:sz w:val="24"/>
          <w:szCs w:val="24"/>
        </w:rPr>
        <w:lastRenderedPageBreak/>
        <w:t>customer satisfaction (Laudon &amp; Traver, 2021, pp. 55–57). Online booking therefore contributes to optimising the digital customer experience by offering fast, autonomous, and immediate access to the services provided.</w:t>
      </w:r>
    </w:p>
    <w:p w14:paraId="75EA2684" w14:textId="77777777" w:rsidR="00D614ED" w:rsidRPr="00D614ED" w:rsidRDefault="00D614ED" w:rsidP="0075583E">
      <w:pPr>
        <w:rPr>
          <w:rFonts w:ascii="Arial" w:hAnsi="Arial" w:cs="Arial"/>
          <w:sz w:val="24"/>
          <w:szCs w:val="24"/>
        </w:rPr>
      </w:pPr>
      <w:r w:rsidRPr="00D614ED">
        <w:rPr>
          <w:rFonts w:ascii="Arial" w:hAnsi="Arial" w:cs="Arial"/>
          <w:sz w:val="24"/>
          <w:szCs w:val="24"/>
        </w:rPr>
        <w:t xml:space="preserve">Laudon, K.C. and Traver, C.G. (2021) </w:t>
      </w:r>
      <w:r w:rsidRPr="00D614ED">
        <w:rPr>
          <w:rFonts w:ascii="Arial" w:hAnsi="Arial" w:cs="Arial"/>
          <w:i/>
          <w:iCs/>
          <w:sz w:val="24"/>
          <w:szCs w:val="24"/>
        </w:rPr>
        <w:t>E-commerce: Business, Technology, Society</w:t>
      </w:r>
      <w:r w:rsidRPr="00D614ED">
        <w:rPr>
          <w:rFonts w:ascii="Arial" w:hAnsi="Arial" w:cs="Arial"/>
          <w:sz w:val="24"/>
          <w:szCs w:val="24"/>
        </w:rPr>
        <w:t xml:space="preserve">. 16th </w:t>
      </w:r>
      <w:proofErr w:type="spellStart"/>
      <w:r w:rsidRPr="00D614ED">
        <w:rPr>
          <w:rFonts w:ascii="Arial" w:hAnsi="Arial" w:cs="Arial"/>
          <w:sz w:val="24"/>
          <w:szCs w:val="24"/>
        </w:rPr>
        <w:t>edn</w:t>
      </w:r>
      <w:proofErr w:type="spellEnd"/>
      <w:r w:rsidRPr="00D614ED">
        <w:rPr>
          <w:rFonts w:ascii="Arial" w:hAnsi="Arial" w:cs="Arial"/>
          <w:sz w:val="24"/>
          <w:szCs w:val="24"/>
        </w:rPr>
        <w:t>. Harlow: Pearson Education.</w:t>
      </w:r>
    </w:p>
    <w:p w14:paraId="0A3BCA0E" w14:textId="77777777" w:rsidR="00D614ED" w:rsidRPr="00D614ED" w:rsidRDefault="00D614ED" w:rsidP="0075583E">
      <w:pPr>
        <w:rPr>
          <w:rFonts w:ascii="Arial" w:hAnsi="Arial" w:cs="Arial"/>
          <w:sz w:val="24"/>
          <w:szCs w:val="24"/>
        </w:rPr>
      </w:pPr>
      <w:r w:rsidRPr="00D614ED">
        <w:rPr>
          <w:rFonts w:ascii="Arial" w:hAnsi="Arial" w:cs="Arial"/>
          <w:b/>
          <w:bCs/>
          <w:sz w:val="24"/>
          <w:szCs w:val="24"/>
        </w:rPr>
        <w:t>1d. Suggested usability improvements</w:t>
      </w:r>
      <w:r w:rsidRPr="00D614ED">
        <w:rPr>
          <w:rFonts w:ascii="Arial" w:hAnsi="Arial" w:cs="Arial"/>
          <w:sz w:val="24"/>
          <w:szCs w:val="24"/>
        </w:rPr>
        <w:br/>
        <w:t>The absence of concise explanatory summaries limits customers’ understanding, even when the services are prominently displayed. This observation is consistent with Redish’s approach, which emphasises that web content should support rapid, task</w:t>
      </w:r>
      <w:r w:rsidRPr="00D614ED">
        <w:rPr>
          <w:rFonts w:ascii="Arial" w:hAnsi="Arial" w:cs="Arial"/>
          <w:sz w:val="24"/>
          <w:szCs w:val="24"/>
        </w:rPr>
        <w:noBreakHyphen/>
        <w:t>focused reading by providing clear and succinct explanations at the earliest stages of navigation (Redish, 2012, pp. 3–6). In line with best practices in web communication, the inclusion of brief descriptions would therefore enhance clarity and support informed decision</w:t>
      </w:r>
      <w:r w:rsidRPr="00D614ED">
        <w:rPr>
          <w:rFonts w:ascii="Arial" w:hAnsi="Arial" w:cs="Arial"/>
          <w:sz w:val="24"/>
          <w:szCs w:val="24"/>
        </w:rPr>
        <w:noBreakHyphen/>
        <w:t>making by reducing the cognitive effort required to understand the services offered (Redish, 2012, pp. 31–34).</w:t>
      </w:r>
    </w:p>
    <w:p w14:paraId="20B2C486" w14:textId="77777777" w:rsidR="00D614ED" w:rsidRPr="0075583E" w:rsidRDefault="00D614ED" w:rsidP="0075583E">
      <w:pPr>
        <w:rPr>
          <w:rFonts w:ascii="Arial" w:hAnsi="Arial" w:cs="Arial"/>
          <w:sz w:val="24"/>
          <w:szCs w:val="24"/>
        </w:rPr>
      </w:pPr>
      <w:r w:rsidRPr="00D614ED">
        <w:rPr>
          <w:rFonts w:ascii="Arial" w:hAnsi="Arial" w:cs="Arial"/>
          <w:sz w:val="24"/>
          <w:szCs w:val="24"/>
        </w:rPr>
        <w:t xml:space="preserve">Redish, J. (2012) </w:t>
      </w:r>
      <w:r w:rsidRPr="00D614ED">
        <w:rPr>
          <w:rFonts w:ascii="Arial" w:hAnsi="Arial" w:cs="Arial"/>
          <w:i/>
          <w:iCs/>
          <w:sz w:val="24"/>
          <w:szCs w:val="24"/>
        </w:rPr>
        <w:t>Letting Go of the Words: Writing Web Content That Works</w:t>
      </w:r>
      <w:r w:rsidRPr="00D614ED">
        <w:rPr>
          <w:rFonts w:ascii="Arial" w:hAnsi="Arial" w:cs="Arial"/>
          <w:sz w:val="24"/>
          <w:szCs w:val="24"/>
        </w:rPr>
        <w:t xml:space="preserve">. 2nd </w:t>
      </w:r>
      <w:proofErr w:type="spellStart"/>
      <w:r w:rsidRPr="00D614ED">
        <w:rPr>
          <w:rFonts w:ascii="Arial" w:hAnsi="Arial" w:cs="Arial"/>
          <w:sz w:val="24"/>
          <w:szCs w:val="24"/>
        </w:rPr>
        <w:t>edn</w:t>
      </w:r>
      <w:proofErr w:type="spellEnd"/>
      <w:r w:rsidRPr="00D614ED">
        <w:rPr>
          <w:rFonts w:ascii="Arial" w:hAnsi="Arial" w:cs="Arial"/>
          <w:sz w:val="24"/>
          <w:szCs w:val="24"/>
        </w:rPr>
        <w:t>. Amsterdam: Elsevier Morgan Kaufmann.</w:t>
      </w:r>
    </w:p>
    <w:p w14:paraId="2018273D"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Section 2- Pleasure- Customer Experience</w:t>
      </w:r>
    </w:p>
    <w:p w14:paraId="59A60615"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2a. Visual appeal and device comparison</w:t>
      </w:r>
    </w:p>
    <w:p w14:paraId="514432F0" w14:textId="77777777" w:rsidR="0075583E" w:rsidRPr="0075583E" w:rsidRDefault="0075583E" w:rsidP="0075583E">
      <w:pPr>
        <w:rPr>
          <w:rFonts w:ascii="Arial" w:hAnsi="Arial" w:cs="Arial"/>
          <w:sz w:val="24"/>
          <w:szCs w:val="24"/>
        </w:rPr>
      </w:pPr>
      <w:r w:rsidRPr="0075583E">
        <w:rPr>
          <w:rFonts w:ascii="Arial" w:hAnsi="Arial" w:cs="Arial"/>
          <w:sz w:val="24"/>
          <w:szCs w:val="24"/>
        </w:rPr>
        <w:t>On both desktop and mobile devices, the website’s visual design remains clear and consistent. Jesse James Garrett (2011) emphasizes that a positive user experience relies on visual coherence and functional consistency across different devices, as users expect interfaces to behave predictably regardless of screen size. He explains that maintaining consistency in layout, structure, and visual hierarchy supports usability and helps users remain engaged (</w:t>
      </w:r>
      <w:r w:rsidRPr="0075583E">
        <w:rPr>
          <w:rFonts w:ascii="Arial" w:hAnsi="Arial" w:cs="Arial"/>
          <w:i/>
          <w:iCs/>
          <w:sz w:val="24"/>
          <w:szCs w:val="24"/>
        </w:rPr>
        <w:t>The Elements of User Experience</w:t>
      </w:r>
      <w:r w:rsidRPr="0075583E">
        <w:rPr>
          <w:rFonts w:ascii="Arial" w:hAnsi="Arial" w:cs="Arial"/>
          <w:sz w:val="24"/>
          <w:szCs w:val="24"/>
        </w:rPr>
        <w:t>, chap. 6, pp. 135–165). In this context, the website’s simple layout and fast loading speed further contribute to an enjoyable and efficient browsing environment across devices.</w:t>
      </w:r>
    </w:p>
    <w:p w14:paraId="4062FCD3"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Garrett, J. J. (2011) </w:t>
      </w:r>
      <w:r w:rsidRPr="0075583E">
        <w:rPr>
          <w:rFonts w:ascii="Arial" w:hAnsi="Arial" w:cs="Arial"/>
          <w:i/>
          <w:iCs/>
          <w:sz w:val="24"/>
          <w:szCs w:val="24"/>
        </w:rPr>
        <w:t>The elements of user experience: user-</w:t>
      </w:r>
      <w:proofErr w:type="spellStart"/>
      <w:r w:rsidRPr="0075583E">
        <w:rPr>
          <w:rFonts w:ascii="Arial" w:hAnsi="Arial" w:cs="Arial"/>
          <w:i/>
          <w:iCs/>
          <w:sz w:val="24"/>
          <w:szCs w:val="24"/>
        </w:rPr>
        <w:t>centered</w:t>
      </w:r>
      <w:proofErr w:type="spellEnd"/>
      <w:r w:rsidRPr="0075583E">
        <w:rPr>
          <w:rFonts w:ascii="Arial" w:hAnsi="Arial" w:cs="Arial"/>
          <w:i/>
          <w:iCs/>
          <w:sz w:val="24"/>
          <w:szCs w:val="24"/>
        </w:rPr>
        <w:t xml:space="preserve"> design for the web and beyond</w:t>
      </w:r>
      <w:r w:rsidRPr="0075583E">
        <w:rPr>
          <w:rFonts w:ascii="Arial" w:hAnsi="Arial" w:cs="Arial"/>
          <w:sz w:val="24"/>
          <w:szCs w:val="24"/>
        </w:rPr>
        <w:t xml:space="preserve">. 2nd </w:t>
      </w:r>
      <w:proofErr w:type="spellStart"/>
      <w:r w:rsidRPr="0075583E">
        <w:rPr>
          <w:rFonts w:ascii="Arial" w:hAnsi="Arial" w:cs="Arial"/>
          <w:sz w:val="24"/>
          <w:szCs w:val="24"/>
        </w:rPr>
        <w:t>edn</w:t>
      </w:r>
      <w:proofErr w:type="spellEnd"/>
      <w:r w:rsidRPr="0075583E">
        <w:rPr>
          <w:rFonts w:ascii="Arial" w:hAnsi="Arial" w:cs="Arial"/>
          <w:sz w:val="24"/>
          <w:szCs w:val="24"/>
        </w:rPr>
        <w:t>. Berkeley, CA: New Riders.</w:t>
      </w:r>
    </w:p>
    <w:p w14:paraId="308A0A1D" w14:textId="77777777" w:rsidR="0075583E" w:rsidRPr="0075583E" w:rsidRDefault="0075583E" w:rsidP="0075583E">
      <w:pPr>
        <w:rPr>
          <w:rFonts w:ascii="Arial" w:hAnsi="Arial" w:cs="Arial"/>
          <w:sz w:val="24"/>
          <w:szCs w:val="24"/>
        </w:rPr>
      </w:pPr>
    </w:p>
    <w:p w14:paraId="3AB2BDBF"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2b. Use of imagery, video, and colour.</w:t>
      </w:r>
    </w:p>
    <w:p w14:paraId="76261F9A"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The platform uses visually engaging images and a harmonious colour scheme to enhance aesthetic appeal and reinforce brand credibility. Jesse James Garrett (2011) explains that visual elements such as imagery, colour, and multimedia content play a key role at the surface plane of user experience by shaping users’ perceptions and emotional responses to a digital interface. He argues that rich visual content can strengthen understanding and engagement, particularly when it supports users in </w:t>
      </w:r>
      <w:r w:rsidRPr="0075583E">
        <w:rPr>
          <w:rFonts w:ascii="Arial" w:hAnsi="Arial" w:cs="Arial"/>
          <w:sz w:val="24"/>
          <w:szCs w:val="24"/>
        </w:rPr>
        <w:lastRenderedPageBreak/>
        <w:t>interpreting services and content more effectively (</w:t>
      </w:r>
      <w:r w:rsidRPr="0075583E">
        <w:rPr>
          <w:rFonts w:ascii="Arial" w:hAnsi="Arial" w:cs="Arial"/>
          <w:i/>
          <w:iCs/>
          <w:sz w:val="24"/>
          <w:szCs w:val="24"/>
        </w:rPr>
        <w:t>The Elements of User Experience</w:t>
      </w:r>
      <w:r w:rsidRPr="0075583E">
        <w:rPr>
          <w:rFonts w:ascii="Arial" w:hAnsi="Arial" w:cs="Arial"/>
          <w:sz w:val="24"/>
          <w:szCs w:val="24"/>
        </w:rPr>
        <w:t>, chap. 7, pp. 166–191). In this context, the absence of video content limits the potential for more detailed and immersive service explanations, despite the platform’s strong visual foundation.</w:t>
      </w:r>
    </w:p>
    <w:p w14:paraId="2F974145" w14:textId="77777777" w:rsidR="0075583E" w:rsidRPr="0075583E" w:rsidRDefault="0075583E" w:rsidP="0075583E">
      <w:pPr>
        <w:rPr>
          <w:rFonts w:ascii="Arial" w:hAnsi="Arial" w:cs="Arial"/>
          <w:sz w:val="24"/>
          <w:szCs w:val="24"/>
        </w:rPr>
      </w:pPr>
      <w:r w:rsidRPr="0075583E">
        <w:rPr>
          <w:rFonts w:ascii="Arial" w:hAnsi="Arial" w:cs="Arial"/>
          <w:b/>
          <w:bCs/>
          <w:sz w:val="24"/>
          <w:szCs w:val="24"/>
        </w:rPr>
        <w:t>Garrett, J.J. (2011)</w:t>
      </w:r>
      <w:r w:rsidRPr="0075583E">
        <w:rPr>
          <w:rFonts w:ascii="Arial" w:hAnsi="Arial" w:cs="Arial"/>
          <w:sz w:val="24"/>
          <w:szCs w:val="24"/>
        </w:rPr>
        <w:t xml:space="preserve"> </w:t>
      </w:r>
      <w:r w:rsidRPr="0075583E">
        <w:rPr>
          <w:rFonts w:ascii="Arial" w:hAnsi="Arial" w:cs="Arial"/>
          <w:i/>
          <w:iCs/>
          <w:sz w:val="24"/>
          <w:szCs w:val="24"/>
        </w:rPr>
        <w:t>The elements of user experience: user-</w:t>
      </w:r>
      <w:proofErr w:type="spellStart"/>
      <w:r w:rsidRPr="0075583E">
        <w:rPr>
          <w:rFonts w:ascii="Arial" w:hAnsi="Arial" w:cs="Arial"/>
          <w:i/>
          <w:iCs/>
          <w:sz w:val="24"/>
          <w:szCs w:val="24"/>
        </w:rPr>
        <w:t>centered</w:t>
      </w:r>
      <w:proofErr w:type="spellEnd"/>
      <w:r w:rsidRPr="0075583E">
        <w:rPr>
          <w:rFonts w:ascii="Arial" w:hAnsi="Arial" w:cs="Arial"/>
          <w:i/>
          <w:iCs/>
          <w:sz w:val="24"/>
          <w:szCs w:val="24"/>
        </w:rPr>
        <w:t xml:space="preserve"> design for the web and beyond</w:t>
      </w:r>
      <w:r w:rsidRPr="0075583E">
        <w:rPr>
          <w:rFonts w:ascii="Arial" w:hAnsi="Arial" w:cs="Arial"/>
          <w:sz w:val="24"/>
          <w:szCs w:val="24"/>
        </w:rPr>
        <w:t xml:space="preserve">. 2nd </w:t>
      </w:r>
      <w:proofErr w:type="spellStart"/>
      <w:r w:rsidRPr="0075583E">
        <w:rPr>
          <w:rFonts w:ascii="Arial" w:hAnsi="Arial" w:cs="Arial"/>
          <w:sz w:val="24"/>
          <w:szCs w:val="24"/>
        </w:rPr>
        <w:t>edn</w:t>
      </w:r>
      <w:proofErr w:type="spellEnd"/>
      <w:r w:rsidRPr="0075583E">
        <w:rPr>
          <w:rFonts w:ascii="Arial" w:hAnsi="Arial" w:cs="Arial"/>
          <w:sz w:val="24"/>
          <w:szCs w:val="24"/>
        </w:rPr>
        <w:t>. Berkeley, CA: New Riders.</w:t>
      </w:r>
    </w:p>
    <w:p w14:paraId="58AFC450" w14:textId="77777777" w:rsidR="0075583E" w:rsidRPr="0075583E" w:rsidRDefault="0075583E" w:rsidP="0075583E">
      <w:pPr>
        <w:rPr>
          <w:rFonts w:ascii="Arial" w:hAnsi="Arial" w:cs="Arial"/>
          <w:sz w:val="24"/>
          <w:szCs w:val="24"/>
        </w:rPr>
      </w:pPr>
    </w:p>
    <w:p w14:paraId="6A0B1F81"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2c. Use of online chat tools</w:t>
      </w:r>
    </w:p>
    <w:p w14:paraId="47C48E06" w14:textId="77777777" w:rsidR="0075583E" w:rsidRPr="0075583E" w:rsidRDefault="0075583E" w:rsidP="0075583E">
      <w:pPr>
        <w:rPr>
          <w:rFonts w:ascii="Arial" w:hAnsi="Arial" w:cs="Arial"/>
          <w:sz w:val="24"/>
          <w:szCs w:val="24"/>
        </w:rPr>
      </w:pPr>
      <w:r w:rsidRPr="0075583E">
        <w:rPr>
          <w:rFonts w:ascii="Arial" w:hAnsi="Arial" w:cs="Arial"/>
          <w:sz w:val="24"/>
          <w:szCs w:val="24"/>
        </w:rPr>
        <w:t>The website does not incorporate an online chat function, which limits opportunities for real</w:t>
      </w:r>
      <w:r w:rsidRPr="0075583E">
        <w:rPr>
          <w:rFonts w:ascii="Arial" w:hAnsi="Arial" w:cs="Arial"/>
          <w:sz w:val="24"/>
          <w:szCs w:val="24"/>
        </w:rPr>
        <w:noBreakHyphen/>
        <w:t>time communication and immediate user support. Jesse James Garrett (2011) emphasizes that interactive interface components play a crucial role in supporting user needs and facilitating effective communication at the interface and interaction levels of user experience. He explains that providing responsive and user</w:t>
      </w:r>
      <w:r w:rsidRPr="0075583E">
        <w:rPr>
          <w:rFonts w:ascii="Arial" w:hAnsi="Arial" w:cs="Arial"/>
          <w:sz w:val="24"/>
          <w:szCs w:val="24"/>
        </w:rPr>
        <w:noBreakHyphen/>
        <w:t>centred interaction mechanisms helps users accomplish tasks more easily and increases inclusivity, particularly for users who may prefer or rely on text</w:t>
      </w:r>
      <w:r w:rsidRPr="0075583E">
        <w:rPr>
          <w:rFonts w:ascii="Arial" w:hAnsi="Arial" w:cs="Arial"/>
          <w:sz w:val="24"/>
          <w:szCs w:val="24"/>
        </w:rPr>
        <w:noBreakHyphen/>
        <w:t>based communication (</w:t>
      </w:r>
      <w:r w:rsidRPr="0075583E">
        <w:rPr>
          <w:rFonts w:ascii="Arial" w:hAnsi="Arial" w:cs="Arial"/>
          <w:i/>
          <w:iCs/>
          <w:sz w:val="24"/>
          <w:szCs w:val="24"/>
        </w:rPr>
        <w:t>The Elements of User Experience</w:t>
      </w:r>
      <w:r w:rsidRPr="0075583E">
        <w:rPr>
          <w:rFonts w:ascii="Arial" w:hAnsi="Arial" w:cs="Arial"/>
          <w:sz w:val="24"/>
          <w:szCs w:val="24"/>
        </w:rPr>
        <w:t>, chap. 6, pp. 135–165). In this context, the absence of a live chat function may disadvantage users who rely on written interaction, including individuals with speech impairments. Implementing such a tool could therefore enhance accessibility and strengthen overall customer support (Wang et al., 2020).</w:t>
      </w:r>
    </w:p>
    <w:p w14:paraId="5A89672D" w14:textId="77777777" w:rsidR="0075583E" w:rsidRPr="0075583E" w:rsidRDefault="0075583E" w:rsidP="0075583E">
      <w:pPr>
        <w:rPr>
          <w:rFonts w:ascii="Arial" w:hAnsi="Arial" w:cs="Arial"/>
          <w:sz w:val="24"/>
          <w:szCs w:val="24"/>
        </w:rPr>
      </w:pPr>
      <w:r w:rsidRPr="0075583E">
        <w:rPr>
          <w:rFonts w:ascii="Arial" w:hAnsi="Arial" w:cs="Arial"/>
          <w:b/>
          <w:bCs/>
          <w:sz w:val="24"/>
          <w:szCs w:val="24"/>
        </w:rPr>
        <w:t>Garrett, J.J. (2011)</w:t>
      </w:r>
      <w:r w:rsidRPr="0075583E">
        <w:rPr>
          <w:rFonts w:ascii="Arial" w:hAnsi="Arial" w:cs="Arial"/>
          <w:sz w:val="24"/>
          <w:szCs w:val="24"/>
        </w:rPr>
        <w:t xml:space="preserve"> </w:t>
      </w:r>
      <w:r w:rsidRPr="0075583E">
        <w:rPr>
          <w:rFonts w:ascii="Arial" w:hAnsi="Arial" w:cs="Arial"/>
          <w:i/>
          <w:iCs/>
          <w:sz w:val="24"/>
          <w:szCs w:val="24"/>
        </w:rPr>
        <w:t>The elements of user experience: user-</w:t>
      </w:r>
      <w:proofErr w:type="spellStart"/>
      <w:r w:rsidRPr="0075583E">
        <w:rPr>
          <w:rFonts w:ascii="Arial" w:hAnsi="Arial" w:cs="Arial"/>
          <w:i/>
          <w:iCs/>
          <w:sz w:val="24"/>
          <w:szCs w:val="24"/>
        </w:rPr>
        <w:t>centered</w:t>
      </w:r>
      <w:proofErr w:type="spellEnd"/>
      <w:r w:rsidRPr="0075583E">
        <w:rPr>
          <w:rFonts w:ascii="Arial" w:hAnsi="Arial" w:cs="Arial"/>
          <w:i/>
          <w:iCs/>
          <w:sz w:val="24"/>
          <w:szCs w:val="24"/>
        </w:rPr>
        <w:t xml:space="preserve"> design for the web and beyond</w:t>
      </w:r>
      <w:r w:rsidRPr="0075583E">
        <w:rPr>
          <w:rFonts w:ascii="Arial" w:hAnsi="Arial" w:cs="Arial"/>
          <w:sz w:val="24"/>
          <w:szCs w:val="24"/>
        </w:rPr>
        <w:t xml:space="preserve">. 2nd </w:t>
      </w:r>
      <w:proofErr w:type="spellStart"/>
      <w:r w:rsidRPr="0075583E">
        <w:rPr>
          <w:rFonts w:ascii="Arial" w:hAnsi="Arial" w:cs="Arial"/>
          <w:sz w:val="24"/>
          <w:szCs w:val="24"/>
        </w:rPr>
        <w:t>edn</w:t>
      </w:r>
      <w:proofErr w:type="spellEnd"/>
      <w:r w:rsidRPr="0075583E">
        <w:rPr>
          <w:rFonts w:ascii="Arial" w:hAnsi="Arial" w:cs="Arial"/>
          <w:sz w:val="24"/>
          <w:szCs w:val="24"/>
        </w:rPr>
        <w:t>. Berkeley, CA: New Riders.</w:t>
      </w:r>
    </w:p>
    <w:p w14:paraId="644811DF" w14:textId="77777777" w:rsidR="0075583E" w:rsidRPr="0075583E" w:rsidRDefault="0075583E" w:rsidP="0075583E">
      <w:pPr>
        <w:rPr>
          <w:rFonts w:ascii="Arial" w:hAnsi="Arial" w:cs="Arial"/>
          <w:sz w:val="24"/>
          <w:szCs w:val="24"/>
        </w:rPr>
      </w:pPr>
    </w:p>
    <w:p w14:paraId="3BE280C3"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2d. Effectiveness of social media links</w:t>
      </w:r>
    </w:p>
    <w:p w14:paraId="7B729021" w14:textId="77777777" w:rsidR="0075583E" w:rsidRPr="0075583E" w:rsidRDefault="0075583E" w:rsidP="0075583E">
      <w:pPr>
        <w:rPr>
          <w:rFonts w:ascii="Arial" w:hAnsi="Arial" w:cs="Arial"/>
          <w:sz w:val="24"/>
          <w:szCs w:val="24"/>
        </w:rPr>
      </w:pPr>
      <w:r w:rsidRPr="0075583E">
        <w:rPr>
          <w:rFonts w:ascii="Arial" w:hAnsi="Arial" w:cs="Arial"/>
          <w:sz w:val="24"/>
          <w:szCs w:val="24"/>
        </w:rPr>
        <w:t>The absence of social media platform links on the website limits the company’s online visibility and reduces opportunities for user engagement beyond the site itself. Jesse James Garrett (2011) explains that effective digital interfaces should support users’ broader goals by facilitating clear pathways between a website and related external platforms, particularly at the structure and interface levels of user experience. He argues that well</w:t>
      </w:r>
      <w:r w:rsidRPr="0075583E">
        <w:rPr>
          <w:rFonts w:ascii="Arial" w:hAnsi="Arial" w:cs="Arial"/>
          <w:sz w:val="24"/>
          <w:szCs w:val="24"/>
        </w:rPr>
        <w:noBreakHyphen/>
        <w:t>designed connections to complementary channels help extend interaction, reinforce brand perception, and encourage continued engagement (</w:t>
      </w:r>
      <w:r w:rsidRPr="0075583E">
        <w:rPr>
          <w:rFonts w:ascii="Arial" w:hAnsi="Arial" w:cs="Arial"/>
          <w:i/>
          <w:iCs/>
          <w:sz w:val="24"/>
          <w:szCs w:val="24"/>
        </w:rPr>
        <w:t>The Elements of User Experience</w:t>
      </w:r>
      <w:r w:rsidRPr="0075583E">
        <w:rPr>
          <w:rFonts w:ascii="Arial" w:hAnsi="Arial" w:cs="Arial"/>
          <w:sz w:val="24"/>
          <w:szCs w:val="24"/>
        </w:rPr>
        <w:t>, chap. 5–6, pp. 111–165). In this context, the lack of social media links restricts users’ ability to interact with the brand across channels, thereby limiting customer involvement and potential brand development. A strategic social media presence could therefore help attract new customers and enhance brand reputation (Tuten &amp; Solomon, 2018).</w:t>
      </w:r>
    </w:p>
    <w:p w14:paraId="75103347" w14:textId="77777777" w:rsidR="0075583E" w:rsidRPr="0075583E" w:rsidRDefault="0075583E" w:rsidP="0075583E">
      <w:pPr>
        <w:rPr>
          <w:rFonts w:ascii="Arial" w:hAnsi="Arial" w:cs="Arial"/>
          <w:sz w:val="24"/>
          <w:szCs w:val="24"/>
        </w:rPr>
      </w:pPr>
      <w:r w:rsidRPr="0075583E">
        <w:rPr>
          <w:rFonts w:ascii="Arial" w:hAnsi="Arial" w:cs="Arial"/>
          <w:b/>
          <w:bCs/>
          <w:sz w:val="24"/>
          <w:szCs w:val="24"/>
        </w:rPr>
        <w:t>Garrett, J.J. (2011)</w:t>
      </w:r>
      <w:r w:rsidRPr="0075583E">
        <w:rPr>
          <w:rFonts w:ascii="Arial" w:hAnsi="Arial" w:cs="Arial"/>
          <w:sz w:val="24"/>
          <w:szCs w:val="24"/>
        </w:rPr>
        <w:t xml:space="preserve"> </w:t>
      </w:r>
      <w:r w:rsidRPr="0075583E">
        <w:rPr>
          <w:rFonts w:ascii="Arial" w:hAnsi="Arial" w:cs="Arial"/>
          <w:i/>
          <w:iCs/>
          <w:sz w:val="24"/>
          <w:szCs w:val="24"/>
        </w:rPr>
        <w:t>The elements of user experience: user-</w:t>
      </w:r>
      <w:proofErr w:type="spellStart"/>
      <w:r w:rsidRPr="0075583E">
        <w:rPr>
          <w:rFonts w:ascii="Arial" w:hAnsi="Arial" w:cs="Arial"/>
          <w:i/>
          <w:iCs/>
          <w:sz w:val="24"/>
          <w:szCs w:val="24"/>
        </w:rPr>
        <w:t>centered</w:t>
      </w:r>
      <w:proofErr w:type="spellEnd"/>
      <w:r w:rsidRPr="0075583E">
        <w:rPr>
          <w:rFonts w:ascii="Arial" w:hAnsi="Arial" w:cs="Arial"/>
          <w:i/>
          <w:iCs/>
          <w:sz w:val="24"/>
          <w:szCs w:val="24"/>
        </w:rPr>
        <w:t xml:space="preserve"> design for the web and beyond</w:t>
      </w:r>
      <w:r w:rsidRPr="0075583E">
        <w:rPr>
          <w:rFonts w:ascii="Arial" w:hAnsi="Arial" w:cs="Arial"/>
          <w:sz w:val="24"/>
          <w:szCs w:val="24"/>
        </w:rPr>
        <w:t xml:space="preserve">. 2nd </w:t>
      </w:r>
      <w:proofErr w:type="spellStart"/>
      <w:r w:rsidRPr="0075583E">
        <w:rPr>
          <w:rFonts w:ascii="Arial" w:hAnsi="Arial" w:cs="Arial"/>
          <w:sz w:val="24"/>
          <w:szCs w:val="24"/>
        </w:rPr>
        <w:t>edn</w:t>
      </w:r>
      <w:proofErr w:type="spellEnd"/>
      <w:r w:rsidRPr="0075583E">
        <w:rPr>
          <w:rFonts w:ascii="Arial" w:hAnsi="Arial" w:cs="Arial"/>
          <w:sz w:val="24"/>
          <w:szCs w:val="24"/>
        </w:rPr>
        <w:t>. Berkeley, CA: New Riders.</w:t>
      </w:r>
    </w:p>
    <w:p w14:paraId="098C1D36" w14:textId="77777777" w:rsidR="0075583E" w:rsidRPr="0075583E" w:rsidRDefault="0075583E" w:rsidP="0075583E">
      <w:pPr>
        <w:rPr>
          <w:rFonts w:ascii="Arial" w:hAnsi="Arial" w:cs="Arial"/>
          <w:sz w:val="24"/>
          <w:szCs w:val="24"/>
        </w:rPr>
      </w:pPr>
    </w:p>
    <w:p w14:paraId="5F49622E" w14:textId="77777777" w:rsidR="0075583E" w:rsidRPr="0075583E" w:rsidRDefault="0075583E" w:rsidP="0075583E">
      <w:pPr>
        <w:rPr>
          <w:rFonts w:ascii="Arial" w:hAnsi="Arial" w:cs="Arial"/>
          <w:sz w:val="24"/>
          <w:szCs w:val="24"/>
        </w:rPr>
      </w:pPr>
    </w:p>
    <w:p w14:paraId="1D485614" w14:textId="77777777" w:rsidR="0075583E" w:rsidRPr="0075583E" w:rsidRDefault="0075583E" w:rsidP="0075583E">
      <w:pPr>
        <w:rPr>
          <w:rFonts w:ascii="Arial" w:hAnsi="Arial" w:cs="Arial"/>
          <w:sz w:val="24"/>
          <w:szCs w:val="24"/>
        </w:rPr>
      </w:pPr>
    </w:p>
    <w:p w14:paraId="7B1B0F29"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Section 3- Perceived Value</w:t>
      </w:r>
    </w:p>
    <w:p w14:paraId="58218630"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3a. Clarity of services offered</w:t>
      </w:r>
    </w:p>
    <w:p w14:paraId="1925C7AA" w14:textId="77777777" w:rsidR="0075583E" w:rsidRPr="0075583E" w:rsidRDefault="0075583E" w:rsidP="0075583E">
      <w:pPr>
        <w:rPr>
          <w:rFonts w:ascii="Arial" w:hAnsi="Arial" w:cs="Arial"/>
          <w:sz w:val="24"/>
          <w:szCs w:val="24"/>
        </w:rPr>
      </w:pPr>
      <w:r w:rsidRPr="0075583E">
        <w:rPr>
          <w:rFonts w:ascii="Arial" w:hAnsi="Arial" w:cs="Arial"/>
          <w:sz w:val="24"/>
          <w:szCs w:val="24"/>
        </w:rPr>
        <w:t>The services are presented clearly, enabling customers to understand the available options with ease. Jesse James Garrett (2011) explains that clearly structured information and intuitive content organisation are essential to helping users make sense of what a digital product offers. At the structure and skeleton planes of user experience, well</w:t>
      </w:r>
      <w:r w:rsidRPr="0075583E">
        <w:rPr>
          <w:rFonts w:ascii="Arial" w:hAnsi="Arial" w:cs="Arial"/>
          <w:sz w:val="24"/>
          <w:szCs w:val="24"/>
        </w:rPr>
        <w:noBreakHyphen/>
        <w:t>defined content hierarchies and clear descriptions support transparency and reduce user uncertainty (</w:t>
      </w:r>
      <w:r w:rsidRPr="0075583E">
        <w:rPr>
          <w:rFonts w:ascii="Arial" w:hAnsi="Arial" w:cs="Arial"/>
          <w:i/>
          <w:iCs/>
          <w:sz w:val="24"/>
          <w:szCs w:val="24"/>
        </w:rPr>
        <w:t>The Elements of User Experience</w:t>
      </w:r>
      <w:r w:rsidRPr="0075583E">
        <w:rPr>
          <w:rFonts w:ascii="Arial" w:hAnsi="Arial" w:cs="Arial"/>
          <w:sz w:val="24"/>
          <w:szCs w:val="24"/>
        </w:rPr>
        <w:t>, chap. 5, pp. 111–134; chap. 6, pp. 135–165). Such clarity contributes to customer confidence, which is particularly important in service</w:t>
      </w:r>
      <w:r w:rsidRPr="0075583E">
        <w:rPr>
          <w:rFonts w:ascii="Arial" w:hAnsi="Arial" w:cs="Arial"/>
          <w:sz w:val="24"/>
          <w:szCs w:val="24"/>
        </w:rPr>
        <w:noBreakHyphen/>
        <w:t>based industries where perceived value depends heavily on trust and understanding (Zeithaml et al., 2018).</w:t>
      </w:r>
    </w:p>
    <w:p w14:paraId="596991A2"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Garrett, J.J. (2011) </w:t>
      </w:r>
      <w:r w:rsidRPr="0075583E">
        <w:rPr>
          <w:rFonts w:ascii="Arial" w:hAnsi="Arial" w:cs="Arial"/>
          <w:i/>
          <w:iCs/>
          <w:sz w:val="24"/>
          <w:szCs w:val="24"/>
        </w:rPr>
        <w:t>The elements of user experience: user</w:t>
      </w:r>
      <w:r w:rsidRPr="0075583E">
        <w:rPr>
          <w:rFonts w:ascii="Arial" w:hAnsi="Arial" w:cs="Arial"/>
          <w:i/>
          <w:iCs/>
          <w:sz w:val="24"/>
          <w:szCs w:val="24"/>
        </w:rPr>
        <w:noBreakHyphen/>
      </w:r>
      <w:proofErr w:type="spellStart"/>
      <w:r w:rsidRPr="0075583E">
        <w:rPr>
          <w:rFonts w:ascii="Arial" w:hAnsi="Arial" w:cs="Arial"/>
          <w:i/>
          <w:iCs/>
          <w:sz w:val="24"/>
          <w:szCs w:val="24"/>
        </w:rPr>
        <w:t>centered</w:t>
      </w:r>
      <w:proofErr w:type="spellEnd"/>
      <w:r w:rsidRPr="0075583E">
        <w:rPr>
          <w:rFonts w:ascii="Arial" w:hAnsi="Arial" w:cs="Arial"/>
          <w:i/>
          <w:iCs/>
          <w:sz w:val="24"/>
          <w:szCs w:val="24"/>
        </w:rPr>
        <w:t xml:space="preserve"> design for the web and beyond</w:t>
      </w:r>
      <w:r w:rsidRPr="0075583E">
        <w:rPr>
          <w:rFonts w:ascii="Arial" w:hAnsi="Arial" w:cs="Arial"/>
          <w:sz w:val="24"/>
          <w:szCs w:val="24"/>
        </w:rPr>
        <w:t xml:space="preserve">. 2nd </w:t>
      </w:r>
      <w:proofErr w:type="spellStart"/>
      <w:r w:rsidRPr="0075583E">
        <w:rPr>
          <w:rFonts w:ascii="Arial" w:hAnsi="Arial" w:cs="Arial"/>
          <w:sz w:val="24"/>
          <w:szCs w:val="24"/>
        </w:rPr>
        <w:t>edn</w:t>
      </w:r>
      <w:proofErr w:type="spellEnd"/>
      <w:r w:rsidRPr="0075583E">
        <w:rPr>
          <w:rFonts w:ascii="Arial" w:hAnsi="Arial" w:cs="Arial"/>
          <w:sz w:val="24"/>
          <w:szCs w:val="24"/>
        </w:rPr>
        <w:t>. Berkeley, CA: New Riders.</w:t>
      </w:r>
    </w:p>
    <w:p w14:paraId="4204DBA1" w14:textId="77777777" w:rsidR="0075583E" w:rsidRPr="0075583E" w:rsidRDefault="0075583E" w:rsidP="0075583E">
      <w:pPr>
        <w:rPr>
          <w:rFonts w:ascii="Arial" w:hAnsi="Arial" w:cs="Arial"/>
          <w:b/>
          <w:bCs/>
          <w:sz w:val="24"/>
          <w:szCs w:val="24"/>
        </w:rPr>
      </w:pPr>
    </w:p>
    <w:p w14:paraId="4F6A78EB"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3b. Availability and currency of customer reviews</w:t>
      </w:r>
    </w:p>
    <w:p w14:paraId="42ADA983"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Customer reviews are available on the website and appear to be updated regularly. </w:t>
      </w:r>
      <w:proofErr w:type="spellStart"/>
      <w:r w:rsidRPr="0075583E">
        <w:rPr>
          <w:rFonts w:ascii="Arial" w:hAnsi="Arial" w:cs="Arial"/>
          <w:sz w:val="24"/>
          <w:szCs w:val="24"/>
        </w:rPr>
        <w:t>Filieri</w:t>
      </w:r>
      <w:proofErr w:type="spellEnd"/>
      <w:r w:rsidRPr="0075583E">
        <w:rPr>
          <w:rFonts w:ascii="Arial" w:hAnsi="Arial" w:cs="Arial"/>
          <w:sz w:val="24"/>
          <w:szCs w:val="24"/>
        </w:rPr>
        <w:t xml:space="preserve"> (2016, pp. 1261–1270) explains that recent and relevant online reviews help consumers assess service quality and reduce perceived risk in online environments. He argues that up</w:t>
      </w:r>
      <w:r w:rsidRPr="0075583E">
        <w:rPr>
          <w:rFonts w:ascii="Arial" w:hAnsi="Arial" w:cs="Arial"/>
          <w:sz w:val="24"/>
          <w:szCs w:val="24"/>
        </w:rPr>
        <w:noBreakHyphen/>
        <w:t>to</w:t>
      </w:r>
      <w:r w:rsidRPr="0075583E">
        <w:rPr>
          <w:rFonts w:ascii="Arial" w:hAnsi="Arial" w:cs="Arial"/>
          <w:sz w:val="24"/>
          <w:szCs w:val="24"/>
        </w:rPr>
        <w:noBreakHyphen/>
        <w:t>date reviews enhance credibility and trustworthiness by signalling reliability and transparency, which are crucial factors in consumers’ online decision</w:t>
      </w:r>
      <w:r w:rsidRPr="0075583E">
        <w:rPr>
          <w:rFonts w:ascii="Arial" w:hAnsi="Arial" w:cs="Arial"/>
          <w:sz w:val="24"/>
          <w:szCs w:val="24"/>
        </w:rPr>
        <w:noBreakHyphen/>
        <w:t>making processes.</w:t>
      </w:r>
    </w:p>
    <w:p w14:paraId="1B4CCDC6" w14:textId="77777777" w:rsidR="0075583E" w:rsidRPr="0075583E" w:rsidRDefault="0075583E" w:rsidP="0075583E">
      <w:pPr>
        <w:rPr>
          <w:rFonts w:ascii="Arial" w:hAnsi="Arial" w:cs="Arial"/>
          <w:sz w:val="24"/>
          <w:szCs w:val="24"/>
        </w:rPr>
      </w:pPr>
      <w:proofErr w:type="spellStart"/>
      <w:r w:rsidRPr="0075583E">
        <w:rPr>
          <w:rFonts w:ascii="Arial" w:hAnsi="Arial" w:cs="Arial"/>
          <w:sz w:val="24"/>
          <w:szCs w:val="24"/>
        </w:rPr>
        <w:t>Filieri</w:t>
      </w:r>
      <w:proofErr w:type="spellEnd"/>
      <w:r w:rsidRPr="0075583E">
        <w:rPr>
          <w:rFonts w:ascii="Arial" w:hAnsi="Arial" w:cs="Arial"/>
          <w:sz w:val="24"/>
          <w:szCs w:val="24"/>
        </w:rPr>
        <w:t xml:space="preserve">, R. (2016) ‘What makes an online consumer review trustworthy?’, </w:t>
      </w:r>
      <w:r w:rsidRPr="0075583E">
        <w:rPr>
          <w:rFonts w:ascii="Arial" w:hAnsi="Arial" w:cs="Arial"/>
          <w:i/>
          <w:iCs/>
          <w:sz w:val="24"/>
          <w:szCs w:val="24"/>
        </w:rPr>
        <w:t>Journal of Business Research</w:t>
      </w:r>
      <w:r w:rsidRPr="0075583E">
        <w:rPr>
          <w:rFonts w:ascii="Arial" w:hAnsi="Arial" w:cs="Arial"/>
          <w:sz w:val="24"/>
          <w:szCs w:val="24"/>
        </w:rPr>
        <w:t>, 69(10), pp. 1261–1270.</w:t>
      </w:r>
    </w:p>
    <w:p w14:paraId="6C7EEDD5" w14:textId="77777777" w:rsidR="0075583E" w:rsidRPr="0075583E" w:rsidRDefault="0075583E" w:rsidP="0075583E">
      <w:pPr>
        <w:rPr>
          <w:rFonts w:ascii="Arial" w:hAnsi="Arial" w:cs="Arial"/>
          <w:b/>
          <w:bCs/>
          <w:sz w:val="24"/>
          <w:szCs w:val="24"/>
        </w:rPr>
      </w:pPr>
      <w:r w:rsidRPr="0075583E">
        <w:rPr>
          <w:rFonts w:ascii="Arial" w:hAnsi="Arial" w:cs="Arial"/>
          <w:sz w:val="24"/>
          <w:szCs w:val="24"/>
        </w:rPr>
        <w:t xml:space="preserve">3c. </w:t>
      </w:r>
      <w:r w:rsidRPr="0075583E">
        <w:rPr>
          <w:rFonts w:ascii="Arial" w:hAnsi="Arial" w:cs="Arial"/>
          <w:b/>
          <w:bCs/>
          <w:sz w:val="24"/>
          <w:szCs w:val="24"/>
        </w:rPr>
        <w:t>Presentation of service quality</w:t>
      </w:r>
    </w:p>
    <w:p w14:paraId="5C76FA77" w14:textId="77777777" w:rsidR="0075583E" w:rsidRPr="0075583E" w:rsidRDefault="0075583E" w:rsidP="0075583E">
      <w:pPr>
        <w:rPr>
          <w:rFonts w:ascii="Arial" w:hAnsi="Arial" w:cs="Arial"/>
          <w:sz w:val="24"/>
          <w:szCs w:val="24"/>
        </w:rPr>
      </w:pPr>
      <w:r w:rsidRPr="0075583E">
        <w:rPr>
          <w:rFonts w:ascii="Arial" w:hAnsi="Arial" w:cs="Arial"/>
          <w:sz w:val="24"/>
          <w:szCs w:val="24"/>
        </w:rPr>
        <w:t>The company’s rating of 4.5 out of 5 indicates a high level of customer satisfaction. Parasuraman et al. (1988, pp. 12–40) explain that perceived service quality is shaped by customers’ evaluations of reliability, professionalism, and overall performance. They argue that strong quality perceptions increase trust and positively influence customers’ judgments, making services appear more dependable and recommendable. In this context, high ratings serve as a visible signal of service excellence, reinforcing perceptions of reliability and professionalism and encouraging positive recommendations.</w:t>
      </w:r>
    </w:p>
    <w:p w14:paraId="5B738B42" w14:textId="77777777" w:rsidR="0075583E" w:rsidRPr="0075583E" w:rsidRDefault="0075583E" w:rsidP="0075583E">
      <w:pPr>
        <w:rPr>
          <w:rFonts w:ascii="Arial" w:hAnsi="Arial" w:cs="Arial"/>
          <w:sz w:val="24"/>
          <w:szCs w:val="24"/>
        </w:rPr>
      </w:pPr>
      <w:r w:rsidRPr="0075583E">
        <w:rPr>
          <w:rFonts w:ascii="Arial" w:hAnsi="Arial" w:cs="Arial"/>
          <w:sz w:val="24"/>
          <w:szCs w:val="24"/>
        </w:rPr>
        <w:lastRenderedPageBreak/>
        <w:t>Parasuraman, A., Zeithaml, V.A. and Berry, L.L. (1988) ‘SERVQUAL: A multiple</w:t>
      </w:r>
      <w:r w:rsidRPr="0075583E">
        <w:rPr>
          <w:rFonts w:ascii="Arial" w:hAnsi="Arial" w:cs="Arial"/>
          <w:sz w:val="24"/>
          <w:szCs w:val="24"/>
        </w:rPr>
        <w:noBreakHyphen/>
        <w:t xml:space="preserve">item scale for measuring consumer perceptions of service quality’, </w:t>
      </w:r>
      <w:r w:rsidRPr="0075583E">
        <w:rPr>
          <w:rFonts w:ascii="Arial" w:hAnsi="Arial" w:cs="Arial"/>
          <w:i/>
          <w:iCs/>
          <w:sz w:val="24"/>
          <w:szCs w:val="24"/>
        </w:rPr>
        <w:t>Journal of Retailing</w:t>
      </w:r>
      <w:r w:rsidRPr="0075583E">
        <w:rPr>
          <w:rFonts w:ascii="Arial" w:hAnsi="Arial" w:cs="Arial"/>
          <w:sz w:val="24"/>
          <w:szCs w:val="24"/>
        </w:rPr>
        <w:t>, 64(1), pp. 12–40.</w:t>
      </w:r>
    </w:p>
    <w:p w14:paraId="7AB24F9F" w14:textId="77777777" w:rsidR="0075583E" w:rsidRPr="0075583E" w:rsidRDefault="0075583E" w:rsidP="0075583E">
      <w:pPr>
        <w:rPr>
          <w:rFonts w:ascii="Arial" w:hAnsi="Arial" w:cs="Arial"/>
          <w:sz w:val="24"/>
          <w:szCs w:val="24"/>
        </w:rPr>
      </w:pPr>
    </w:p>
    <w:p w14:paraId="25A56F24"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3d. Clarity of pricing</w:t>
      </w:r>
    </w:p>
    <w:p w14:paraId="56A56C9A" w14:textId="77777777" w:rsidR="0075583E" w:rsidRPr="0075583E" w:rsidRDefault="0075583E" w:rsidP="0075583E">
      <w:pPr>
        <w:rPr>
          <w:rFonts w:ascii="Arial" w:hAnsi="Arial" w:cs="Arial"/>
          <w:sz w:val="24"/>
          <w:szCs w:val="24"/>
        </w:rPr>
      </w:pPr>
      <w:r w:rsidRPr="0075583E">
        <w:rPr>
          <w:rFonts w:ascii="Arial" w:hAnsi="Arial" w:cs="Arial"/>
          <w:sz w:val="24"/>
          <w:szCs w:val="24"/>
        </w:rPr>
        <w:t>Prices are clearly displayed and appear to reflect the quality of service offered. Kotler and Armstrong (2020, pp. 283–286) explain that transparent and clearly communicated pricing plays a key role in reducing perceived risk and uncertainty during the purchasing process. They argue that when customers understand what they are paying for and perceive prices as fair and consistent with value expectations, trust in the provider increases. In online contexts, clear pricing information therefore supports customer confidence and facilitates more assured purchasing decisions (Kotler &amp; Armstrong, 2020).</w:t>
      </w:r>
    </w:p>
    <w:p w14:paraId="23443673"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Kotler, P. and Armstrong, G. (2020) </w:t>
      </w:r>
      <w:r w:rsidRPr="0075583E">
        <w:rPr>
          <w:rFonts w:ascii="Arial" w:hAnsi="Arial" w:cs="Arial"/>
          <w:i/>
          <w:iCs/>
          <w:sz w:val="24"/>
          <w:szCs w:val="24"/>
        </w:rPr>
        <w:t>Principles of marketing</w:t>
      </w:r>
      <w:r w:rsidRPr="0075583E">
        <w:rPr>
          <w:rFonts w:ascii="Arial" w:hAnsi="Arial" w:cs="Arial"/>
          <w:sz w:val="24"/>
          <w:szCs w:val="24"/>
        </w:rPr>
        <w:t xml:space="preserve">. 18th </w:t>
      </w:r>
      <w:proofErr w:type="spellStart"/>
      <w:r w:rsidRPr="0075583E">
        <w:rPr>
          <w:rFonts w:ascii="Arial" w:hAnsi="Arial" w:cs="Arial"/>
          <w:sz w:val="24"/>
          <w:szCs w:val="24"/>
        </w:rPr>
        <w:t>edn</w:t>
      </w:r>
      <w:proofErr w:type="spellEnd"/>
      <w:r w:rsidRPr="0075583E">
        <w:rPr>
          <w:rFonts w:ascii="Arial" w:hAnsi="Arial" w:cs="Arial"/>
          <w:sz w:val="24"/>
          <w:szCs w:val="24"/>
        </w:rPr>
        <w:t>. Harlow: Pearson Education.</w:t>
      </w:r>
    </w:p>
    <w:p w14:paraId="0AE99FD7"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 xml:space="preserve">Section 4- Searchability </w:t>
      </w:r>
    </w:p>
    <w:p w14:paraId="3FA5A836"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4a. Three keywords for Google search</w:t>
      </w:r>
    </w:p>
    <w:p w14:paraId="513306CB" w14:textId="77777777" w:rsidR="0075583E" w:rsidRPr="0075583E" w:rsidRDefault="0075583E" w:rsidP="0075583E">
      <w:pPr>
        <w:pStyle w:val="ListParagraph"/>
        <w:numPr>
          <w:ilvl w:val="0"/>
          <w:numId w:val="1"/>
        </w:numPr>
        <w:rPr>
          <w:rFonts w:ascii="Arial" w:hAnsi="Arial" w:cs="Arial"/>
          <w:sz w:val="24"/>
          <w:szCs w:val="24"/>
        </w:rPr>
      </w:pPr>
      <w:r w:rsidRPr="0075583E">
        <w:rPr>
          <w:rFonts w:ascii="Arial" w:hAnsi="Arial" w:cs="Arial"/>
          <w:sz w:val="24"/>
          <w:szCs w:val="24"/>
        </w:rPr>
        <w:t>London cleaning services</w:t>
      </w:r>
    </w:p>
    <w:p w14:paraId="2D987828" w14:textId="77777777" w:rsidR="0075583E" w:rsidRPr="0075583E" w:rsidRDefault="0075583E" w:rsidP="0075583E">
      <w:pPr>
        <w:pStyle w:val="ListParagraph"/>
        <w:numPr>
          <w:ilvl w:val="0"/>
          <w:numId w:val="1"/>
        </w:numPr>
        <w:rPr>
          <w:rFonts w:ascii="Arial" w:hAnsi="Arial" w:cs="Arial"/>
          <w:sz w:val="24"/>
          <w:szCs w:val="24"/>
        </w:rPr>
      </w:pPr>
      <w:r w:rsidRPr="0075583E">
        <w:rPr>
          <w:rFonts w:ascii="Arial" w:hAnsi="Arial" w:cs="Arial"/>
          <w:sz w:val="24"/>
          <w:szCs w:val="24"/>
        </w:rPr>
        <w:t>Professional cleaners London</w:t>
      </w:r>
    </w:p>
    <w:p w14:paraId="4D466B46" w14:textId="77777777" w:rsidR="0075583E" w:rsidRPr="0075583E" w:rsidRDefault="0075583E" w:rsidP="0075583E">
      <w:pPr>
        <w:pStyle w:val="ListParagraph"/>
        <w:numPr>
          <w:ilvl w:val="0"/>
          <w:numId w:val="1"/>
        </w:numPr>
        <w:rPr>
          <w:rFonts w:ascii="Arial" w:hAnsi="Arial" w:cs="Arial"/>
          <w:sz w:val="24"/>
          <w:szCs w:val="24"/>
        </w:rPr>
      </w:pPr>
      <w:r w:rsidRPr="0075583E">
        <w:rPr>
          <w:rFonts w:ascii="Arial" w:hAnsi="Arial" w:cs="Arial"/>
          <w:sz w:val="24"/>
          <w:szCs w:val="24"/>
        </w:rPr>
        <w:t xml:space="preserve">Domestic cleaning London </w:t>
      </w:r>
    </w:p>
    <w:p w14:paraId="218E46FB"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4b. Search ranking</w:t>
      </w:r>
    </w:p>
    <w:p w14:paraId="6A45C9E5"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When the identified keywords are entered into Google, the company’s website appears within the top ten search results, indicating effective search engine optimisation practices. Fishkin and </w:t>
      </w:r>
      <w:proofErr w:type="spellStart"/>
      <w:r w:rsidRPr="0075583E">
        <w:rPr>
          <w:rFonts w:ascii="Arial" w:hAnsi="Arial" w:cs="Arial"/>
          <w:sz w:val="24"/>
          <w:szCs w:val="24"/>
        </w:rPr>
        <w:t>Hogenhaven</w:t>
      </w:r>
      <w:proofErr w:type="spellEnd"/>
      <w:r w:rsidRPr="0075583E">
        <w:rPr>
          <w:rFonts w:ascii="Arial" w:hAnsi="Arial" w:cs="Arial"/>
          <w:sz w:val="24"/>
          <w:szCs w:val="24"/>
        </w:rPr>
        <w:t xml:space="preserve"> (2013, pp. 25–32; pp. 81–90) explain that high search rankings are strongly linked to visibility and traffic generation, as users tend to focus primarily on the first page of search engine results. They argue that effective SEO strategies—such as keyword relevance, content quality, and technical optimisation—significantly improve a website’s ability to attract users and compete for attention online. In this context, appearing within the top search results enhances online visibility and supports business credibility and discoverability (Fishkin &amp; </w:t>
      </w:r>
      <w:proofErr w:type="spellStart"/>
      <w:r w:rsidRPr="0075583E">
        <w:rPr>
          <w:rFonts w:ascii="Arial" w:hAnsi="Arial" w:cs="Arial"/>
          <w:sz w:val="24"/>
          <w:szCs w:val="24"/>
        </w:rPr>
        <w:t>Hogenhaven</w:t>
      </w:r>
      <w:proofErr w:type="spellEnd"/>
      <w:r w:rsidRPr="0075583E">
        <w:rPr>
          <w:rFonts w:ascii="Arial" w:hAnsi="Arial" w:cs="Arial"/>
          <w:sz w:val="24"/>
          <w:szCs w:val="24"/>
        </w:rPr>
        <w:t>, 2013).</w:t>
      </w:r>
    </w:p>
    <w:p w14:paraId="125F57AC"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Fishkin, R. and </w:t>
      </w:r>
      <w:proofErr w:type="spellStart"/>
      <w:r w:rsidRPr="0075583E">
        <w:rPr>
          <w:rFonts w:ascii="Arial" w:hAnsi="Arial" w:cs="Arial"/>
          <w:sz w:val="24"/>
          <w:szCs w:val="24"/>
        </w:rPr>
        <w:t>Hogenhaven</w:t>
      </w:r>
      <w:proofErr w:type="spellEnd"/>
      <w:r w:rsidRPr="0075583E">
        <w:rPr>
          <w:rFonts w:ascii="Arial" w:hAnsi="Arial" w:cs="Arial"/>
          <w:sz w:val="24"/>
          <w:szCs w:val="24"/>
        </w:rPr>
        <w:t xml:space="preserve">, T. (2013) </w:t>
      </w:r>
      <w:r w:rsidRPr="0075583E">
        <w:rPr>
          <w:rFonts w:ascii="Arial" w:hAnsi="Arial" w:cs="Arial"/>
          <w:i/>
          <w:iCs/>
          <w:sz w:val="24"/>
          <w:szCs w:val="24"/>
        </w:rPr>
        <w:t>Inbound marketing and SEO: insights from the Moz blog</w:t>
      </w:r>
      <w:r w:rsidRPr="0075583E">
        <w:rPr>
          <w:rFonts w:ascii="Arial" w:hAnsi="Arial" w:cs="Arial"/>
          <w:sz w:val="24"/>
          <w:szCs w:val="24"/>
        </w:rPr>
        <w:t>. Hoboken, NJ: Wiley.</w:t>
      </w:r>
    </w:p>
    <w:p w14:paraId="6EB3102A" w14:textId="77777777" w:rsidR="0075583E" w:rsidRPr="0075583E" w:rsidRDefault="0075583E" w:rsidP="0075583E">
      <w:pPr>
        <w:rPr>
          <w:rFonts w:ascii="Arial" w:hAnsi="Arial" w:cs="Arial"/>
          <w:sz w:val="24"/>
          <w:szCs w:val="24"/>
        </w:rPr>
      </w:pPr>
    </w:p>
    <w:p w14:paraId="667FFB50"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5a. Relevance of websites in modern UK business</w:t>
      </w:r>
    </w:p>
    <w:p w14:paraId="56D9272B" w14:textId="77777777" w:rsidR="0075583E" w:rsidRPr="0075583E" w:rsidRDefault="0075583E" w:rsidP="0075583E">
      <w:pPr>
        <w:rPr>
          <w:rFonts w:ascii="Arial" w:hAnsi="Arial" w:cs="Arial"/>
          <w:sz w:val="24"/>
          <w:szCs w:val="24"/>
        </w:rPr>
      </w:pPr>
      <w:r w:rsidRPr="0075583E">
        <w:rPr>
          <w:rFonts w:ascii="Arial" w:hAnsi="Arial" w:cs="Arial"/>
          <w:sz w:val="24"/>
          <w:szCs w:val="24"/>
        </w:rPr>
        <w:lastRenderedPageBreak/>
        <w:t>Websites continue to play a significant role in modern UK businesses by serving as reliable and authoritative sources of information. Laudon and Traver (2021, pp. 8–11; pp. 426–430) explain that, despite the growth of social media platforms, corporate websites remain central to digital strategy because they provide accurate, controlled, and comprehensive information about services, pricing, and transaction options. They argue that customers rely on official websites for detailed service descriptions, booking facilities, and decision</w:t>
      </w:r>
      <w:r w:rsidRPr="0075583E">
        <w:rPr>
          <w:rFonts w:ascii="Arial" w:hAnsi="Arial" w:cs="Arial"/>
          <w:sz w:val="24"/>
          <w:szCs w:val="24"/>
        </w:rPr>
        <w:noBreakHyphen/>
        <w:t>making support, particularly in service</w:t>
      </w:r>
      <w:r w:rsidRPr="0075583E">
        <w:rPr>
          <w:rFonts w:ascii="Arial" w:hAnsi="Arial" w:cs="Arial"/>
          <w:sz w:val="24"/>
          <w:szCs w:val="24"/>
        </w:rPr>
        <w:noBreakHyphen/>
        <w:t>based industries. A well</w:t>
      </w:r>
      <w:r w:rsidRPr="0075583E">
        <w:rPr>
          <w:rFonts w:ascii="Arial" w:hAnsi="Arial" w:cs="Arial"/>
          <w:sz w:val="24"/>
          <w:szCs w:val="24"/>
        </w:rPr>
        <w:noBreakHyphen/>
        <w:t>designed website therefore enhances brand credibility and supports informed consumer decision</w:t>
      </w:r>
      <w:r w:rsidRPr="0075583E">
        <w:rPr>
          <w:rFonts w:ascii="Arial" w:hAnsi="Arial" w:cs="Arial"/>
          <w:sz w:val="24"/>
          <w:szCs w:val="24"/>
        </w:rPr>
        <w:noBreakHyphen/>
        <w:t>making, making it a crucial component of contemporary business operations (Laudon &amp; Traver, 2021).</w:t>
      </w:r>
    </w:p>
    <w:p w14:paraId="63C0872B"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Laudon, K.C. and Traver, C.G. (2021) </w:t>
      </w:r>
      <w:r w:rsidRPr="0075583E">
        <w:rPr>
          <w:rFonts w:ascii="Arial" w:hAnsi="Arial" w:cs="Arial"/>
          <w:i/>
          <w:iCs/>
          <w:sz w:val="24"/>
          <w:szCs w:val="24"/>
        </w:rPr>
        <w:t>E</w:t>
      </w:r>
      <w:r w:rsidRPr="0075583E">
        <w:rPr>
          <w:rFonts w:ascii="Arial" w:hAnsi="Arial" w:cs="Arial"/>
          <w:i/>
          <w:iCs/>
          <w:sz w:val="24"/>
          <w:szCs w:val="24"/>
        </w:rPr>
        <w:noBreakHyphen/>
        <w:t>commerce: business, technology, society</w:t>
      </w:r>
      <w:r w:rsidRPr="0075583E">
        <w:rPr>
          <w:rFonts w:ascii="Arial" w:hAnsi="Arial" w:cs="Arial"/>
          <w:sz w:val="24"/>
          <w:szCs w:val="24"/>
        </w:rPr>
        <w:t xml:space="preserve">. 16th </w:t>
      </w:r>
      <w:proofErr w:type="spellStart"/>
      <w:r w:rsidRPr="0075583E">
        <w:rPr>
          <w:rFonts w:ascii="Arial" w:hAnsi="Arial" w:cs="Arial"/>
          <w:sz w:val="24"/>
          <w:szCs w:val="24"/>
        </w:rPr>
        <w:t>edn</w:t>
      </w:r>
      <w:proofErr w:type="spellEnd"/>
      <w:r w:rsidRPr="0075583E">
        <w:rPr>
          <w:rFonts w:ascii="Arial" w:hAnsi="Arial" w:cs="Arial"/>
          <w:sz w:val="24"/>
          <w:szCs w:val="24"/>
        </w:rPr>
        <w:t>. Harlow: Pearson Education.</w:t>
      </w:r>
    </w:p>
    <w:p w14:paraId="6C0E61B2" w14:textId="77777777" w:rsidR="0075583E" w:rsidRPr="0075583E" w:rsidRDefault="0075583E" w:rsidP="0075583E">
      <w:pPr>
        <w:rPr>
          <w:rFonts w:ascii="Arial" w:hAnsi="Arial" w:cs="Arial"/>
          <w:b/>
          <w:bCs/>
          <w:sz w:val="24"/>
          <w:szCs w:val="24"/>
        </w:rPr>
      </w:pPr>
      <w:r w:rsidRPr="0075583E">
        <w:rPr>
          <w:rFonts w:ascii="Arial" w:hAnsi="Arial" w:cs="Arial"/>
          <w:b/>
          <w:bCs/>
          <w:sz w:val="24"/>
          <w:szCs w:val="24"/>
        </w:rPr>
        <w:t>5b. Recommendation for improvement</w:t>
      </w:r>
    </w:p>
    <w:p w14:paraId="7EC6EB23" w14:textId="77777777" w:rsidR="0075583E" w:rsidRPr="0075583E" w:rsidRDefault="0075583E" w:rsidP="0075583E">
      <w:pPr>
        <w:rPr>
          <w:rFonts w:ascii="Arial" w:hAnsi="Arial" w:cs="Arial"/>
          <w:sz w:val="24"/>
          <w:szCs w:val="24"/>
        </w:rPr>
      </w:pPr>
      <w:r w:rsidRPr="0075583E">
        <w:rPr>
          <w:rFonts w:ascii="Arial" w:hAnsi="Arial" w:cs="Arial"/>
          <w:sz w:val="24"/>
          <w:szCs w:val="24"/>
        </w:rPr>
        <w:t>The creation of a dedicated promotional media section incorporating images, audio, and video content represents an important area for improvement. Jesse James Garrett (2011) explains that rich multimedia elements at the surface plane of user experience can enhance engagement and help users better understand services by presenting information in more expressive and memorable ways (</w:t>
      </w:r>
      <w:r w:rsidRPr="0075583E">
        <w:rPr>
          <w:rFonts w:ascii="Arial" w:hAnsi="Arial" w:cs="Arial"/>
          <w:i/>
          <w:iCs/>
          <w:sz w:val="24"/>
          <w:szCs w:val="24"/>
        </w:rPr>
        <w:t>The Elements of User Experience</w:t>
      </w:r>
      <w:r w:rsidRPr="0075583E">
        <w:rPr>
          <w:rFonts w:ascii="Arial" w:hAnsi="Arial" w:cs="Arial"/>
          <w:sz w:val="24"/>
          <w:szCs w:val="24"/>
        </w:rPr>
        <w:t xml:space="preserve">, </w:t>
      </w:r>
      <w:proofErr w:type="spellStart"/>
      <w:r w:rsidRPr="0075583E">
        <w:rPr>
          <w:rFonts w:ascii="Arial" w:hAnsi="Arial" w:cs="Arial"/>
          <w:sz w:val="24"/>
          <w:szCs w:val="24"/>
        </w:rPr>
        <w:t>ch.</w:t>
      </w:r>
      <w:proofErr w:type="spellEnd"/>
      <w:r w:rsidRPr="0075583E">
        <w:rPr>
          <w:rFonts w:ascii="Arial" w:hAnsi="Arial" w:cs="Arial"/>
          <w:sz w:val="24"/>
          <w:szCs w:val="24"/>
        </w:rPr>
        <w:t> 7, pp. 166–191). Clear service demonstrations delivered through visual and audiovisual content can therefore strengthen comprehension and perceived value.</w:t>
      </w:r>
    </w:p>
    <w:p w14:paraId="3037991F"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In addition, Garrett (2011) highlights </w:t>
      </w:r>
      <w:proofErr w:type="gramStart"/>
      <w:r w:rsidRPr="0075583E">
        <w:rPr>
          <w:rFonts w:ascii="Arial" w:hAnsi="Arial" w:cs="Arial"/>
          <w:sz w:val="24"/>
          <w:szCs w:val="24"/>
        </w:rPr>
        <w:t>that interactive features</w:t>
      </w:r>
      <w:proofErr w:type="gramEnd"/>
      <w:r w:rsidRPr="0075583E">
        <w:rPr>
          <w:rFonts w:ascii="Arial" w:hAnsi="Arial" w:cs="Arial"/>
          <w:sz w:val="24"/>
          <w:szCs w:val="24"/>
        </w:rPr>
        <w:t xml:space="preserve"> at the structure and interface levels, such as communication tools, support accessibility and usability by enabling users to interact with a service in ways that suit their needs (</w:t>
      </w:r>
      <w:r w:rsidRPr="0075583E">
        <w:rPr>
          <w:rFonts w:ascii="Arial" w:hAnsi="Arial" w:cs="Arial"/>
          <w:i/>
          <w:iCs/>
          <w:sz w:val="24"/>
          <w:szCs w:val="24"/>
        </w:rPr>
        <w:t>The Elements of User Experience</w:t>
      </w:r>
      <w:r w:rsidRPr="0075583E">
        <w:rPr>
          <w:rFonts w:ascii="Arial" w:hAnsi="Arial" w:cs="Arial"/>
          <w:sz w:val="24"/>
          <w:szCs w:val="24"/>
        </w:rPr>
        <w:t xml:space="preserve">, </w:t>
      </w:r>
      <w:proofErr w:type="spellStart"/>
      <w:r w:rsidRPr="0075583E">
        <w:rPr>
          <w:rFonts w:ascii="Arial" w:hAnsi="Arial" w:cs="Arial"/>
          <w:sz w:val="24"/>
          <w:szCs w:val="24"/>
        </w:rPr>
        <w:t>ch.</w:t>
      </w:r>
      <w:proofErr w:type="spellEnd"/>
      <w:r w:rsidRPr="0075583E">
        <w:rPr>
          <w:rFonts w:ascii="Arial" w:hAnsi="Arial" w:cs="Arial"/>
          <w:sz w:val="24"/>
          <w:szCs w:val="24"/>
        </w:rPr>
        <w:t> 5–6, pp. 111–165). Implementing an online chat function would improve accessibility, particularly for users who experience difficulties with verbal communication, and enhance customer support. Collectively, these improvements would strengthen the overall user experience and align the website with contemporary digital service standards (Garrett, 2011).</w:t>
      </w:r>
    </w:p>
    <w:p w14:paraId="5FFA1A65" w14:textId="77777777" w:rsidR="0075583E" w:rsidRPr="0075583E" w:rsidRDefault="0075583E" w:rsidP="0075583E">
      <w:pPr>
        <w:rPr>
          <w:rFonts w:ascii="Arial" w:hAnsi="Arial" w:cs="Arial"/>
          <w:sz w:val="24"/>
          <w:szCs w:val="24"/>
        </w:rPr>
      </w:pPr>
      <w:r w:rsidRPr="0075583E">
        <w:rPr>
          <w:rFonts w:ascii="Arial" w:hAnsi="Arial" w:cs="Arial"/>
          <w:sz w:val="24"/>
          <w:szCs w:val="24"/>
        </w:rPr>
        <w:t xml:space="preserve">Garrett, J.J. (2011) </w:t>
      </w:r>
      <w:r w:rsidRPr="0075583E">
        <w:rPr>
          <w:rFonts w:ascii="Arial" w:hAnsi="Arial" w:cs="Arial"/>
          <w:i/>
          <w:iCs/>
          <w:sz w:val="24"/>
          <w:szCs w:val="24"/>
        </w:rPr>
        <w:t>The elements of user experience: user</w:t>
      </w:r>
      <w:r w:rsidRPr="0075583E">
        <w:rPr>
          <w:rFonts w:ascii="Arial" w:hAnsi="Arial" w:cs="Arial"/>
          <w:i/>
          <w:iCs/>
          <w:sz w:val="24"/>
          <w:szCs w:val="24"/>
        </w:rPr>
        <w:noBreakHyphen/>
      </w:r>
      <w:proofErr w:type="spellStart"/>
      <w:r w:rsidRPr="0075583E">
        <w:rPr>
          <w:rFonts w:ascii="Arial" w:hAnsi="Arial" w:cs="Arial"/>
          <w:i/>
          <w:iCs/>
          <w:sz w:val="24"/>
          <w:szCs w:val="24"/>
        </w:rPr>
        <w:t>centered</w:t>
      </w:r>
      <w:proofErr w:type="spellEnd"/>
      <w:r w:rsidRPr="0075583E">
        <w:rPr>
          <w:rFonts w:ascii="Arial" w:hAnsi="Arial" w:cs="Arial"/>
          <w:i/>
          <w:iCs/>
          <w:sz w:val="24"/>
          <w:szCs w:val="24"/>
        </w:rPr>
        <w:t xml:space="preserve"> design for the web and beyond</w:t>
      </w:r>
      <w:r w:rsidRPr="0075583E">
        <w:rPr>
          <w:rFonts w:ascii="Arial" w:hAnsi="Arial" w:cs="Arial"/>
          <w:sz w:val="24"/>
          <w:szCs w:val="24"/>
        </w:rPr>
        <w:t xml:space="preserve">. 2nd </w:t>
      </w:r>
      <w:proofErr w:type="spellStart"/>
      <w:r w:rsidRPr="0075583E">
        <w:rPr>
          <w:rFonts w:ascii="Arial" w:hAnsi="Arial" w:cs="Arial"/>
          <w:sz w:val="24"/>
          <w:szCs w:val="24"/>
        </w:rPr>
        <w:t>edn</w:t>
      </w:r>
      <w:proofErr w:type="spellEnd"/>
      <w:r w:rsidRPr="0075583E">
        <w:rPr>
          <w:rFonts w:ascii="Arial" w:hAnsi="Arial" w:cs="Arial"/>
          <w:sz w:val="24"/>
          <w:szCs w:val="24"/>
        </w:rPr>
        <w:t>. Berkeley, CA: New Riders.</w:t>
      </w:r>
    </w:p>
    <w:p w14:paraId="18D37042" w14:textId="77777777" w:rsidR="0075583E" w:rsidRDefault="0075583E" w:rsidP="0075583E">
      <w:pPr>
        <w:rPr>
          <w:rFonts w:ascii="Arial" w:hAnsi="Arial" w:cs="Arial"/>
          <w:sz w:val="24"/>
          <w:szCs w:val="24"/>
        </w:rPr>
      </w:pPr>
    </w:p>
    <w:p w14:paraId="48D09C93" w14:textId="77777777" w:rsidR="0005010D" w:rsidRDefault="0005010D"/>
    <w:sectPr w:rsidR="000501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D2C12"/>
    <w:multiLevelType w:val="hybridMultilevel"/>
    <w:tmpl w:val="4866E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9507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001"/>
    <w:rsid w:val="0005010D"/>
    <w:rsid w:val="0075583E"/>
    <w:rsid w:val="009F0001"/>
    <w:rsid w:val="00D614ED"/>
    <w:rsid w:val="00D86AED"/>
    <w:rsid w:val="00E40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84F1A"/>
  <w15:chartTrackingRefBased/>
  <w15:docId w15:val="{37888B26-77F2-4D4E-B169-0626158D7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00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9F000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F000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F000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F000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F00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0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0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0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001"/>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9F000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F0001"/>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F0001"/>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F0001"/>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F00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0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0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001"/>
    <w:rPr>
      <w:rFonts w:eastAsiaTheme="majorEastAsia" w:cstheme="majorBidi"/>
      <w:color w:val="272727" w:themeColor="text1" w:themeTint="D8"/>
    </w:rPr>
  </w:style>
  <w:style w:type="paragraph" w:styleId="Title">
    <w:name w:val="Title"/>
    <w:basedOn w:val="Normal"/>
    <w:next w:val="Normal"/>
    <w:link w:val="TitleChar"/>
    <w:uiPriority w:val="10"/>
    <w:qFormat/>
    <w:rsid w:val="009F00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0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00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0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0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F0001"/>
    <w:rPr>
      <w:i/>
      <w:iCs/>
      <w:color w:val="404040" w:themeColor="text1" w:themeTint="BF"/>
    </w:rPr>
  </w:style>
  <w:style w:type="paragraph" w:styleId="ListParagraph">
    <w:name w:val="List Paragraph"/>
    <w:basedOn w:val="Normal"/>
    <w:uiPriority w:val="34"/>
    <w:qFormat/>
    <w:rsid w:val="009F0001"/>
    <w:pPr>
      <w:ind w:left="720"/>
      <w:contextualSpacing/>
    </w:pPr>
  </w:style>
  <w:style w:type="character" w:styleId="IntenseEmphasis">
    <w:name w:val="Intense Emphasis"/>
    <w:basedOn w:val="DefaultParagraphFont"/>
    <w:uiPriority w:val="21"/>
    <w:qFormat/>
    <w:rsid w:val="009F0001"/>
    <w:rPr>
      <w:i/>
      <w:iCs/>
      <w:color w:val="365F91" w:themeColor="accent1" w:themeShade="BF"/>
    </w:rPr>
  </w:style>
  <w:style w:type="paragraph" w:styleId="IntenseQuote">
    <w:name w:val="Intense Quote"/>
    <w:basedOn w:val="Normal"/>
    <w:next w:val="Normal"/>
    <w:link w:val="IntenseQuoteChar"/>
    <w:uiPriority w:val="30"/>
    <w:qFormat/>
    <w:rsid w:val="009F000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F0001"/>
    <w:rPr>
      <w:i/>
      <w:iCs/>
      <w:color w:val="365F91" w:themeColor="accent1" w:themeShade="BF"/>
    </w:rPr>
  </w:style>
  <w:style w:type="character" w:styleId="IntenseReference">
    <w:name w:val="Intense Reference"/>
    <w:basedOn w:val="DefaultParagraphFont"/>
    <w:uiPriority w:val="32"/>
    <w:qFormat/>
    <w:rsid w:val="009F0001"/>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6</Pages>
  <Words>2134</Words>
  <Characters>12164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Willy Makuala</dc:creator>
  <cp:keywords/>
  <dc:description/>
  <cp:lastModifiedBy>Willy Makuala</cp:lastModifiedBy>
  <cp:revision>1</cp:revision>
  <dcterms:created xsi:type="dcterms:W3CDTF">2026-04-17T13:34:00Z</dcterms:created>
  <dcterms:modified xsi:type="dcterms:W3CDTF">2026-04-17T15:06:00Z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d454a109-509e-45bd-b139-06a4a0277490</vt:lpwstr>
  </property>
</Properties>
</file>