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A5A69" w14:textId="57F25C8E" w:rsidR="004F7191" w:rsidRDefault="00E00BF9" w:rsidP="00147DBF">
      <w:pPr>
        <w:jc w:val="center"/>
        <w:rPr>
          <w:rFonts w:ascii="Arial" w:hAnsi="Arial" w:cs="Arial"/>
          <w:b/>
          <w:bCs/>
          <w:sz w:val="28"/>
          <w:szCs w:val="28"/>
        </w:rPr>
      </w:pPr>
      <w:r w:rsidRPr="00E00BF9">
        <w:rPr>
          <w:rFonts w:ascii="Arial" w:hAnsi="Arial" w:cs="Arial"/>
          <w:b/>
          <w:bCs/>
          <w:sz w:val="28"/>
          <w:szCs w:val="28"/>
        </w:rPr>
        <w:t>BSc Health and Social Care</w:t>
      </w:r>
    </w:p>
    <w:p w14:paraId="5083C89D" w14:textId="77777777" w:rsidR="00913807" w:rsidRPr="00E00BF9" w:rsidRDefault="00913807" w:rsidP="00147DBF">
      <w:pPr>
        <w:jc w:val="center"/>
        <w:rPr>
          <w:rFonts w:ascii="Arial" w:hAnsi="Arial" w:cs="Arial"/>
          <w:b/>
          <w:bCs/>
          <w:sz w:val="28"/>
          <w:szCs w:val="28"/>
        </w:rPr>
      </w:pPr>
    </w:p>
    <w:p w14:paraId="08B27708" w14:textId="372E30D3" w:rsidR="00147DBF" w:rsidRDefault="00147DBF" w:rsidP="00147DBF">
      <w:pPr>
        <w:jc w:val="center"/>
        <w:rPr>
          <w:rFonts w:ascii="Arial" w:hAnsi="Arial" w:cs="Arial"/>
          <w:b/>
          <w:bCs/>
          <w:sz w:val="22"/>
          <w:szCs w:val="22"/>
        </w:rPr>
      </w:pPr>
      <w:r w:rsidRPr="00C61ACB">
        <w:rPr>
          <w:rFonts w:ascii="Arial" w:hAnsi="Arial" w:cs="Arial"/>
          <w:b/>
          <w:bCs/>
          <w:sz w:val="22"/>
          <w:szCs w:val="22"/>
        </w:rPr>
        <w:t>Introduction to Independent Research Skills</w:t>
      </w:r>
    </w:p>
    <w:p w14:paraId="7AD4D6E9" w14:textId="524593CB" w:rsidR="00913807" w:rsidRDefault="00913807" w:rsidP="00147DBF">
      <w:pPr>
        <w:jc w:val="center"/>
        <w:rPr>
          <w:rFonts w:ascii="Arial" w:hAnsi="Arial" w:cs="Arial"/>
          <w:b/>
          <w:bCs/>
          <w:sz w:val="22"/>
          <w:szCs w:val="22"/>
        </w:rPr>
      </w:pPr>
      <w:r w:rsidRPr="00C61ACB">
        <w:rPr>
          <w:rFonts w:ascii="Arial" w:hAnsi="Arial" w:cs="Arial"/>
          <w:b/>
          <w:bCs/>
          <w:sz w:val="22"/>
          <w:szCs w:val="22"/>
        </w:rPr>
        <w:t>BMHP5019</w:t>
      </w:r>
    </w:p>
    <w:p w14:paraId="07D0D8B9" w14:textId="77777777" w:rsidR="00913807" w:rsidRPr="00C61ACB" w:rsidRDefault="00913807" w:rsidP="00147DBF">
      <w:pPr>
        <w:jc w:val="center"/>
        <w:rPr>
          <w:rFonts w:ascii="Arial" w:hAnsi="Arial" w:cs="Arial"/>
          <w:b/>
          <w:bCs/>
          <w:sz w:val="22"/>
          <w:szCs w:val="22"/>
        </w:rPr>
      </w:pPr>
    </w:p>
    <w:p w14:paraId="418D1864" w14:textId="77777777" w:rsidR="00147DBF" w:rsidRPr="00C61ACB" w:rsidRDefault="00147DBF" w:rsidP="00147DBF">
      <w:pPr>
        <w:jc w:val="center"/>
        <w:rPr>
          <w:rFonts w:ascii="Arial" w:hAnsi="Arial" w:cs="Arial"/>
          <w:b/>
          <w:bCs/>
          <w:sz w:val="22"/>
          <w:szCs w:val="22"/>
        </w:rPr>
      </w:pPr>
      <w:r w:rsidRPr="00C61ACB">
        <w:rPr>
          <w:rFonts w:ascii="Arial" w:hAnsi="Arial" w:cs="Arial"/>
          <w:b/>
          <w:bCs/>
          <w:sz w:val="22"/>
          <w:szCs w:val="22"/>
        </w:rPr>
        <w:t xml:space="preserve">Component 1 </w:t>
      </w:r>
    </w:p>
    <w:p w14:paraId="5CED8DCB" w14:textId="77777777" w:rsidR="00147DBF" w:rsidRPr="00C61ACB" w:rsidRDefault="00147DBF" w:rsidP="00147DBF">
      <w:pPr>
        <w:jc w:val="center"/>
        <w:rPr>
          <w:rFonts w:ascii="Arial" w:hAnsi="Arial" w:cs="Arial"/>
          <w:b/>
          <w:bCs/>
          <w:sz w:val="22"/>
          <w:szCs w:val="22"/>
        </w:rPr>
      </w:pPr>
      <w:r w:rsidRPr="00C61ACB">
        <w:rPr>
          <w:rFonts w:ascii="Arial" w:hAnsi="Arial" w:cs="Arial"/>
          <w:b/>
          <w:bCs/>
          <w:sz w:val="22"/>
          <w:szCs w:val="22"/>
        </w:rPr>
        <w:t>Scoping review proposal.</w:t>
      </w:r>
    </w:p>
    <w:p w14:paraId="206579F1" w14:textId="77777777" w:rsidR="00147DBF" w:rsidRDefault="00147DBF" w:rsidP="00147DBF">
      <w:pPr>
        <w:jc w:val="center"/>
        <w:rPr>
          <w:rFonts w:ascii="Arial" w:hAnsi="Arial" w:cs="Arial"/>
          <w:b/>
          <w:bCs/>
          <w:sz w:val="22"/>
          <w:szCs w:val="22"/>
        </w:rPr>
      </w:pPr>
    </w:p>
    <w:p w14:paraId="4E5F110F" w14:textId="4658B6FB" w:rsidR="00934917" w:rsidRPr="00C61ACB" w:rsidRDefault="00934917" w:rsidP="00147DBF">
      <w:pPr>
        <w:jc w:val="center"/>
        <w:rPr>
          <w:rFonts w:ascii="Arial" w:hAnsi="Arial" w:cs="Arial"/>
          <w:b/>
          <w:bCs/>
          <w:sz w:val="22"/>
          <w:szCs w:val="22"/>
        </w:rPr>
      </w:pPr>
      <w:r>
        <w:rPr>
          <w:rFonts w:ascii="Arial" w:hAnsi="Arial" w:cs="Arial"/>
          <w:b/>
          <w:bCs/>
          <w:sz w:val="22"/>
          <w:szCs w:val="22"/>
        </w:rPr>
        <w:t xml:space="preserve">Lecturer: </w:t>
      </w:r>
      <w:r w:rsidR="00085038" w:rsidRPr="00085038">
        <w:rPr>
          <w:rFonts w:ascii="Arial" w:hAnsi="Arial" w:cs="Arial"/>
          <w:b/>
          <w:bCs/>
          <w:sz w:val="22"/>
          <w:szCs w:val="22"/>
        </w:rPr>
        <w:t xml:space="preserve">Philip Jones </w:t>
      </w:r>
    </w:p>
    <w:p w14:paraId="7003DA2E" w14:textId="77777777" w:rsidR="00147DBF" w:rsidRPr="00C61ACB" w:rsidRDefault="00147DBF" w:rsidP="00147DBF">
      <w:pPr>
        <w:jc w:val="center"/>
        <w:rPr>
          <w:rFonts w:ascii="Arial" w:hAnsi="Arial" w:cs="Arial"/>
          <w:b/>
          <w:bCs/>
          <w:sz w:val="22"/>
          <w:szCs w:val="22"/>
        </w:rPr>
      </w:pPr>
    </w:p>
    <w:p w14:paraId="5ED6096D" w14:textId="77777777" w:rsidR="00147DBF" w:rsidRPr="00C61ACB" w:rsidRDefault="00147DBF" w:rsidP="00147DBF">
      <w:pPr>
        <w:jc w:val="center"/>
        <w:rPr>
          <w:rFonts w:ascii="Arial" w:hAnsi="Arial" w:cs="Arial"/>
          <w:b/>
          <w:bCs/>
          <w:sz w:val="22"/>
          <w:szCs w:val="22"/>
        </w:rPr>
      </w:pPr>
      <w:r w:rsidRPr="00C61ACB">
        <w:rPr>
          <w:rFonts w:ascii="Arial" w:hAnsi="Arial" w:cs="Arial"/>
          <w:b/>
          <w:bCs/>
          <w:sz w:val="22"/>
          <w:szCs w:val="22"/>
        </w:rPr>
        <w:t>Student Name:</w:t>
      </w:r>
      <w:r>
        <w:rPr>
          <w:rFonts w:ascii="Arial" w:hAnsi="Arial" w:cs="Arial"/>
          <w:b/>
          <w:bCs/>
          <w:sz w:val="22"/>
          <w:szCs w:val="22"/>
        </w:rPr>
        <w:t xml:space="preserve"> </w:t>
      </w:r>
      <w:r w:rsidRPr="00A74856">
        <w:rPr>
          <w:rFonts w:ascii="Arial" w:hAnsi="Arial" w:cs="Arial"/>
          <w:b/>
          <w:bCs/>
          <w:sz w:val="22"/>
          <w:szCs w:val="22"/>
        </w:rPr>
        <w:t>Louiza Avraam</w:t>
      </w:r>
    </w:p>
    <w:p w14:paraId="54347808" w14:textId="77777777" w:rsidR="00147DBF" w:rsidRPr="00C61ACB" w:rsidRDefault="00147DBF" w:rsidP="00147DBF">
      <w:pPr>
        <w:jc w:val="center"/>
        <w:rPr>
          <w:rFonts w:ascii="Arial" w:hAnsi="Arial" w:cs="Arial"/>
          <w:b/>
          <w:bCs/>
          <w:sz w:val="22"/>
          <w:szCs w:val="22"/>
        </w:rPr>
      </w:pPr>
      <w:r w:rsidRPr="00C61ACB">
        <w:rPr>
          <w:rFonts w:ascii="Arial" w:hAnsi="Arial" w:cs="Arial"/>
          <w:b/>
          <w:bCs/>
          <w:sz w:val="22"/>
          <w:szCs w:val="22"/>
        </w:rPr>
        <w:t>Student Number:</w:t>
      </w:r>
      <w:r>
        <w:rPr>
          <w:rFonts w:ascii="Arial" w:hAnsi="Arial" w:cs="Arial"/>
          <w:b/>
          <w:bCs/>
          <w:sz w:val="22"/>
          <w:szCs w:val="22"/>
        </w:rPr>
        <w:t xml:space="preserve"> 2426675</w:t>
      </w:r>
    </w:p>
    <w:p w14:paraId="7BEDB826" w14:textId="77777777" w:rsidR="00147DBF" w:rsidRPr="00C61ACB" w:rsidRDefault="00147DBF" w:rsidP="00147DBF">
      <w:pPr>
        <w:jc w:val="center"/>
        <w:rPr>
          <w:rFonts w:ascii="Arial" w:hAnsi="Arial" w:cs="Arial"/>
          <w:sz w:val="22"/>
          <w:szCs w:val="22"/>
        </w:rPr>
      </w:pPr>
    </w:p>
    <w:p w14:paraId="4CCA0B98" w14:textId="77777777" w:rsidR="00147DBF" w:rsidRPr="00C61ACB" w:rsidRDefault="00147DBF" w:rsidP="00085038">
      <w:pPr>
        <w:rPr>
          <w:rFonts w:ascii="Arial" w:hAnsi="Arial" w:cs="Arial"/>
          <w:sz w:val="22"/>
          <w:szCs w:val="22"/>
        </w:rPr>
      </w:pPr>
    </w:p>
    <w:p w14:paraId="7E2BAFB7" w14:textId="77777777" w:rsidR="00147DBF" w:rsidRPr="00C61ACB" w:rsidRDefault="00147DBF" w:rsidP="00147DBF">
      <w:pPr>
        <w:jc w:val="center"/>
        <w:rPr>
          <w:rFonts w:ascii="Arial" w:hAnsi="Arial" w:cs="Arial"/>
          <w:sz w:val="22"/>
          <w:szCs w:val="22"/>
        </w:rPr>
      </w:pPr>
    </w:p>
    <w:p w14:paraId="58EDBEE0" w14:textId="2EBCE6C8" w:rsidR="00147DBF" w:rsidRPr="00085038" w:rsidRDefault="009931FF" w:rsidP="00085038">
      <w:pPr>
        <w:jc w:val="center"/>
        <w:rPr>
          <w:rFonts w:ascii="Arial" w:hAnsi="Arial" w:cs="Arial"/>
          <w:b/>
          <w:bCs/>
          <w:sz w:val="22"/>
          <w:szCs w:val="22"/>
          <w:u w:val="single"/>
        </w:rPr>
      </w:pPr>
      <w:r>
        <w:rPr>
          <w:rFonts w:ascii="Arial" w:hAnsi="Arial" w:cs="Arial"/>
          <w:b/>
          <w:bCs/>
          <w:sz w:val="22"/>
          <w:szCs w:val="22"/>
        </w:rPr>
        <w:t xml:space="preserve"> </w:t>
      </w:r>
      <w:r w:rsidR="00147DBF" w:rsidRPr="009931FF">
        <w:rPr>
          <w:rFonts w:ascii="Arial" w:hAnsi="Arial" w:cs="Arial"/>
          <w:b/>
          <w:bCs/>
          <w:sz w:val="22"/>
          <w:szCs w:val="22"/>
        </w:rPr>
        <w:t>A</w:t>
      </w:r>
      <w:r w:rsidR="00147DBF" w:rsidRPr="00085038">
        <w:rPr>
          <w:rFonts w:ascii="Arial" w:hAnsi="Arial" w:cs="Arial"/>
          <w:b/>
          <w:bCs/>
          <w:sz w:val="22"/>
          <w:szCs w:val="22"/>
        </w:rPr>
        <w:t xml:space="preserve"> Scoping Review of the Impact of Screen Time on Childhood Obesity: Identifying Themes Using Aveyard’s Simplified Thematic Analysis</w:t>
      </w:r>
    </w:p>
    <w:p w14:paraId="16D65D77" w14:textId="77777777" w:rsidR="00061F77" w:rsidRDefault="00061F77"/>
    <w:p w14:paraId="785121D2" w14:textId="77777777" w:rsidR="00147DBF" w:rsidRDefault="00147DBF"/>
    <w:p w14:paraId="11CAE1A4" w14:textId="77777777" w:rsidR="00147DBF" w:rsidRDefault="00147DBF"/>
    <w:p w14:paraId="22571E8F" w14:textId="77777777" w:rsidR="00147DBF" w:rsidRDefault="00147DBF"/>
    <w:p w14:paraId="3257425D" w14:textId="77777777" w:rsidR="00147DBF" w:rsidRDefault="00147DBF"/>
    <w:p w14:paraId="1CA828AD" w14:textId="77777777" w:rsidR="00147DBF" w:rsidRDefault="00147DBF"/>
    <w:p w14:paraId="320C02D7" w14:textId="77777777" w:rsidR="00147DBF" w:rsidRDefault="00147DBF"/>
    <w:p w14:paraId="5311C82B" w14:textId="77777777" w:rsidR="00147DBF" w:rsidRDefault="00147DBF"/>
    <w:p w14:paraId="63C35ACA" w14:textId="77777777" w:rsidR="00147DBF" w:rsidRDefault="00147DBF"/>
    <w:p w14:paraId="18E49311" w14:textId="77777777" w:rsidR="00147DBF" w:rsidRDefault="00147DBF"/>
    <w:p w14:paraId="2B4A6EE0" w14:textId="77777777" w:rsidR="00147DBF" w:rsidRDefault="00147DBF"/>
    <w:p w14:paraId="516724D7" w14:textId="77777777" w:rsidR="00147DBF" w:rsidRDefault="00147DBF"/>
    <w:p w14:paraId="41738686" w14:textId="77777777" w:rsidR="009931FF" w:rsidRPr="000863BE" w:rsidRDefault="009931FF">
      <w:pPr>
        <w:rPr>
          <w:b/>
          <w:bCs/>
        </w:rPr>
      </w:pPr>
    </w:p>
    <w:p w14:paraId="2F2FD66D" w14:textId="377E9D74" w:rsidR="00C46060" w:rsidRPr="000863BE" w:rsidRDefault="00147DBF" w:rsidP="009131BA">
      <w:pPr>
        <w:spacing w:line="360" w:lineRule="auto"/>
        <w:jc w:val="both"/>
        <w:rPr>
          <w:rFonts w:ascii="Arial" w:hAnsi="Arial" w:cs="Arial"/>
          <w:b/>
          <w:bCs/>
          <w:sz w:val="22"/>
          <w:szCs w:val="22"/>
        </w:rPr>
      </w:pPr>
      <w:r w:rsidRPr="000863BE">
        <w:rPr>
          <w:rFonts w:ascii="Arial" w:hAnsi="Arial" w:cs="Arial"/>
          <w:b/>
          <w:bCs/>
          <w:sz w:val="22"/>
          <w:szCs w:val="22"/>
        </w:rPr>
        <w:t>Background and Rationale</w:t>
      </w:r>
    </w:p>
    <w:p w14:paraId="519D8F17" w14:textId="71E7E4CE" w:rsidR="00C46060" w:rsidRPr="006125F5" w:rsidRDefault="00C46060" w:rsidP="009131BA">
      <w:pPr>
        <w:spacing w:line="360" w:lineRule="auto"/>
        <w:jc w:val="both"/>
        <w:rPr>
          <w:rFonts w:ascii="Arial" w:hAnsi="Arial" w:cs="Arial"/>
          <w:sz w:val="22"/>
          <w:szCs w:val="22"/>
        </w:rPr>
      </w:pPr>
      <w:r w:rsidRPr="00C46060">
        <w:rPr>
          <w:rFonts w:ascii="Arial" w:hAnsi="Arial" w:cs="Arial"/>
          <w:sz w:val="22"/>
          <w:szCs w:val="22"/>
        </w:rPr>
        <w:t>Childhood obesity is a growing UK public health concern, with national data showing rising rates among children aged 5–12 (NHS Digital, 202</w:t>
      </w:r>
      <w:r w:rsidR="0070494E">
        <w:rPr>
          <w:rFonts w:ascii="Arial" w:hAnsi="Arial" w:cs="Arial"/>
          <w:sz w:val="22"/>
          <w:szCs w:val="22"/>
        </w:rPr>
        <w:t>4</w:t>
      </w:r>
      <w:r w:rsidRPr="00C46060">
        <w:rPr>
          <w:rFonts w:ascii="Arial" w:hAnsi="Arial" w:cs="Arial"/>
          <w:sz w:val="22"/>
          <w:szCs w:val="22"/>
        </w:rPr>
        <w:t xml:space="preserve">). Simultaneously, children’s screen </w:t>
      </w:r>
      <w:r w:rsidR="000863BE">
        <w:rPr>
          <w:rFonts w:ascii="Arial" w:hAnsi="Arial" w:cs="Arial"/>
          <w:sz w:val="22"/>
          <w:szCs w:val="22"/>
        </w:rPr>
        <w:t>time has increased due to</w:t>
      </w:r>
      <w:r w:rsidRPr="00C46060">
        <w:rPr>
          <w:rFonts w:ascii="Arial" w:hAnsi="Arial" w:cs="Arial"/>
          <w:sz w:val="22"/>
          <w:szCs w:val="22"/>
        </w:rPr>
        <w:t xml:space="preserve"> access to smartphones, tablets, televisions, and gaming platforms</w:t>
      </w:r>
      <w:r w:rsidR="00AC0A14">
        <w:rPr>
          <w:rFonts w:ascii="Arial" w:hAnsi="Arial" w:cs="Arial"/>
          <w:sz w:val="22"/>
          <w:szCs w:val="22"/>
        </w:rPr>
        <w:t xml:space="preserve"> </w:t>
      </w:r>
      <w:r w:rsidR="00AC0A14" w:rsidRPr="00AC0A14">
        <w:rPr>
          <w:rFonts w:ascii="Arial" w:hAnsi="Arial" w:cs="Arial"/>
          <w:sz w:val="22"/>
          <w:szCs w:val="22"/>
        </w:rPr>
        <w:t>(Mori et al., 2026)</w:t>
      </w:r>
      <w:r w:rsidRPr="00C46060">
        <w:rPr>
          <w:rFonts w:ascii="Arial" w:hAnsi="Arial" w:cs="Arial"/>
          <w:sz w:val="22"/>
          <w:szCs w:val="22"/>
        </w:rPr>
        <w:t xml:space="preserve">. </w:t>
      </w:r>
      <w:r w:rsidR="007B2E99">
        <w:rPr>
          <w:rFonts w:ascii="Arial" w:hAnsi="Arial" w:cs="Arial"/>
          <w:sz w:val="22"/>
          <w:szCs w:val="22"/>
        </w:rPr>
        <w:t>The WHO (2019)</w:t>
      </w:r>
      <w:r w:rsidR="002E0B15">
        <w:rPr>
          <w:rFonts w:ascii="Arial" w:hAnsi="Arial" w:cs="Arial"/>
          <w:sz w:val="22"/>
          <w:szCs w:val="22"/>
        </w:rPr>
        <w:t xml:space="preserve"> </w:t>
      </w:r>
      <w:r w:rsidRPr="00C46060">
        <w:rPr>
          <w:rFonts w:ascii="Arial" w:hAnsi="Arial" w:cs="Arial"/>
          <w:sz w:val="22"/>
          <w:szCs w:val="22"/>
        </w:rPr>
        <w:t>suggests high screen time contributes to obesity by reducing physical activity and encouraging sedentary behaviour. Studies also show that children frequently snack while using screens, leading to higher energy intake (</w:t>
      </w:r>
      <w:r w:rsidR="00C333B0" w:rsidRPr="00C333B0">
        <w:rPr>
          <w:rFonts w:ascii="Arial" w:hAnsi="Arial" w:cs="Arial"/>
          <w:sz w:val="22"/>
          <w:szCs w:val="22"/>
        </w:rPr>
        <w:t xml:space="preserve">Robinson </w:t>
      </w:r>
      <w:r w:rsidR="00C333B0" w:rsidRPr="00C333B0">
        <w:rPr>
          <w:rFonts w:ascii="Arial" w:hAnsi="Arial" w:cs="Arial"/>
          <w:i/>
          <w:iCs/>
          <w:sz w:val="22"/>
          <w:szCs w:val="22"/>
        </w:rPr>
        <w:t>et al.</w:t>
      </w:r>
      <w:r w:rsidR="00C333B0" w:rsidRPr="00C333B0">
        <w:rPr>
          <w:rFonts w:ascii="Arial" w:hAnsi="Arial" w:cs="Arial"/>
          <w:sz w:val="22"/>
          <w:szCs w:val="22"/>
        </w:rPr>
        <w:t>, 2017</w:t>
      </w:r>
      <w:r w:rsidRPr="00C46060">
        <w:rPr>
          <w:rFonts w:ascii="Arial" w:hAnsi="Arial" w:cs="Arial"/>
          <w:sz w:val="22"/>
          <w:szCs w:val="22"/>
        </w:rPr>
        <w:t>), while digital advertising shapes food preferences towards unhealthy choices (</w:t>
      </w:r>
      <w:r w:rsidR="00B0793F" w:rsidRPr="00B0793F">
        <w:rPr>
          <w:rFonts w:ascii="Arial" w:hAnsi="Arial" w:cs="Arial"/>
          <w:sz w:val="22"/>
          <w:szCs w:val="22"/>
        </w:rPr>
        <w:t>Guimaraes et al.,</w:t>
      </w:r>
      <w:r w:rsidR="009931FF">
        <w:rPr>
          <w:rFonts w:ascii="Arial" w:hAnsi="Arial" w:cs="Arial"/>
          <w:sz w:val="22"/>
          <w:szCs w:val="22"/>
        </w:rPr>
        <w:t xml:space="preserve"> </w:t>
      </w:r>
      <w:r w:rsidR="00B0793F" w:rsidRPr="00B0793F">
        <w:rPr>
          <w:rFonts w:ascii="Arial" w:hAnsi="Arial" w:cs="Arial"/>
          <w:sz w:val="22"/>
          <w:szCs w:val="22"/>
        </w:rPr>
        <w:t>2025</w:t>
      </w:r>
      <w:r w:rsidRPr="00C46060">
        <w:rPr>
          <w:rFonts w:ascii="Arial" w:hAnsi="Arial" w:cs="Arial"/>
          <w:sz w:val="22"/>
          <w:szCs w:val="22"/>
        </w:rPr>
        <w:t>). This scoping review will map existing evidence, identify key behavioural and environmental patterns, and highlight gaps to inform prevention and family-focused guidance within UK health and social care practice.</w:t>
      </w:r>
    </w:p>
    <w:p w14:paraId="70E26925" w14:textId="77777777" w:rsidR="00147DBF" w:rsidRPr="000863BE" w:rsidRDefault="00147DBF" w:rsidP="009131BA">
      <w:pPr>
        <w:spacing w:line="360" w:lineRule="auto"/>
        <w:jc w:val="both"/>
        <w:rPr>
          <w:rFonts w:ascii="Arial" w:hAnsi="Arial" w:cs="Arial"/>
          <w:b/>
          <w:bCs/>
          <w:sz w:val="22"/>
          <w:szCs w:val="22"/>
        </w:rPr>
      </w:pPr>
      <w:r w:rsidRPr="000863BE">
        <w:rPr>
          <w:rFonts w:ascii="Arial" w:hAnsi="Arial" w:cs="Arial"/>
          <w:b/>
          <w:bCs/>
          <w:sz w:val="22"/>
          <w:szCs w:val="22"/>
        </w:rPr>
        <w:t>Research Aim and Objectives</w:t>
      </w:r>
    </w:p>
    <w:p w14:paraId="737F26A4" w14:textId="248AB5B2" w:rsidR="0026690F" w:rsidRDefault="000742D1" w:rsidP="009131BA">
      <w:pPr>
        <w:spacing w:line="360" w:lineRule="auto"/>
        <w:jc w:val="both"/>
        <w:rPr>
          <w:rFonts w:ascii="Arial" w:hAnsi="Arial" w:cs="Arial"/>
          <w:sz w:val="22"/>
          <w:szCs w:val="22"/>
        </w:rPr>
      </w:pPr>
      <w:r>
        <w:rPr>
          <w:rFonts w:ascii="Arial" w:hAnsi="Arial" w:cs="Arial"/>
          <w:sz w:val="22"/>
          <w:szCs w:val="22"/>
        </w:rPr>
        <w:t>This review examines how screen time is linked to childhood obesity by synthesising patterns across existing research. It focuses on behaviours associated with digital device use, including sedentary behaviour, snacking, exposure to food advertising, and parental screen-time rules. The review will identify key themes, highlight areas with limited evidence, and discuss how findings can inform UK health and social care prevention and early intervention.</w:t>
      </w:r>
    </w:p>
    <w:p w14:paraId="243F1536" w14:textId="38C4DDD6" w:rsidR="00147DBF" w:rsidRPr="000863BE" w:rsidRDefault="00147DBF" w:rsidP="009131BA">
      <w:pPr>
        <w:spacing w:line="360" w:lineRule="auto"/>
        <w:jc w:val="both"/>
        <w:rPr>
          <w:rFonts w:ascii="Arial" w:hAnsi="Arial" w:cs="Arial"/>
          <w:b/>
          <w:bCs/>
          <w:sz w:val="22"/>
          <w:szCs w:val="22"/>
        </w:rPr>
      </w:pPr>
      <w:r w:rsidRPr="000863BE">
        <w:rPr>
          <w:rFonts w:ascii="Arial" w:hAnsi="Arial" w:cs="Arial"/>
          <w:b/>
          <w:bCs/>
          <w:sz w:val="22"/>
          <w:szCs w:val="22"/>
        </w:rPr>
        <w:t>Scoping Review Framework</w:t>
      </w:r>
    </w:p>
    <w:p w14:paraId="1EC8E246" w14:textId="23541DD8" w:rsidR="00985B1F" w:rsidRPr="00BA3BBB" w:rsidRDefault="00985B1F" w:rsidP="009131BA">
      <w:pPr>
        <w:spacing w:line="360" w:lineRule="auto"/>
        <w:jc w:val="both"/>
        <w:rPr>
          <w:rFonts w:ascii="Arial" w:hAnsi="Arial" w:cs="Arial"/>
          <w:sz w:val="22"/>
          <w:szCs w:val="22"/>
        </w:rPr>
      </w:pPr>
      <w:r w:rsidRPr="00BA3BBB">
        <w:rPr>
          <w:rFonts w:ascii="Arial" w:hAnsi="Arial" w:cs="Arial"/>
          <w:sz w:val="22"/>
          <w:szCs w:val="22"/>
        </w:rPr>
        <w:t>This review uses the framework by Arksey and O’Malley (2005) to systematically locate, analyse, and map evidence across five main stages: defining the research question, searching for studies, selecting literature, organising data, and summarising emerging themes.</w:t>
      </w:r>
    </w:p>
    <w:p w14:paraId="70F8192F" w14:textId="77777777" w:rsidR="00147DBF" w:rsidRPr="000863BE" w:rsidRDefault="00147DBF" w:rsidP="009131BA">
      <w:pPr>
        <w:spacing w:line="360" w:lineRule="auto"/>
        <w:jc w:val="both"/>
        <w:rPr>
          <w:rFonts w:ascii="Arial" w:hAnsi="Arial" w:cs="Arial"/>
          <w:b/>
          <w:bCs/>
          <w:sz w:val="22"/>
          <w:szCs w:val="22"/>
        </w:rPr>
      </w:pPr>
      <w:r w:rsidRPr="000863BE">
        <w:rPr>
          <w:rFonts w:ascii="Arial" w:hAnsi="Arial" w:cs="Arial"/>
          <w:b/>
          <w:bCs/>
          <w:sz w:val="22"/>
          <w:szCs w:val="22"/>
        </w:rPr>
        <w:t>Research Question</w:t>
      </w:r>
    </w:p>
    <w:p w14:paraId="6D1B7439" w14:textId="3393890D" w:rsidR="00347805" w:rsidRPr="006125F5" w:rsidRDefault="00347805" w:rsidP="009131BA">
      <w:pPr>
        <w:spacing w:line="360" w:lineRule="auto"/>
        <w:jc w:val="both"/>
        <w:rPr>
          <w:rFonts w:ascii="Arial" w:hAnsi="Arial" w:cs="Arial"/>
          <w:sz w:val="22"/>
          <w:szCs w:val="22"/>
        </w:rPr>
      </w:pPr>
      <w:r w:rsidRPr="00347805">
        <w:rPr>
          <w:rFonts w:ascii="Arial" w:hAnsi="Arial" w:cs="Arial"/>
          <w:sz w:val="22"/>
          <w:szCs w:val="22"/>
        </w:rPr>
        <w:t>What key themes emerge in peer</w:t>
      </w:r>
      <w:r w:rsidRPr="00347805">
        <w:rPr>
          <w:rFonts w:ascii="Arial" w:hAnsi="Arial" w:cs="Arial"/>
          <w:sz w:val="22"/>
          <w:szCs w:val="22"/>
        </w:rPr>
        <w:noBreakHyphen/>
        <w:t>reviewed literature regarding the relationship between screen time and childhood obesity, and how can these inform UK health and social care practice?</w:t>
      </w:r>
    </w:p>
    <w:p w14:paraId="0A61ED59" w14:textId="5510655E" w:rsidR="00147DBF" w:rsidRPr="000863BE" w:rsidRDefault="00147DBF" w:rsidP="009131BA">
      <w:pPr>
        <w:spacing w:line="360" w:lineRule="auto"/>
        <w:jc w:val="both"/>
        <w:rPr>
          <w:rFonts w:ascii="Arial" w:hAnsi="Arial" w:cs="Arial"/>
          <w:b/>
          <w:bCs/>
          <w:sz w:val="22"/>
          <w:szCs w:val="22"/>
        </w:rPr>
      </w:pPr>
      <w:r w:rsidRPr="000863BE">
        <w:rPr>
          <w:rFonts w:ascii="Arial" w:hAnsi="Arial" w:cs="Arial"/>
          <w:b/>
          <w:bCs/>
          <w:sz w:val="22"/>
          <w:szCs w:val="22"/>
        </w:rPr>
        <w:t>Inclusion and Exclusion Criteria</w:t>
      </w:r>
    </w:p>
    <w:p w14:paraId="522EE1A3" w14:textId="0F2C157C" w:rsidR="00147DBF" w:rsidRPr="006125F5" w:rsidRDefault="00036F31" w:rsidP="00412B18">
      <w:pPr>
        <w:pStyle w:val="NormalWeb"/>
        <w:spacing w:line="360" w:lineRule="auto"/>
        <w:jc w:val="both"/>
        <w:rPr>
          <w:rFonts w:ascii="Arial" w:hAnsi="Arial" w:cs="Arial"/>
          <w:sz w:val="22"/>
          <w:szCs w:val="22"/>
        </w:rPr>
      </w:pPr>
      <w:r>
        <w:rPr>
          <w:rFonts w:ascii="Arial" w:hAnsi="Arial" w:cs="Arial"/>
          <w:sz w:val="22"/>
          <w:szCs w:val="22"/>
        </w:rPr>
        <w:t>The review will include peer</w:t>
      </w:r>
      <w:r>
        <w:rPr>
          <w:rFonts w:ascii="Cambria Math" w:hAnsi="Cambria Math" w:cs="Cambria Math"/>
          <w:sz w:val="22"/>
          <w:szCs w:val="22"/>
        </w:rPr>
        <w:t>‑</w:t>
      </w:r>
      <w:r>
        <w:rPr>
          <w:rFonts w:ascii="Arial" w:hAnsi="Arial" w:cs="Arial"/>
          <w:sz w:val="22"/>
          <w:szCs w:val="22"/>
        </w:rPr>
        <w:t>reviewed studies published in English within the past 10 years that focus on children aged 5–12 and examine screen time, digital media use, or sedentary behaviours linked to childhood obesity. It will exclude non</w:t>
      </w:r>
      <w:r>
        <w:rPr>
          <w:rFonts w:ascii="Cambria Math" w:hAnsi="Cambria Math" w:cs="Cambria Math"/>
          <w:sz w:val="22"/>
          <w:szCs w:val="22"/>
        </w:rPr>
        <w:t>‑</w:t>
      </w:r>
      <w:r>
        <w:rPr>
          <w:rFonts w:ascii="Arial" w:hAnsi="Arial" w:cs="Arial"/>
          <w:sz w:val="22"/>
          <w:szCs w:val="22"/>
        </w:rPr>
        <w:t>academic sources, studies published before 2016, research unrelated to screen</w:t>
      </w:r>
      <w:r>
        <w:rPr>
          <w:rFonts w:ascii="Cambria Math" w:hAnsi="Cambria Math" w:cs="Cambria Math"/>
          <w:sz w:val="22"/>
          <w:szCs w:val="22"/>
        </w:rPr>
        <w:t>‑</w:t>
      </w:r>
      <w:r>
        <w:rPr>
          <w:rFonts w:ascii="Arial" w:hAnsi="Arial" w:cs="Arial"/>
          <w:sz w:val="22"/>
          <w:szCs w:val="22"/>
        </w:rPr>
        <w:t>time factors, and studies not available in full text.</w:t>
      </w:r>
    </w:p>
    <w:p w14:paraId="5CDD23DE" w14:textId="77777777" w:rsidR="00E937E3" w:rsidRPr="000863BE" w:rsidRDefault="00147DBF" w:rsidP="00E937E3">
      <w:pPr>
        <w:spacing w:line="360" w:lineRule="auto"/>
        <w:jc w:val="both"/>
        <w:rPr>
          <w:rFonts w:ascii="Arial" w:hAnsi="Arial" w:cs="Arial"/>
          <w:b/>
          <w:bCs/>
          <w:sz w:val="22"/>
          <w:szCs w:val="22"/>
        </w:rPr>
      </w:pPr>
      <w:r w:rsidRPr="000863BE">
        <w:rPr>
          <w:rFonts w:ascii="Arial" w:hAnsi="Arial" w:cs="Arial"/>
          <w:b/>
          <w:bCs/>
          <w:sz w:val="22"/>
          <w:szCs w:val="22"/>
        </w:rPr>
        <w:lastRenderedPageBreak/>
        <w:t>Data Collection and Analysis</w:t>
      </w:r>
    </w:p>
    <w:p w14:paraId="17F1D811" w14:textId="027A8719" w:rsidR="00E937E3" w:rsidRPr="00E937E3" w:rsidRDefault="00B92E2C" w:rsidP="00E937E3">
      <w:pPr>
        <w:spacing w:line="360" w:lineRule="auto"/>
        <w:jc w:val="both"/>
        <w:rPr>
          <w:rFonts w:ascii="Arial" w:hAnsi="Arial" w:cs="Arial"/>
          <w:sz w:val="22"/>
          <w:szCs w:val="22"/>
        </w:rPr>
      </w:pPr>
      <w:r>
        <w:rPr>
          <w:rFonts w:ascii="Arial" w:hAnsi="Arial" w:cs="Arial"/>
          <w:sz w:val="22"/>
          <w:szCs w:val="22"/>
        </w:rPr>
        <w:t xml:space="preserve"> A systematic search will be conducted using academic databases (PubMed, Scopus), Google Scholar, and the UWTSD Library. Keywords will include “screen time,” “childhood obesity,” “digital media,” “sedentary behaviour,” “children,” and “health behaviours,” with Boolean operators. Aveyard’s (20</w:t>
      </w:r>
      <w:r w:rsidR="00F05BD7">
        <w:rPr>
          <w:rFonts w:ascii="Arial" w:hAnsi="Arial" w:cs="Arial"/>
          <w:sz w:val="22"/>
          <w:szCs w:val="22"/>
        </w:rPr>
        <w:t>07</w:t>
      </w:r>
      <w:r>
        <w:rPr>
          <w:rFonts w:ascii="Arial" w:hAnsi="Arial" w:cs="Arial"/>
          <w:sz w:val="22"/>
          <w:szCs w:val="22"/>
        </w:rPr>
        <w:t>) simplified thematic analysis will be used to identify recurring patterns and themes across selected studies.</w:t>
      </w:r>
    </w:p>
    <w:p w14:paraId="745FEBBC" w14:textId="77777777" w:rsidR="00604A85" w:rsidRPr="006125F5" w:rsidRDefault="00604A85" w:rsidP="00C72062">
      <w:pPr>
        <w:spacing w:line="360" w:lineRule="auto"/>
        <w:jc w:val="both"/>
        <w:rPr>
          <w:rFonts w:ascii="Arial" w:hAnsi="Arial" w:cs="Arial"/>
          <w:sz w:val="22"/>
          <w:szCs w:val="22"/>
        </w:rPr>
      </w:pPr>
    </w:p>
    <w:p w14:paraId="5F32C09F" w14:textId="52BE77EE" w:rsidR="00147DBF" w:rsidRPr="000863BE" w:rsidRDefault="00147DBF" w:rsidP="009131BA">
      <w:pPr>
        <w:spacing w:line="360" w:lineRule="auto"/>
        <w:jc w:val="both"/>
        <w:rPr>
          <w:rFonts w:ascii="Arial" w:hAnsi="Arial" w:cs="Arial"/>
          <w:b/>
          <w:bCs/>
          <w:sz w:val="22"/>
          <w:szCs w:val="22"/>
        </w:rPr>
      </w:pPr>
      <w:r w:rsidRPr="000863BE">
        <w:rPr>
          <w:rFonts w:ascii="Arial" w:hAnsi="Arial" w:cs="Arial"/>
          <w:b/>
          <w:bCs/>
          <w:sz w:val="22"/>
          <w:szCs w:val="22"/>
        </w:rPr>
        <w:t>Expected Outcomes</w:t>
      </w:r>
      <w:r w:rsidR="0050201E" w:rsidRPr="000863BE">
        <w:rPr>
          <w:rFonts w:ascii="Arial" w:hAnsi="Arial" w:cs="Arial"/>
          <w:b/>
          <w:bCs/>
          <w:sz w:val="22"/>
          <w:szCs w:val="22"/>
        </w:rPr>
        <w:t xml:space="preserve"> and Ethics</w:t>
      </w:r>
    </w:p>
    <w:p w14:paraId="3D6943FC" w14:textId="4AE1CC8D" w:rsidR="00147DBF" w:rsidRDefault="002D1602" w:rsidP="008C6CEA">
      <w:pPr>
        <w:pStyle w:val="NormalWeb"/>
        <w:spacing w:line="360" w:lineRule="auto"/>
        <w:jc w:val="both"/>
        <w:rPr>
          <w:rFonts w:ascii="Arial" w:hAnsi="Arial" w:cs="Arial"/>
          <w:sz w:val="22"/>
          <w:szCs w:val="22"/>
        </w:rPr>
      </w:pPr>
      <w:r>
        <w:rPr>
          <w:rFonts w:ascii="Arial" w:hAnsi="Arial" w:cs="Arial"/>
          <w:sz w:val="22"/>
          <w:szCs w:val="22"/>
        </w:rPr>
        <w:t>This scoping review will provide a clear thematic overview to guide future research and support early intervention in UK health and social care. As a secondary study using only credible, peer-reviewed sources, it will not collect any personal or primary data. Ethical standards will be upheld through transparent reporting, accurate referencing and unbiased interpretation of evidence.</w:t>
      </w:r>
    </w:p>
    <w:p w14:paraId="7C572833" w14:textId="77777777" w:rsidR="00B61157" w:rsidRDefault="00B61157" w:rsidP="008C6CEA">
      <w:pPr>
        <w:pStyle w:val="NormalWeb"/>
        <w:spacing w:line="360" w:lineRule="auto"/>
        <w:jc w:val="both"/>
        <w:rPr>
          <w:rFonts w:ascii="Arial" w:hAnsi="Arial" w:cs="Arial"/>
          <w:sz w:val="22"/>
          <w:szCs w:val="22"/>
        </w:rPr>
      </w:pPr>
    </w:p>
    <w:p w14:paraId="5491E143" w14:textId="77777777" w:rsidR="00B61157" w:rsidRDefault="00B61157" w:rsidP="008C6CEA">
      <w:pPr>
        <w:pStyle w:val="NormalWeb"/>
        <w:spacing w:line="360" w:lineRule="auto"/>
        <w:jc w:val="both"/>
        <w:rPr>
          <w:rFonts w:ascii="Arial" w:hAnsi="Arial" w:cs="Arial"/>
          <w:sz w:val="22"/>
          <w:szCs w:val="22"/>
        </w:rPr>
      </w:pPr>
    </w:p>
    <w:p w14:paraId="50D4D407" w14:textId="77777777" w:rsidR="00B61157" w:rsidRDefault="00B61157" w:rsidP="008C6CEA">
      <w:pPr>
        <w:pStyle w:val="NormalWeb"/>
        <w:spacing w:line="360" w:lineRule="auto"/>
        <w:jc w:val="both"/>
        <w:rPr>
          <w:rFonts w:ascii="Arial" w:hAnsi="Arial" w:cs="Arial"/>
          <w:sz w:val="22"/>
          <w:szCs w:val="22"/>
        </w:rPr>
      </w:pPr>
    </w:p>
    <w:p w14:paraId="45F2A05B" w14:textId="77777777" w:rsidR="00B61157" w:rsidRDefault="00B61157" w:rsidP="008C6CEA">
      <w:pPr>
        <w:pStyle w:val="NormalWeb"/>
        <w:spacing w:line="360" w:lineRule="auto"/>
        <w:jc w:val="both"/>
        <w:rPr>
          <w:rFonts w:ascii="Arial" w:hAnsi="Arial" w:cs="Arial"/>
          <w:sz w:val="22"/>
          <w:szCs w:val="22"/>
        </w:rPr>
      </w:pPr>
    </w:p>
    <w:p w14:paraId="4DBEF643" w14:textId="77777777" w:rsidR="00B61157" w:rsidRDefault="00B61157" w:rsidP="008C6CEA">
      <w:pPr>
        <w:pStyle w:val="NormalWeb"/>
        <w:spacing w:line="360" w:lineRule="auto"/>
        <w:jc w:val="both"/>
        <w:rPr>
          <w:rFonts w:ascii="Arial" w:hAnsi="Arial" w:cs="Arial"/>
          <w:sz w:val="22"/>
          <w:szCs w:val="22"/>
        </w:rPr>
      </w:pPr>
    </w:p>
    <w:p w14:paraId="67E97A78" w14:textId="77777777" w:rsidR="00B61157" w:rsidRDefault="00B61157" w:rsidP="008C6CEA">
      <w:pPr>
        <w:pStyle w:val="NormalWeb"/>
        <w:spacing w:line="360" w:lineRule="auto"/>
        <w:jc w:val="both"/>
        <w:rPr>
          <w:rFonts w:ascii="Arial" w:hAnsi="Arial" w:cs="Arial"/>
          <w:sz w:val="22"/>
          <w:szCs w:val="22"/>
        </w:rPr>
      </w:pPr>
    </w:p>
    <w:p w14:paraId="066E06B0" w14:textId="77777777" w:rsidR="00B61157" w:rsidRDefault="00B61157" w:rsidP="008C6CEA">
      <w:pPr>
        <w:pStyle w:val="NormalWeb"/>
        <w:spacing w:line="360" w:lineRule="auto"/>
        <w:jc w:val="both"/>
        <w:rPr>
          <w:rFonts w:ascii="Arial" w:hAnsi="Arial" w:cs="Arial"/>
          <w:sz w:val="22"/>
          <w:szCs w:val="22"/>
        </w:rPr>
      </w:pPr>
    </w:p>
    <w:p w14:paraId="04C0B5E3" w14:textId="77777777" w:rsidR="00B61157" w:rsidRDefault="00B61157" w:rsidP="008C6CEA">
      <w:pPr>
        <w:pStyle w:val="NormalWeb"/>
        <w:spacing w:line="360" w:lineRule="auto"/>
        <w:jc w:val="both"/>
        <w:rPr>
          <w:rFonts w:ascii="Arial" w:hAnsi="Arial" w:cs="Arial"/>
          <w:sz w:val="22"/>
          <w:szCs w:val="22"/>
        </w:rPr>
      </w:pPr>
    </w:p>
    <w:p w14:paraId="74C4386C" w14:textId="77777777" w:rsidR="00B61157" w:rsidRDefault="00B61157" w:rsidP="008C6CEA">
      <w:pPr>
        <w:pStyle w:val="NormalWeb"/>
        <w:spacing w:line="360" w:lineRule="auto"/>
        <w:jc w:val="both"/>
        <w:rPr>
          <w:rFonts w:ascii="Arial" w:hAnsi="Arial" w:cs="Arial"/>
          <w:sz w:val="22"/>
          <w:szCs w:val="22"/>
        </w:rPr>
      </w:pPr>
    </w:p>
    <w:p w14:paraId="18F2154A" w14:textId="77777777" w:rsidR="00B61157" w:rsidRDefault="00B61157" w:rsidP="008C6CEA">
      <w:pPr>
        <w:pStyle w:val="NormalWeb"/>
        <w:spacing w:line="360" w:lineRule="auto"/>
        <w:jc w:val="both"/>
        <w:rPr>
          <w:rFonts w:ascii="Arial" w:hAnsi="Arial" w:cs="Arial"/>
          <w:sz w:val="22"/>
          <w:szCs w:val="22"/>
        </w:rPr>
      </w:pPr>
    </w:p>
    <w:p w14:paraId="74D2DFA7" w14:textId="77777777" w:rsidR="00B61157" w:rsidRDefault="00B61157" w:rsidP="008C6CEA">
      <w:pPr>
        <w:pStyle w:val="NormalWeb"/>
        <w:spacing w:line="360" w:lineRule="auto"/>
        <w:jc w:val="both"/>
        <w:rPr>
          <w:rFonts w:ascii="Arial" w:hAnsi="Arial" w:cs="Arial"/>
          <w:sz w:val="22"/>
          <w:szCs w:val="22"/>
        </w:rPr>
      </w:pPr>
    </w:p>
    <w:p w14:paraId="63D4BBD3" w14:textId="77777777" w:rsidR="00B61157" w:rsidRDefault="00B61157" w:rsidP="008C6CEA">
      <w:pPr>
        <w:pStyle w:val="NormalWeb"/>
        <w:spacing w:line="360" w:lineRule="auto"/>
        <w:jc w:val="both"/>
        <w:rPr>
          <w:rFonts w:ascii="Arial" w:hAnsi="Arial" w:cs="Arial"/>
          <w:sz w:val="22"/>
          <w:szCs w:val="22"/>
        </w:rPr>
      </w:pPr>
    </w:p>
    <w:p w14:paraId="1C9F264B" w14:textId="4146C863" w:rsidR="006A06BD" w:rsidRPr="00447271" w:rsidRDefault="00015AA1" w:rsidP="00206732">
      <w:pPr>
        <w:pStyle w:val="NormalWeb"/>
        <w:spacing w:line="360" w:lineRule="auto"/>
        <w:jc w:val="both"/>
        <w:rPr>
          <w:rFonts w:ascii="Arial" w:hAnsi="Arial" w:cs="Arial"/>
          <w:b/>
          <w:bCs/>
          <w:sz w:val="22"/>
          <w:szCs w:val="22"/>
        </w:rPr>
      </w:pPr>
      <w:r w:rsidRPr="00B61157">
        <w:rPr>
          <w:rFonts w:ascii="Arial" w:hAnsi="Arial" w:cs="Arial"/>
          <w:b/>
          <w:bCs/>
          <w:sz w:val="22"/>
          <w:szCs w:val="22"/>
        </w:rPr>
        <w:lastRenderedPageBreak/>
        <w:t xml:space="preserve">References </w:t>
      </w:r>
    </w:p>
    <w:p w14:paraId="208CD07B" w14:textId="77777777" w:rsidR="006A06BD" w:rsidRPr="006A06BD" w:rsidRDefault="006A06BD" w:rsidP="00206732">
      <w:pPr>
        <w:pStyle w:val="NormalWeb"/>
        <w:spacing w:line="360" w:lineRule="auto"/>
        <w:ind w:left="720"/>
        <w:jc w:val="both"/>
        <w:rPr>
          <w:rFonts w:ascii="Arial" w:hAnsi="Arial" w:cs="Arial"/>
        </w:rPr>
      </w:pPr>
    </w:p>
    <w:p w14:paraId="5526D23A" w14:textId="77777777" w:rsidR="006A06BD" w:rsidRPr="00206732" w:rsidRDefault="006A06BD" w:rsidP="00206732">
      <w:pPr>
        <w:numPr>
          <w:ilvl w:val="0"/>
          <w:numId w:val="6"/>
        </w:numPr>
        <w:spacing w:line="360" w:lineRule="auto"/>
        <w:jc w:val="both"/>
        <w:rPr>
          <w:rFonts w:ascii="Arial" w:hAnsi="Arial" w:cs="Arial"/>
          <w:sz w:val="22"/>
          <w:szCs w:val="22"/>
        </w:rPr>
      </w:pPr>
      <w:r w:rsidRPr="00206732">
        <w:rPr>
          <w:rFonts w:ascii="Arial" w:hAnsi="Arial" w:cs="Arial"/>
          <w:sz w:val="22"/>
          <w:szCs w:val="22"/>
        </w:rPr>
        <w:t xml:space="preserve">Arksey, H., &amp; O'Malley, L. (2005). "Scoping studies: towards a methodological framework." </w:t>
      </w:r>
      <w:r w:rsidRPr="00EC2273">
        <w:rPr>
          <w:rFonts w:ascii="Arial" w:hAnsi="Arial" w:cs="Arial"/>
          <w:i/>
          <w:iCs/>
          <w:sz w:val="22"/>
          <w:szCs w:val="22"/>
        </w:rPr>
        <w:t>International Journal of Social Research Methodology</w:t>
      </w:r>
      <w:r w:rsidRPr="00206732">
        <w:rPr>
          <w:rFonts w:ascii="Arial" w:hAnsi="Arial" w:cs="Arial"/>
          <w:sz w:val="22"/>
          <w:szCs w:val="22"/>
        </w:rPr>
        <w:t>, 8(1), 19-32.</w:t>
      </w:r>
    </w:p>
    <w:p w14:paraId="4D5BE937" w14:textId="77777777" w:rsidR="006A06BD" w:rsidRPr="00206732" w:rsidRDefault="006A06BD" w:rsidP="00206732">
      <w:pPr>
        <w:numPr>
          <w:ilvl w:val="0"/>
          <w:numId w:val="6"/>
        </w:numPr>
        <w:spacing w:line="360" w:lineRule="auto"/>
        <w:jc w:val="both"/>
        <w:rPr>
          <w:rFonts w:ascii="Arial" w:hAnsi="Arial" w:cs="Arial"/>
          <w:sz w:val="22"/>
          <w:szCs w:val="22"/>
        </w:rPr>
      </w:pPr>
      <w:r w:rsidRPr="00206732">
        <w:rPr>
          <w:rFonts w:ascii="Arial" w:hAnsi="Arial" w:cs="Arial"/>
          <w:sz w:val="22"/>
          <w:szCs w:val="22"/>
        </w:rPr>
        <w:t xml:space="preserve">Aveyard, H. (2007). </w:t>
      </w:r>
      <w:r w:rsidRPr="00763DB4">
        <w:rPr>
          <w:rFonts w:ascii="Arial" w:hAnsi="Arial" w:cs="Arial"/>
          <w:i/>
          <w:iCs/>
          <w:sz w:val="22"/>
          <w:szCs w:val="22"/>
        </w:rPr>
        <w:t>Doing a Literature Review in Health and Social Care: A Practical Guide</w:t>
      </w:r>
      <w:r w:rsidRPr="00206732">
        <w:rPr>
          <w:rFonts w:ascii="Arial" w:hAnsi="Arial" w:cs="Arial"/>
          <w:sz w:val="22"/>
          <w:szCs w:val="22"/>
        </w:rPr>
        <w:t>. Open University Press.</w:t>
      </w:r>
    </w:p>
    <w:p w14:paraId="5A0EBD45" w14:textId="77777777" w:rsidR="006A06BD" w:rsidRPr="00206732" w:rsidRDefault="006A06BD" w:rsidP="00206732">
      <w:pPr>
        <w:pStyle w:val="NormalWeb"/>
        <w:numPr>
          <w:ilvl w:val="0"/>
          <w:numId w:val="6"/>
        </w:numPr>
        <w:spacing w:line="360" w:lineRule="auto"/>
        <w:jc w:val="both"/>
        <w:rPr>
          <w:rFonts w:ascii="Arial" w:hAnsi="Arial" w:cs="Arial"/>
          <w:sz w:val="22"/>
          <w:szCs w:val="22"/>
        </w:rPr>
      </w:pPr>
      <w:r w:rsidRPr="00206732">
        <w:rPr>
          <w:rFonts w:ascii="Arial" w:hAnsi="Arial" w:cs="Arial"/>
          <w:sz w:val="22"/>
          <w:szCs w:val="22"/>
        </w:rPr>
        <w:t>Guimaraes, J.S., Pritchard, M., Sabir, S., Vanderlee, L., Ramsay, T., Elliott, C. &amp; Potvin Kent, M. (2025) The power of product: how food advertising affects children’s perceptions of child and non</w:t>
      </w:r>
      <w:r w:rsidRPr="00206732">
        <w:rPr>
          <w:rFonts w:ascii="Arial" w:hAnsi="Arial" w:cs="Arial"/>
          <w:sz w:val="22"/>
          <w:szCs w:val="22"/>
        </w:rPr>
        <w:noBreakHyphen/>
        <w:t xml:space="preserve">child targeted food advertising? </w:t>
      </w:r>
      <w:r w:rsidRPr="00487E80">
        <w:rPr>
          <w:rFonts w:ascii="Arial" w:hAnsi="Arial" w:cs="Arial"/>
          <w:i/>
          <w:iCs/>
          <w:sz w:val="22"/>
          <w:szCs w:val="22"/>
        </w:rPr>
        <w:t>BMC Public Health</w:t>
      </w:r>
      <w:r w:rsidRPr="00206732">
        <w:rPr>
          <w:rFonts w:ascii="Arial" w:hAnsi="Arial" w:cs="Arial"/>
          <w:sz w:val="22"/>
          <w:szCs w:val="22"/>
        </w:rPr>
        <w:t xml:space="preserve">, 25, 3167. Available at: </w:t>
      </w:r>
      <w:hyperlink r:id="rId7" w:history="1">
        <w:r w:rsidRPr="00206732">
          <w:rPr>
            <w:rStyle w:val="Hyperlink"/>
            <w:rFonts w:ascii="Arial" w:hAnsi="Arial" w:cs="Arial"/>
            <w:sz w:val="22"/>
            <w:szCs w:val="22"/>
          </w:rPr>
          <w:t>https://pmc.ncbi.nlm.nih.gov/articles/PMC12487379/</w:t>
        </w:r>
      </w:hyperlink>
      <w:r w:rsidRPr="00206732">
        <w:rPr>
          <w:rFonts w:ascii="Arial" w:hAnsi="Arial" w:cs="Arial"/>
          <w:sz w:val="22"/>
          <w:szCs w:val="22"/>
        </w:rPr>
        <w:t xml:space="preserve"> (Accessed 13 October 2026).</w:t>
      </w:r>
    </w:p>
    <w:p w14:paraId="027FD530" w14:textId="451DB047" w:rsidR="006A06BD" w:rsidRPr="00206732" w:rsidRDefault="001B163D" w:rsidP="00206732">
      <w:pPr>
        <w:pStyle w:val="NormalWeb"/>
        <w:numPr>
          <w:ilvl w:val="0"/>
          <w:numId w:val="6"/>
        </w:numPr>
        <w:spacing w:line="360" w:lineRule="auto"/>
        <w:jc w:val="both"/>
        <w:rPr>
          <w:rFonts w:ascii="Arial" w:hAnsi="Arial" w:cs="Arial"/>
          <w:sz w:val="22"/>
          <w:szCs w:val="22"/>
        </w:rPr>
      </w:pPr>
      <w:r w:rsidRPr="001B163D">
        <w:rPr>
          <w:rFonts w:ascii="Arial" w:hAnsi="Arial" w:cs="Arial"/>
          <w:sz w:val="22"/>
          <w:szCs w:val="22"/>
        </w:rPr>
        <w:t>Mori, Y. et al.</w:t>
      </w:r>
      <w:r>
        <w:rPr>
          <w:rFonts w:ascii="Arial" w:hAnsi="Arial" w:cs="Arial"/>
          <w:sz w:val="22"/>
          <w:szCs w:val="22"/>
        </w:rPr>
        <w:t xml:space="preserve"> </w:t>
      </w:r>
      <w:r w:rsidR="006A06BD" w:rsidRPr="00206732">
        <w:rPr>
          <w:rFonts w:ascii="Arial" w:hAnsi="Arial" w:cs="Arial"/>
          <w:sz w:val="22"/>
          <w:szCs w:val="22"/>
        </w:rPr>
        <w:t>(2026) Long</w:t>
      </w:r>
      <w:r w:rsidR="006A06BD" w:rsidRPr="00206732">
        <w:rPr>
          <w:rFonts w:ascii="Arial" w:hAnsi="Arial" w:cs="Arial"/>
          <w:sz w:val="22"/>
          <w:szCs w:val="22"/>
        </w:rPr>
        <w:noBreakHyphen/>
        <w:t>term trends in screen time use among children and adolescents: A systematic review including pre</w:t>
      </w:r>
      <w:r w:rsidR="006A06BD" w:rsidRPr="00206732">
        <w:rPr>
          <w:rFonts w:ascii="Arial" w:hAnsi="Arial" w:cs="Arial"/>
          <w:sz w:val="22"/>
          <w:szCs w:val="22"/>
        </w:rPr>
        <w:noBreakHyphen/>
        <w:t xml:space="preserve"> and post</w:t>
      </w:r>
      <w:r w:rsidR="006A06BD" w:rsidRPr="00206732">
        <w:rPr>
          <w:rFonts w:ascii="Arial" w:hAnsi="Arial" w:cs="Arial"/>
          <w:sz w:val="22"/>
          <w:szCs w:val="22"/>
        </w:rPr>
        <w:noBreakHyphen/>
        <w:t>COVID periods</w:t>
      </w:r>
      <w:r w:rsidR="006A06BD" w:rsidRPr="00487E80">
        <w:rPr>
          <w:rFonts w:ascii="Arial" w:hAnsi="Arial" w:cs="Arial"/>
          <w:i/>
          <w:iCs/>
          <w:sz w:val="22"/>
          <w:szCs w:val="22"/>
        </w:rPr>
        <w:t>. Clinical Child Psychology and Psychiatry</w:t>
      </w:r>
      <w:r w:rsidR="006A06BD" w:rsidRPr="00206732">
        <w:rPr>
          <w:rFonts w:ascii="Arial" w:hAnsi="Arial" w:cs="Arial"/>
          <w:sz w:val="22"/>
          <w:szCs w:val="22"/>
        </w:rPr>
        <w:t xml:space="preserve">. Available at: </w:t>
      </w:r>
      <w:hyperlink r:id="rId8" w:history="1">
        <w:r w:rsidR="006A06BD" w:rsidRPr="00206732">
          <w:rPr>
            <w:rStyle w:val="Hyperlink"/>
            <w:rFonts w:ascii="Arial" w:hAnsi="Arial" w:cs="Arial"/>
            <w:sz w:val="22"/>
            <w:szCs w:val="22"/>
          </w:rPr>
          <w:t>https://journals.sagepub.com/doi/10.1177/13591045261432532</w:t>
        </w:r>
      </w:hyperlink>
      <w:r w:rsidR="006A06BD" w:rsidRPr="00206732">
        <w:rPr>
          <w:rFonts w:ascii="Arial" w:hAnsi="Arial" w:cs="Arial"/>
          <w:sz w:val="22"/>
          <w:szCs w:val="22"/>
        </w:rPr>
        <w:t xml:space="preserve"> (Accessed 13 October 2026).</w:t>
      </w:r>
    </w:p>
    <w:p w14:paraId="7D225319" w14:textId="77777777" w:rsidR="006A06BD" w:rsidRPr="00206732" w:rsidRDefault="006A06BD" w:rsidP="00206732">
      <w:pPr>
        <w:pStyle w:val="NormalWeb"/>
        <w:numPr>
          <w:ilvl w:val="0"/>
          <w:numId w:val="6"/>
        </w:numPr>
        <w:spacing w:line="360" w:lineRule="auto"/>
        <w:jc w:val="both"/>
        <w:rPr>
          <w:rFonts w:ascii="Arial" w:hAnsi="Arial" w:cs="Arial"/>
          <w:sz w:val="22"/>
          <w:szCs w:val="22"/>
        </w:rPr>
      </w:pPr>
      <w:r w:rsidRPr="00206732">
        <w:rPr>
          <w:rStyle w:val="Strong"/>
          <w:rFonts w:ascii="Arial" w:hAnsi="Arial" w:cs="Arial"/>
          <w:b w:val="0"/>
          <w:bCs w:val="0"/>
          <w:sz w:val="22"/>
          <w:szCs w:val="22"/>
        </w:rPr>
        <w:t>NHS Digital (2024)</w:t>
      </w:r>
      <w:r w:rsidRPr="00206732">
        <w:rPr>
          <w:rFonts w:ascii="Arial" w:hAnsi="Arial" w:cs="Arial"/>
          <w:sz w:val="22"/>
          <w:szCs w:val="22"/>
        </w:rPr>
        <w:t xml:space="preserve"> </w:t>
      </w:r>
      <w:r w:rsidRPr="00487E80">
        <w:rPr>
          <w:rStyle w:val="Emphasis"/>
          <w:rFonts w:ascii="Arial" w:hAnsi="Arial" w:cs="Arial"/>
          <w:sz w:val="22"/>
          <w:szCs w:val="22"/>
        </w:rPr>
        <w:t>National Child Measurement Programme, England, 2023/24 School</w:t>
      </w:r>
      <w:r w:rsidRPr="00206732">
        <w:rPr>
          <w:rStyle w:val="Emphasis"/>
          <w:rFonts w:ascii="Arial" w:hAnsi="Arial" w:cs="Arial"/>
          <w:sz w:val="22"/>
          <w:szCs w:val="22"/>
        </w:rPr>
        <w:t xml:space="preserve"> </w:t>
      </w:r>
      <w:r w:rsidRPr="00487E80">
        <w:rPr>
          <w:rStyle w:val="Emphasis"/>
          <w:rFonts w:ascii="Arial" w:hAnsi="Arial" w:cs="Arial"/>
          <w:i w:val="0"/>
          <w:iCs w:val="0"/>
          <w:sz w:val="22"/>
          <w:szCs w:val="22"/>
        </w:rPr>
        <w:t>Year</w:t>
      </w:r>
      <w:r w:rsidRPr="00487E80">
        <w:rPr>
          <w:rFonts w:ascii="Arial" w:hAnsi="Arial" w:cs="Arial"/>
          <w:i/>
          <w:iCs/>
          <w:sz w:val="22"/>
          <w:szCs w:val="22"/>
        </w:rPr>
        <w:t>.</w:t>
      </w:r>
      <w:r w:rsidRPr="00206732">
        <w:rPr>
          <w:rFonts w:ascii="Arial" w:hAnsi="Arial" w:cs="Arial"/>
          <w:sz w:val="22"/>
          <w:szCs w:val="22"/>
        </w:rPr>
        <w:t xml:space="preserve"> Available at: </w:t>
      </w:r>
      <w:hyperlink r:id="rId9" w:history="1">
        <w:r w:rsidRPr="00206732">
          <w:rPr>
            <w:rStyle w:val="Hyperlink"/>
            <w:rFonts w:ascii="Arial" w:hAnsi="Arial" w:cs="Arial"/>
            <w:sz w:val="22"/>
            <w:szCs w:val="22"/>
          </w:rPr>
          <w:t>https://digital.nhs.uk/data-and-information/publications/statistical/national-child-measurement-programme/2023-24-school-year</w:t>
        </w:r>
      </w:hyperlink>
      <w:r w:rsidRPr="00206732">
        <w:rPr>
          <w:rFonts w:ascii="Arial" w:hAnsi="Arial" w:cs="Arial"/>
          <w:sz w:val="22"/>
          <w:szCs w:val="22"/>
        </w:rPr>
        <w:t xml:space="preserve"> (Accessed: 11 October 2026).</w:t>
      </w:r>
    </w:p>
    <w:p w14:paraId="28DADCEC" w14:textId="77777777" w:rsidR="006A06BD" w:rsidRPr="00206732" w:rsidRDefault="006A06BD" w:rsidP="00206732">
      <w:pPr>
        <w:pStyle w:val="NormalWeb"/>
        <w:numPr>
          <w:ilvl w:val="0"/>
          <w:numId w:val="6"/>
        </w:numPr>
        <w:spacing w:line="360" w:lineRule="auto"/>
        <w:jc w:val="both"/>
        <w:rPr>
          <w:rFonts w:ascii="Arial" w:hAnsi="Arial" w:cs="Arial"/>
          <w:sz w:val="22"/>
          <w:szCs w:val="22"/>
        </w:rPr>
      </w:pPr>
      <w:r w:rsidRPr="00206732">
        <w:rPr>
          <w:rFonts w:ascii="Arial" w:hAnsi="Arial" w:cs="Arial"/>
          <w:sz w:val="22"/>
          <w:szCs w:val="22"/>
        </w:rPr>
        <w:t xml:space="preserve">Robinson, T.N. et al. (2017) Screen Media Exposure and Obesity in Children and Adolescents. </w:t>
      </w:r>
      <w:proofErr w:type="spellStart"/>
      <w:r w:rsidRPr="002E2070">
        <w:rPr>
          <w:rFonts w:ascii="Arial" w:hAnsi="Arial" w:cs="Arial"/>
          <w:i/>
          <w:iCs/>
          <w:sz w:val="22"/>
          <w:szCs w:val="22"/>
        </w:rPr>
        <w:t>Pediatrics</w:t>
      </w:r>
      <w:proofErr w:type="spellEnd"/>
      <w:r w:rsidRPr="00206732">
        <w:rPr>
          <w:rFonts w:ascii="Arial" w:hAnsi="Arial" w:cs="Arial"/>
          <w:sz w:val="22"/>
          <w:szCs w:val="22"/>
        </w:rPr>
        <w:t>, 140(</w:t>
      </w:r>
      <w:proofErr w:type="spellStart"/>
      <w:r w:rsidRPr="00206732">
        <w:rPr>
          <w:rFonts w:ascii="Arial" w:hAnsi="Arial" w:cs="Arial"/>
          <w:sz w:val="22"/>
          <w:szCs w:val="22"/>
        </w:rPr>
        <w:t>Suppl</w:t>
      </w:r>
      <w:proofErr w:type="spellEnd"/>
      <w:r w:rsidRPr="00206732">
        <w:rPr>
          <w:rFonts w:ascii="Arial" w:hAnsi="Arial" w:cs="Arial"/>
          <w:sz w:val="22"/>
          <w:szCs w:val="22"/>
        </w:rPr>
        <w:t xml:space="preserve"> 2), S97–S101. </w:t>
      </w:r>
      <w:proofErr w:type="spellStart"/>
      <w:r w:rsidRPr="00206732">
        <w:rPr>
          <w:rFonts w:ascii="Arial" w:hAnsi="Arial" w:cs="Arial"/>
          <w:sz w:val="22"/>
          <w:szCs w:val="22"/>
        </w:rPr>
        <w:t>doi</w:t>
      </w:r>
      <w:proofErr w:type="spellEnd"/>
      <w:r w:rsidRPr="00206732">
        <w:rPr>
          <w:rFonts w:ascii="Arial" w:hAnsi="Arial" w:cs="Arial"/>
          <w:sz w:val="22"/>
          <w:szCs w:val="22"/>
        </w:rPr>
        <w:t xml:space="preserve">: 10.1542/peds.2016-1758K. Available at: </w:t>
      </w:r>
      <w:hyperlink r:id="rId10" w:history="1">
        <w:r w:rsidRPr="00206732">
          <w:rPr>
            <w:rStyle w:val="Hyperlink"/>
            <w:rFonts w:ascii="Arial" w:hAnsi="Arial" w:cs="Arial"/>
            <w:sz w:val="22"/>
            <w:szCs w:val="22"/>
          </w:rPr>
          <w:t>https://pmc.ncbi.nlm.nih.gov/articles/PMC5769928/</w:t>
        </w:r>
      </w:hyperlink>
      <w:r w:rsidRPr="00206732">
        <w:rPr>
          <w:rFonts w:ascii="Arial" w:hAnsi="Arial" w:cs="Arial"/>
          <w:sz w:val="22"/>
          <w:szCs w:val="22"/>
        </w:rPr>
        <w:t xml:space="preserve"> (Accessed: 11 October 2026).</w:t>
      </w:r>
    </w:p>
    <w:p w14:paraId="6F5A176F" w14:textId="77777777" w:rsidR="006A06BD" w:rsidRPr="00206732" w:rsidRDefault="006A06BD" w:rsidP="00206732">
      <w:pPr>
        <w:pStyle w:val="NormalWeb"/>
        <w:numPr>
          <w:ilvl w:val="0"/>
          <w:numId w:val="6"/>
        </w:numPr>
        <w:spacing w:line="360" w:lineRule="auto"/>
        <w:jc w:val="both"/>
        <w:rPr>
          <w:rFonts w:ascii="Arial" w:hAnsi="Arial" w:cs="Arial"/>
          <w:sz w:val="22"/>
          <w:szCs w:val="22"/>
        </w:rPr>
      </w:pPr>
      <w:r w:rsidRPr="00206732">
        <w:rPr>
          <w:rFonts w:ascii="Arial" w:hAnsi="Arial" w:cs="Arial"/>
          <w:sz w:val="22"/>
          <w:szCs w:val="22"/>
        </w:rPr>
        <w:t>W</w:t>
      </w:r>
      <w:r w:rsidRPr="00206732">
        <w:rPr>
          <w:rFonts w:ascii="Arial" w:hAnsi="Arial" w:cs="Arial"/>
          <w:sz w:val="22"/>
          <w:szCs w:val="22"/>
        </w:rPr>
        <w:t>HO</w:t>
      </w:r>
      <w:r w:rsidRPr="00206732">
        <w:rPr>
          <w:rFonts w:ascii="Arial" w:hAnsi="Arial" w:cs="Arial"/>
          <w:sz w:val="22"/>
          <w:szCs w:val="22"/>
        </w:rPr>
        <w:t xml:space="preserve"> (2019</w:t>
      </w:r>
      <w:r w:rsidRPr="002E2070">
        <w:rPr>
          <w:rFonts w:ascii="Arial" w:hAnsi="Arial" w:cs="Arial"/>
          <w:i/>
          <w:iCs/>
          <w:sz w:val="22"/>
          <w:szCs w:val="22"/>
        </w:rPr>
        <w:t>) To grow up healthy, children need to sit less and play more</w:t>
      </w:r>
      <w:r w:rsidRPr="00206732">
        <w:rPr>
          <w:rFonts w:ascii="Arial" w:hAnsi="Arial" w:cs="Arial"/>
          <w:sz w:val="22"/>
          <w:szCs w:val="22"/>
        </w:rPr>
        <w:t xml:space="preserve">. WHO News Release, 24 April. Available at: </w:t>
      </w:r>
      <w:hyperlink r:id="rId11" w:history="1">
        <w:r w:rsidRPr="00206732">
          <w:rPr>
            <w:rStyle w:val="Hyperlink"/>
            <w:rFonts w:ascii="Arial" w:hAnsi="Arial" w:cs="Arial"/>
            <w:sz w:val="22"/>
            <w:szCs w:val="22"/>
          </w:rPr>
          <w:t>https://www.who.int/news/item/24-04-2019-to-grow-up-healthy-children-need-to-sit-less-and-play-more</w:t>
        </w:r>
      </w:hyperlink>
      <w:r w:rsidRPr="00206732">
        <w:rPr>
          <w:rFonts w:ascii="Arial" w:hAnsi="Arial" w:cs="Arial"/>
          <w:sz w:val="22"/>
          <w:szCs w:val="22"/>
        </w:rPr>
        <w:t xml:space="preserve"> (Accessed 13 October 2026).</w:t>
      </w:r>
    </w:p>
    <w:p w14:paraId="2C83B0C6" w14:textId="77777777" w:rsidR="00015AA1" w:rsidRPr="00B92E2C" w:rsidRDefault="00015AA1" w:rsidP="008C6CEA">
      <w:pPr>
        <w:pStyle w:val="NormalWeb"/>
        <w:spacing w:line="360" w:lineRule="auto"/>
        <w:jc w:val="both"/>
        <w:rPr>
          <w:rFonts w:ascii="Arial" w:hAnsi="Arial" w:cs="Arial"/>
          <w:sz w:val="22"/>
          <w:szCs w:val="22"/>
        </w:rPr>
      </w:pPr>
    </w:p>
    <w:sectPr w:rsidR="00015AA1" w:rsidRPr="00B92E2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89665" w14:textId="77777777" w:rsidR="0026440B" w:rsidRDefault="0026440B" w:rsidP="00653640">
      <w:pPr>
        <w:spacing w:after="0" w:line="240" w:lineRule="auto"/>
      </w:pPr>
      <w:r>
        <w:separator/>
      </w:r>
    </w:p>
  </w:endnote>
  <w:endnote w:type="continuationSeparator" w:id="0">
    <w:p w14:paraId="79A4DD51" w14:textId="77777777" w:rsidR="0026440B" w:rsidRDefault="0026440B" w:rsidP="00653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7569489"/>
      <w:docPartObj>
        <w:docPartGallery w:val="Page Numbers (Bottom of Page)"/>
        <w:docPartUnique/>
      </w:docPartObj>
    </w:sdtPr>
    <w:sdtContent>
      <w:p w14:paraId="5E046365" w14:textId="1F3ADCCE" w:rsidR="00653640" w:rsidRDefault="00653640">
        <w:pPr>
          <w:pStyle w:val="Footer"/>
          <w:jc w:val="center"/>
        </w:pPr>
        <w:r>
          <w:fldChar w:fldCharType="begin"/>
        </w:r>
        <w:r>
          <w:instrText>PAGE   \* MERGEFORMAT</w:instrText>
        </w:r>
        <w:r>
          <w:fldChar w:fldCharType="separate"/>
        </w:r>
        <w:r>
          <w:t>2</w:t>
        </w:r>
        <w:r>
          <w:fldChar w:fldCharType="end"/>
        </w:r>
      </w:p>
    </w:sdtContent>
  </w:sdt>
  <w:p w14:paraId="79929915" w14:textId="77777777" w:rsidR="00653640" w:rsidRDefault="00653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FB96F" w14:textId="77777777" w:rsidR="0026440B" w:rsidRDefault="0026440B" w:rsidP="00653640">
      <w:pPr>
        <w:spacing w:after="0" w:line="240" w:lineRule="auto"/>
      </w:pPr>
      <w:r>
        <w:separator/>
      </w:r>
    </w:p>
  </w:footnote>
  <w:footnote w:type="continuationSeparator" w:id="0">
    <w:p w14:paraId="5426D9C8" w14:textId="77777777" w:rsidR="0026440B" w:rsidRDefault="0026440B" w:rsidP="006536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100EE"/>
    <w:multiLevelType w:val="multilevel"/>
    <w:tmpl w:val="A1469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F94FB2"/>
    <w:multiLevelType w:val="multilevel"/>
    <w:tmpl w:val="56FA3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A44127"/>
    <w:multiLevelType w:val="multilevel"/>
    <w:tmpl w:val="5CF80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331F27"/>
    <w:multiLevelType w:val="hybridMultilevel"/>
    <w:tmpl w:val="97481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080563">
    <w:abstractNumId w:val="1"/>
  </w:num>
  <w:num w:numId="2" w16cid:durableId="1913393191">
    <w:abstractNumId w:val="3"/>
  </w:num>
  <w:num w:numId="3" w16cid:durableId="1309212737">
    <w:abstractNumId w:val="0"/>
  </w:num>
  <w:num w:numId="4" w16cid:durableId="221602122">
    <w:abstractNumId w:val="2"/>
  </w:num>
  <w:num w:numId="5" w16cid:durableId="1466853792">
    <w:abstractNumId w:val="5"/>
  </w:num>
  <w:num w:numId="6" w16cid:durableId="6435111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DBF"/>
    <w:rsid w:val="00015AA1"/>
    <w:rsid w:val="00036DBB"/>
    <w:rsid w:val="00036F31"/>
    <w:rsid w:val="00061F77"/>
    <w:rsid w:val="000742D1"/>
    <w:rsid w:val="00074E05"/>
    <w:rsid w:val="000839B5"/>
    <w:rsid w:val="00085038"/>
    <w:rsid w:val="000863BE"/>
    <w:rsid w:val="00131AB5"/>
    <w:rsid w:val="00147DBF"/>
    <w:rsid w:val="001738FF"/>
    <w:rsid w:val="001A12A5"/>
    <w:rsid w:val="001B163D"/>
    <w:rsid w:val="001C3A72"/>
    <w:rsid w:val="001E1B06"/>
    <w:rsid w:val="00206732"/>
    <w:rsid w:val="0026440B"/>
    <w:rsid w:val="0026690F"/>
    <w:rsid w:val="00280DF2"/>
    <w:rsid w:val="002A7F25"/>
    <w:rsid w:val="002D0356"/>
    <w:rsid w:val="002D1602"/>
    <w:rsid w:val="002E0B15"/>
    <w:rsid w:val="002E2070"/>
    <w:rsid w:val="0033314A"/>
    <w:rsid w:val="00347805"/>
    <w:rsid w:val="003534D5"/>
    <w:rsid w:val="00376972"/>
    <w:rsid w:val="003779B4"/>
    <w:rsid w:val="00412B18"/>
    <w:rsid w:val="0041572E"/>
    <w:rsid w:val="004453F0"/>
    <w:rsid w:val="00447271"/>
    <w:rsid w:val="00453920"/>
    <w:rsid w:val="00466A0A"/>
    <w:rsid w:val="00487E80"/>
    <w:rsid w:val="004B2121"/>
    <w:rsid w:val="004C023C"/>
    <w:rsid w:val="004D3D9C"/>
    <w:rsid w:val="004D753E"/>
    <w:rsid w:val="004F7191"/>
    <w:rsid w:val="0050201E"/>
    <w:rsid w:val="0052233F"/>
    <w:rsid w:val="0054697B"/>
    <w:rsid w:val="005906E1"/>
    <w:rsid w:val="005F749A"/>
    <w:rsid w:val="00604A85"/>
    <w:rsid w:val="006125F5"/>
    <w:rsid w:val="00640AD9"/>
    <w:rsid w:val="00652F82"/>
    <w:rsid w:val="00653640"/>
    <w:rsid w:val="006A06BD"/>
    <w:rsid w:val="006B5902"/>
    <w:rsid w:val="0070494E"/>
    <w:rsid w:val="00763DB4"/>
    <w:rsid w:val="00772ABF"/>
    <w:rsid w:val="00784506"/>
    <w:rsid w:val="007B2E99"/>
    <w:rsid w:val="00815E68"/>
    <w:rsid w:val="00823F40"/>
    <w:rsid w:val="008C6CEA"/>
    <w:rsid w:val="008F2719"/>
    <w:rsid w:val="009131BA"/>
    <w:rsid w:val="00913807"/>
    <w:rsid w:val="0092477B"/>
    <w:rsid w:val="00934917"/>
    <w:rsid w:val="00975FD3"/>
    <w:rsid w:val="00985B1F"/>
    <w:rsid w:val="009931FF"/>
    <w:rsid w:val="0099702E"/>
    <w:rsid w:val="00A0419D"/>
    <w:rsid w:val="00A065FF"/>
    <w:rsid w:val="00A113A0"/>
    <w:rsid w:val="00A40518"/>
    <w:rsid w:val="00A67B69"/>
    <w:rsid w:val="00AC0A14"/>
    <w:rsid w:val="00AF49E2"/>
    <w:rsid w:val="00B0793F"/>
    <w:rsid w:val="00B156D1"/>
    <w:rsid w:val="00B61157"/>
    <w:rsid w:val="00B83958"/>
    <w:rsid w:val="00B92E2C"/>
    <w:rsid w:val="00BA3BBB"/>
    <w:rsid w:val="00C060D1"/>
    <w:rsid w:val="00C12CD2"/>
    <w:rsid w:val="00C15109"/>
    <w:rsid w:val="00C17E11"/>
    <w:rsid w:val="00C3250E"/>
    <w:rsid w:val="00C333B0"/>
    <w:rsid w:val="00C45006"/>
    <w:rsid w:val="00C46060"/>
    <w:rsid w:val="00C72062"/>
    <w:rsid w:val="00C765B3"/>
    <w:rsid w:val="00D02E7A"/>
    <w:rsid w:val="00D542B4"/>
    <w:rsid w:val="00DE7880"/>
    <w:rsid w:val="00DF0000"/>
    <w:rsid w:val="00E00BF9"/>
    <w:rsid w:val="00E5114E"/>
    <w:rsid w:val="00E937E3"/>
    <w:rsid w:val="00EA3A4D"/>
    <w:rsid w:val="00EC2273"/>
    <w:rsid w:val="00F05BD7"/>
    <w:rsid w:val="00F37AC0"/>
    <w:rsid w:val="00FA0C98"/>
    <w:rsid w:val="00FD1B1D"/>
    <w:rsid w:val="00FF5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2EE0C"/>
  <w15:chartTrackingRefBased/>
  <w15:docId w15:val="{49FEE204-87BC-4ABB-B7A0-E9585DF4F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DBF"/>
    <w:pPr>
      <w:spacing w:line="278" w:lineRule="auto"/>
    </w:pPr>
    <w:rPr>
      <w:kern w:val="2"/>
      <w:sz w:val="24"/>
      <w:szCs w:val="24"/>
      <w14:ligatures w14:val="standardContextual"/>
    </w:rPr>
  </w:style>
  <w:style w:type="paragraph" w:styleId="Heading1">
    <w:name w:val="heading 1"/>
    <w:basedOn w:val="Normal"/>
    <w:next w:val="Normal"/>
    <w:link w:val="Heading1Char"/>
    <w:uiPriority w:val="9"/>
    <w:qFormat/>
    <w:rsid w:val="00147DB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7DB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47DB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47DB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47DB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47D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7D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7D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7D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DB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7DB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47DB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47DB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47DB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47D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7D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7D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7DBF"/>
    <w:rPr>
      <w:rFonts w:eastAsiaTheme="majorEastAsia" w:cstheme="majorBidi"/>
      <w:color w:val="272727" w:themeColor="text1" w:themeTint="D8"/>
    </w:rPr>
  </w:style>
  <w:style w:type="paragraph" w:styleId="Title">
    <w:name w:val="Title"/>
    <w:basedOn w:val="Normal"/>
    <w:next w:val="Normal"/>
    <w:link w:val="TitleChar"/>
    <w:uiPriority w:val="10"/>
    <w:qFormat/>
    <w:rsid w:val="00147D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D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D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7D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7DBF"/>
    <w:pPr>
      <w:spacing w:before="160"/>
      <w:jc w:val="center"/>
    </w:pPr>
    <w:rPr>
      <w:i/>
      <w:iCs/>
      <w:color w:val="404040" w:themeColor="text1" w:themeTint="BF"/>
    </w:rPr>
  </w:style>
  <w:style w:type="character" w:customStyle="1" w:styleId="QuoteChar">
    <w:name w:val="Quote Char"/>
    <w:basedOn w:val="DefaultParagraphFont"/>
    <w:link w:val="Quote"/>
    <w:uiPriority w:val="29"/>
    <w:rsid w:val="00147DBF"/>
    <w:rPr>
      <w:i/>
      <w:iCs/>
      <w:color w:val="404040" w:themeColor="text1" w:themeTint="BF"/>
    </w:rPr>
  </w:style>
  <w:style w:type="paragraph" w:styleId="ListParagraph">
    <w:name w:val="List Paragraph"/>
    <w:basedOn w:val="Normal"/>
    <w:uiPriority w:val="34"/>
    <w:qFormat/>
    <w:rsid w:val="00147DBF"/>
    <w:pPr>
      <w:ind w:left="720"/>
      <w:contextualSpacing/>
    </w:pPr>
  </w:style>
  <w:style w:type="character" w:styleId="IntenseEmphasis">
    <w:name w:val="Intense Emphasis"/>
    <w:basedOn w:val="DefaultParagraphFont"/>
    <w:uiPriority w:val="21"/>
    <w:qFormat/>
    <w:rsid w:val="00147DBF"/>
    <w:rPr>
      <w:i/>
      <w:iCs/>
      <w:color w:val="2F5496" w:themeColor="accent1" w:themeShade="BF"/>
    </w:rPr>
  </w:style>
  <w:style w:type="paragraph" w:styleId="IntenseQuote">
    <w:name w:val="Intense Quote"/>
    <w:basedOn w:val="Normal"/>
    <w:next w:val="Normal"/>
    <w:link w:val="IntenseQuoteChar"/>
    <w:uiPriority w:val="30"/>
    <w:qFormat/>
    <w:rsid w:val="00147D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7DBF"/>
    <w:rPr>
      <w:i/>
      <w:iCs/>
      <w:color w:val="2F5496" w:themeColor="accent1" w:themeShade="BF"/>
    </w:rPr>
  </w:style>
  <w:style w:type="character" w:styleId="IntenseReference">
    <w:name w:val="Intense Reference"/>
    <w:basedOn w:val="DefaultParagraphFont"/>
    <w:uiPriority w:val="32"/>
    <w:qFormat/>
    <w:rsid w:val="00147DBF"/>
    <w:rPr>
      <w:b/>
      <w:bCs/>
      <w:smallCaps/>
      <w:color w:val="2F5496" w:themeColor="accent1" w:themeShade="BF"/>
      <w:spacing w:val="5"/>
    </w:rPr>
  </w:style>
  <w:style w:type="paragraph" w:styleId="NormalWeb">
    <w:name w:val="Normal (Web)"/>
    <w:basedOn w:val="Normal"/>
    <w:uiPriority w:val="99"/>
    <w:unhideWhenUsed/>
    <w:rsid w:val="00147DB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536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640"/>
    <w:rPr>
      <w:kern w:val="2"/>
      <w:sz w:val="24"/>
      <w:szCs w:val="24"/>
      <w14:ligatures w14:val="standardContextual"/>
    </w:rPr>
  </w:style>
  <w:style w:type="paragraph" w:styleId="Footer">
    <w:name w:val="footer"/>
    <w:basedOn w:val="Normal"/>
    <w:link w:val="FooterChar"/>
    <w:uiPriority w:val="99"/>
    <w:unhideWhenUsed/>
    <w:rsid w:val="006536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640"/>
    <w:rPr>
      <w:kern w:val="2"/>
      <w:sz w:val="24"/>
      <w:szCs w:val="24"/>
      <w14:ligatures w14:val="standardContextual"/>
    </w:rPr>
  </w:style>
  <w:style w:type="character" w:styleId="Hyperlink">
    <w:name w:val="Hyperlink"/>
    <w:basedOn w:val="DefaultParagraphFont"/>
    <w:uiPriority w:val="99"/>
    <w:unhideWhenUsed/>
    <w:rsid w:val="00E5114E"/>
    <w:rPr>
      <w:color w:val="0563C1" w:themeColor="hyperlink"/>
      <w:u w:val="single"/>
    </w:rPr>
  </w:style>
  <w:style w:type="character" w:styleId="Strong">
    <w:name w:val="Strong"/>
    <w:basedOn w:val="DefaultParagraphFont"/>
    <w:uiPriority w:val="22"/>
    <w:qFormat/>
    <w:rsid w:val="00E5114E"/>
    <w:rPr>
      <w:b/>
      <w:bCs/>
    </w:rPr>
  </w:style>
  <w:style w:type="character" w:styleId="Emphasis">
    <w:name w:val="Emphasis"/>
    <w:basedOn w:val="DefaultParagraphFont"/>
    <w:uiPriority w:val="20"/>
    <w:qFormat/>
    <w:rsid w:val="00E5114E"/>
    <w:rPr>
      <w:i/>
      <w:iCs/>
    </w:rPr>
  </w:style>
  <w:style w:type="character" w:styleId="UnresolvedMention">
    <w:name w:val="Unresolved Mention"/>
    <w:basedOn w:val="DefaultParagraphFont"/>
    <w:uiPriority w:val="99"/>
    <w:semiHidden/>
    <w:unhideWhenUsed/>
    <w:rsid w:val="00280D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177/1359104526143253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mc.ncbi.nlm.nih.gov/articles/PMC12487379/"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news/item/24-04-2019-to-grow-up-healthy-children-need-to-sit-less-and-play-more" TargetMode="External"/><Relationship Id="rId5" Type="http://schemas.openxmlformats.org/officeDocument/2006/relationships/footnotes" Target="footnotes.xml"/><Relationship Id="rId10" Type="http://schemas.openxmlformats.org/officeDocument/2006/relationships/hyperlink" Target="https://pmc.ncbi.nlm.nih.gov/articles/PMC5769928/" TargetMode="External"/><Relationship Id="rId4" Type="http://schemas.openxmlformats.org/officeDocument/2006/relationships/webSettings" Target="webSettings.xml"/><Relationship Id="rId9" Type="http://schemas.openxmlformats.org/officeDocument/2006/relationships/hyperlink" Target="https://digital.nhs.uk/data-and-information/publications/statistical/national-child-measurement-programme/2023-24-school-yea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2439</TotalTime>
  <Pages>4</Pages>
  <Words>838</Words>
  <Characters>4782</Characters>
  <Application>Microsoft Office Word</Application>
  <DocSecurity>0</DocSecurity>
  <Lines>39</Lines>
  <Paragraphs>11</Paragraphs>
  <ScaleCrop>false</ScaleCrop>
  <Company/>
  <LinksUpToDate>false</LinksUpToDate>
  <CharactersWithSpaces>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Louiza Avraam</dc:creator>
  <cp:keywords/>
  <dc:description/>
  <cp:lastModifiedBy>Louiza Avraam</cp:lastModifiedBy>
  <cp:revision>101</cp:revision>
  <dcterms:created xsi:type="dcterms:W3CDTF">2026-10-11T18:01:00Z</dcterms:created>
  <dcterms:modified xsi:type="dcterms:W3CDTF">2026-10-13T10:52:00Z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ece187d3-fd00-4a7e-b4a2-3ebda140f972</vt:lpwstr>
  </property>
</Properties>
</file>