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CCE56C" w14:textId="1585839D" w:rsidR="00B26DF6" w:rsidRPr="00B26DF6" w:rsidRDefault="00B26DF6" w:rsidP="00B26DF6">
      <w:pPr>
        <w:spacing w:after="0" w:line="480" w:lineRule="auto"/>
        <w:jc w:val="center"/>
        <w:rPr>
          <w:rFonts w:ascii="Times New Roman" w:hAnsi="Times New Roman" w:cs="Times New Roman"/>
          <w:b/>
          <w:bCs/>
          <w:sz w:val="24"/>
          <w:szCs w:val="24"/>
          <w:u w:val="single"/>
        </w:rPr>
      </w:pPr>
      <w:r w:rsidRPr="00B26DF6">
        <w:rPr>
          <w:rFonts w:ascii="Times New Roman" w:hAnsi="Times New Roman" w:cs="Times New Roman"/>
          <w:b/>
          <w:bCs/>
          <w:sz w:val="48"/>
          <w:szCs w:val="48"/>
          <w:u w:val="single"/>
        </w:rPr>
        <w:t>M</w:t>
      </w:r>
      <w:r w:rsidRPr="00B26DF6">
        <w:rPr>
          <w:rFonts w:ascii="Times New Roman" w:hAnsi="Times New Roman" w:cs="Times New Roman"/>
          <w:b/>
          <w:bCs/>
          <w:sz w:val="24"/>
          <w:szCs w:val="24"/>
          <w:u w:val="single"/>
        </w:rPr>
        <w:t>ANAGEMENT ACCOUNTING</w:t>
      </w:r>
    </w:p>
    <w:p w14:paraId="288A2BEA" w14:textId="77777777" w:rsidR="00B26DF6" w:rsidRPr="00B26DF6" w:rsidRDefault="00B26DF6" w:rsidP="00B26DF6">
      <w:pPr>
        <w:spacing w:after="0" w:line="480" w:lineRule="auto"/>
        <w:jc w:val="center"/>
        <w:rPr>
          <w:rFonts w:ascii="Times New Roman" w:hAnsi="Times New Roman" w:cs="Times New Roman"/>
          <w:b/>
          <w:bCs/>
          <w:sz w:val="24"/>
          <w:szCs w:val="24"/>
          <w:u w:val="single"/>
        </w:rPr>
      </w:pPr>
      <w:r w:rsidRPr="00B26DF6">
        <w:rPr>
          <w:rFonts w:ascii="Times New Roman" w:hAnsi="Times New Roman" w:cs="Times New Roman"/>
          <w:b/>
          <w:bCs/>
          <w:sz w:val="24"/>
          <w:szCs w:val="24"/>
          <w:u w:val="single"/>
        </w:rPr>
        <w:t>ASSIGNMENT 2 REPORT</w:t>
      </w:r>
    </w:p>
    <w:p w14:paraId="57C37504" w14:textId="5D524472" w:rsidR="00B26DF6" w:rsidRPr="00B26DF6" w:rsidRDefault="00B26DF6" w:rsidP="00B26DF6">
      <w:pPr>
        <w:spacing w:line="480" w:lineRule="auto"/>
        <w:jc w:val="center"/>
        <w:rPr>
          <w:rFonts w:ascii="Times New Roman" w:hAnsi="Times New Roman" w:cs="Times New Roman"/>
          <w:b/>
          <w:bCs/>
          <w:sz w:val="24"/>
          <w:szCs w:val="24"/>
          <w:u w:val="single"/>
        </w:rPr>
      </w:pPr>
      <w:r w:rsidRPr="00B26DF6">
        <w:rPr>
          <w:rFonts w:ascii="Times New Roman" w:hAnsi="Times New Roman" w:cs="Times New Roman"/>
          <w:b/>
          <w:bCs/>
          <w:sz w:val="24"/>
          <w:szCs w:val="24"/>
          <w:u w:val="single"/>
        </w:rPr>
        <w:t xml:space="preserve">By </w:t>
      </w:r>
      <w:proofErr w:type="spellStart"/>
      <w:r w:rsidRPr="00B26DF6">
        <w:rPr>
          <w:rFonts w:ascii="Times New Roman" w:hAnsi="Times New Roman" w:cs="Times New Roman"/>
          <w:b/>
          <w:bCs/>
          <w:sz w:val="24"/>
          <w:szCs w:val="24"/>
          <w:u w:val="single"/>
        </w:rPr>
        <w:t>Vasile</w:t>
      </w:r>
      <w:proofErr w:type="spellEnd"/>
      <w:r w:rsidRPr="00B26DF6">
        <w:rPr>
          <w:rFonts w:ascii="Times New Roman" w:hAnsi="Times New Roman" w:cs="Times New Roman"/>
          <w:b/>
          <w:bCs/>
          <w:sz w:val="24"/>
          <w:szCs w:val="24"/>
          <w:u w:val="single"/>
        </w:rPr>
        <w:t xml:space="preserve"> </w:t>
      </w:r>
      <w:proofErr w:type="spellStart"/>
      <w:r w:rsidRPr="00B26DF6">
        <w:rPr>
          <w:rFonts w:ascii="Times New Roman" w:hAnsi="Times New Roman" w:cs="Times New Roman"/>
          <w:b/>
          <w:bCs/>
          <w:sz w:val="24"/>
          <w:szCs w:val="24"/>
          <w:u w:val="single"/>
        </w:rPr>
        <w:t>Silviu</w:t>
      </w:r>
      <w:proofErr w:type="spellEnd"/>
      <w:r w:rsidRPr="00B26DF6">
        <w:rPr>
          <w:rFonts w:ascii="Times New Roman" w:hAnsi="Times New Roman" w:cs="Times New Roman"/>
          <w:b/>
          <w:bCs/>
          <w:sz w:val="24"/>
          <w:szCs w:val="24"/>
          <w:u w:val="single"/>
        </w:rPr>
        <w:t xml:space="preserve"> </w:t>
      </w:r>
      <w:proofErr w:type="spellStart"/>
      <w:r w:rsidRPr="00B26DF6">
        <w:rPr>
          <w:rFonts w:ascii="Times New Roman" w:hAnsi="Times New Roman" w:cs="Times New Roman"/>
          <w:b/>
          <w:bCs/>
          <w:sz w:val="24"/>
          <w:szCs w:val="24"/>
          <w:u w:val="single"/>
        </w:rPr>
        <w:t>Bracau</w:t>
      </w:r>
      <w:proofErr w:type="spellEnd"/>
    </w:p>
    <w:p w14:paraId="3818A4D4" w14:textId="501865D5" w:rsidR="00B26DF6" w:rsidRPr="00B26DF6" w:rsidRDefault="00B26DF6" w:rsidP="00B26DF6">
      <w:pPr>
        <w:spacing w:line="480" w:lineRule="auto"/>
        <w:jc w:val="center"/>
        <w:rPr>
          <w:rFonts w:ascii="Times New Roman" w:hAnsi="Times New Roman" w:cs="Times New Roman"/>
          <w:b/>
          <w:bCs/>
          <w:sz w:val="24"/>
          <w:szCs w:val="24"/>
          <w:u w:val="single"/>
        </w:rPr>
      </w:pPr>
      <w:r w:rsidRPr="00B26DF6">
        <w:rPr>
          <w:rFonts w:ascii="Times New Roman" w:hAnsi="Times New Roman" w:cs="Times New Roman"/>
          <w:b/>
          <w:bCs/>
          <w:sz w:val="24"/>
          <w:szCs w:val="24"/>
          <w:u w:val="single"/>
        </w:rPr>
        <w:t>1919081</w:t>
      </w:r>
    </w:p>
    <w:p w14:paraId="006CFF76" w14:textId="77777777" w:rsidR="00B26DF6" w:rsidRPr="00535AE4" w:rsidRDefault="00B26DF6" w:rsidP="00B26DF6">
      <w:pPr>
        <w:spacing w:line="480" w:lineRule="auto"/>
        <w:jc w:val="center"/>
        <w:rPr>
          <w:rFonts w:ascii="Times New Roman" w:hAnsi="Times New Roman" w:cs="Times New Roman"/>
          <w:sz w:val="24"/>
          <w:szCs w:val="24"/>
        </w:rPr>
      </w:pPr>
    </w:p>
    <w:p w14:paraId="7090FFA5" w14:textId="77777777" w:rsidR="00B26DF6" w:rsidRPr="00535AE4" w:rsidRDefault="00B26DF6" w:rsidP="00B26DF6">
      <w:pPr>
        <w:spacing w:line="480" w:lineRule="auto"/>
        <w:jc w:val="center"/>
        <w:rPr>
          <w:rFonts w:ascii="Times New Roman" w:hAnsi="Times New Roman" w:cs="Times New Roman"/>
          <w:sz w:val="24"/>
          <w:szCs w:val="24"/>
        </w:rPr>
      </w:pPr>
    </w:p>
    <w:p w14:paraId="05AC5C79" w14:textId="77777777" w:rsidR="00B26DF6" w:rsidRPr="00535AE4" w:rsidRDefault="00B26DF6" w:rsidP="00B26DF6">
      <w:pPr>
        <w:spacing w:line="480" w:lineRule="auto"/>
        <w:jc w:val="center"/>
        <w:rPr>
          <w:rFonts w:ascii="Times New Roman" w:hAnsi="Times New Roman" w:cs="Times New Roman"/>
          <w:sz w:val="24"/>
          <w:szCs w:val="24"/>
        </w:rPr>
      </w:pPr>
    </w:p>
    <w:p w14:paraId="406452D1" w14:textId="7A83609A" w:rsidR="00B26DF6" w:rsidRPr="00B26DF6" w:rsidRDefault="00B26DF6" w:rsidP="00B26DF6">
      <w:pPr>
        <w:spacing w:line="480" w:lineRule="auto"/>
        <w:jc w:val="center"/>
        <w:rPr>
          <w:rFonts w:ascii="Times New Roman" w:hAnsi="Times New Roman" w:cs="Times New Roman"/>
          <w:sz w:val="24"/>
          <w:szCs w:val="24"/>
          <w:highlight w:val="lightGray"/>
        </w:rPr>
      </w:pPr>
      <w:r w:rsidRPr="00B26DF6">
        <w:rPr>
          <w:rFonts w:ascii="Times New Roman" w:hAnsi="Times New Roman" w:cs="Times New Roman"/>
          <w:sz w:val="24"/>
          <w:szCs w:val="24"/>
          <w:highlight w:val="lightGray"/>
        </w:rPr>
        <w:t>LCBB5002</w:t>
      </w:r>
    </w:p>
    <w:p w14:paraId="63C9F2FE" w14:textId="54B420DF" w:rsidR="00B26DF6" w:rsidRPr="00B26DF6" w:rsidRDefault="00B26DF6" w:rsidP="00B26DF6">
      <w:pPr>
        <w:spacing w:line="480" w:lineRule="auto"/>
        <w:jc w:val="center"/>
        <w:rPr>
          <w:rFonts w:ascii="Times New Roman" w:hAnsi="Times New Roman" w:cs="Times New Roman"/>
          <w:sz w:val="24"/>
          <w:szCs w:val="24"/>
          <w:highlight w:val="lightGray"/>
        </w:rPr>
      </w:pPr>
      <w:r w:rsidRPr="00B26DF6">
        <w:rPr>
          <w:rFonts w:ascii="Times New Roman" w:hAnsi="Times New Roman" w:cs="Times New Roman"/>
          <w:sz w:val="24"/>
          <w:szCs w:val="24"/>
          <w:highlight w:val="lightGray"/>
        </w:rPr>
        <w:t>Lecturer Zainab Atta</w:t>
      </w:r>
    </w:p>
    <w:p w14:paraId="0AE6E9D0" w14:textId="2C73F175" w:rsidR="00B26DF6" w:rsidRPr="00535AE4" w:rsidRDefault="00B26DF6" w:rsidP="00B26DF6">
      <w:pPr>
        <w:spacing w:line="480" w:lineRule="auto"/>
        <w:jc w:val="center"/>
        <w:rPr>
          <w:rFonts w:ascii="Times New Roman" w:hAnsi="Times New Roman" w:cs="Times New Roman"/>
          <w:sz w:val="24"/>
          <w:szCs w:val="24"/>
        </w:rPr>
      </w:pPr>
      <w:r w:rsidRPr="00B26DF6">
        <w:rPr>
          <w:rFonts w:ascii="Times New Roman" w:hAnsi="Times New Roman" w:cs="Times New Roman"/>
          <w:sz w:val="24"/>
          <w:szCs w:val="24"/>
          <w:highlight w:val="lightGray"/>
        </w:rPr>
        <w:t>University of Wales Trinity Saint David</w:t>
      </w:r>
    </w:p>
    <w:p w14:paraId="57A490ED" w14:textId="27FE2EB3" w:rsidR="00B26DF6" w:rsidRPr="00535AE4" w:rsidRDefault="00B26DF6" w:rsidP="00B26DF6">
      <w:pPr>
        <w:spacing w:line="480" w:lineRule="auto"/>
        <w:jc w:val="center"/>
        <w:rPr>
          <w:rFonts w:ascii="Times New Roman" w:hAnsi="Times New Roman" w:cs="Times New Roman"/>
          <w:sz w:val="24"/>
          <w:szCs w:val="24"/>
        </w:rPr>
      </w:pPr>
    </w:p>
    <w:p w14:paraId="5F58AF0F" w14:textId="77777777" w:rsidR="00B26DF6" w:rsidRDefault="00B26DF6" w:rsidP="00B26DF6">
      <w:pPr>
        <w:spacing w:after="0" w:line="480" w:lineRule="auto"/>
        <w:jc w:val="center"/>
        <w:rPr>
          <w:rFonts w:ascii="Times New Roman" w:hAnsi="Times New Roman" w:cs="Times New Roman"/>
          <w:b/>
          <w:bCs/>
          <w:sz w:val="24"/>
          <w:szCs w:val="24"/>
        </w:rPr>
      </w:pPr>
    </w:p>
    <w:p w14:paraId="6840BFEB" w14:textId="77777777" w:rsidR="00B26DF6" w:rsidRDefault="00B26DF6" w:rsidP="00B26DF6">
      <w:pPr>
        <w:spacing w:after="0" w:line="480" w:lineRule="auto"/>
        <w:jc w:val="center"/>
        <w:rPr>
          <w:rFonts w:ascii="Times New Roman" w:hAnsi="Times New Roman" w:cs="Times New Roman"/>
          <w:b/>
          <w:bCs/>
          <w:sz w:val="24"/>
          <w:szCs w:val="24"/>
        </w:rPr>
      </w:pPr>
    </w:p>
    <w:p w14:paraId="170F82AD" w14:textId="77777777" w:rsidR="00B26DF6" w:rsidRPr="00421EA5" w:rsidRDefault="00B26DF6" w:rsidP="00B26DF6">
      <w:pPr>
        <w:spacing w:after="0" w:line="480" w:lineRule="auto"/>
        <w:jc w:val="center"/>
        <w:rPr>
          <w:rFonts w:ascii="Times New Roman" w:hAnsi="Times New Roman" w:cs="Times New Roman"/>
          <w:b/>
          <w:bCs/>
          <w:sz w:val="24"/>
          <w:szCs w:val="24"/>
        </w:rPr>
      </w:pPr>
    </w:p>
    <w:p w14:paraId="4914D454" w14:textId="77777777" w:rsidR="00B26DF6" w:rsidRDefault="00B26DF6" w:rsidP="00B26DF6">
      <w:pPr>
        <w:spacing w:after="0" w:line="480" w:lineRule="auto"/>
        <w:jc w:val="center"/>
        <w:rPr>
          <w:rFonts w:ascii="Times New Roman" w:hAnsi="Times New Roman" w:cs="Times New Roman"/>
          <w:b/>
          <w:bCs/>
          <w:sz w:val="24"/>
          <w:szCs w:val="24"/>
        </w:rPr>
      </w:pPr>
    </w:p>
    <w:p w14:paraId="3F227E2C" w14:textId="77777777" w:rsidR="00B26DF6" w:rsidRDefault="00B26DF6" w:rsidP="00B26DF6">
      <w:pPr>
        <w:spacing w:after="0" w:line="480" w:lineRule="auto"/>
        <w:jc w:val="center"/>
        <w:rPr>
          <w:rFonts w:ascii="Times New Roman" w:hAnsi="Times New Roman" w:cs="Times New Roman"/>
          <w:b/>
          <w:bCs/>
          <w:sz w:val="24"/>
          <w:szCs w:val="24"/>
        </w:rPr>
      </w:pPr>
    </w:p>
    <w:p w14:paraId="294F27CA" w14:textId="77777777" w:rsidR="00B26DF6" w:rsidRDefault="00B26DF6" w:rsidP="00B26DF6">
      <w:pPr>
        <w:spacing w:after="0" w:line="480" w:lineRule="auto"/>
        <w:jc w:val="center"/>
        <w:rPr>
          <w:rFonts w:ascii="Times New Roman" w:hAnsi="Times New Roman" w:cs="Times New Roman"/>
          <w:b/>
          <w:bCs/>
          <w:sz w:val="24"/>
          <w:szCs w:val="24"/>
        </w:rPr>
      </w:pPr>
    </w:p>
    <w:p w14:paraId="5CB64700" w14:textId="77777777" w:rsidR="00B26DF6" w:rsidRDefault="00B26DF6" w:rsidP="00B26DF6">
      <w:pPr>
        <w:spacing w:after="0" w:line="480" w:lineRule="auto"/>
        <w:jc w:val="center"/>
        <w:rPr>
          <w:rFonts w:ascii="Times New Roman" w:hAnsi="Times New Roman" w:cs="Times New Roman"/>
          <w:b/>
          <w:bCs/>
          <w:sz w:val="24"/>
          <w:szCs w:val="24"/>
        </w:rPr>
      </w:pPr>
    </w:p>
    <w:p w14:paraId="57CEA3F0" w14:textId="77777777" w:rsidR="00B26DF6" w:rsidRDefault="00B26DF6" w:rsidP="00B26DF6">
      <w:pPr>
        <w:spacing w:after="0" w:line="480" w:lineRule="auto"/>
        <w:jc w:val="center"/>
        <w:rPr>
          <w:rFonts w:ascii="Times New Roman" w:hAnsi="Times New Roman" w:cs="Times New Roman"/>
          <w:b/>
          <w:bCs/>
          <w:sz w:val="24"/>
          <w:szCs w:val="24"/>
        </w:rPr>
      </w:pPr>
    </w:p>
    <w:p w14:paraId="2D741F55" w14:textId="77777777" w:rsidR="00B26DF6" w:rsidRDefault="00B26DF6" w:rsidP="00B26DF6">
      <w:pPr>
        <w:spacing w:after="0" w:line="480" w:lineRule="auto"/>
        <w:jc w:val="center"/>
        <w:rPr>
          <w:rFonts w:ascii="Times New Roman" w:hAnsi="Times New Roman" w:cs="Times New Roman"/>
          <w:b/>
          <w:bCs/>
          <w:sz w:val="24"/>
          <w:szCs w:val="24"/>
        </w:rPr>
      </w:pPr>
    </w:p>
    <w:p w14:paraId="53314ACC" w14:textId="06AFD005" w:rsidR="00B26DF6" w:rsidRDefault="00B26DF6" w:rsidP="00BD1AA3">
      <w:pPr>
        <w:spacing w:after="0" w:line="480" w:lineRule="auto"/>
        <w:rPr>
          <w:rFonts w:ascii="Times New Roman" w:hAnsi="Times New Roman" w:cs="Times New Roman"/>
          <w:b/>
          <w:bCs/>
          <w:sz w:val="24"/>
          <w:szCs w:val="24"/>
        </w:rPr>
      </w:pPr>
    </w:p>
    <w:p w14:paraId="21CC0578" w14:textId="77777777" w:rsidR="00BD1AA3" w:rsidRDefault="00BD1AA3" w:rsidP="00BD1AA3">
      <w:pPr>
        <w:spacing w:after="0" w:line="480" w:lineRule="auto"/>
        <w:rPr>
          <w:rFonts w:ascii="Times New Roman" w:hAnsi="Times New Roman" w:cs="Times New Roman"/>
          <w:b/>
          <w:bCs/>
          <w:sz w:val="24"/>
          <w:szCs w:val="24"/>
        </w:rPr>
      </w:pPr>
    </w:p>
    <w:p w14:paraId="250F512C" w14:textId="77777777" w:rsidR="00B26DF6" w:rsidRPr="00421EA5" w:rsidRDefault="00B26DF6" w:rsidP="00B26DF6">
      <w:pPr>
        <w:spacing w:after="0" w:line="480" w:lineRule="auto"/>
        <w:jc w:val="center"/>
        <w:rPr>
          <w:rFonts w:ascii="Times New Roman" w:hAnsi="Times New Roman" w:cs="Times New Roman"/>
          <w:b/>
          <w:bCs/>
          <w:sz w:val="24"/>
          <w:szCs w:val="24"/>
        </w:rPr>
      </w:pPr>
      <w:r w:rsidRPr="00421EA5">
        <w:rPr>
          <w:rFonts w:ascii="Times New Roman" w:hAnsi="Times New Roman" w:cs="Times New Roman"/>
          <w:b/>
          <w:bCs/>
          <w:sz w:val="24"/>
          <w:szCs w:val="24"/>
        </w:rPr>
        <w:lastRenderedPageBreak/>
        <w:t>Part A</w:t>
      </w:r>
    </w:p>
    <w:p w14:paraId="57A9CF63" w14:textId="77777777" w:rsidR="00B26DF6" w:rsidRPr="00421EA5" w:rsidRDefault="00B26DF6" w:rsidP="00B26DF6">
      <w:pPr>
        <w:spacing w:after="0" w:line="480" w:lineRule="auto"/>
        <w:rPr>
          <w:rFonts w:ascii="Times New Roman" w:hAnsi="Times New Roman" w:cs="Times New Roman"/>
          <w:b/>
          <w:bCs/>
          <w:sz w:val="24"/>
          <w:szCs w:val="24"/>
        </w:rPr>
      </w:pPr>
      <w:r w:rsidRPr="00421EA5">
        <w:rPr>
          <w:rFonts w:ascii="Times New Roman" w:hAnsi="Times New Roman" w:cs="Times New Roman"/>
          <w:b/>
          <w:bCs/>
          <w:sz w:val="24"/>
          <w:szCs w:val="24"/>
        </w:rPr>
        <w:t>Monthly Control Report</w:t>
      </w:r>
    </w:p>
    <w:p w14:paraId="2885F0F8" w14:textId="77777777" w:rsidR="00B26DF6" w:rsidRPr="00421EA5" w:rsidRDefault="00B26DF6" w:rsidP="00B26DF6">
      <w:pPr>
        <w:spacing w:after="0" w:line="480" w:lineRule="auto"/>
        <w:ind w:firstLine="720"/>
        <w:rPr>
          <w:rFonts w:ascii="Times New Roman" w:hAnsi="Times New Roman" w:cs="Times New Roman"/>
          <w:sz w:val="24"/>
          <w:szCs w:val="24"/>
        </w:rPr>
      </w:pPr>
      <w:r w:rsidRPr="00421EA5">
        <w:rPr>
          <w:rFonts w:ascii="Times New Roman" w:hAnsi="Times New Roman" w:cs="Times New Roman"/>
          <w:sz w:val="24"/>
          <w:szCs w:val="24"/>
        </w:rPr>
        <w:t xml:space="preserve">A flexible budget helps in adjusting or flexing with the changes in activity or volume for easier comparison of the company’s performance (Rhode &amp; Garrison, 2019). Amana Ltd budgeted for 100,000 units but ended up selling 80,000 units. The budgeted performance for 100,000 units cannot be easily compared with the performance for 80,000 units. Therefore, a flexible budget is prepared at 80,000 units to easily compare the budgeted financial performance with the actual performance. However, the cost per unit will remain the same and will be used with the 80,000 actual units sold, which means the variable costs will change as per the actual performance. Nevertheless, the fixed costs will remain the same as the budgeted amounts. As a result, the monthly control report has been prepared as per the table below, which </w:t>
      </w:r>
      <w:r>
        <w:rPr>
          <w:rFonts w:ascii="Times New Roman" w:hAnsi="Times New Roman" w:cs="Times New Roman"/>
          <w:sz w:val="24"/>
          <w:szCs w:val="24"/>
        </w:rPr>
        <w:t xml:space="preserve">provides </w:t>
      </w:r>
      <w:r w:rsidRPr="00421EA5">
        <w:rPr>
          <w:rFonts w:ascii="Times New Roman" w:hAnsi="Times New Roman" w:cs="Times New Roman"/>
          <w:sz w:val="24"/>
          <w:szCs w:val="24"/>
        </w:rPr>
        <w:t>the flexed budget,</w:t>
      </w:r>
      <w:r w:rsidRPr="006C3170">
        <w:rPr>
          <w:rFonts w:ascii="Times New Roman" w:hAnsi="Times New Roman" w:cs="Times New Roman"/>
          <w:sz w:val="24"/>
          <w:szCs w:val="24"/>
        </w:rPr>
        <w:t xml:space="preserve"> </w:t>
      </w:r>
      <w:r w:rsidRPr="00421EA5">
        <w:rPr>
          <w:rFonts w:ascii="Times New Roman" w:hAnsi="Times New Roman" w:cs="Times New Roman"/>
          <w:sz w:val="24"/>
          <w:szCs w:val="24"/>
        </w:rPr>
        <w:t xml:space="preserve">original budget, and variances. </w:t>
      </w:r>
    </w:p>
    <w:tbl>
      <w:tblPr>
        <w:tblW w:w="9664" w:type="dxa"/>
        <w:tblLook w:val="04A0" w:firstRow="1" w:lastRow="0" w:firstColumn="1" w:lastColumn="0" w:noHBand="0" w:noVBand="1"/>
      </w:tblPr>
      <w:tblGrid>
        <w:gridCol w:w="2122"/>
        <w:gridCol w:w="1134"/>
        <w:gridCol w:w="1276"/>
        <w:gridCol w:w="1176"/>
        <w:gridCol w:w="1176"/>
        <w:gridCol w:w="1150"/>
        <w:gridCol w:w="1630"/>
      </w:tblGrid>
      <w:tr w:rsidR="00B26DF6" w14:paraId="29CFDFC5" w14:textId="77777777" w:rsidTr="00452613">
        <w:trPr>
          <w:trHeight w:val="315"/>
        </w:trPr>
        <w:tc>
          <w:tcPr>
            <w:tcW w:w="212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7A1211" w14:textId="77777777" w:rsidR="00B26DF6" w:rsidRPr="005A0B39" w:rsidRDefault="00B26DF6" w:rsidP="00452613">
            <w:pPr>
              <w:spacing w:after="0" w:line="240" w:lineRule="auto"/>
              <w:rPr>
                <w:rFonts w:ascii="Times New Roman" w:eastAsia="Times New Roman" w:hAnsi="Times New Roman" w:cs="Times New Roman"/>
                <w:b/>
                <w:bCs/>
                <w:sz w:val="24"/>
                <w:szCs w:val="24"/>
              </w:rPr>
            </w:pPr>
            <w:r w:rsidRPr="005A0B39">
              <w:rPr>
                <w:rFonts w:ascii="Times New Roman" w:eastAsia="Times New Roman" w:hAnsi="Times New Roman" w:cs="Times New Roman"/>
                <w:b/>
                <w:bCs/>
                <w:sz w:val="24"/>
                <w:szCs w:val="24"/>
              </w:rPr>
              <w:t>Items</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2713E3F4" w14:textId="77777777" w:rsidR="00B26DF6" w:rsidRPr="005A0B39" w:rsidRDefault="00B26DF6" w:rsidP="00452613">
            <w:pPr>
              <w:spacing w:after="0" w:line="240" w:lineRule="auto"/>
              <w:rPr>
                <w:rFonts w:ascii="Times New Roman" w:eastAsia="Times New Roman" w:hAnsi="Times New Roman" w:cs="Times New Roman"/>
                <w:b/>
                <w:bCs/>
                <w:sz w:val="24"/>
                <w:szCs w:val="24"/>
              </w:rPr>
            </w:pPr>
            <w:r w:rsidRPr="005A0B39">
              <w:rPr>
                <w:rFonts w:ascii="Times New Roman" w:eastAsia="Times New Roman" w:hAnsi="Times New Roman" w:cs="Times New Roman"/>
                <w:b/>
                <w:bCs/>
                <w:sz w:val="24"/>
                <w:szCs w:val="24"/>
              </w:rPr>
              <w:t>Cost per unit</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14:paraId="411CCFF2" w14:textId="77777777" w:rsidR="00B26DF6" w:rsidRPr="005A0B39" w:rsidRDefault="00B26DF6" w:rsidP="00452613">
            <w:pPr>
              <w:spacing w:after="0" w:line="240" w:lineRule="auto"/>
              <w:rPr>
                <w:rFonts w:ascii="Times New Roman" w:eastAsia="Times New Roman" w:hAnsi="Times New Roman" w:cs="Times New Roman"/>
                <w:b/>
                <w:bCs/>
                <w:sz w:val="24"/>
                <w:szCs w:val="24"/>
              </w:rPr>
            </w:pPr>
            <w:r w:rsidRPr="005A0B39">
              <w:rPr>
                <w:rFonts w:ascii="Times New Roman" w:eastAsia="Times New Roman" w:hAnsi="Times New Roman" w:cs="Times New Roman"/>
                <w:b/>
                <w:bCs/>
                <w:sz w:val="24"/>
                <w:szCs w:val="24"/>
              </w:rPr>
              <w:t>Original (£)</w:t>
            </w:r>
          </w:p>
        </w:tc>
        <w:tc>
          <w:tcPr>
            <w:tcW w:w="1176" w:type="dxa"/>
            <w:tcBorders>
              <w:top w:val="single" w:sz="4" w:space="0" w:color="auto"/>
              <w:left w:val="nil"/>
              <w:bottom w:val="single" w:sz="4" w:space="0" w:color="auto"/>
              <w:right w:val="single" w:sz="4" w:space="0" w:color="auto"/>
            </w:tcBorders>
            <w:shd w:val="clear" w:color="auto" w:fill="auto"/>
            <w:noWrap/>
            <w:vAlign w:val="bottom"/>
            <w:hideMark/>
          </w:tcPr>
          <w:p w14:paraId="09625B9F" w14:textId="77777777" w:rsidR="00B26DF6" w:rsidRPr="005A0B39" w:rsidRDefault="00B26DF6" w:rsidP="00452613">
            <w:pPr>
              <w:spacing w:after="0" w:line="240" w:lineRule="auto"/>
              <w:rPr>
                <w:rFonts w:ascii="Times New Roman" w:eastAsia="Times New Roman" w:hAnsi="Times New Roman" w:cs="Times New Roman"/>
                <w:b/>
                <w:bCs/>
                <w:sz w:val="24"/>
                <w:szCs w:val="24"/>
              </w:rPr>
            </w:pPr>
            <w:r w:rsidRPr="005A0B39">
              <w:rPr>
                <w:rFonts w:ascii="Times New Roman" w:eastAsia="Times New Roman" w:hAnsi="Times New Roman" w:cs="Times New Roman"/>
                <w:b/>
                <w:bCs/>
                <w:sz w:val="24"/>
                <w:szCs w:val="24"/>
              </w:rPr>
              <w:t>Flexed (£)</w:t>
            </w:r>
          </w:p>
        </w:tc>
        <w:tc>
          <w:tcPr>
            <w:tcW w:w="1176" w:type="dxa"/>
            <w:tcBorders>
              <w:top w:val="single" w:sz="4" w:space="0" w:color="auto"/>
              <w:left w:val="nil"/>
              <w:bottom w:val="single" w:sz="4" w:space="0" w:color="auto"/>
              <w:right w:val="single" w:sz="4" w:space="0" w:color="auto"/>
            </w:tcBorders>
            <w:shd w:val="clear" w:color="auto" w:fill="auto"/>
            <w:noWrap/>
            <w:vAlign w:val="bottom"/>
            <w:hideMark/>
          </w:tcPr>
          <w:p w14:paraId="1D619B09" w14:textId="77777777" w:rsidR="00B26DF6" w:rsidRPr="005A0B39" w:rsidRDefault="00B26DF6" w:rsidP="00452613">
            <w:pPr>
              <w:spacing w:after="0" w:line="240" w:lineRule="auto"/>
              <w:rPr>
                <w:rFonts w:ascii="Times New Roman" w:eastAsia="Times New Roman" w:hAnsi="Times New Roman" w:cs="Times New Roman"/>
                <w:b/>
                <w:bCs/>
                <w:sz w:val="24"/>
                <w:szCs w:val="24"/>
              </w:rPr>
            </w:pPr>
            <w:r w:rsidRPr="005A0B39">
              <w:rPr>
                <w:rFonts w:ascii="Times New Roman" w:eastAsia="Times New Roman" w:hAnsi="Times New Roman" w:cs="Times New Roman"/>
                <w:b/>
                <w:bCs/>
                <w:sz w:val="24"/>
                <w:szCs w:val="24"/>
              </w:rPr>
              <w:t>Actual (£)</w:t>
            </w:r>
          </w:p>
        </w:tc>
        <w:tc>
          <w:tcPr>
            <w:tcW w:w="1150" w:type="dxa"/>
            <w:tcBorders>
              <w:top w:val="single" w:sz="4" w:space="0" w:color="auto"/>
              <w:left w:val="nil"/>
              <w:bottom w:val="single" w:sz="4" w:space="0" w:color="auto"/>
              <w:right w:val="single" w:sz="4" w:space="0" w:color="auto"/>
            </w:tcBorders>
            <w:shd w:val="clear" w:color="auto" w:fill="auto"/>
            <w:noWrap/>
            <w:vAlign w:val="bottom"/>
            <w:hideMark/>
          </w:tcPr>
          <w:p w14:paraId="44856B8E" w14:textId="77777777" w:rsidR="00B26DF6" w:rsidRPr="005A0B39" w:rsidRDefault="00B26DF6" w:rsidP="00452613">
            <w:pPr>
              <w:spacing w:after="0" w:line="240" w:lineRule="auto"/>
              <w:rPr>
                <w:rFonts w:ascii="Times New Roman" w:eastAsia="Times New Roman" w:hAnsi="Times New Roman" w:cs="Times New Roman"/>
                <w:b/>
                <w:bCs/>
                <w:sz w:val="24"/>
                <w:szCs w:val="24"/>
              </w:rPr>
            </w:pPr>
            <w:r w:rsidRPr="005A0B39">
              <w:rPr>
                <w:rFonts w:ascii="Times New Roman" w:eastAsia="Times New Roman" w:hAnsi="Times New Roman" w:cs="Times New Roman"/>
                <w:b/>
                <w:bCs/>
                <w:sz w:val="24"/>
                <w:szCs w:val="24"/>
              </w:rPr>
              <w:t>Variance</w:t>
            </w:r>
          </w:p>
        </w:tc>
        <w:tc>
          <w:tcPr>
            <w:tcW w:w="1630" w:type="dxa"/>
            <w:tcBorders>
              <w:top w:val="single" w:sz="4" w:space="0" w:color="auto"/>
              <w:left w:val="nil"/>
              <w:bottom w:val="single" w:sz="4" w:space="0" w:color="auto"/>
              <w:right w:val="single" w:sz="4" w:space="0" w:color="auto"/>
            </w:tcBorders>
            <w:shd w:val="clear" w:color="auto" w:fill="auto"/>
            <w:noWrap/>
            <w:vAlign w:val="bottom"/>
            <w:hideMark/>
          </w:tcPr>
          <w:p w14:paraId="4D7C04C5" w14:textId="77777777" w:rsidR="00B26DF6" w:rsidRPr="005A0B39" w:rsidRDefault="00B26DF6" w:rsidP="00452613">
            <w:pPr>
              <w:spacing w:after="0" w:line="240" w:lineRule="auto"/>
              <w:rPr>
                <w:rFonts w:ascii="Times New Roman" w:eastAsia="Times New Roman" w:hAnsi="Times New Roman" w:cs="Times New Roman"/>
                <w:b/>
                <w:bCs/>
                <w:sz w:val="24"/>
                <w:szCs w:val="24"/>
              </w:rPr>
            </w:pPr>
            <w:r w:rsidRPr="005A0B39">
              <w:rPr>
                <w:rFonts w:ascii="Times New Roman" w:eastAsia="Times New Roman" w:hAnsi="Times New Roman" w:cs="Times New Roman"/>
                <w:b/>
                <w:bCs/>
                <w:sz w:val="24"/>
                <w:szCs w:val="24"/>
              </w:rPr>
              <w:t> </w:t>
            </w:r>
          </w:p>
        </w:tc>
      </w:tr>
      <w:tr w:rsidR="00B26DF6" w14:paraId="65CA4CB6" w14:textId="77777777" w:rsidTr="00452613">
        <w:trPr>
          <w:trHeight w:val="315"/>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26C8591E"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Units</w:t>
            </w:r>
          </w:p>
        </w:tc>
        <w:tc>
          <w:tcPr>
            <w:tcW w:w="1134" w:type="dxa"/>
            <w:tcBorders>
              <w:top w:val="nil"/>
              <w:left w:val="nil"/>
              <w:bottom w:val="single" w:sz="4" w:space="0" w:color="auto"/>
              <w:right w:val="single" w:sz="4" w:space="0" w:color="auto"/>
            </w:tcBorders>
            <w:shd w:val="clear" w:color="auto" w:fill="auto"/>
            <w:noWrap/>
            <w:vAlign w:val="bottom"/>
            <w:hideMark/>
          </w:tcPr>
          <w:p w14:paraId="6F0F917D"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14:paraId="434D4E17"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100,000 </w:t>
            </w:r>
          </w:p>
        </w:tc>
        <w:tc>
          <w:tcPr>
            <w:tcW w:w="1176" w:type="dxa"/>
            <w:tcBorders>
              <w:top w:val="nil"/>
              <w:left w:val="nil"/>
              <w:bottom w:val="single" w:sz="4" w:space="0" w:color="auto"/>
              <w:right w:val="single" w:sz="4" w:space="0" w:color="auto"/>
            </w:tcBorders>
            <w:shd w:val="clear" w:color="auto" w:fill="auto"/>
            <w:noWrap/>
            <w:vAlign w:val="bottom"/>
            <w:hideMark/>
          </w:tcPr>
          <w:p w14:paraId="07B98E91"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w:t>
            </w:r>
          </w:p>
        </w:tc>
        <w:tc>
          <w:tcPr>
            <w:tcW w:w="1176" w:type="dxa"/>
            <w:tcBorders>
              <w:top w:val="nil"/>
              <w:left w:val="nil"/>
              <w:bottom w:val="single" w:sz="4" w:space="0" w:color="auto"/>
              <w:right w:val="single" w:sz="4" w:space="0" w:color="auto"/>
            </w:tcBorders>
            <w:shd w:val="clear" w:color="auto" w:fill="auto"/>
            <w:noWrap/>
            <w:vAlign w:val="bottom"/>
            <w:hideMark/>
          </w:tcPr>
          <w:p w14:paraId="749F0BB7"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80,000 </w:t>
            </w:r>
          </w:p>
        </w:tc>
        <w:tc>
          <w:tcPr>
            <w:tcW w:w="1150" w:type="dxa"/>
            <w:tcBorders>
              <w:top w:val="nil"/>
              <w:left w:val="nil"/>
              <w:bottom w:val="single" w:sz="4" w:space="0" w:color="auto"/>
              <w:right w:val="single" w:sz="4" w:space="0" w:color="auto"/>
            </w:tcBorders>
            <w:shd w:val="clear" w:color="auto" w:fill="auto"/>
            <w:noWrap/>
            <w:vAlign w:val="bottom"/>
            <w:hideMark/>
          </w:tcPr>
          <w:p w14:paraId="149170C8"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w:t>
            </w:r>
          </w:p>
        </w:tc>
        <w:tc>
          <w:tcPr>
            <w:tcW w:w="1630" w:type="dxa"/>
            <w:tcBorders>
              <w:top w:val="nil"/>
              <w:left w:val="nil"/>
              <w:bottom w:val="single" w:sz="4" w:space="0" w:color="auto"/>
              <w:right w:val="single" w:sz="4" w:space="0" w:color="auto"/>
            </w:tcBorders>
            <w:shd w:val="clear" w:color="auto" w:fill="auto"/>
            <w:noWrap/>
            <w:vAlign w:val="bottom"/>
            <w:hideMark/>
          </w:tcPr>
          <w:p w14:paraId="2AA06187"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w:t>
            </w:r>
          </w:p>
        </w:tc>
      </w:tr>
      <w:tr w:rsidR="00B26DF6" w14:paraId="6BE70394" w14:textId="77777777" w:rsidTr="00452613">
        <w:trPr>
          <w:trHeight w:val="315"/>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1CEDC5B3"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Selling price</w:t>
            </w:r>
          </w:p>
        </w:tc>
        <w:tc>
          <w:tcPr>
            <w:tcW w:w="1134" w:type="dxa"/>
            <w:tcBorders>
              <w:top w:val="nil"/>
              <w:left w:val="nil"/>
              <w:bottom w:val="single" w:sz="4" w:space="0" w:color="auto"/>
              <w:right w:val="single" w:sz="4" w:space="0" w:color="auto"/>
            </w:tcBorders>
            <w:shd w:val="clear" w:color="auto" w:fill="auto"/>
            <w:noWrap/>
            <w:vAlign w:val="bottom"/>
            <w:hideMark/>
          </w:tcPr>
          <w:p w14:paraId="68C626DC"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25 </w:t>
            </w:r>
          </w:p>
        </w:tc>
        <w:tc>
          <w:tcPr>
            <w:tcW w:w="1276" w:type="dxa"/>
            <w:tcBorders>
              <w:top w:val="nil"/>
              <w:left w:val="nil"/>
              <w:bottom w:val="single" w:sz="4" w:space="0" w:color="auto"/>
              <w:right w:val="single" w:sz="4" w:space="0" w:color="auto"/>
            </w:tcBorders>
            <w:shd w:val="clear" w:color="auto" w:fill="auto"/>
            <w:noWrap/>
            <w:vAlign w:val="bottom"/>
            <w:hideMark/>
          </w:tcPr>
          <w:p w14:paraId="14CDC707"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w:t>
            </w:r>
          </w:p>
        </w:tc>
        <w:tc>
          <w:tcPr>
            <w:tcW w:w="1176" w:type="dxa"/>
            <w:tcBorders>
              <w:top w:val="nil"/>
              <w:left w:val="nil"/>
              <w:bottom w:val="single" w:sz="4" w:space="0" w:color="auto"/>
              <w:right w:val="single" w:sz="4" w:space="0" w:color="auto"/>
            </w:tcBorders>
            <w:shd w:val="clear" w:color="auto" w:fill="auto"/>
            <w:noWrap/>
            <w:vAlign w:val="bottom"/>
            <w:hideMark/>
          </w:tcPr>
          <w:p w14:paraId="355909BF"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w:t>
            </w:r>
          </w:p>
        </w:tc>
        <w:tc>
          <w:tcPr>
            <w:tcW w:w="1176" w:type="dxa"/>
            <w:tcBorders>
              <w:top w:val="nil"/>
              <w:left w:val="nil"/>
              <w:bottom w:val="single" w:sz="4" w:space="0" w:color="auto"/>
              <w:right w:val="single" w:sz="4" w:space="0" w:color="auto"/>
            </w:tcBorders>
            <w:shd w:val="clear" w:color="auto" w:fill="auto"/>
            <w:noWrap/>
            <w:vAlign w:val="bottom"/>
            <w:hideMark/>
          </w:tcPr>
          <w:p w14:paraId="33D7B2B0"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20 </w:t>
            </w:r>
          </w:p>
        </w:tc>
        <w:tc>
          <w:tcPr>
            <w:tcW w:w="1150" w:type="dxa"/>
            <w:tcBorders>
              <w:top w:val="nil"/>
              <w:left w:val="nil"/>
              <w:bottom w:val="single" w:sz="4" w:space="0" w:color="auto"/>
              <w:right w:val="single" w:sz="4" w:space="0" w:color="auto"/>
            </w:tcBorders>
            <w:shd w:val="clear" w:color="auto" w:fill="auto"/>
            <w:noWrap/>
            <w:vAlign w:val="bottom"/>
            <w:hideMark/>
          </w:tcPr>
          <w:p w14:paraId="74EEDCA8"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w:t>
            </w:r>
          </w:p>
        </w:tc>
        <w:tc>
          <w:tcPr>
            <w:tcW w:w="1630" w:type="dxa"/>
            <w:tcBorders>
              <w:top w:val="nil"/>
              <w:left w:val="nil"/>
              <w:bottom w:val="single" w:sz="4" w:space="0" w:color="auto"/>
              <w:right w:val="single" w:sz="4" w:space="0" w:color="auto"/>
            </w:tcBorders>
            <w:shd w:val="clear" w:color="auto" w:fill="auto"/>
            <w:noWrap/>
            <w:vAlign w:val="bottom"/>
            <w:hideMark/>
          </w:tcPr>
          <w:p w14:paraId="0A940741"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w:t>
            </w:r>
          </w:p>
        </w:tc>
      </w:tr>
      <w:tr w:rsidR="00B26DF6" w14:paraId="1674FAFC" w14:textId="77777777" w:rsidTr="00452613">
        <w:trPr>
          <w:trHeight w:val="315"/>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18814319"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Revenue</w:t>
            </w:r>
          </w:p>
        </w:tc>
        <w:tc>
          <w:tcPr>
            <w:tcW w:w="1134" w:type="dxa"/>
            <w:tcBorders>
              <w:top w:val="nil"/>
              <w:left w:val="nil"/>
              <w:bottom w:val="single" w:sz="4" w:space="0" w:color="auto"/>
              <w:right w:val="single" w:sz="4" w:space="0" w:color="auto"/>
            </w:tcBorders>
            <w:shd w:val="clear" w:color="auto" w:fill="auto"/>
            <w:noWrap/>
            <w:vAlign w:val="bottom"/>
            <w:hideMark/>
          </w:tcPr>
          <w:p w14:paraId="31F7D326"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14:paraId="0B6C3412"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2,500,000 </w:t>
            </w:r>
          </w:p>
        </w:tc>
        <w:tc>
          <w:tcPr>
            <w:tcW w:w="1176" w:type="dxa"/>
            <w:tcBorders>
              <w:top w:val="nil"/>
              <w:left w:val="nil"/>
              <w:bottom w:val="single" w:sz="4" w:space="0" w:color="auto"/>
              <w:right w:val="single" w:sz="4" w:space="0" w:color="auto"/>
            </w:tcBorders>
            <w:shd w:val="clear" w:color="auto" w:fill="auto"/>
            <w:noWrap/>
            <w:vAlign w:val="bottom"/>
            <w:hideMark/>
          </w:tcPr>
          <w:p w14:paraId="51165328"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2,000,000 </w:t>
            </w:r>
          </w:p>
        </w:tc>
        <w:tc>
          <w:tcPr>
            <w:tcW w:w="1176" w:type="dxa"/>
            <w:tcBorders>
              <w:top w:val="nil"/>
              <w:left w:val="nil"/>
              <w:bottom w:val="single" w:sz="4" w:space="0" w:color="auto"/>
              <w:right w:val="single" w:sz="4" w:space="0" w:color="auto"/>
            </w:tcBorders>
            <w:shd w:val="clear" w:color="auto" w:fill="auto"/>
            <w:noWrap/>
            <w:vAlign w:val="bottom"/>
            <w:hideMark/>
          </w:tcPr>
          <w:p w14:paraId="6080FD58"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1,600,000 </w:t>
            </w:r>
          </w:p>
        </w:tc>
        <w:tc>
          <w:tcPr>
            <w:tcW w:w="1150" w:type="dxa"/>
            <w:tcBorders>
              <w:top w:val="nil"/>
              <w:left w:val="nil"/>
              <w:bottom w:val="single" w:sz="4" w:space="0" w:color="auto"/>
              <w:right w:val="single" w:sz="4" w:space="0" w:color="auto"/>
            </w:tcBorders>
            <w:shd w:val="clear" w:color="auto" w:fill="auto"/>
            <w:noWrap/>
            <w:vAlign w:val="bottom"/>
            <w:hideMark/>
          </w:tcPr>
          <w:p w14:paraId="4F8414AD"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421EA5">
              <w:rPr>
                <w:rFonts w:ascii="Times New Roman" w:eastAsia="Times New Roman" w:hAnsi="Times New Roman" w:cs="Times New Roman"/>
                <w:sz w:val="24"/>
                <w:szCs w:val="24"/>
              </w:rPr>
              <w:t>-</w:t>
            </w:r>
            <w:r w:rsidRPr="005A0B39">
              <w:rPr>
                <w:rFonts w:ascii="Times New Roman" w:eastAsia="Times New Roman" w:hAnsi="Times New Roman" w:cs="Times New Roman"/>
                <w:sz w:val="24"/>
                <w:szCs w:val="24"/>
              </w:rPr>
              <w:t xml:space="preserve">400,000 </w:t>
            </w:r>
          </w:p>
        </w:tc>
        <w:tc>
          <w:tcPr>
            <w:tcW w:w="1630" w:type="dxa"/>
            <w:tcBorders>
              <w:top w:val="nil"/>
              <w:left w:val="nil"/>
              <w:bottom w:val="single" w:sz="4" w:space="0" w:color="auto"/>
              <w:right w:val="single" w:sz="4" w:space="0" w:color="auto"/>
            </w:tcBorders>
            <w:shd w:val="clear" w:color="auto" w:fill="auto"/>
            <w:noWrap/>
            <w:vAlign w:val="bottom"/>
            <w:hideMark/>
          </w:tcPr>
          <w:p w14:paraId="191A066B" w14:textId="77777777" w:rsidR="00B26DF6" w:rsidRPr="005A0B39" w:rsidRDefault="00B26DF6" w:rsidP="00452613">
            <w:pPr>
              <w:spacing w:after="0" w:line="240" w:lineRule="auto"/>
              <w:rPr>
                <w:rFonts w:ascii="Times New Roman" w:eastAsia="Times New Roman" w:hAnsi="Times New Roman" w:cs="Times New Roman"/>
                <w:sz w:val="24"/>
                <w:szCs w:val="24"/>
              </w:rPr>
            </w:pPr>
            <w:proofErr w:type="spellStart"/>
            <w:r w:rsidRPr="005A0B39">
              <w:rPr>
                <w:rFonts w:ascii="Times New Roman" w:eastAsia="Times New Roman" w:hAnsi="Times New Roman" w:cs="Times New Roman"/>
                <w:sz w:val="24"/>
                <w:szCs w:val="24"/>
              </w:rPr>
              <w:t>Unfavourable</w:t>
            </w:r>
            <w:proofErr w:type="spellEnd"/>
          </w:p>
        </w:tc>
      </w:tr>
      <w:tr w:rsidR="00B26DF6" w14:paraId="210F3441" w14:textId="77777777" w:rsidTr="00452613">
        <w:trPr>
          <w:trHeight w:val="315"/>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20CD4D4C" w14:textId="77777777" w:rsidR="00B26DF6" w:rsidRPr="005A0B39" w:rsidRDefault="00B26DF6" w:rsidP="00452613">
            <w:pPr>
              <w:spacing w:after="0" w:line="240" w:lineRule="auto"/>
              <w:rPr>
                <w:rFonts w:ascii="Times New Roman" w:eastAsia="Times New Roman" w:hAnsi="Times New Roman" w:cs="Times New Roman"/>
                <w:b/>
                <w:bCs/>
                <w:sz w:val="24"/>
                <w:szCs w:val="24"/>
              </w:rPr>
            </w:pPr>
            <w:r w:rsidRPr="005A0B39">
              <w:rPr>
                <w:rFonts w:ascii="Times New Roman" w:eastAsia="Times New Roman" w:hAnsi="Times New Roman" w:cs="Times New Roman"/>
                <w:b/>
                <w:bCs/>
                <w:sz w:val="24"/>
                <w:szCs w:val="24"/>
              </w:rPr>
              <w:t>Variable costs:</w:t>
            </w:r>
          </w:p>
        </w:tc>
        <w:tc>
          <w:tcPr>
            <w:tcW w:w="1134" w:type="dxa"/>
            <w:tcBorders>
              <w:top w:val="nil"/>
              <w:left w:val="nil"/>
              <w:bottom w:val="single" w:sz="4" w:space="0" w:color="auto"/>
              <w:right w:val="single" w:sz="4" w:space="0" w:color="auto"/>
            </w:tcBorders>
            <w:shd w:val="clear" w:color="auto" w:fill="auto"/>
            <w:noWrap/>
            <w:vAlign w:val="bottom"/>
            <w:hideMark/>
          </w:tcPr>
          <w:p w14:paraId="7F1B157A"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14:paraId="4D13E45A"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w:t>
            </w:r>
          </w:p>
        </w:tc>
        <w:tc>
          <w:tcPr>
            <w:tcW w:w="1176" w:type="dxa"/>
            <w:tcBorders>
              <w:top w:val="nil"/>
              <w:left w:val="nil"/>
              <w:bottom w:val="single" w:sz="4" w:space="0" w:color="auto"/>
              <w:right w:val="single" w:sz="4" w:space="0" w:color="auto"/>
            </w:tcBorders>
            <w:shd w:val="clear" w:color="auto" w:fill="auto"/>
            <w:noWrap/>
            <w:vAlign w:val="bottom"/>
            <w:hideMark/>
          </w:tcPr>
          <w:p w14:paraId="0F2C346E"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w:t>
            </w:r>
          </w:p>
        </w:tc>
        <w:tc>
          <w:tcPr>
            <w:tcW w:w="1176" w:type="dxa"/>
            <w:tcBorders>
              <w:top w:val="nil"/>
              <w:left w:val="nil"/>
              <w:bottom w:val="single" w:sz="4" w:space="0" w:color="auto"/>
              <w:right w:val="single" w:sz="4" w:space="0" w:color="auto"/>
            </w:tcBorders>
            <w:shd w:val="clear" w:color="auto" w:fill="auto"/>
            <w:noWrap/>
            <w:vAlign w:val="bottom"/>
            <w:hideMark/>
          </w:tcPr>
          <w:p w14:paraId="2DE40A5F"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w:t>
            </w:r>
          </w:p>
        </w:tc>
        <w:tc>
          <w:tcPr>
            <w:tcW w:w="1150" w:type="dxa"/>
            <w:tcBorders>
              <w:top w:val="nil"/>
              <w:left w:val="nil"/>
              <w:bottom w:val="single" w:sz="4" w:space="0" w:color="auto"/>
              <w:right w:val="single" w:sz="4" w:space="0" w:color="auto"/>
            </w:tcBorders>
            <w:shd w:val="clear" w:color="auto" w:fill="auto"/>
            <w:noWrap/>
            <w:vAlign w:val="bottom"/>
            <w:hideMark/>
          </w:tcPr>
          <w:p w14:paraId="206EB103"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w:t>
            </w:r>
          </w:p>
        </w:tc>
        <w:tc>
          <w:tcPr>
            <w:tcW w:w="1630" w:type="dxa"/>
            <w:tcBorders>
              <w:top w:val="nil"/>
              <w:left w:val="nil"/>
              <w:bottom w:val="single" w:sz="4" w:space="0" w:color="auto"/>
              <w:right w:val="single" w:sz="4" w:space="0" w:color="auto"/>
            </w:tcBorders>
            <w:shd w:val="clear" w:color="auto" w:fill="auto"/>
            <w:noWrap/>
            <w:vAlign w:val="bottom"/>
            <w:hideMark/>
          </w:tcPr>
          <w:p w14:paraId="5189730A"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w:t>
            </w:r>
          </w:p>
        </w:tc>
      </w:tr>
      <w:tr w:rsidR="00B26DF6" w14:paraId="0CD24327" w14:textId="77777777" w:rsidTr="00452613">
        <w:trPr>
          <w:trHeight w:val="315"/>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5F54717C"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Materials</w:t>
            </w:r>
          </w:p>
        </w:tc>
        <w:tc>
          <w:tcPr>
            <w:tcW w:w="1134" w:type="dxa"/>
            <w:tcBorders>
              <w:top w:val="nil"/>
              <w:left w:val="nil"/>
              <w:bottom w:val="single" w:sz="4" w:space="0" w:color="auto"/>
              <w:right w:val="single" w:sz="4" w:space="0" w:color="auto"/>
            </w:tcBorders>
            <w:shd w:val="clear" w:color="auto" w:fill="auto"/>
            <w:noWrap/>
            <w:vAlign w:val="bottom"/>
            <w:hideMark/>
          </w:tcPr>
          <w:p w14:paraId="45929403"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2.50 </w:t>
            </w:r>
          </w:p>
        </w:tc>
        <w:tc>
          <w:tcPr>
            <w:tcW w:w="1276" w:type="dxa"/>
            <w:tcBorders>
              <w:top w:val="nil"/>
              <w:left w:val="nil"/>
              <w:bottom w:val="single" w:sz="4" w:space="0" w:color="auto"/>
              <w:right w:val="single" w:sz="4" w:space="0" w:color="auto"/>
            </w:tcBorders>
            <w:shd w:val="clear" w:color="auto" w:fill="auto"/>
            <w:noWrap/>
            <w:vAlign w:val="bottom"/>
            <w:hideMark/>
          </w:tcPr>
          <w:p w14:paraId="23451B7F"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250,000 </w:t>
            </w:r>
          </w:p>
        </w:tc>
        <w:tc>
          <w:tcPr>
            <w:tcW w:w="1176" w:type="dxa"/>
            <w:tcBorders>
              <w:top w:val="nil"/>
              <w:left w:val="nil"/>
              <w:bottom w:val="single" w:sz="4" w:space="0" w:color="auto"/>
              <w:right w:val="single" w:sz="4" w:space="0" w:color="auto"/>
            </w:tcBorders>
            <w:shd w:val="clear" w:color="auto" w:fill="auto"/>
            <w:noWrap/>
            <w:vAlign w:val="bottom"/>
            <w:hideMark/>
          </w:tcPr>
          <w:p w14:paraId="2D3C99E6"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200,000 </w:t>
            </w:r>
          </w:p>
        </w:tc>
        <w:tc>
          <w:tcPr>
            <w:tcW w:w="1176" w:type="dxa"/>
            <w:tcBorders>
              <w:top w:val="nil"/>
              <w:left w:val="nil"/>
              <w:bottom w:val="single" w:sz="4" w:space="0" w:color="auto"/>
              <w:right w:val="single" w:sz="4" w:space="0" w:color="auto"/>
            </w:tcBorders>
            <w:shd w:val="clear" w:color="auto" w:fill="auto"/>
            <w:noWrap/>
            <w:vAlign w:val="bottom"/>
            <w:hideMark/>
          </w:tcPr>
          <w:p w14:paraId="08E8E054"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280,000 </w:t>
            </w:r>
          </w:p>
        </w:tc>
        <w:tc>
          <w:tcPr>
            <w:tcW w:w="1150" w:type="dxa"/>
            <w:tcBorders>
              <w:top w:val="nil"/>
              <w:left w:val="nil"/>
              <w:bottom w:val="single" w:sz="4" w:space="0" w:color="auto"/>
              <w:right w:val="single" w:sz="4" w:space="0" w:color="auto"/>
            </w:tcBorders>
            <w:shd w:val="clear" w:color="auto" w:fill="auto"/>
            <w:noWrap/>
            <w:vAlign w:val="bottom"/>
            <w:hideMark/>
          </w:tcPr>
          <w:p w14:paraId="68F2ACD6"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80,000 </w:t>
            </w:r>
          </w:p>
        </w:tc>
        <w:tc>
          <w:tcPr>
            <w:tcW w:w="1630" w:type="dxa"/>
            <w:tcBorders>
              <w:top w:val="nil"/>
              <w:left w:val="nil"/>
              <w:bottom w:val="single" w:sz="4" w:space="0" w:color="auto"/>
              <w:right w:val="single" w:sz="4" w:space="0" w:color="auto"/>
            </w:tcBorders>
            <w:shd w:val="clear" w:color="auto" w:fill="auto"/>
            <w:noWrap/>
            <w:vAlign w:val="bottom"/>
            <w:hideMark/>
          </w:tcPr>
          <w:p w14:paraId="40DD8208" w14:textId="77777777" w:rsidR="00B26DF6" w:rsidRPr="005A0B39" w:rsidRDefault="00B26DF6" w:rsidP="00452613">
            <w:pPr>
              <w:spacing w:after="0" w:line="240" w:lineRule="auto"/>
              <w:rPr>
                <w:rFonts w:ascii="Times New Roman" w:eastAsia="Times New Roman" w:hAnsi="Times New Roman" w:cs="Times New Roman"/>
                <w:sz w:val="24"/>
                <w:szCs w:val="24"/>
              </w:rPr>
            </w:pPr>
            <w:proofErr w:type="spellStart"/>
            <w:r w:rsidRPr="005A0B39">
              <w:rPr>
                <w:rFonts w:ascii="Times New Roman" w:eastAsia="Times New Roman" w:hAnsi="Times New Roman" w:cs="Times New Roman"/>
                <w:sz w:val="24"/>
                <w:szCs w:val="24"/>
              </w:rPr>
              <w:t>Unfavourable</w:t>
            </w:r>
            <w:proofErr w:type="spellEnd"/>
          </w:p>
        </w:tc>
      </w:tr>
      <w:tr w:rsidR="00B26DF6" w14:paraId="1F6E6AF6" w14:textId="77777777" w:rsidTr="00452613">
        <w:trPr>
          <w:trHeight w:val="315"/>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7966E543" w14:textId="77777777" w:rsidR="00B26DF6" w:rsidRPr="005A0B39" w:rsidRDefault="00B26DF6" w:rsidP="00452613">
            <w:pPr>
              <w:spacing w:after="0" w:line="240" w:lineRule="auto"/>
              <w:rPr>
                <w:rFonts w:ascii="Times New Roman" w:eastAsia="Times New Roman" w:hAnsi="Times New Roman" w:cs="Times New Roman"/>
                <w:sz w:val="24"/>
                <w:szCs w:val="24"/>
              </w:rPr>
            </w:pPr>
            <w:proofErr w:type="spellStart"/>
            <w:r w:rsidRPr="005A0B39">
              <w:rPr>
                <w:rFonts w:ascii="Times New Roman" w:eastAsia="Times New Roman" w:hAnsi="Times New Roman" w:cs="Times New Roman"/>
                <w:sz w:val="24"/>
                <w:szCs w:val="24"/>
              </w:rPr>
              <w:t>Labour</w:t>
            </w:r>
            <w:proofErr w:type="spellEnd"/>
          </w:p>
        </w:tc>
        <w:tc>
          <w:tcPr>
            <w:tcW w:w="1134" w:type="dxa"/>
            <w:tcBorders>
              <w:top w:val="nil"/>
              <w:left w:val="nil"/>
              <w:bottom w:val="single" w:sz="4" w:space="0" w:color="auto"/>
              <w:right w:val="single" w:sz="4" w:space="0" w:color="auto"/>
            </w:tcBorders>
            <w:shd w:val="clear" w:color="auto" w:fill="auto"/>
            <w:noWrap/>
            <w:vAlign w:val="bottom"/>
            <w:hideMark/>
          </w:tcPr>
          <w:p w14:paraId="7B764115"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4.00 </w:t>
            </w:r>
          </w:p>
        </w:tc>
        <w:tc>
          <w:tcPr>
            <w:tcW w:w="1276" w:type="dxa"/>
            <w:tcBorders>
              <w:top w:val="nil"/>
              <w:left w:val="nil"/>
              <w:bottom w:val="single" w:sz="4" w:space="0" w:color="auto"/>
              <w:right w:val="single" w:sz="4" w:space="0" w:color="auto"/>
            </w:tcBorders>
            <w:shd w:val="clear" w:color="auto" w:fill="auto"/>
            <w:noWrap/>
            <w:vAlign w:val="bottom"/>
            <w:hideMark/>
          </w:tcPr>
          <w:p w14:paraId="02ABCBAD"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400,000 </w:t>
            </w:r>
          </w:p>
        </w:tc>
        <w:tc>
          <w:tcPr>
            <w:tcW w:w="1176" w:type="dxa"/>
            <w:tcBorders>
              <w:top w:val="nil"/>
              <w:left w:val="nil"/>
              <w:bottom w:val="single" w:sz="4" w:space="0" w:color="auto"/>
              <w:right w:val="single" w:sz="4" w:space="0" w:color="auto"/>
            </w:tcBorders>
            <w:shd w:val="clear" w:color="auto" w:fill="auto"/>
            <w:noWrap/>
            <w:vAlign w:val="bottom"/>
            <w:hideMark/>
          </w:tcPr>
          <w:p w14:paraId="13B167DE"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320,000 </w:t>
            </w:r>
          </w:p>
        </w:tc>
        <w:tc>
          <w:tcPr>
            <w:tcW w:w="1176" w:type="dxa"/>
            <w:tcBorders>
              <w:top w:val="nil"/>
              <w:left w:val="nil"/>
              <w:bottom w:val="single" w:sz="4" w:space="0" w:color="auto"/>
              <w:right w:val="single" w:sz="4" w:space="0" w:color="auto"/>
            </w:tcBorders>
            <w:shd w:val="clear" w:color="auto" w:fill="auto"/>
            <w:noWrap/>
            <w:vAlign w:val="bottom"/>
            <w:hideMark/>
          </w:tcPr>
          <w:p w14:paraId="17EA7616"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440,000 </w:t>
            </w:r>
          </w:p>
        </w:tc>
        <w:tc>
          <w:tcPr>
            <w:tcW w:w="1150" w:type="dxa"/>
            <w:tcBorders>
              <w:top w:val="nil"/>
              <w:left w:val="nil"/>
              <w:bottom w:val="single" w:sz="4" w:space="0" w:color="auto"/>
              <w:right w:val="single" w:sz="4" w:space="0" w:color="auto"/>
            </w:tcBorders>
            <w:shd w:val="clear" w:color="auto" w:fill="auto"/>
            <w:noWrap/>
            <w:vAlign w:val="bottom"/>
            <w:hideMark/>
          </w:tcPr>
          <w:p w14:paraId="18C0EA95"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120,000 </w:t>
            </w:r>
          </w:p>
        </w:tc>
        <w:tc>
          <w:tcPr>
            <w:tcW w:w="1630" w:type="dxa"/>
            <w:tcBorders>
              <w:top w:val="nil"/>
              <w:left w:val="nil"/>
              <w:bottom w:val="single" w:sz="4" w:space="0" w:color="auto"/>
              <w:right w:val="single" w:sz="4" w:space="0" w:color="auto"/>
            </w:tcBorders>
            <w:shd w:val="clear" w:color="auto" w:fill="auto"/>
            <w:noWrap/>
            <w:vAlign w:val="bottom"/>
            <w:hideMark/>
          </w:tcPr>
          <w:p w14:paraId="3BF41FA2" w14:textId="77777777" w:rsidR="00B26DF6" w:rsidRPr="005A0B39" w:rsidRDefault="00B26DF6" w:rsidP="00452613">
            <w:pPr>
              <w:spacing w:after="0" w:line="240" w:lineRule="auto"/>
              <w:rPr>
                <w:rFonts w:ascii="Times New Roman" w:eastAsia="Times New Roman" w:hAnsi="Times New Roman" w:cs="Times New Roman"/>
                <w:sz w:val="24"/>
                <w:szCs w:val="24"/>
              </w:rPr>
            </w:pPr>
            <w:proofErr w:type="spellStart"/>
            <w:r w:rsidRPr="005A0B39">
              <w:rPr>
                <w:rFonts w:ascii="Times New Roman" w:eastAsia="Times New Roman" w:hAnsi="Times New Roman" w:cs="Times New Roman"/>
                <w:sz w:val="24"/>
                <w:szCs w:val="24"/>
              </w:rPr>
              <w:t>Unfavourable</w:t>
            </w:r>
            <w:proofErr w:type="spellEnd"/>
          </w:p>
        </w:tc>
      </w:tr>
      <w:tr w:rsidR="00B26DF6" w14:paraId="2950E122" w14:textId="77777777" w:rsidTr="00452613">
        <w:trPr>
          <w:trHeight w:val="315"/>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6A0A226D"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Overhead</w:t>
            </w:r>
          </w:p>
        </w:tc>
        <w:tc>
          <w:tcPr>
            <w:tcW w:w="1134" w:type="dxa"/>
            <w:tcBorders>
              <w:top w:val="nil"/>
              <w:left w:val="nil"/>
              <w:bottom w:val="single" w:sz="4" w:space="0" w:color="auto"/>
              <w:right w:val="single" w:sz="4" w:space="0" w:color="auto"/>
            </w:tcBorders>
            <w:shd w:val="clear" w:color="auto" w:fill="auto"/>
            <w:noWrap/>
            <w:vAlign w:val="bottom"/>
            <w:hideMark/>
          </w:tcPr>
          <w:p w14:paraId="21D79F3E"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1.50 </w:t>
            </w:r>
          </w:p>
        </w:tc>
        <w:tc>
          <w:tcPr>
            <w:tcW w:w="1276" w:type="dxa"/>
            <w:tcBorders>
              <w:top w:val="nil"/>
              <w:left w:val="nil"/>
              <w:bottom w:val="single" w:sz="4" w:space="0" w:color="auto"/>
              <w:right w:val="single" w:sz="4" w:space="0" w:color="auto"/>
            </w:tcBorders>
            <w:shd w:val="clear" w:color="auto" w:fill="auto"/>
            <w:noWrap/>
            <w:vAlign w:val="bottom"/>
            <w:hideMark/>
          </w:tcPr>
          <w:p w14:paraId="6804D9B9"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150,000 </w:t>
            </w:r>
          </w:p>
        </w:tc>
        <w:tc>
          <w:tcPr>
            <w:tcW w:w="1176" w:type="dxa"/>
            <w:tcBorders>
              <w:top w:val="nil"/>
              <w:left w:val="nil"/>
              <w:bottom w:val="single" w:sz="4" w:space="0" w:color="auto"/>
              <w:right w:val="single" w:sz="4" w:space="0" w:color="auto"/>
            </w:tcBorders>
            <w:shd w:val="clear" w:color="auto" w:fill="auto"/>
            <w:noWrap/>
            <w:vAlign w:val="bottom"/>
            <w:hideMark/>
          </w:tcPr>
          <w:p w14:paraId="1D2183FF"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120,000 </w:t>
            </w:r>
          </w:p>
        </w:tc>
        <w:tc>
          <w:tcPr>
            <w:tcW w:w="1176" w:type="dxa"/>
            <w:tcBorders>
              <w:top w:val="nil"/>
              <w:left w:val="nil"/>
              <w:bottom w:val="single" w:sz="4" w:space="0" w:color="auto"/>
              <w:right w:val="single" w:sz="4" w:space="0" w:color="auto"/>
            </w:tcBorders>
            <w:shd w:val="clear" w:color="auto" w:fill="auto"/>
            <w:noWrap/>
            <w:vAlign w:val="bottom"/>
            <w:hideMark/>
          </w:tcPr>
          <w:p w14:paraId="29D195CB"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120,000 </w:t>
            </w:r>
          </w:p>
        </w:tc>
        <w:tc>
          <w:tcPr>
            <w:tcW w:w="1150" w:type="dxa"/>
            <w:tcBorders>
              <w:top w:val="nil"/>
              <w:left w:val="nil"/>
              <w:bottom w:val="single" w:sz="4" w:space="0" w:color="auto"/>
              <w:right w:val="single" w:sz="4" w:space="0" w:color="auto"/>
            </w:tcBorders>
            <w:shd w:val="clear" w:color="auto" w:fill="auto"/>
            <w:noWrap/>
            <w:vAlign w:val="bottom"/>
            <w:hideMark/>
          </w:tcPr>
          <w:p w14:paraId="686C6383"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w:t>
            </w:r>
            <w:r w:rsidRPr="00421EA5">
              <w:rPr>
                <w:rFonts w:ascii="Times New Roman" w:eastAsia="Times New Roman" w:hAnsi="Times New Roman" w:cs="Times New Roman"/>
                <w:sz w:val="24"/>
                <w:szCs w:val="24"/>
              </w:rPr>
              <w:t>0</w:t>
            </w:r>
          </w:p>
        </w:tc>
        <w:tc>
          <w:tcPr>
            <w:tcW w:w="1630" w:type="dxa"/>
            <w:tcBorders>
              <w:top w:val="nil"/>
              <w:left w:val="nil"/>
              <w:bottom w:val="single" w:sz="4" w:space="0" w:color="auto"/>
              <w:right w:val="single" w:sz="4" w:space="0" w:color="auto"/>
            </w:tcBorders>
            <w:shd w:val="clear" w:color="auto" w:fill="auto"/>
            <w:noWrap/>
            <w:vAlign w:val="bottom"/>
            <w:hideMark/>
          </w:tcPr>
          <w:p w14:paraId="21327F78"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w:t>
            </w:r>
            <w:r w:rsidRPr="00421EA5">
              <w:rPr>
                <w:rFonts w:ascii="Times New Roman" w:eastAsia="Times New Roman" w:hAnsi="Times New Roman" w:cs="Times New Roman"/>
                <w:sz w:val="24"/>
                <w:szCs w:val="24"/>
              </w:rPr>
              <w:t xml:space="preserve">No variance </w:t>
            </w:r>
          </w:p>
        </w:tc>
      </w:tr>
      <w:tr w:rsidR="00B26DF6" w14:paraId="72507F2E" w14:textId="77777777" w:rsidTr="00452613">
        <w:trPr>
          <w:trHeight w:val="315"/>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1ED99438" w14:textId="77777777" w:rsidR="00B26DF6" w:rsidRPr="005A0B39" w:rsidRDefault="00B26DF6" w:rsidP="00452613">
            <w:pPr>
              <w:spacing w:after="0" w:line="240" w:lineRule="auto"/>
              <w:rPr>
                <w:rFonts w:ascii="Times New Roman" w:eastAsia="Times New Roman" w:hAnsi="Times New Roman" w:cs="Times New Roman"/>
                <w:b/>
                <w:bCs/>
                <w:sz w:val="24"/>
                <w:szCs w:val="24"/>
              </w:rPr>
            </w:pPr>
            <w:r w:rsidRPr="005A0B39">
              <w:rPr>
                <w:rFonts w:ascii="Times New Roman" w:eastAsia="Times New Roman" w:hAnsi="Times New Roman" w:cs="Times New Roman"/>
                <w:b/>
                <w:bCs/>
                <w:sz w:val="24"/>
                <w:szCs w:val="24"/>
              </w:rPr>
              <w:t>Contribution</w:t>
            </w:r>
          </w:p>
        </w:tc>
        <w:tc>
          <w:tcPr>
            <w:tcW w:w="1134" w:type="dxa"/>
            <w:tcBorders>
              <w:top w:val="nil"/>
              <w:left w:val="nil"/>
              <w:bottom w:val="single" w:sz="4" w:space="0" w:color="auto"/>
              <w:right w:val="single" w:sz="4" w:space="0" w:color="auto"/>
            </w:tcBorders>
            <w:shd w:val="clear" w:color="auto" w:fill="auto"/>
            <w:noWrap/>
            <w:vAlign w:val="bottom"/>
            <w:hideMark/>
          </w:tcPr>
          <w:p w14:paraId="1C17EB08"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14:paraId="5CA05EB5" w14:textId="77777777" w:rsidR="00B26DF6" w:rsidRPr="005A0B39" w:rsidRDefault="00B26DF6" w:rsidP="00452613">
            <w:pPr>
              <w:spacing w:after="0" w:line="240" w:lineRule="auto"/>
              <w:rPr>
                <w:rFonts w:ascii="Times New Roman" w:eastAsia="Times New Roman" w:hAnsi="Times New Roman" w:cs="Times New Roman"/>
                <w:b/>
                <w:bCs/>
                <w:sz w:val="24"/>
                <w:szCs w:val="24"/>
              </w:rPr>
            </w:pPr>
            <w:r w:rsidRPr="005A0B39">
              <w:rPr>
                <w:rFonts w:ascii="Times New Roman" w:eastAsia="Times New Roman" w:hAnsi="Times New Roman" w:cs="Times New Roman"/>
                <w:b/>
                <w:bCs/>
                <w:sz w:val="24"/>
                <w:szCs w:val="24"/>
              </w:rPr>
              <w:t xml:space="preserve">      1,700,000 </w:t>
            </w:r>
          </w:p>
        </w:tc>
        <w:tc>
          <w:tcPr>
            <w:tcW w:w="1176" w:type="dxa"/>
            <w:tcBorders>
              <w:top w:val="nil"/>
              <w:left w:val="nil"/>
              <w:bottom w:val="single" w:sz="4" w:space="0" w:color="auto"/>
              <w:right w:val="single" w:sz="4" w:space="0" w:color="auto"/>
            </w:tcBorders>
            <w:shd w:val="clear" w:color="auto" w:fill="auto"/>
            <w:noWrap/>
            <w:vAlign w:val="bottom"/>
            <w:hideMark/>
          </w:tcPr>
          <w:p w14:paraId="0F5E2691" w14:textId="77777777" w:rsidR="00B26DF6" w:rsidRPr="005A0B39" w:rsidRDefault="00B26DF6" w:rsidP="00452613">
            <w:pPr>
              <w:spacing w:after="0" w:line="240" w:lineRule="auto"/>
              <w:rPr>
                <w:rFonts w:ascii="Times New Roman" w:eastAsia="Times New Roman" w:hAnsi="Times New Roman" w:cs="Times New Roman"/>
                <w:b/>
                <w:bCs/>
                <w:sz w:val="24"/>
                <w:szCs w:val="24"/>
              </w:rPr>
            </w:pPr>
            <w:r w:rsidRPr="005A0B39">
              <w:rPr>
                <w:rFonts w:ascii="Times New Roman" w:eastAsia="Times New Roman" w:hAnsi="Times New Roman" w:cs="Times New Roman"/>
                <w:b/>
                <w:bCs/>
                <w:sz w:val="24"/>
                <w:szCs w:val="24"/>
              </w:rPr>
              <w:t xml:space="preserve">      1,360,000 </w:t>
            </w:r>
          </w:p>
        </w:tc>
        <w:tc>
          <w:tcPr>
            <w:tcW w:w="1176" w:type="dxa"/>
            <w:tcBorders>
              <w:top w:val="nil"/>
              <w:left w:val="nil"/>
              <w:bottom w:val="single" w:sz="4" w:space="0" w:color="auto"/>
              <w:right w:val="single" w:sz="4" w:space="0" w:color="auto"/>
            </w:tcBorders>
            <w:shd w:val="clear" w:color="auto" w:fill="auto"/>
            <w:noWrap/>
            <w:vAlign w:val="bottom"/>
            <w:hideMark/>
          </w:tcPr>
          <w:p w14:paraId="29FA2FDD" w14:textId="77777777" w:rsidR="00B26DF6" w:rsidRPr="005A0B39" w:rsidRDefault="00B26DF6" w:rsidP="00452613">
            <w:pPr>
              <w:spacing w:after="0" w:line="240" w:lineRule="auto"/>
              <w:rPr>
                <w:rFonts w:ascii="Times New Roman" w:eastAsia="Times New Roman" w:hAnsi="Times New Roman" w:cs="Times New Roman"/>
                <w:b/>
                <w:bCs/>
                <w:sz w:val="24"/>
                <w:szCs w:val="24"/>
              </w:rPr>
            </w:pPr>
            <w:r w:rsidRPr="005A0B39">
              <w:rPr>
                <w:rFonts w:ascii="Times New Roman" w:eastAsia="Times New Roman" w:hAnsi="Times New Roman" w:cs="Times New Roman"/>
                <w:b/>
                <w:bCs/>
                <w:sz w:val="24"/>
                <w:szCs w:val="24"/>
              </w:rPr>
              <w:t xml:space="preserve">         760,000 </w:t>
            </w:r>
          </w:p>
        </w:tc>
        <w:tc>
          <w:tcPr>
            <w:tcW w:w="1150" w:type="dxa"/>
            <w:tcBorders>
              <w:top w:val="nil"/>
              <w:left w:val="nil"/>
              <w:bottom w:val="single" w:sz="4" w:space="0" w:color="auto"/>
              <w:right w:val="single" w:sz="4" w:space="0" w:color="auto"/>
            </w:tcBorders>
            <w:shd w:val="clear" w:color="auto" w:fill="auto"/>
            <w:noWrap/>
            <w:vAlign w:val="bottom"/>
            <w:hideMark/>
          </w:tcPr>
          <w:p w14:paraId="7E0B0B0C" w14:textId="77777777" w:rsidR="00B26DF6" w:rsidRPr="005A0B39" w:rsidRDefault="00B26DF6" w:rsidP="00452613">
            <w:pPr>
              <w:spacing w:after="0" w:line="240" w:lineRule="auto"/>
              <w:rPr>
                <w:rFonts w:ascii="Times New Roman" w:eastAsia="Times New Roman" w:hAnsi="Times New Roman" w:cs="Times New Roman"/>
                <w:b/>
                <w:bCs/>
                <w:sz w:val="24"/>
                <w:szCs w:val="24"/>
              </w:rPr>
            </w:pPr>
            <w:r w:rsidRPr="005A0B39">
              <w:rPr>
                <w:rFonts w:ascii="Times New Roman" w:eastAsia="Times New Roman" w:hAnsi="Times New Roman" w:cs="Times New Roman"/>
                <w:b/>
                <w:bCs/>
                <w:sz w:val="24"/>
                <w:szCs w:val="24"/>
              </w:rPr>
              <w:t xml:space="preserve">-600,000 </w:t>
            </w:r>
          </w:p>
        </w:tc>
        <w:tc>
          <w:tcPr>
            <w:tcW w:w="1630" w:type="dxa"/>
            <w:tcBorders>
              <w:top w:val="nil"/>
              <w:left w:val="nil"/>
              <w:bottom w:val="single" w:sz="4" w:space="0" w:color="auto"/>
              <w:right w:val="single" w:sz="4" w:space="0" w:color="auto"/>
            </w:tcBorders>
            <w:shd w:val="clear" w:color="auto" w:fill="auto"/>
            <w:noWrap/>
            <w:vAlign w:val="bottom"/>
            <w:hideMark/>
          </w:tcPr>
          <w:p w14:paraId="08B3BC6E" w14:textId="77777777" w:rsidR="00B26DF6" w:rsidRPr="005A0B39" w:rsidRDefault="00B26DF6" w:rsidP="00452613">
            <w:pPr>
              <w:spacing w:after="0" w:line="240" w:lineRule="auto"/>
              <w:rPr>
                <w:rFonts w:ascii="Times New Roman" w:eastAsia="Times New Roman" w:hAnsi="Times New Roman" w:cs="Times New Roman"/>
                <w:b/>
                <w:bCs/>
                <w:sz w:val="24"/>
                <w:szCs w:val="24"/>
              </w:rPr>
            </w:pPr>
            <w:proofErr w:type="spellStart"/>
            <w:r w:rsidRPr="005A0B39">
              <w:rPr>
                <w:rFonts w:ascii="Times New Roman" w:eastAsia="Times New Roman" w:hAnsi="Times New Roman" w:cs="Times New Roman"/>
                <w:b/>
                <w:bCs/>
                <w:sz w:val="24"/>
                <w:szCs w:val="24"/>
              </w:rPr>
              <w:t>Unfavourable</w:t>
            </w:r>
            <w:proofErr w:type="spellEnd"/>
          </w:p>
        </w:tc>
      </w:tr>
      <w:tr w:rsidR="00B26DF6" w14:paraId="76E3C7C0" w14:textId="77777777" w:rsidTr="00452613">
        <w:trPr>
          <w:trHeight w:val="315"/>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152C02E5" w14:textId="77777777" w:rsidR="00B26DF6" w:rsidRPr="005A0B39" w:rsidRDefault="00B26DF6" w:rsidP="00452613">
            <w:pPr>
              <w:spacing w:after="0" w:line="240" w:lineRule="auto"/>
              <w:rPr>
                <w:rFonts w:ascii="Times New Roman" w:eastAsia="Times New Roman" w:hAnsi="Times New Roman" w:cs="Times New Roman"/>
                <w:b/>
                <w:bCs/>
                <w:sz w:val="24"/>
                <w:szCs w:val="24"/>
              </w:rPr>
            </w:pPr>
            <w:r w:rsidRPr="005A0B39">
              <w:rPr>
                <w:rFonts w:ascii="Times New Roman" w:eastAsia="Times New Roman" w:hAnsi="Times New Roman" w:cs="Times New Roman"/>
                <w:b/>
                <w:bCs/>
                <w:sz w:val="24"/>
                <w:szCs w:val="24"/>
              </w:rPr>
              <w:t>Fixed overhead</w:t>
            </w:r>
            <w:r w:rsidRPr="00421EA5">
              <w:rPr>
                <w:rFonts w:ascii="Times New Roman" w:eastAsia="Times New Roman" w:hAnsi="Times New Roman" w:cs="Times New Roman"/>
                <w:b/>
                <w:bCs/>
                <w:sz w:val="24"/>
                <w:szCs w:val="24"/>
              </w:rPr>
              <w:t>s</w:t>
            </w:r>
            <w:r w:rsidRPr="005A0B39">
              <w:rPr>
                <w:rFonts w:ascii="Times New Roman" w:eastAsia="Times New Roman" w:hAnsi="Times New Roman" w:cs="Times New Roman"/>
                <w:b/>
                <w:bCs/>
                <w:sz w:val="24"/>
                <w:szCs w:val="24"/>
              </w:rPr>
              <w:t>:</w:t>
            </w:r>
          </w:p>
        </w:tc>
        <w:tc>
          <w:tcPr>
            <w:tcW w:w="1134" w:type="dxa"/>
            <w:tcBorders>
              <w:top w:val="nil"/>
              <w:left w:val="nil"/>
              <w:bottom w:val="single" w:sz="4" w:space="0" w:color="auto"/>
              <w:right w:val="single" w:sz="4" w:space="0" w:color="auto"/>
            </w:tcBorders>
            <w:shd w:val="clear" w:color="auto" w:fill="auto"/>
            <w:noWrap/>
            <w:vAlign w:val="bottom"/>
            <w:hideMark/>
          </w:tcPr>
          <w:p w14:paraId="5477D658"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14:paraId="1466CEEE"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w:t>
            </w:r>
          </w:p>
        </w:tc>
        <w:tc>
          <w:tcPr>
            <w:tcW w:w="1176" w:type="dxa"/>
            <w:tcBorders>
              <w:top w:val="nil"/>
              <w:left w:val="nil"/>
              <w:bottom w:val="single" w:sz="4" w:space="0" w:color="auto"/>
              <w:right w:val="single" w:sz="4" w:space="0" w:color="auto"/>
            </w:tcBorders>
            <w:shd w:val="clear" w:color="auto" w:fill="auto"/>
            <w:noWrap/>
            <w:vAlign w:val="bottom"/>
            <w:hideMark/>
          </w:tcPr>
          <w:p w14:paraId="471D3596"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w:t>
            </w:r>
          </w:p>
        </w:tc>
        <w:tc>
          <w:tcPr>
            <w:tcW w:w="1176" w:type="dxa"/>
            <w:tcBorders>
              <w:top w:val="nil"/>
              <w:left w:val="nil"/>
              <w:bottom w:val="single" w:sz="4" w:space="0" w:color="auto"/>
              <w:right w:val="single" w:sz="4" w:space="0" w:color="auto"/>
            </w:tcBorders>
            <w:shd w:val="clear" w:color="auto" w:fill="auto"/>
            <w:noWrap/>
            <w:vAlign w:val="bottom"/>
            <w:hideMark/>
          </w:tcPr>
          <w:p w14:paraId="469D8D04"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w:t>
            </w:r>
          </w:p>
        </w:tc>
        <w:tc>
          <w:tcPr>
            <w:tcW w:w="1150" w:type="dxa"/>
            <w:tcBorders>
              <w:top w:val="nil"/>
              <w:left w:val="nil"/>
              <w:bottom w:val="single" w:sz="4" w:space="0" w:color="auto"/>
              <w:right w:val="single" w:sz="4" w:space="0" w:color="auto"/>
            </w:tcBorders>
            <w:shd w:val="clear" w:color="auto" w:fill="auto"/>
            <w:noWrap/>
            <w:vAlign w:val="bottom"/>
            <w:hideMark/>
          </w:tcPr>
          <w:p w14:paraId="25379DE8"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w:t>
            </w:r>
          </w:p>
        </w:tc>
        <w:tc>
          <w:tcPr>
            <w:tcW w:w="1630" w:type="dxa"/>
            <w:tcBorders>
              <w:top w:val="nil"/>
              <w:left w:val="nil"/>
              <w:bottom w:val="single" w:sz="4" w:space="0" w:color="auto"/>
              <w:right w:val="single" w:sz="4" w:space="0" w:color="auto"/>
            </w:tcBorders>
            <w:shd w:val="clear" w:color="auto" w:fill="auto"/>
            <w:noWrap/>
            <w:vAlign w:val="bottom"/>
            <w:hideMark/>
          </w:tcPr>
          <w:p w14:paraId="61B1A3BF"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w:t>
            </w:r>
          </w:p>
        </w:tc>
      </w:tr>
      <w:tr w:rsidR="00B26DF6" w14:paraId="7DC6F15F" w14:textId="77777777" w:rsidTr="00452613">
        <w:trPr>
          <w:trHeight w:val="315"/>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1B730A23"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Warehouse rental</w:t>
            </w:r>
          </w:p>
        </w:tc>
        <w:tc>
          <w:tcPr>
            <w:tcW w:w="1134" w:type="dxa"/>
            <w:tcBorders>
              <w:top w:val="nil"/>
              <w:left w:val="nil"/>
              <w:bottom w:val="single" w:sz="4" w:space="0" w:color="auto"/>
              <w:right w:val="single" w:sz="4" w:space="0" w:color="auto"/>
            </w:tcBorders>
            <w:shd w:val="clear" w:color="auto" w:fill="auto"/>
            <w:noWrap/>
            <w:vAlign w:val="bottom"/>
            <w:hideMark/>
          </w:tcPr>
          <w:p w14:paraId="27589E15"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200,000 </w:t>
            </w:r>
          </w:p>
        </w:tc>
        <w:tc>
          <w:tcPr>
            <w:tcW w:w="1276" w:type="dxa"/>
            <w:tcBorders>
              <w:top w:val="nil"/>
              <w:left w:val="nil"/>
              <w:bottom w:val="single" w:sz="4" w:space="0" w:color="auto"/>
              <w:right w:val="single" w:sz="4" w:space="0" w:color="auto"/>
            </w:tcBorders>
            <w:shd w:val="clear" w:color="auto" w:fill="auto"/>
            <w:noWrap/>
            <w:vAlign w:val="bottom"/>
            <w:hideMark/>
          </w:tcPr>
          <w:p w14:paraId="0DB55C68"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200,000 </w:t>
            </w:r>
          </w:p>
        </w:tc>
        <w:tc>
          <w:tcPr>
            <w:tcW w:w="1176" w:type="dxa"/>
            <w:tcBorders>
              <w:top w:val="nil"/>
              <w:left w:val="nil"/>
              <w:bottom w:val="single" w:sz="4" w:space="0" w:color="auto"/>
              <w:right w:val="single" w:sz="4" w:space="0" w:color="auto"/>
            </w:tcBorders>
            <w:shd w:val="clear" w:color="auto" w:fill="auto"/>
            <w:noWrap/>
            <w:vAlign w:val="bottom"/>
            <w:hideMark/>
          </w:tcPr>
          <w:p w14:paraId="01A6ADEB"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200,000 </w:t>
            </w:r>
          </w:p>
        </w:tc>
        <w:tc>
          <w:tcPr>
            <w:tcW w:w="1176" w:type="dxa"/>
            <w:tcBorders>
              <w:top w:val="nil"/>
              <w:left w:val="nil"/>
              <w:bottom w:val="single" w:sz="4" w:space="0" w:color="auto"/>
              <w:right w:val="single" w:sz="4" w:space="0" w:color="auto"/>
            </w:tcBorders>
            <w:shd w:val="clear" w:color="auto" w:fill="auto"/>
            <w:noWrap/>
            <w:vAlign w:val="bottom"/>
            <w:hideMark/>
          </w:tcPr>
          <w:p w14:paraId="726AC352"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170,000 </w:t>
            </w:r>
          </w:p>
        </w:tc>
        <w:tc>
          <w:tcPr>
            <w:tcW w:w="1150" w:type="dxa"/>
            <w:tcBorders>
              <w:top w:val="nil"/>
              <w:left w:val="nil"/>
              <w:bottom w:val="single" w:sz="4" w:space="0" w:color="auto"/>
              <w:right w:val="single" w:sz="4" w:space="0" w:color="auto"/>
            </w:tcBorders>
            <w:shd w:val="clear" w:color="auto" w:fill="auto"/>
            <w:noWrap/>
            <w:vAlign w:val="bottom"/>
            <w:hideMark/>
          </w:tcPr>
          <w:p w14:paraId="04D40E6A"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-30,000 </w:t>
            </w:r>
          </w:p>
        </w:tc>
        <w:tc>
          <w:tcPr>
            <w:tcW w:w="1630" w:type="dxa"/>
            <w:tcBorders>
              <w:top w:val="nil"/>
              <w:left w:val="nil"/>
              <w:bottom w:val="single" w:sz="4" w:space="0" w:color="auto"/>
              <w:right w:val="single" w:sz="4" w:space="0" w:color="auto"/>
            </w:tcBorders>
            <w:shd w:val="clear" w:color="auto" w:fill="auto"/>
            <w:noWrap/>
            <w:vAlign w:val="bottom"/>
            <w:hideMark/>
          </w:tcPr>
          <w:p w14:paraId="5639ADA2" w14:textId="77777777" w:rsidR="00B26DF6" w:rsidRPr="005A0B39" w:rsidRDefault="00B26DF6" w:rsidP="00452613">
            <w:pPr>
              <w:spacing w:after="0" w:line="240" w:lineRule="auto"/>
              <w:rPr>
                <w:rFonts w:ascii="Times New Roman" w:eastAsia="Times New Roman" w:hAnsi="Times New Roman" w:cs="Times New Roman"/>
                <w:sz w:val="24"/>
                <w:szCs w:val="24"/>
              </w:rPr>
            </w:pPr>
            <w:proofErr w:type="spellStart"/>
            <w:r w:rsidRPr="005A0B39">
              <w:rPr>
                <w:rFonts w:ascii="Times New Roman" w:eastAsia="Times New Roman" w:hAnsi="Times New Roman" w:cs="Times New Roman"/>
                <w:sz w:val="24"/>
                <w:szCs w:val="24"/>
              </w:rPr>
              <w:t>Favourable</w:t>
            </w:r>
            <w:proofErr w:type="spellEnd"/>
          </w:p>
        </w:tc>
      </w:tr>
      <w:tr w:rsidR="00B26DF6" w14:paraId="2072F014" w14:textId="77777777" w:rsidTr="00452613">
        <w:trPr>
          <w:trHeight w:val="315"/>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5426BB54"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Insurance</w:t>
            </w:r>
          </w:p>
        </w:tc>
        <w:tc>
          <w:tcPr>
            <w:tcW w:w="1134" w:type="dxa"/>
            <w:tcBorders>
              <w:top w:val="nil"/>
              <w:left w:val="nil"/>
              <w:bottom w:val="single" w:sz="4" w:space="0" w:color="auto"/>
              <w:right w:val="single" w:sz="4" w:space="0" w:color="auto"/>
            </w:tcBorders>
            <w:shd w:val="clear" w:color="auto" w:fill="auto"/>
            <w:noWrap/>
            <w:vAlign w:val="bottom"/>
            <w:hideMark/>
          </w:tcPr>
          <w:p w14:paraId="6CED5C0E"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100,000 </w:t>
            </w:r>
          </w:p>
        </w:tc>
        <w:tc>
          <w:tcPr>
            <w:tcW w:w="1276" w:type="dxa"/>
            <w:tcBorders>
              <w:top w:val="nil"/>
              <w:left w:val="nil"/>
              <w:bottom w:val="single" w:sz="4" w:space="0" w:color="auto"/>
              <w:right w:val="single" w:sz="4" w:space="0" w:color="auto"/>
            </w:tcBorders>
            <w:shd w:val="clear" w:color="auto" w:fill="auto"/>
            <w:noWrap/>
            <w:vAlign w:val="bottom"/>
            <w:hideMark/>
          </w:tcPr>
          <w:p w14:paraId="68F17D6B"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100,000 </w:t>
            </w:r>
          </w:p>
        </w:tc>
        <w:tc>
          <w:tcPr>
            <w:tcW w:w="1176" w:type="dxa"/>
            <w:tcBorders>
              <w:top w:val="nil"/>
              <w:left w:val="nil"/>
              <w:bottom w:val="single" w:sz="4" w:space="0" w:color="auto"/>
              <w:right w:val="single" w:sz="4" w:space="0" w:color="auto"/>
            </w:tcBorders>
            <w:shd w:val="clear" w:color="auto" w:fill="auto"/>
            <w:noWrap/>
            <w:vAlign w:val="bottom"/>
            <w:hideMark/>
          </w:tcPr>
          <w:p w14:paraId="13656749"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100,000 </w:t>
            </w:r>
          </w:p>
        </w:tc>
        <w:tc>
          <w:tcPr>
            <w:tcW w:w="1176" w:type="dxa"/>
            <w:tcBorders>
              <w:top w:val="nil"/>
              <w:left w:val="nil"/>
              <w:bottom w:val="single" w:sz="4" w:space="0" w:color="auto"/>
              <w:right w:val="single" w:sz="4" w:space="0" w:color="auto"/>
            </w:tcBorders>
            <w:shd w:val="clear" w:color="auto" w:fill="auto"/>
            <w:noWrap/>
            <w:vAlign w:val="bottom"/>
            <w:hideMark/>
          </w:tcPr>
          <w:p w14:paraId="34382733"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100,000 </w:t>
            </w:r>
          </w:p>
        </w:tc>
        <w:tc>
          <w:tcPr>
            <w:tcW w:w="1150" w:type="dxa"/>
            <w:tcBorders>
              <w:top w:val="nil"/>
              <w:left w:val="nil"/>
              <w:bottom w:val="single" w:sz="4" w:space="0" w:color="auto"/>
              <w:right w:val="single" w:sz="4" w:space="0" w:color="auto"/>
            </w:tcBorders>
            <w:shd w:val="clear" w:color="auto" w:fill="auto"/>
            <w:noWrap/>
            <w:vAlign w:val="bottom"/>
            <w:hideMark/>
          </w:tcPr>
          <w:p w14:paraId="69449489"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w:t>
            </w:r>
            <w:r w:rsidRPr="00421EA5">
              <w:rPr>
                <w:rFonts w:ascii="Times New Roman" w:eastAsia="Times New Roman" w:hAnsi="Times New Roman" w:cs="Times New Roman"/>
                <w:sz w:val="24"/>
                <w:szCs w:val="24"/>
              </w:rPr>
              <w:t>0</w:t>
            </w:r>
            <w:r w:rsidRPr="005A0B39">
              <w:rPr>
                <w:rFonts w:ascii="Times New Roman" w:eastAsia="Times New Roman" w:hAnsi="Times New Roman" w:cs="Times New Roman"/>
                <w:sz w:val="24"/>
                <w:szCs w:val="24"/>
              </w:rPr>
              <w:t xml:space="preserve"> </w:t>
            </w:r>
          </w:p>
        </w:tc>
        <w:tc>
          <w:tcPr>
            <w:tcW w:w="1630" w:type="dxa"/>
            <w:tcBorders>
              <w:top w:val="nil"/>
              <w:left w:val="nil"/>
              <w:bottom w:val="single" w:sz="4" w:space="0" w:color="auto"/>
              <w:right w:val="single" w:sz="4" w:space="0" w:color="auto"/>
            </w:tcBorders>
            <w:shd w:val="clear" w:color="auto" w:fill="auto"/>
            <w:noWrap/>
            <w:vAlign w:val="bottom"/>
            <w:hideMark/>
          </w:tcPr>
          <w:p w14:paraId="070330C7"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w:t>
            </w:r>
            <w:r w:rsidRPr="00421EA5">
              <w:rPr>
                <w:rFonts w:ascii="Times New Roman" w:eastAsia="Times New Roman" w:hAnsi="Times New Roman" w:cs="Times New Roman"/>
                <w:sz w:val="24"/>
                <w:szCs w:val="24"/>
              </w:rPr>
              <w:t xml:space="preserve">No variance </w:t>
            </w:r>
          </w:p>
        </w:tc>
      </w:tr>
      <w:tr w:rsidR="00B26DF6" w14:paraId="1D4B017C" w14:textId="77777777" w:rsidTr="00452613">
        <w:trPr>
          <w:trHeight w:val="315"/>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7470E210"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Fulltime warehouse supervisor salary</w:t>
            </w:r>
          </w:p>
        </w:tc>
        <w:tc>
          <w:tcPr>
            <w:tcW w:w="1134" w:type="dxa"/>
            <w:tcBorders>
              <w:top w:val="nil"/>
              <w:left w:val="nil"/>
              <w:bottom w:val="single" w:sz="4" w:space="0" w:color="auto"/>
              <w:right w:val="single" w:sz="4" w:space="0" w:color="auto"/>
            </w:tcBorders>
            <w:shd w:val="clear" w:color="auto" w:fill="auto"/>
            <w:noWrap/>
            <w:vAlign w:val="bottom"/>
            <w:hideMark/>
          </w:tcPr>
          <w:p w14:paraId="299D85DC"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50,000 </w:t>
            </w:r>
          </w:p>
        </w:tc>
        <w:tc>
          <w:tcPr>
            <w:tcW w:w="1276" w:type="dxa"/>
            <w:tcBorders>
              <w:top w:val="nil"/>
              <w:left w:val="nil"/>
              <w:bottom w:val="single" w:sz="4" w:space="0" w:color="auto"/>
              <w:right w:val="single" w:sz="4" w:space="0" w:color="auto"/>
            </w:tcBorders>
            <w:shd w:val="clear" w:color="auto" w:fill="auto"/>
            <w:noWrap/>
            <w:vAlign w:val="bottom"/>
            <w:hideMark/>
          </w:tcPr>
          <w:p w14:paraId="1B25211D"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50,000 </w:t>
            </w:r>
          </w:p>
        </w:tc>
        <w:tc>
          <w:tcPr>
            <w:tcW w:w="1176" w:type="dxa"/>
            <w:tcBorders>
              <w:top w:val="nil"/>
              <w:left w:val="nil"/>
              <w:bottom w:val="single" w:sz="4" w:space="0" w:color="auto"/>
              <w:right w:val="single" w:sz="4" w:space="0" w:color="auto"/>
            </w:tcBorders>
            <w:shd w:val="clear" w:color="auto" w:fill="auto"/>
            <w:noWrap/>
            <w:vAlign w:val="bottom"/>
            <w:hideMark/>
          </w:tcPr>
          <w:p w14:paraId="7A74275B"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50,000 </w:t>
            </w:r>
          </w:p>
        </w:tc>
        <w:tc>
          <w:tcPr>
            <w:tcW w:w="1176" w:type="dxa"/>
            <w:tcBorders>
              <w:top w:val="nil"/>
              <w:left w:val="nil"/>
              <w:bottom w:val="single" w:sz="4" w:space="0" w:color="auto"/>
              <w:right w:val="single" w:sz="4" w:space="0" w:color="auto"/>
            </w:tcBorders>
            <w:shd w:val="clear" w:color="auto" w:fill="auto"/>
            <w:noWrap/>
            <w:vAlign w:val="bottom"/>
            <w:hideMark/>
          </w:tcPr>
          <w:p w14:paraId="5516B562"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           35,000 </w:t>
            </w:r>
          </w:p>
        </w:tc>
        <w:tc>
          <w:tcPr>
            <w:tcW w:w="1150" w:type="dxa"/>
            <w:tcBorders>
              <w:top w:val="nil"/>
              <w:left w:val="nil"/>
              <w:bottom w:val="single" w:sz="4" w:space="0" w:color="auto"/>
              <w:right w:val="single" w:sz="4" w:space="0" w:color="auto"/>
            </w:tcBorders>
            <w:shd w:val="clear" w:color="auto" w:fill="auto"/>
            <w:noWrap/>
            <w:vAlign w:val="bottom"/>
            <w:hideMark/>
          </w:tcPr>
          <w:p w14:paraId="63395D05" w14:textId="77777777" w:rsidR="00B26DF6" w:rsidRPr="005A0B39" w:rsidRDefault="00B26DF6" w:rsidP="00452613">
            <w:pPr>
              <w:spacing w:after="0" w:line="240" w:lineRule="auto"/>
              <w:rPr>
                <w:rFonts w:ascii="Times New Roman" w:eastAsia="Times New Roman" w:hAnsi="Times New Roman" w:cs="Times New Roman"/>
                <w:sz w:val="24"/>
                <w:szCs w:val="24"/>
              </w:rPr>
            </w:pPr>
            <w:r w:rsidRPr="005A0B39">
              <w:rPr>
                <w:rFonts w:ascii="Times New Roman" w:eastAsia="Times New Roman" w:hAnsi="Times New Roman" w:cs="Times New Roman"/>
                <w:sz w:val="24"/>
                <w:szCs w:val="24"/>
              </w:rPr>
              <w:t xml:space="preserve">-15,000 </w:t>
            </w:r>
          </w:p>
        </w:tc>
        <w:tc>
          <w:tcPr>
            <w:tcW w:w="1630" w:type="dxa"/>
            <w:tcBorders>
              <w:top w:val="nil"/>
              <w:left w:val="nil"/>
              <w:bottom w:val="single" w:sz="4" w:space="0" w:color="auto"/>
              <w:right w:val="single" w:sz="4" w:space="0" w:color="auto"/>
            </w:tcBorders>
            <w:shd w:val="clear" w:color="auto" w:fill="auto"/>
            <w:noWrap/>
            <w:vAlign w:val="bottom"/>
            <w:hideMark/>
          </w:tcPr>
          <w:p w14:paraId="2AB282A7" w14:textId="77777777" w:rsidR="00B26DF6" w:rsidRPr="005A0B39" w:rsidRDefault="00B26DF6" w:rsidP="00452613">
            <w:pPr>
              <w:spacing w:after="0" w:line="240" w:lineRule="auto"/>
              <w:rPr>
                <w:rFonts w:ascii="Times New Roman" w:eastAsia="Times New Roman" w:hAnsi="Times New Roman" w:cs="Times New Roman"/>
                <w:sz w:val="24"/>
                <w:szCs w:val="24"/>
              </w:rPr>
            </w:pPr>
            <w:proofErr w:type="spellStart"/>
            <w:r w:rsidRPr="005A0B39">
              <w:rPr>
                <w:rFonts w:ascii="Times New Roman" w:eastAsia="Times New Roman" w:hAnsi="Times New Roman" w:cs="Times New Roman"/>
                <w:sz w:val="24"/>
                <w:szCs w:val="24"/>
              </w:rPr>
              <w:t>Favourable</w:t>
            </w:r>
            <w:proofErr w:type="spellEnd"/>
          </w:p>
        </w:tc>
      </w:tr>
      <w:tr w:rsidR="00B26DF6" w14:paraId="64A24FB5" w14:textId="77777777" w:rsidTr="00452613">
        <w:trPr>
          <w:trHeight w:val="315"/>
        </w:trPr>
        <w:tc>
          <w:tcPr>
            <w:tcW w:w="2122" w:type="dxa"/>
            <w:tcBorders>
              <w:top w:val="nil"/>
              <w:left w:val="single" w:sz="4" w:space="0" w:color="auto"/>
              <w:bottom w:val="single" w:sz="4" w:space="0" w:color="auto"/>
              <w:right w:val="single" w:sz="4" w:space="0" w:color="auto"/>
            </w:tcBorders>
            <w:shd w:val="clear" w:color="auto" w:fill="auto"/>
            <w:noWrap/>
            <w:vAlign w:val="bottom"/>
            <w:hideMark/>
          </w:tcPr>
          <w:p w14:paraId="6184AA17" w14:textId="77777777" w:rsidR="00B26DF6" w:rsidRPr="005A0B39" w:rsidRDefault="00B26DF6" w:rsidP="00452613">
            <w:pPr>
              <w:spacing w:after="0" w:line="240" w:lineRule="auto"/>
              <w:rPr>
                <w:rFonts w:ascii="Times New Roman" w:eastAsia="Times New Roman" w:hAnsi="Times New Roman" w:cs="Times New Roman"/>
                <w:b/>
                <w:bCs/>
                <w:sz w:val="24"/>
                <w:szCs w:val="24"/>
              </w:rPr>
            </w:pPr>
            <w:r w:rsidRPr="005A0B39">
              <w:rPr>
                <w:rFonts w:ascii="Times New Roman" w:eastAsia="Times New Roman" w:hAnsi="Times New Roman" w:cs="Times New Roman"/>
                <w:b/>
                <w:bCs/>
                <w:sz w:val="24"/>
                <w:szCs w:val="24"/>
              </w:rPr>
              <w:lastRenderedPageBreak/>
              <w:t>Profit</w:t>
            </w:r>
          </w:p>
        </w:tc>
        <w:tc>
          <w:tcPr>
            <w:tcW w:w="1134" w:type="dxa"/>
            <w:tcBorders>
              <w:top w:val="nil"/>
              <w:left w:val="nil"/>
              <w:bottom w:val="single" w:sz="4" w:space="0" w:color="auto"/>
              <w:right w:val="single" w:sz="4" w:space="0" w:color="auto"/>
            </w:tcBorders>
            <w:shd w:val="clear" w:color="auto" w:fill="auto"/>
            <w:noWrap/>
            <w:vAlign w:val="bottom"/>
            <w:hideMark/>
          </w:tcPr>
          <w:p w14:paraId="397E2F77" w14:textId="77777777" w:rsidR="00B26DF6" w:rsidRPr="005A0B39" w:rsidRDefault="00B26DF6" w:rsidP="00452613">
            <w:pPr>
              <w:spacing w:after="0" w:line="240" w:lineRule="auto"/>
              <w:rPr>
                <w:rFonts w:ascii="Times New Roman" w:eastAsia="Times New Roman" w:hAnsi="Times New Roman" w:cs="Times New Roman"/>
                <w:b/>
                <w:bCs/>
                <w:sz w:val="24"/>
                <w:szCs w:val="24"/>
              </w:rPr>
            </w:pPr>
            <w:r w:rsidRPr="005A0B39">
              <w:rPr>
                <w:rFonts w:ascii="Times New Roman" w:eastAsia="Times New Roman" w:hAnsi="Times New Roman" w:cs="Times New Roman"/>
                <w:b/>
                <w:bCs/>
                <w:sz w:val="24"/>
                <w:szCs w:val="24"/>
              </w:rPr>
              <w:t> </w:t>
            </w:r>
          </w:p>
        </w:tc>
        <w:tc>
          <w:tcPr>
            <w:tcW w:w="1276" w:type="dxa"/>
            <w:tcBorders>
              <w:top w:val="nil"/>
              <w:left w:val="nil"/>
              <w:bottom w:val="single" w:sz="4" w:space="0" w:color="auto"/>
              <w:right w:val="single" w:sz="4" w:space="0" w:color="auto"/>
            </w:tcBorders>
            <w:shd w:val="clear" w:color="auto" w:fill="auto"/>
            <w:noWrap/>
            <w:vAlign w:val="bottom"/>
            <w:hideMark/>
          </w:tcPr>
          <w:p w14:paraId="38EFAC6A" w14:textId="77777777" w:rsidR="00B26DF6" w:rsidRPr="005A0B39" w:rsidRDefault="00B26DF6" w:rsidP="00452613">
            <w:pPr>
              <w:spacing w:after="0" w:line="240" w:lineRule="auto"/>
              <w:rPr>
                <w:rFonts w:ascii="Times New Roman" w:eastAsia="Times New Roman" w:hAnsi="Times New Roman" w:cs="Times New Roman"/>
                <w:b/>
                <w:bCs/>
                <w:sz w:val="24"/>
                <w:szCs w:val="24"/>
              </w:rPr>
            </w:pPr>
            <w:r w:rsidRPr="005A0B39">
              <w:rPr>
                <w:rFonts w:ascii="Times New Roman" w:eastAsia="Times New Roman" w:hAnsi="Times New Roman" w:cs="Times New Roman"/>
                <w:b/>
                <w:bCs/>
                <w:sz w:val="24"/>
                <w:szCs w:val="24"/>
              </w:rPr>
              <w:t xml:space="preserve">      1,350,000 </w:t>
            </w:r>
          </w:p>
        </w:tc>
        <w:tc>
          <w:tcPr>
            <w:tcW w:w="1176" w:type="dxa"/>
            <w:tcBorders>
              <w:top w:val="nil"/>
              <w:left w:val="nil"/>
              <w:bottom w:val="single" w:sz="4" w:space="0" w:color="auto"/>
              <w:right w:val="single" w:sz="4" w:space="0" w:color="auto"/>
            </w:tcBorders>
            <w:shd w:val="clear" w:color="auto" w:fill="auto"/>
            <w:noWrap/>
            <w:vAlign w:val="bottom"/>
            <w:hideMark/>
          </w:tcPr>
          <w:p w14:paraId="5DB64396" w14:textId="77777777" w:rsidR="00B26DF6" w:rsidRPr="005A0B39" w:rsidRDefault="00B26DF6" w:rsidP="00452613">
            <w:pPr>
              <w:spacing w:after="0" w:line="240" w:lineRule="auto"/>
              <w:rPr>
                <w:rFonts w:ascii="Times New Roman" w:eastAsia="Times New Roman" w:hAnsi="Times New Roman" w:cs="Times New Roman"/>
                <w:b/>
                <w:bCs/>
                <w:sz w:val="24"/>
                <w:szCs w:val="24"/>
              </w:rPr>
            </w:pPr>
            <w:r w:rsidRPr="005A0B39">
              <w:rPr>
                <w:rFonts w:ascii="Times New Roman" w:eastAsia="Times New Roman" w:hAnsi="Times New Roman" w:cs="Times New Roman"/>
                <w:b/>
                <w:bCs/>
                <w:sz w:val="24"/>
                <w:szCs w:val="24"/>
              </w:rPr>
              <w:t xml:space="preserve">      1,010,000 </w:t>
            </w:r>
          </w:p>
        </w:tc>
        <w:tc>
          <w:tcPr>
            <w:tcW w:w="1176" w:type="dxa"/>
            <w:tcBorders>
              <w:top w:val="nil"/>
              <w:left w:val="nil"/>
              <w:bottom w:val="single" w:sz="4" w:space="0" w:color="auto"/>
              <w:right w:val="single" w:sz="4" w:space="0" w:color="auto"/>
            </w:tcBorders>
            <w:shd w:val="clear" w:color="auto" w:fill="auto"/>
            <w:noWrap/>
            <w:vAlign w:val="bottom"/>
            <w:hideMark/>
          </w:tcPr>
          <w:p w14:paraId="344BAC9B" w14:textId="77777777" w:rsidR="00B26DF6" w:rsidRPr="005A0B39" w:rsidRDefault="00B26DF6" w:rsidP="00452613">
            <w:pPr>
              <w:spacing w:after="0" w:line="240" w:lineRule="auto"/>
              <w:rPr>
                <w:rFonts w:ascii="Times New Roman" w:eastAsia="Times New Roman" w:hAnsi="Times New Roman" w:cs="Times New Roman"/>
                <w:b/>
                <w:bCs/>
                <w:sz w:val="24"/>
                <w:szCs w:val="24"/>
              </w:rPr>
            </w:pPr>
            <w:r w:rsidRPr="005A0B39">
              <w:rPr>
                <w:rFonts w:ascii="Times New Roman" w:eastAsia="Times New Roman" w:hAnsi="Times New Roman" w:cs="Times New Roman"/>
                <w:b/>
                <w:bCs/>
                <w:sz w:val="24"/>
                <w:szCs w:val="24"/>
              </w:rPr>
              <w:t xml:space="preserve">         455,000 </w:t>
            </w:r>
          </w:p>
        </w:tc>
        <w:tc>
          <w:tcPr>
            <w:tcW w:w="1150" w:type="dxa"/>
            <w:tcBorders>
              <w:top w:val="nil"/>
              <w:left w:val="nil"/>
              <w:bottom w:val="single" w:sz="4" w:space="0" w:color="auto"/>
              <w:right w:val="single" w:sz="4" w:space="0" w:color="auto"/>
            </w:tcBorders>
            <w:shd w:val="clear" w:color="auto" w:fill="auto"/>
            <w:noWrap/>
            <w:vAlign w:val="bottom"/>
            <w:hideMark/>
          </w:tcPr>
          <w:p w14:paraId="56298B5A" w14:textId="77777777" w:rsidR="00B26DF6" w:rsidRPr="005A0B39" w:rsidRDefault="00B26DF6" w:rsidP="00452613">
            <w:pPr>
              <w:spacing w:after="0" w:line="240" w:lineRule="auto"/>
              <w:rPr>
                <w:rFonts w:ascii="Times New Roman" w:eastAsia="Times New Roman" w:hAnsi="Times New Roman" w:cs="Times New Roman"/>
                <w:b/>
                <w:bCs/>
                <w:sz w:val="24"/>
                <w:szCs w:val="24"/>
              </w:rPr>
            </w:pPr>
            <w:r w:rsidRPr="005A0B39">
              <w:rPr>
                <w:rFonts w:ascii="Times New Roman" w:eastAsia="Times New Roman" w:hAnsi="Times New Roman" w:cs="Times New Roman"/>
                <w:b/>
                <w:bCs/>
                <w:sz w:val="24"/>
                <w:szCs w:val="24"/>
              </w:rPr>
              <w:t xml:space="preserve">-555,000 </w:t>
            </w:r>
          </w:p>
        </w:tc>
        <w:tc>
          <w:tcPr>
            <w:tcW w:w="1630" w:type="dxa"/>
            <w:tcBorders>
              <w:top w:val="nil"/>
              <w:left w:val="nil"/>
              <w:bottom w:val="single" w:sz="4" w:space="0" w:color="auto"/>
              <w:right w:val="single" w:sz="4" w:space="0" w:color="auto"/>
            </w:tcBorders>
            <w:shd w:val="clear" w:color="auto" w:fill="auto"/>
            <w:noWrap/>
            <w:vAlign w:val="bottom"/>
            <w:hideMark/>
          </w:tcPr>
          <w:p w14:paraId="12D3DBC2" w14:textId="77777777" w:rsidR="00B26DF6" w:rsidRPr="005A0B39" w:rsidRDefault="00B26DF6" w:rsidP="00452613">
            <w:pPr>
              <w:spacing w:after="0" w:line="240" w:lineRule="auto"/>
              <w:rPr>
                <w:rFonts w:ascii="Times New Roman" w:eastAsia="Times New Roman" w:hAnsi="Times New Roman" w:cs="Times New Roman"/>
                <w:b/>
                <w:bCs/>
                <w:sz w:val="24"/>
                <w:szCs w:val="24"/>
              </w:rPr>
            </w:pPr>
            <w:proofErr w:type="spellStart"/>
            <w:r w:rsidRPr="005A0B39">
              <w:rPr>
                <w:rFonts w:ascii="Times New Roman" w:eastAsia="Times New Roman" w:hAnsi="Times New Roman" w:cs="Times New Roman"/>
                <w:b/>
                <w:bCs/>
                <w:sz w:val="24"/>
                <w:szCs w:val="24"/>
              </w:rPr>
              <w:t>Unfavourable</w:t>
            </w:r>
            <w:proofErr w:type="spellEnd"/>
          </w:p>
        </w:tc>
      </w:tr>
    </w:tbl>
    <w:p w14:paraId="41D8AF5E" w14:textId="77777777" w:rsidR="00B26DF6" w:rsidRPr="00421EA5" w:rsidRDefault="00B26DF6" w:rsidP="00B26DF6">
      <w:pPr>
        <w:spacing w:after="0" w:line="480" w:lineRule="auto"/>
        <w:rPr>
          <w:rFonts w:ascii="Times New Roman" w:hAnsi="Times New Roman" w:cs="Times New Roman"/>
          <w:sz w:val="24"/>
          <w:szCs w:val="24"/>
        </w:rPr>
      </w:pPr>
    </w:p>
    <w:p w14:paraId="30CC701B" w14:textId="77777777" w:rsidR="00B26DF6" w:rsidRPr="00421EA5" w:rsidRDefault="00B26DF6" w:rsidP="00B26DF6">
      <w:pPr>
        <w:spacing w:after="0" w:line="480" w:lineRule="auto"/>
        <w:rPr>
          <w:rFonts w:ascii="Times New Roman" w:hAnsi="Times New Roman" w:cs="Times New Roman"/>
          <w:b/>
          <w:bCs/>
          <w:sz w:val="24"/>
          <w:szCs w:val="24"/>
        </w:rPr>
      </w:pPr>
      <w:r w:rsidRPr="00421EA5">
        <w:rPr>
          <w:rFonts w:ascii="Times New Roman" w:hAnsi="Times New Roman" w:cs="Times New Roman"/>
          <w:b/>
          <w:bCs/>
          <w:sz w:val="24"/>
          <w:szCs w:val="24"/>
        </w:rPr>
        <w:t>Report on Amana Ltd.’s Performance</w:t>
      </w:r>
    </w:p>
    <w:p w14:paraId="2DF5962C" w14:textId="77777777" w:rsidR="00B26DF6" w:rsidRPr="00421EA5" w:rsidRDefault="00B26DF6" w:rsidP="00B26DF6">
      <w:pPr>
        <w:spacing w:after="0" w:line="480" w:lineRule="auto"/>
        <w:ind w:firstLine="720"/>
        <w:rPr>
          <w:rFonts w:ascii="Times New Roman" w:hAnsi="Times New Roman" w:cs="Times New Roman"/>
          <w:sz w:val="24"/>
          <w:szCs w:val="24"/>
        </w:rPr>
      </w:pPr>
      <w:r w:rsidRPr="00421EA5">
        <w:rPr>
          <w:rFonts w:ascii="Times New Roman" w:hAnsi="Times New Roman" w:cs="Times New Roman"/>
          <w:sz w:val="24"/>
          <w:szCs w:val="24"/>
        </w:rPr>
        <w:t xml:space="preserve">The financial performance of Amana Ltd varied across the period when the actual performance is compared with the performance as per the flexed budget. Firstly, the company's generated revenue of </w:t>
      </w:r>
      <w:r>
        <w:rPr>
          <w:rFonts w:ascii="Times New Roman" w:hAnsi="Times New Roman" w:cs="Times New Roman"/>
          <w:sz w:val="24"/>
          <w:szCs w:val="24"/>
        </w:rPr>
        <w:t>£</w:t>
      </w:r>
      <w:r w:rsidRPr="00421EA5">
        <w:rPr>
          <w:rFonts w:ascii="Times New Roman" w:hAnsi="Times New Roman" w:cs="Times New Roman"/>
          <w:sz w:val="24"/>
          <w:szCs w:val="24"/>
        </w:rPr>
        <w:t xml:space="preserve">1,600,000 when 80,000 units were </w:t>
      </w:r>
      <w:proofErr w:type="gramStart"/>
      <w:r w:rsidRPr="00421EA5">
        <w:rPr>
          <w:rFonts w:ascii="Times New Roman" w:hAnsi="Times New Roman" w:cs="Times New Roman"/>
          <w:sz w:val="24"/>
          <w:szCs w:val="24"/>
        </w:rPr>
        <w:t>sold</w:t>
      </w:r>
      <w:proofErr w:type="gramEnd"/>
      <w:r w:rsidRPr="00421EA5">
        <w:rPr>
          <w:rFonts w:ascii="Times New Roman" w:hAnsi="Times New Roman" w:cs="Times New Roman"/>
          <w:sz w:val="24"/>
          <w:szCs w:val="24"/>
        </w:rPr>
        <w:t xml:space="preserve"> and the price was decreased to </w:t>
      </w:r>
      <w:r>
        <w:rPr>
          <w:rFonts w:ascii="Times New Roman" w:hAnsi="Times New Roman" w:cs="Times New Roman"/>
          <w:sz w:val="24"/>
          <w:szCs w:val="24"/>
        </w:rPr>
        <w:t>£</w:t>
      </w:r>
      <w:r w:rsidRPr="00421EA5">
        <w:rPr>
          <w:rFonts w:ascii="Times New Roman" w:hAnsi="Times New Roman" w:cs="Times New Roman"/>
          <w:sz w:val="24"/>
          <w:szCs w:val="24"/>
        </w:rPr>
        <w:t xml:space="preserve">20. However, had the budget been prepared with a sales volume of 80,000, the company would have realized revenue of </w:t>
      </w:r>
      <w:r>
        <w:rPr>
          <w:rFonts w:ascii="Times New Roman" w:hAnsi="Times New Roman" w:cs="Times New Roman"/>
          <w:sz w:val="24"/>
          <w:szCs w:val="24"/>
        </w:rPr>
        <w:t>£</w:t>
      </w:r>
      <w:r w:rsidRPr="00421EA5">
        <w:rPr>
          <w:rFonts w:ascii="Times New Roman" w:hAnsi="Times New Roman" w:cs="Times New Roman"/>
          <w:sz w:val="24"/>
          <w:szCs w:val="24"/>
        </w:rPr>
        <w:t xml:space="preserve">2,000,000. As a result, the actual revenue for Amana Ltd is less than the flexed performance by </w:t>
      </w:r>
      <w:r>
        <w:rPr>
          <w:rFonts w:ascii="Times New Roman" w:hAnsi="Times New Roman" w:cs="Times New Roman"/>
          <w:sz w:val="24"/>
          <w:szCs w:val="24"/>
        </w:rPr>
        <w:t>£</w:t>
      </w:r>
      <w:r w:rsidRPr="00421EA5">
        <w:rPr>
          <w:rFonts w:ascii="Times New Roman" w:hAnsi="Times New Roman" w:cs="Times New Roman"/>
          <w:sz w:val="24"/>
          <w:szCs w:val="24"/>
        </w:rPr>
        <w:t xml:space="preserve">400,000, which means the company had an </w:t>
      </w:r>
      <w:proofErr w:type="spellStart"/>
      <w:r w:rsidRPr="00421EA5">
        <w:rPr>
          <w:rFonts w:ascii="Times New Roman" w:hAnsi="Times New Roman" w:cs="Times New Roman"/>
          <w:sz w:val="24"/>
          <w:szCs w:val="24"/>
        </w:rPr>
        <w:t>unfavourable</w:t>
      </w:r>
      <w:proofErr w:type="spellEnd"/>
      <w:r w:rsidRPr="00421EA5">
        <w:rPr>
          <w:rFonts w:ascii="Times New Roman" w:hAnsi="Times New Roman" w:cs="Times New Roman"/>
          <w:sz w:val="24"/>
          <w:szCs w:val="24"/>
        </w:rPr>
        <w:t xml:space="preserve"> variance. This means that the actual revenue is less than the projected or standard revenue (Rhode &amp; Garrison, 2019). An </w:t>
      </w:r>
      <w:proofErr w:type="spellStart"/>
      <w:r w:rsidRPr="00421EA5">
        <w:rPr>
          <w:rFonts w:ascii="Times New Roman" w:hAnsi="Times New Roman" w:cs="Times New Roman"/>
          <w:sz w:val="24"/>
          <w:szCs w:val="24"/>
        </w:rPr>
        <w:t>unfavourable</w:t>
      </w:r>
      <w:proofErr w:type="spellEnd"/>
      <w:r w:rsidRPr="00421EA5">
        <w:rPr>
          <w:rFonts w:ascii="Times New Roman" w:hAnsi="Times New Roman" w:cs="Times New Roman"/>
          <w:sz w:val="24"/>
          <w:szCs w:val="24"/>
        </w:rPr>
        <w:t xml:space="preserve"> revenue variance means that the company’s profit will be lower than was anticipated (</w:t>
      </w:r>
      <w:r w:rsidRPr="00421EA5">
        <w:rPr>
          <w:rFonts w:ascii="Times New Roman" w:hAnsi="Times New Roman" w:cs="Times New Roman"/>
          <w:sz w:val="24"/>
          <w:szCs w:val="24"/>
          <w:lang w:val="en-GB"/>
        </w:rPr>
        <w:t xml:space="preserve">Weygandt, </w:t>
      </w:r>
      <w:proofErr w:type="spellStart"/>
      <w:r w:rsidRPr="00421EA5">
        <w:rPr>
          <w:rFonts w:ascii="Times New Roman" w:hAnsi="Times New Roman" w:cs="Times New Roman"/>
          <w:sz w:val="24"/>
          <w:szCs w:val="24"/>
          <w:lang w:val="en-GB"/>
        </w:rPr>
        <w:t>Kieso</w:t>
      </w:r>
      <w:proofErr w:type="spellEnd"/>
      <w:r w:rsidRPr="00421EA5">
        <w:rPr>
          <w:rFonts w:ascii="Times New Roman" w:hAnsi="Times New Roman" w:cs="Times New Roman"/>
          <w:sz w:val="24"/>
          <w:szCs w:val="24"/>
          <w:lang w:val="en-GB"/>
        </w:rPr>
        <w:t xml:space="preserve"> &amp; Kimmel, 2018)</w:t>
      </w:r>
      <w:r w:rsidRPr="00421EA5">
        <w:rPr>
          <w:rFonts w:ascii="Times New Roman" w:hAnsi="Times New Roman" w:cs="Times New Roman"/>
          <w:sz w:val="24"/>
          <w:szCs w:val="24"/>
        </w:rPr>
        <w:t xml:space="preserve">. Therefore, the company had a loss or shortfall in its actual performance compared to the anticipated performance within the period. </w:t>
      </w:r>
    </w:p>
    <w:p w14:paraId="418EF212" w14:textId="77777777" w:rsidR="00B26DF6" w:rsidRPr="00421EA5" w:rsidRDefault="00B26DF6" w:rsidP="00B26DF6">
      <w:pPr>
        <w:spacing w:after="0" w:line="480" w:lineRule="auto"/>
        <w:ind w:firstLine="720"/>
        <w:rPr>
          <w:rFonts w:ascii="Times New Roman" w:hAnsi="Times New Roman" w:cs="Times New Roman"/>
          <w:sz w:val="24"/>
          <w:szCs w:val="24"/>
        </w:rPr>
      </w:pPr>
      <w:r w:rsidRPr="00421EA5">
        <w:rPr>
          <w:rFonts w:ascii="Times New Roman" w:hAnsi="Times New Roman" w:cs="Times New Roman"/>
          <w:sz w:val="24"/>
          <w:szCs w:val="24"/>
        </w:rPr>
        <w:t xml:space="preserve">On the other hand, the variable costs indicate </w:t>
      </w:r>
      <w:proofErr w:type="spellStart"/>
      <w:r w:rsidRPr="00421EA5">
        <w:rPr>
          <w:rFonts w:ascii="Times New Roman" w:hAnsi="Times New Roman" w:cs="Times New Roman"/>
          <w:sz w:val="24"/>
          <w:szCs w:val="24"/>
        </w:rPr>
        <w:t>unfavourable</w:t>
      </w:r>
      <w:proofErr w:type="spellEnd"/>
      <w:r w:rsidRPr="00421EA5">
        <w:rPr>
          <w:rFonts w:ascii="Times New Roman" w:hAnsi="Times New Roman" w:cs="Times New Roman"/>
          <w:sz w:val="24"/>
          <w:szCs w:val="24"/>
        </w:rPr>
        <w:t xml:space="preserve"> variances within the period. The company budgeted for </w:t>
      </w:r>
      <w:r>
        <w:rPr>
          <w:rFonts w:ascii="Times New Roman" w:hAnsi="Times New Roman" w:cs="Times New Roman"/>
          <w:sz w:val="24"/>
          <w:szCs w:val="24"/>
        </w:rPr>
        <w:t>£</w:t>
      </w:r>
      <w:r w:rsidRPr="00421EA5">
        <w:rPr>
          <w:rFonts w:ascii="Times New Roman" w:hAnsi="Times New Roman" w:cs="Times New Roman"/>
          <w:sz w:val="24"/>
          <w:szCs w:val="24"/>
        </w:rPr>
        <w:t xml:space="preserve">200,000 expenditure on materials but ended up spending </w:t>
      </w:r>
      <w:r>
        <w:rPr>
          <w:rFonts w:ascii="Times New Roman" w:hAnsi="Times New Roman" w:cs="Times New Roman"/>
          <w:sz w:val="24"/>
          <w:szCs w:val="24"/>
        </w:rPr>
        <w:t>£</w:t>
      </w:r>
      <w:r w:rsidRPr="00421EA5">
        <w:rPr>
          <w:rFonts w:ascii="Times New Roman" w:hAnsi="Times New Roman" w:cs="Times New Roman"/>
          <w:sz w:val="24"/>
          <w:szCs w:val="24"/>
        </w:rPr>
        <w:t xml:space="preserve">280,000. As a result, it overspent by </w:t>
      </w:r>
      <w:r>
        <w:rPr>
          <w:rFonts w:ascii="Times New Roman" w:hAnsi="Times New Roman" w:cs="Times New Roman"/>
          <w:sz w:val="24"/>
          <w:szCs w:val="24"/>
        </w:rPr>
        <w:t>£</w:t>
      </w:r>
      <w:r w:rsidRPr="00421EA5">
        <w:rPr>
          <w:rFonts w:ascii="Times New Roman" w:hAnsi="Times New Roman" w:cs="Times New Roman"/>
          <w:sz w:val="24"/>
          <w:szCs w:val="24"/>
        </w:rPr>
        <w:t xml:space="preserve">80,000, which is an </w:t>
      </w:r>
      <w:proofErr w:type="spellStart"/>
      <w:r w:rsidRPr="00421EA5">
        <w:rPr>
          <w:rFonts w:ascii="Times New Roman" w:hAnsi="Times New Roman" w:cs="Times New Roman"/>
          <w:sz w:val="24"/>
          <w:szCs w:val="24"/>
        </w:rPr>
        <w:t>unfavourable</w:t>
      </w:r>
      <w:proofErr w:type="spellEnd"/>
      <w:r w:rsidRPr="00421EA5">
        <w:rPr>
          <w:rFonts w:ascii="Times New Roman" w:hAnsi="Times New Roman" w:cs="Times New Roman"/>
          <w:sz w:val="24"/>
          <w:szCs w:val="24"/>
        </w:rPr>
        <w:t xml:space="preserve"> variance. For instance, Amana Ltd spent more on materials than it anticipated. An </w:t>
      </w:r>
      <w:proofErr w:type="spellStart"/>
      <w:r w:rsidRPr="00421EA5">
        <w:rPr>
          <w:rFonts w:ascii="Times New Roman" w:hAnsi="Times New Roman" w:cs="Times New Roman"/>
          <w:sz w:val="24"/>
          <w:szCs w:val="24"/>
        </w:rPr>
        <w:t>unfavourable</w:t>
      </w:r>
      <w:proofErr w:type="spellEnd"/>
      <w:r w:rsidRPr="00421EA5">
        <w:rPr>
          <w:rFonts w:ascii="Times New Roman" w:hAnsi="Times New Roman" w:cs="Times New Roman"/>
          <w:sz w:val="24"/>
          <w:szCs w:val="24"/>
        </w:rPr>
        <w:t xml:space="preserve"> cost variance means the company incurred more costs than anticipated, which lowered its profit for the period (</w:t>
      </w:r>
      <w:r w:rsidRPr="00421EA5">
        <w:rPr>
          <w:rFonts w:ascii="Times New Roman" w:hAnsi="Times New Roman" w:cs="Times New Roman"/>
          <w:sz w:val="24"/>
          <w:szCs w:val="24"/>
          <w:lang w:val="en-GB"/>
        </w:rPr>
        <w:t>Weygandt et al., 2018)</w:t>
      </w:r>
      <w:r w:rsidRPr="00421EA5">
        <w:rPr>
          <w:rFonts w:ascii="Times New Roman" w:hAnsi="Times New Roman" w:cs="Times New Roman"/>
          <w:sz w:val="24"/>
          <w:szCs w:val="24"/>
        </w:rPr>
        <w:t xml:space="preserve">. The company went beyond its budget to obtain the required raw materials, which can be attributed to the inflation in the market or inefficiency in the use of raw materials within the company. Either way, the company needs to increase its operating efficiency and effectiveness to maintain its costs within the budget. </w:t>
      </w:r>
    </w:p>
    <w:p w14:paraId="23E97F72" w14:textId="77777777" w:rsidR="00B26DF6" w:rsidRPr="00421EA5" w:rsidRDefault="00B26DF6" w:rsidP="00B26DF6">
      <w:pPr>
        <w:spacing w:after="0" w:line="480" w:lineRule="auto"/>
        <w:ind w:firstLine="720"/>
        <w:rPr>
          <w:rFonts w:ascii="Times New Roman" w:hAnsi="Times New Roman" w:cs="Times New Roman"/>
          <w:sz w:val="24"/>
          <w:szCs w:val="24"/>
        </w:rPr>
      </w:pPr>
      <w:r w:rsidRPr="00421EA5">
        <w:rPr>
          <w:rFonts w:ascii="Times New Roman" w:hAnsi="Times New Roman" w:cs="Times New Roman"/>
          <w:sz w:val="24"/>
          <w:szCs w:val="24"/>
        </w:rPr>
        <w:t xml:space="preserve">Moreover, the </w:t>
      </w:r>
      <w:proofErr w:type="spellStart"/>
      <w:r w:rsidRPr="00421EA5">
        <w:rPr>
          <w:rFonts w:ascii="Times New Roman" w:hAnsi="Times New Roman" w:cs="Times New Roman"/>
          <w:sz w:val="24"/>
          <w:szCs w:val="24"/>
        </w:rPr>
        <w:t>labour</w:t>
      </w:r>
      <w:proofErr w:type="spellEnd"/>
      <w:r w:rsidRPr="00421EA5">
        <w:rPr>
          <w:rFonts w:ascii="Times New Roman" w:hAnsi="Times New Roman" w:cs="Times New Roman"/>
          <w:sz w:val="24"/>
          <w:szCs w:val="24"/>
        </w:rPr>
        <w:t xml:space="preserve"> cost shows an </w:t>
      </w:r>
      <w:proofErr w:type="spellStart"/>
      <w:r w:rsidRPr="00421EA5">
        <w:rPr>
          <w:rFonts w:ascii="Times New Roman" w:hAnsi="Times New Roman" w:cs="Times New Roman"/>
          <w:sz w:val="24"/>
          <w:szCs w:val="24"/>
        </w:rPr>
        <w:t>unfavourable</w:t>
      </w:r>
      <w:proofErr w:type="spellEnd"/>
      <w:r w:rsidRPr="00421EA5">
        <w:rPr>
          <w:rFonts w:ascii="Times New Roman" w:hAnsi="Times New Roman" w:cs="Times New Roman"/>
          <w:sz w:val="24"/>
          <w:szCs w:val="24"/>
        </w:rPr>
        <w:t xml:space="preserve"> variance within the period. The company budgeted for </w:t>
      </w:r>
      <w:r>
        <w:rPr>
          <w:rFonts w:ascii="Times New Roman" w:hAnsi="Times New Roman" w:cs="Times New Roman"/>
          <w:sz w:val="24"/>
          <w:szCs w:val="24"/>
        </w:rPr>
        <w:t>£</w:t>
      </w:r>
      <w:r w:rsidRPr="00421EA5">
        <w:rPr>
          <w:rFonts w:ascii="Times New Roman" w:hAnsi="Times New Roman" w:cs="Times New Roman"/>
          <w:sz w:val="24"/>
          <w:szCs w:val="24"/>
        </w:rPr>
        <w:t xml:space="preserve">320,000 expenditure on </w:t>
      </w:r>
      <w:proofErr w:type="spellStart"/>
      <w:r w:rsidRPr="00421EA5">
        <w:rPr>
          <w:rFonts w:ascii="Times New Roman" w:hAnsi="Times New Roman" w:cs="Times New Roman"/>
          <w:sz w:val="24"/>
          <w:szCs w:val="24"/>
        </w:rPr>
        <w:t>labour</w:t>
      </w:r>
      <w:proofErr w:type="spellEnd"/>
      <w:r w:rsidRPr="00421EA5">
        <w:rPr>
          <w:rFonts w:ascii="Times New Roman" w:hAnsi="Times New Roman" w:cs="Times New Roman"/>
          <w:sz w:val="24"/>
          <w:szCs w:val="24"/>
        </w:rPr>
        <w:t xml:space="preserve">; however, Amana Ltd actually </w:t>
      </w:r>
      <w:r w:rsidRPr="00421EA5">
        <w:rPr>
          <w:rFonts w:ascii="Times New Roman" w:hAnsi="Times New Roman" w:cs="Times New Roman"/>
          <w:sz w:val="24"/>
          <w:szCs w:val="24"/>
        </w:rPr>
        <w:lastRenderedPageBreak/>
        <w:t xml:space="preserve">incurred </w:t>
      </w:r>
      <w:r>
        <w:rPr>
          <w:rFonts w:ascii="Times New Roman" w:hAnsi="Times New Roman" w:cs="Times New Roman"/>
          <w:sz w:val="24"/>
          <w:szCs w:val="24"/>
        </w:rPr>
        <w:t>£</w:t>
      </w:r>
      <w:r w:rsidRPr="00421EA5">
        <w:rPr>
          <w:rFonts w:ascii="Times New Roman" w:hAnsi="Times New Roman" w:cs="Times New Roman"/>
          <w:sz w:val="24"/>
          <w:szCs w:val="24"/>
        </w:rPr>
        <w:t xml:space="preserve">440,000. As a result, it overspent by </w:t>
      </w:r>
      <w:r>
        <w:rPr>
          <w:rFonts w:ascii="Times New Roman" w:hAnsi="Times New Roman" w:cs="Times New Roman"/>
          <w:sz w:val="24"/>
          <w:szCs w:val="24"/>
        </w:rPr>
        <w:t>£</w:t>
      </w:r>
      <w:r w:rsidRPr="00421EA5">
        <w:rPr>
          <w:rFonts w:ascii="Times New Roman" w:hAnsi="Times New Roman" w:cs="Times New Roman"/>
          <w:sz w:val="24"/>
          <w:szCs w:val="24"/>
        </w:rPr>
        <w:t xml:space="preserve">120,000, which is an </w:t>
      </w:r>
      <w:proofErr w:type="spellStart"/>
      <w:r w:rsidRPr="00421EA5">
        <w:rPr>
          <w:rFonts w:ascii="Times New Roman" w:hAnsi="Times New Roman" w:cs="Times New Roman"/>
          <w:sz w:val="24"/>
          <w:szCs w:val="24"/>
        </w:rPr>
        <w:t>unfavourable</w:t>
      </w:r>
      <w:proofErr w:type="spellEnd"/>
      <w:r w:rsidRPr="00421EA5">
        <w:rPr>
          <w:rFonts w:ascii="Times New Roman" w:hAnsi="Times New Roman" w:cs="Times New Roman"/>
          <w:sz w:val="24"/>
          <w:szCs w:val="24"/>
        </w:rPr>
        <w:t xml:space="preserve"> variance. Amana Ltd spent more on </w:t>
      </w:r>
      <w:proofErr w:type="spellStart"/>
      <w:r w:rsidRPr="00421EA5">
        <w:rPr>
          <w:rFonts w:ascii="Times New Roman" w:hAnsi="Times New Roman" w:cs="Times New Roman"/>
          <w:sz w:val="24"/>
          <w:szCs w:val="24"/>
        </w:rPr>
        <w:t>labour</w:t>
      </w:r>
      <w:proofErr w:type="spellEnd"/>
      <w:r w:rsidRPr="00421EA5">
        <w:rPr>
          <w:rFonts w:ascii="Times New Roman" w:hAnsi="Times New Roman" w:cs="Times New Roman"/>
          <w:sz w:val="24"/>
          <w:szCs w:val="24"/>
        </w:rPr>
        <w:t xml:space="preserve"> than it anticipated within the fiscal year. An </w:t>
      </w:r>
      <w:proofErr w:type="spellStart"/>
      <w:r w:rsidRPr="00421EA5">
        <w:rPr>
          <w:rFonts w:ascii="Times New Roman" w:hAnsi="Times New Roman" w:cs="Times New Roman"/>
          <w:sz w:val="24"/>
          <w:szCs w:val="24"/>
        </w:rPr>
        <w:t>unfavourable</w:t>
      </w:r>
      <w:proofErr w:type="spellEnd"/>
      <w:r w:rsidRPr="00421EA5">
        <w:rPr>
          <w:rFonts w:ascii="Times New Roman" w:hAnsi="Times New Roman" w:cs="Times New Roman"/>
          <w:sz w:val="24"/>
          <w:szCs w:val="24"/>
        </w:rPr>
        <w:t xml:space="preserve"> </w:t>
      </w:r>
      <w:proofErr w:type="spellStart"/>
      <w:r w:rsidRPr="00421EA5">
        <w:rPr>
          <w:rFonts w:ascii="Times New Roman" w:hAnsi="Times New Roman" w:cs="Times New Roman"/>
          <w:sz w:val="24"/>
          <w:szCs w:val="24"/>
        </w:rPr>
        <w:t>labour</w:t>
      </w:r>
      <w:proofErr w:type="spellEnd"/>
      <w:r w:rsidRPr="00421EA5">
        <w:rPr>
          <w:rFonts w:ascii="Times New Roman" w:hAnsi="Times New Roman" w:cs="Times New Roman"/>
          <w:sz w:val="24"/>
          <w:szCs w:val="24"/>
        </w:rPr>
        <w:t xml:space="preserve"> cost variance implies that the company incurred more costs than anticipated on </w:t>
      </w:r>
      <w:proofErr w:type="spellStart"/>
      <w:r w:rsidRPr="00421EA5">
        <w:rPr>
          <w:rFonts w:ascii="Times New Roman" w:hAnsi="Times New Roman" w:cs="Times New Roman"/>
          <w:sz w:val="24"/>
          <w:szCs w:val="24"/>
        </w:rPr>
        <w:t>labour</w:t>
      </w:r>
      <w:proofErr w:type="spellEnd"/>
      <w:r w:rsidRPr="00421EA5">
        <w:rPr>
          <w:rFonts w:ascii="Times New Roman" w:hAnsi="Times New Roman" w:cs="Times New Roman"/>
          <w:sz w:val="24"/>
          <w:szCs w:val="24"/>
        </w:rPr>
        <w:t>, which lowered its net income across the period (</w:t>
      </w:r>
      <w:r w:rsidRPr="00421EA5">
        <w:rPr>
          <w:rFonts w:ascii="Times New Roman" w:hAnsi="Times New Roman" w:cs="Times New Roman"/>
          <w:sz w:val="24"/>
          <w:szCs w:val="24"/>
          <w:lang w:val="en-GB"/>
        </w:rPr>
        <w:t xml:space="preserve">Weygandt, </w:t>
      </w:r>
      <w:proofErr w:type="spellStart"/>
      <w:r w:rsidRPr="00421EA5">
        <w:rPr>
          <w:rFonts w:ascii="Times New Roman" w:hAnsi="Times New Roman" w:cs="Times New Roman"/>
          <w:sz w:val="24"/>
          <w:szCs w:val="24"/>
          <w:lang w:val="en-GB"/>
        </w:rPr>
        <w:t>Kieso</w:t>
      </w:r>
      <w:proofErr w:type="spellEnd"/>
      <w:r w:rsidRPr="00421EA5">
        <w:rPr>
          <w:rFonts w:ascii="Times New Roman" w:hAnsi="Times New Roman" w:cs="Times New Roman"/>
          <w:sz w:val="24"/>
          <w:szCs w:val="24"/>
          <w:lang w:val="en-GB"/>
        </w:rPr>
        <w:t xml:space="preserve"> &amp; Kimmel, 2018)</w:t>
      </w:r>
      <w:r w:rsidRPr="00421EA5">
        <w:rPr>
          <w:rFonts w:ascii="Times New Roman" w:hAnsi="Times New Roman" w:cs="Times New Roman"/>
          <w:sz w:val="24"/>
          <w:szCs w:val="24"/>
        </w:rPr>
        <w:t xml:space="preserve">. The company significantly went beyond its budget for </w:t>
      </w:r>
      <w:proofErr w:type="spellStart"/>
      <w:r w:rsidRPr="00421EA5">
        <w:rPr>
          <w:rFonts w:ascii="Times New Roman" w:hAnsi="Times New Roman" w:cs="Times New Roman"/>
          <w:sz w:val="24"/>
          <w:szCs w:val="24"/>
        </w:rPr>
        <w:t>labour</w:t>
      </w:r>
      <w:proofErr w:type="spellEnd"/>
      <w:r w:rsidRPr="00421EA5">
        <w:rPr>
          <w:rFonts w:ascii="Times New Roman" w:hAnsi="Times New Roman" w:cs="Times New Roman"/>
          <w:sz w:val="24"/>
          <w:szCs w:val="24"/>
        </w:rPr>
        <w:t>, which can be attributed to the decreasing productivity because of the rise in idle time as well as a rise in the employee turnover or greater rates of attrition within the company (</w:t>
      </w:r>
      <w:r w:rsidRPr="00421EA5">
        <w:rPr>
          <w:rFonts w:ascii="Times New Roman" w:hAnsi="Times New Roman" w:cs="Times New Roman"/>
          <w:sz w:val="24"/>
          <w:szCs w:val="24"/>
          <w:lang w:val="en-GB"/>
        </w:rPr>
        <w:t>Weygandt et al., 2018)</w:t>
      </w:r>
      <w:r w:rsidRPr="00421EA5">
        <w:rPr>
          <w:rFonts w:ascii="Times New Roman" w:hAnsi="Times New Roman" w:cs="Times New Roman"/>
          <w:sz w:val="24"/>
          <w:szCs w:val="24"/>
        </w:rPr>
        <w:t xml:space="preserve">. Moreover, the rise in inflation in the market or inefficiency in the production process within the company might also contribute to the </w:t>
      </w:r>
      <w:proofErr w:type="spellStart"/>
      <w:r w:rsidRPr="00421EA5">
        <w:rPr>
          <w:rFonts w:ascii="Times New Roman" w:hAnsi="Times New Roman" w:cs="Times New Roman"/>
          <w:sz w:val="24"/>
          <w:szCs w:val="24"/>
        </w:rPr>
        <w:t>unfavourable</w:t>
      </w:r>
      <w:proofErr w:type="spellEnd"/>
      <w:r w:rsidRPr="00421EA5">
        <w:rPr>
          <w:rFonts w:ascii="Times New Roman" w:hAnsi="Times New Roman" w:cs="Times New Roman"/>
          <w:sz w:val="24"/>
          <w:szCs w:val="24"/>
        </w:rPr>
        <w:t xml:space="preserve"> </w:t>
      </w:r>
      <w:proofErr w:type="spellStart"/>
      <w:r w:rsidRPr="00421EA5">
        <w:rPr>
          <w:rFonts w:ascii="Times New Roman" w:hAnsi="Times New Roman" w:cs="Times New Roman"/>
          <w:sz w:val="24"/>
          <w:szCs w:val="24"/>
        </w:rPr>
        <w:t>labour</w:t>
      </w:r>
      <w:proofErr w:type="spellEnd"/>
      <w:r w:rsidRPr="00421EA5">
        <w:rPr>
          <w:rFonts w:ascii="Times New Roman" w:hAnsi="Times New Roman" w:cs="Times New Roman"/>
          <w:sz w:val="24"/>
          <w:szCs w:val="24"/>
        </w:rPr>
        <w:t xml:space="preserve"> cost variance. The company should ensure there is a high level of productivity to lower its </w:t>
      </w:r>
      <w:proofErr w:type="spellStart"/>
      <w:r w:rsidRPr="00421EA5">
        <w:rPr>
          <w:rFonts w:ascii="Times New Roman" w:hAnsi="Times New Roman" w:cs="Times New Roman"/>
          <w:sz w:val="24"/>
          <w:szCs w:val="24"/>
        </w:rPr>
        <w:t>labour</w:t>
      </w:r>
      <w:proofErr w:type="spellEnd"/>
      <w:r w:rsidRPr="00421EA5">
        <w:rPr>
          <w:rFonts w:ascii="Times New Roman" w:hAnsi="Times New Roman" w:cs="Times New Roman"/>
          <w:sz w:val="24"/>
          <w:szCs w:val="24"/>
        </w:rPr>
        <w:t xml:space="preserve"> costs. </w:t>
      </w:r>
    </w:p>
    <w:p w14:paraId="4FCB0943" w14:textId="77777777" w:rsidR="00B26DF6" w:rsidRPr="00421EA5" w:rsidRDefault="00B26DF6" w:rsidP="00B26DF6">
      <w:pPr>
        <w:spacing w:after="0" w:line="480" w:lineRule="auto"/>
        <w:ind w:firstLine="720"/>
        <w:rPr>
          <w:rFonts w:ascii="Times New Roman" w:hAnsi="Times New Roman" w:cs="Times New Roman"/>
          <w:sz w:val="24"/>
          <w:szCs w:val="24"/>
        </w:rPr>
      </w:pPr>
      <w:r w:rsidRPr="00421EA5">
        <w:rPr>
          <w:rFonts w:ascii="Times New Roman" w:hAnsi="Times New Roman" w:cs="Times New Roman"/>
          <w:sz w:val="24"/>
          <w:szCs w:val="24"/>
        </w:rPr>
        <w:t xml:space="preserve">Nevertheless, the overheads did not vary across the period as it has no variance. For instance, Amana Ltd budgeted </w:t>
      </w:r>
      <w:r>
        <w:rPr>
          <w:rFonts w:ascii="Times New Roman" w:hAnsi="Times New Roman" w:cs="Times New Roman"/>
          <w:sz w:val="24"/>
          <w:szCs w:val="24"/>
        </w:rPr>
        <w:t>£</w:t>
      </w:r>
      <w:r w:rsidRPr="00421EA5">
        <w:rPr>
          <w:rFonts w:ascii="Times New Roman" w:hAnsi="Times New Roman" w:cs="Times New Roman"/>
          <w:sz w:val="24"/>
          <w:szCs w:val="24"/>
        </w:rPr>
        <w:t xml:space="preserve">120,000 expenditure on overhead and ended up spending </w:t>
      </w:r>
      <w:r>
        <w:rPr>
          <w:rFonts w:ascii="Times New Roman" w:hAnsi="Times New Roman" w:cs="Times New Roman"/>
          <w:sz w:val="24"/>
          <w:szCs w:val="24"/>
        </w:rPr>
        <w:t>£</w:t>
      </w:r>
      <w:r w:rsidRPr="00421EA5">
        <w:rPr>
          <w:rFonts w:ascii="Times New Roman" w:hAnsi="Times New Roman" w:cs="Times New Roman"/>
          <w:sz w:val="24"/>
          <w:szCs w:val="24"/>
        </w:rPr>
        <w:t xml:space="preserve">120,000. Therefore, the company met its budget effectively, meaning it was effective in using the overheads. Amana Ltd spent the same amount of money on overheads as it budgeted for and hence met its goal. A no variance means the company incurred the same costs as was anticipated, which has no impact on its profit for the period (Rhode &amp; Garrison, 2019). The company went beyond its budget to obtain the required overheads, which can be attributed to the greater effectiveness and efficiency in the utilization of overheads within the company. However, Amana Ltd should increase its operating efficiency and effectiveness to maintain its costs within the budget as well as improve its financial performance. </w:t>
      </w:r>
    </w:p>
    <w:p w14:paraId="3B2F28CE" w14:textId="77777777" w:rsidR="00B26DF6" w:rsidRPr="00421EA5" w:rsidRDefault="00B26DF6" w:rsidP="00B26DF6">
      <w:pPr>
        <w:spacing w:after="0" w:line="480" w:lineRule="auto"/>
        <w:rPr>
          <w:rFonts w:ascii="Times New Roman" w:hAnsi="Times New Roman" w:cs="Times New Roman"/>
          <w:sz w:val="24"/>
          <w:szCs w:val="24"/>
        </w:rPr>
      </w:pPr>
      <w:r w:rsidRPr="00421EA5">
        <w:rPr>
          <w:rFonts w:ascii="Times New Roman" w:hAnsi="Times New Roman" w:cs="Times New Roman"/>
          <w:b/>
          <w:bCs/>
          <w:sz w:val="24"/>
          <w:szCs w:val="24"/>
        </w:rPr>
        <w:tab/>
      </w:r>
      <w:r w:rsidRPr="00421EA5">
        <w:rPr>
          <w:rFonts w:ascii="Times New Roman" w:hAnsi="Times New Roman" w:cs="Times New Roman"/>
          <w:sz w:val="24"/>
          <w:szCs w:val="24"/>
        </w:rPr>
        <w:t xml:space="preserve">Based on the four variances, the overall variance for the contribution margin is </w:t>
      </w:r>
      <w:proofErr w:type="spellStart"/>
      <w:r w:rsidRPr="00421EA5">
        <w:rPr>
          <w:rFonts w:ascii="Times New Roman" w:hAnsi="Times New Roman" w:cs="Times New Roman"/>
          <w:sz w:val="24"/>
          <w:szCs w:val="24"/>
        </w:rPr>
        <w:t>unfavourable</w:t>
      </w:r>
      <w:proofErr w:type="spellEnd"/>
      <w:r w:rsidRPr="00421EA5">
        <w:rPr>
          <w:rFonts w:ascii="Times New Roman" w:hAnsi="Times New Roman" w:cs="Times New Roman"/>
          <w:sz w:val="24"/>
          <w:szCs w:val="24"/>
        </w:rPr>
        <w:t xml:space="preserve">. For instance, the company’s revenue declined by %400,000, the material costs increased by </w:t>
      </w:r>
      <w:r>
        <w:rPr>
          <w:rFonts w:ascii="Times New Roman" w:hAnsi="Times New Roman" w:cs="Times New Roman"/>
          <w:sz w:val="24"/>
          <w:szCs w:val="24"/>
        </w:rPr>
        <w:t>£</w:t>
      </w:r>
      <w:r w:rsidRPr="00421EA5">
        <w:rPr>
          <w:rFonts w:ascii="Times New Roman" w:hAnsi="Times New Roman" w:cs="Times New Roman"/>
          <w:sz w:val="24"/>
          <w:szCs w:val="24"/>
        </w:rPr>
        <w:t xml:space="preserve">80,000, </w:t>
      </w:r>
      <w:proofErr w:type="spellStart"/>
      <w:r w:rsidRPr="00421EA5">
        <w:rPr>
          <w:rFonts w:ascii="Times New Roman" w:hAnsi="Times New Roman" w:cs="Times New Roman"/>
          <w:sz w:val="24"/>
          <w:szCs w:val="24"/>
        </w:rPr>
        <w:t>labour</w:t>
      </w:r>
      <w:proofErr w:type="spellEnd"/>
      <w:r w:rsidRPr="00421EA5">
        <w:rPr>
          <w:rFonts w:ascii="Times New Roman" w:hAnsi="Times New Roman" w:cs="Times New Roman"/>
          <w:sz w:val="24"/>
          <w:szCs w:val="24"/>
        </w:rPr>
        <w:t xml:space="preserve"> costs rose by </w:t>
      </w:r>
      <w:r>
        <w:rPr>
          <w:rFonts w:ascii="Times New Roman" w:hAnsi="Times New Roman" w:cs="Times New Roman"/>
          <w:sz w:val="24"/>
          <w:szCs w:val="24"/>
        </w:rPr>
        <w:t>£</w:t>
      </w:r>
      <w:r w:rsidRPr="00421EA5">
        <w:rPr>
          <w:rFonts w:ascii="Times New Roman" w:hAnsi="Times New Roman" w:cs="Times New Roman"/>
          <w:sz w:val="24"/>
          <w:szCs w:val="24"/>
        </w:rPr>
        <w:t xml:space="preserve">120,000, and the overheads did not change resulting in an overall variance of negative </w:t>
      </w:r>
      <w:r>
        <w:rPr>
          <w:rFonts w:ascii="Times New Roman" w:hAnsi="Times New Roman" w:cs="Times New Roman"/>
          <w:sz w:val="24"/>
          <w:szCs w:val="24"/>
        </w:rPr>
        <w:t>£</w:t>
      </w:r>
      <w:r w:rsidRPr="00421EA5">
        <w:rPr>
          <w:rFonts w:ascii="Times New Roman" w:hAnsi="Times New Roman" w:cs="Times New Roman"/>
          <w:sz w:val="24"/>
          <w:szCs w:val="24"/>
        </w:rPr>
        <w:t xml:space="preserve">600,000. The company expected to have a contribution of </w:t>
      </w:r>
      <w:r>
        <w:rPr>
          <w:rFonts w:ascii="Times New Roman" w:hAnsi="Times New Roman" w:cs="Times New Roman"/>
          <w:sz w:val="24"/>
          <w:szCs w:val="24"/>
        </w:rPr>
        <w:t>£</w:t>
      </w:r>
      <w:r w:rsidRPr="00421EA5">
        <w:rPr>
          <w:rFonts w:ascii="Times New Roman" w:hAnsi="Times New Roman" w:cs="Times New Roman"/>
          <w:sz w:val="24"/>
          <w:szCs w:val="24"/>
        </w:rPr>
        <w:t xml:space="preserve">1,360,000; however, it realized a contribution margin of just </w:t>
      </w:r>
      <w:r>
        <w:rPr>
          <w:rFonts w:ascii="Times New Roman" w:hAnsi="Times New Roman" w:cs="Times New Roman"/>
          <w:sz w:val="24"/>
          <w:szCs w:val="24"/>
        </w:rPr>
        <w:t>£</w:t>
      </w:r>
      <w:r w:rsidRPr="00421EA5">
        <w:rPr>
          <w:rFonts w:ascii="Times New Roman" w:hAnsi="Times New Roman" w:cs="Times New Roman"/>
          <w:sz w:val="24"/>
          <w:szCs w:val="24"/>
        </w:rPr>
        <w:t xml:space="preserve">760,000, </w:t>
      </w:r>
      <w:r w:rsidRPr="00421EA5">
        <w:rPr>
          <w:rFonts w:ascii="Times New Roman" w:hAnsi="Times New Roman" w:cs="Times New Roman"/>
          <w:sz w:val="24"/>
          <w:szCs w:val="24"/>
        </w:rPr>
        <w:lastRenderedPageBreak/>
        <w:t xml:space="preserve">resulting in an </w:t>
      </w:r>
      <w:proofErr w:type="spellStart"/>
      <w:r w:rsidRPr="00421EA5">
        <w:rPr>
          <w:rFonts w:ascii="Times New Roman" w:hAnsi="Times New Roman" w:cs="Times New Roman"/>
          <w:sz w:val="24"/>
          <w:szCs w:val="24"/>
        </w:rPr>
        <w:t>unfavourable</w:t>
      </w:r>
      <w:proofErr w:type="spellEnd"/>
      <w:r w:rsidRPr="00421EA5">
        <w:rPr>
          <w:rFonts w:ascii="Times New Roman" w:hAnsi="Times New Roman" w:cs="Times New Roman"/>
          <w:sz w:val="24"/>
          <w:szCs w:val="24"/>
        </w:rPr>
        <w:t xml:space="preserve"> variance of </w:t>
      </w:r>
      <w:r>
        <w:rPr>
          <w:rFonts w:ascii="Times New Roman" w:hAnsi="Times New Roman" w:cs="Times New Roman"/>
          <w:sz w:val="24"/>
          <w:szCs w:val="24"/>
        </w:rPr>
        <w:t>£</w:t>
      </w:r>
      <w:r w:rsidRPr="00421EA5">
        <w:rPr>
          <w:rFonts w:ascii="Times New Roman" w:hAnsi="Times New Roman" w:cs="Times New Roman"/>
          <w:sz w:val="24"/>
          <w:szCs w:val="24"/>
        </w:rPr>
        <w:t xml:space="preserve">600,000. As a result, the products offered by Amana Ltd contributed a negative </w:t>
      </w:r>
      <w:r>
        <w:rPr>
          <w:rFonts w:ascii="Times New Roman" w:hAnsi="Times New Roman" w:cs="Times New Roman"/>
          <w:sz w:val="24"/>
          <w:szCs w:val="24"/>
        </w:rPr>
        <w:t>£</w:t>
      </w:r>
      <w:r w:rsidRPr="00421EA5">
        <w:rPr>
          <w:rFonts w:ascii="Times New Roman" w:hAnsi="Times New Roman" w:cs="Times New Roman"/>
          <w:sz w:val="24"/>
          <w:szCs w:val="24"/>
        </w:rPr>
        <w:t xml:space="preserve">600,000 to the overall </w:t>
      </w:r>
      <w:proofErr w:type="gramStart"/>
      <w:r w:rsidRPr="00421EA5">
        <w:rPr>
          <w:rFonts w:ascii="Times New Roman" w:hAnsi="Times New Roman" w:cs="Times New Roman"/>
          <w:sz w:val="24"/>
          <w:szCs w:val="24"/>
        </w:rPr>
        <w:t>profit;</w:t>
      </w:r>
      <w:proofErr w:type="gramEnd"/>
      <w:r w:rsidRPr="00421EA5">
        <w:rPr>
          <w:rFonts w:ascii="Times New Roman" w:hAnsi="Times New Roman" w:cs="Times New Roman"/>
          <w:sz w:val="24"/>
          <w:szCs w:val="24"/>
        </w:rPr>
        <w:t xml:space="preserve"> which means they lowered the company’s profits by </w:t>
      </w:r>
      <w:r>
        <w:rPr>
          <w:rFonts w:ascii="Times New Roman" w:hAnsi="Times New Roman" w:cs="Times New Roman"/>
          <w:sz w:val="24"/>
          <w:szCs w:val="24"/>
        </w:rPr>
        <w:t>£</w:t>
      </w:r>
      <w:r w:rsidRPr="00421EA5">
        <w:rPr>
          <w:rFonts w:ascii="Times New Roman" w:hAnsi="Times New Roman" w:cs="Times New Roman"/>
          <w:sz w:val="24"/>
          <w:szCs w:val="24"/>
        </w:rPr>
        <w:t>600,000.</w:t>
      </w:r>
    </w:p>
    <w:p w14:paraId="1B3D3C08" w14:textId="77777777" w:rsidR="00B26DF6" w:rsidRPr="00421EA5" w:rsidRDefault="00B26DF6" w:rsidP="00B26DF6">
      <w:pPr>
        <w:spacing w:after="0" w:line="480" w:lineRule="auto"/>
        <w:ind w:firstLine="720"/>
        <w:rPr>
          <w:rFonts w:ascii="Times New Roman" w:hAnsi="Times New Roman" w:cs="Times New Roman"/>
          <w:sz w:val="24"/>
          <w:szCs w:val="24"/>
        </w:rPr>
      </w:pPr>
      <w:r w:rsidRPr="00421EA5">
        <w:rPr>
          <w:rFonts w:ascii="Times New Roman" w:hAnsi="Times New Roman" w:cs="Times New Roman"/>
          <w:sz w:val="24"/>
          <w:szCs w:val="24"/>
        </w:rPr>
        <w:t xml:space="preserve">On the other hand, the fixed costs had varying variances across the period. The company anticipated to spend </w:t>
      </w:r>
      <w:r>
        <w:rPr>
          <w:rFonts w:ascii="Times New Roman" w:hAnsi="Times New Roman" w:cs="Times New Roman"/>
          <w:sz w:val="24"/>
          <w:szCs w:val="24"/>
        </w:rPr>
        <w:t>£</w:t>
      </w:r>
      <w:r w:rsidRPr="00421EA5">
        <w:rPr>
          <w:rFonts w:ascii="Times New Roman" w:hAnsi="Times New Roman" w:cs="Times New Roman"/>
          <w:sz w:val="24"/>
          <w:szCs w:val="24"/>
        </w:rPr>
        <w:t xml:space="preserve">200,000 on warehouse rental but only spent </w:t>
      </w:r>
      <w:r>
        <w:rPr>
          <w:rFonts w:ascii="Times New Roman" w:hAnsi="Times New Roman" w:cs="Times New Roman"/>
          <w:sz w:val="24"/>
          <w:szCs w:val="24"/>
        </w:rPr>
        <w:t>£</w:t>
      </w:r>
      <w:r w:rsidRPr="00421EA5">
        <w:rPr>
          <w:rFonts w:ascii="Times New Roman" w:hAnsi="Times New Roman" w:cs="Times New Roman"/>
          <w:sz w:val="24"/>
          <w:szCs w:val="24"/>
        </w:rPr>
        <w:t xml:space="preserve">170,000, which indicates that it had a favorable cost variance of </w:t>
      </w:r>
      <w:r>
        <w:rPr>
          <w:rFonts w:ascii="Times New Roman" w:hAnsi="Times New Roman" w:cs="Times New Roman"/>
          <w:sz w:val="24"/>
          <w:szCs w:val="24"/>
        </w:rPr>
        <w:t>£</w:t>
      </w:r>
      <w:r w:rsidRPr="00421EA5">
        <w:rPr>
          <w:rFonts w:ascii="Times New Roman" w:hAnsi="Times New Roman" w:cs="Times New Roman"/>
          <w:sz w:val="24"/>
          <w:szCs w:val="24"/>
        </w:rPr>
        <w:t xml:space="preserve">30,000 within the period. As a result, the company underspent by </w:t>
      </w:r>
      <w:r>
        <w:rPr>
          <w:rFonts w:ascii="Times New Roman" w:hAnsi="Times New Roman" w:cs="Times New Roman"/>
          <w:sz w:val="24"/>
          <w:szCs w:val="24"/>
        </w:rPr>
        <w:t>£</w:t>
      </w:r>
      <w:r w:rsidRPr="00421EA5">
        <w:rPr>
          <w:rFonts w:ascii="Times New Roman" w:hAnsi="Times New Roman" w:cs="Times New Roman"/>
          <w:sz w:val="24"/>
          <w:szCs w:val="24"/>
        </w:rPr>
        <w:t xml:space="preserve">30,000, which is a </w:t>
      </w:r>
      <w:proofErr w:type="spellStart"/>
      <w:r w:rsidRPr="00421EA5">
        <w:rPr>
          <w:rFonts w:ascii="Times New Roman" w:hAnsi="Times New Roman" w:cs="Times New Roman"/>
          <w:sz w:val="24"/>
          <w:szCs w:val="24"/>
        </w:rPr>
        <w:t>favourable</w:t>
      </w:r>
      <w:proofErr w:type="spellEnd"/>
      <w:r w:rsidRPr="00421EA5">
        <w:rPr>
          <w:rFonts w:ascii="Times New Roman" w:hAnsi="Times New Roman" w:cs="Times New Roman"/>
          <w:sz w:val="24"/>
          <w:szCs w:val="24"/>
        </w:rPr>
        <w:t xml:space="preserve"> variance. For instance, Amana Ltd spent less on warehouse rental than it anticipated. A </w:t>
      </w:r>
      <w:proofErr w:type="spellStart"/>
      <w:r w:rsidRPr="00421EA5">
        <w:rPr>
          <w:rFonts w:ascii="Times New Roman" w:hAnsi="Times New Roman" w:cs="Times New Roman"/>
          <w:sz w:val="24"/>
          <w:szCs w:val="24"/>
        </w:rPr>
        <w:t>favourable</w:t>
      </w:r>
      <w:proofErr w:type="spellEnd"/>
      <w:r w:rsidRPr="00421EA5">
        <w:rPr>
          <w:rFonts w:ascii="Times New Roman" w:hAnsi="Times New Roman" w:cs="Times New Roman"/>
          <w:sz w:val="24"/>
          <w:szCs w:val="24"/>
        </w:rPr>
        <w:t xml:space="preserve"> cost variance means the company incurred fewer costs than anticipated, which improved its profit for the period (</w:t>
      </w:r>
      <w:r w:rsidRPr="00421EA5">
        <w:rPr>
          <w:rFonts w:ascii="Times New Roman" w:hAnsi="Times New Roman" w:cs="Times New Roman"/>
          <w:sz w:val="24"/>
          <w:szCs w:val="24"/>
          <w:lang w:val="en-GB"/>
        </w:rPr>
        <w:t xml:space="preserve">Weygandt, </w:t>
      </w:r>
      <w:proofErr w:type="spellStart"/>
      <w:r w:rsidRPr="00421EA5">
        <w:rPr>
          <w:rFonts w:ascii="Times New Roman" w:hAnsi="Times New Roman" w:cs="Times New Roman"/>
          <w:sz w:val="24"/>
          <w:szCs w:val="24"/>
          <w:lang w:val="en-GB"/>
        </w:rPr>
        <w:t>Kieso</w:t>
      </w:r>
      <w:proofErr w:type="spellEnd"/>
      <w:r w:rsidRPr="00421EA5">
        <w:rPr>
          <w:rFonts w:ascii="Times New Roman" w:hAnsi="Times New Roman" w:cs="Times New Roman"/>
          <w:sz w:val="24"/>
          <w:szCs w:val="24"/>
          <w:lang w:val="en-GB"/>
        </w:rPr>
        <w:t xml:space="preserve"> &amp; Kimmel, 2018)</w:t>
      </w:r>
      <w:r w:rsidRPr="00421EA5">
        <w:rPr>
          <w:rFonts w:ascii="Times New Roman" w:hAnsi="Times New Roman" w:cs="Times New Roman"/>
          <w:sz w:val="24"/>
          <w:szCs w:val="24"/>
        </w:rPr>
        <w:t xml:space="preserve">. The company realized savings on the warehouse rentals, which can be attributed to the reduction in the cost of renting spaces within the region. Also, it could mean Amana Ltd had greater operating efficiency thereby being able to reduce wastages. </w:t>
      </w:r>
    </w:p>
    <w:p w14:paraId="1734C68A" w14:textId="77777777" w:rsidR="00B26DF6" w:rsidRPr="00421EA5" w:rsidRDefault="00B26DF6" w:rsidP="00B26DF6">
      <w:pPr>
        <w:spacing w:after="0" w:line="480" w:lineRule="auto"/>
        <w:ind w:firstLine="720"/>
        <w:rPr>
          <w:rFonts w:ascii="Times New Roman" w:hAnsi="Times New Roman" w:cs="Times New Roman"/>
          <w:sz w:val="24"/>
          <w:szCs w:val="24"/>
        </w:rPr>
      </w:pPr>
      <w:r w:rsidRPr="00421EA5">
        <w:rPr>
          <w:rFonts w:ascii="Times New Roman" w:hAnsi="Times New Roman" w:cs="Times New Roman"/>
          <w:sz w:val="24"/>
          <w:szCs w:val="24"/>
        </w:rPr>
        <w:t xml:space="preserve">Nevertheless, the insurance expenses did not vary across the period as it has no variance. For instance, Amana Ltd budgeted for </w:t>
      </w:r>
      <w:r>
        <w:rPr>
          <w:rFonts w:ascii="Times New Roman" w:hAnsi="Times New Roman" w:cs="Times New Roman"/>
          <w:sz w:val="24"/>
          <w:szCs w:val="24"/>
        </w:rPr>
        <w:t>£</w:t>
      </w:r>
      <w:r w:rsidRPr="00421EA5">
        <w:rPr>
          <w:rFonts w:ascii="Times New Roman" w:hAnsi="Times New Roman" w:cs="Times New Roman"/>
          <w:sz w:val="24"/>
          <w:szCs w:val="24"/>
        </w:rPr>
        <w:t>100,000 expenditure on insurance and incurred, which implies that the company met its budget effectively and was effective in using the insurance expenses. A no variance means the company incurred the same costs as was anticipated, which has no impact on its profit for the period (</w:t>
      </w:r>
      <w:r w:rsidRPr="00421EA5">
        <w:rPr>
          <w:rFonts w:ascii="Times New Roman" w:hAnsi="Times New Roman" w:cs="Times New Roman"/>
          <w:sz w:val="24"/>
          <w:szCs w:val="24"/>
          <w:lang w:val="en-GB"/>
        </w:rPr>
        <w:t>Weygandt et al., 2018)</w:t>
      </w:r>
      <w:r w:rsidRPr="00421EA5">
        <w:rPr>
          <w:rFonts w:ascii="Times New Roman" w:hAnsi="Times New Roman" w:cs="Times New Roman"/>
          <w:sz w:val="24"/>
          <w:szCs w:val="24"/>
        </w:rPr>
        <w:t xml:space="preserve">. The company did not go below or above its budget to obtain the required insurance products, which can be attributed to the greater effectiveness and efficiency in the utilization of insurance or the fact that the insurance does not vary across the period within the company. Amana Ltd should ensure greater operating efficiency to maintain or lowers its costs within the budget as well as improve its financial performance. </w:t>
      </w:r>
    </w:p>
    <w:p w14:paraId="5EB1687C" w14:textId="77777777" w:rsidR="00B26DF6" w:rsidRPr="00421EA5" w:rsidRDefault="00B26DF6" w:rsidP="00B26DF6">
      <w:pPr>
        <w:spacing w:after="0" w:line="480" w:lineRule="auto"/>
        <w:ind w:firstLine="720"/>
        <w:rPr>
          <w:rFonts w:ascii="Times New Roman" w:hAnsi="Times New Roman" w:cs="Times New Roman"/>
          <w:sz w:val="24"/>
          <w:szCs w:val="24"/>
        </w:rPr>
      </w:pPr>
      <w:r w:rsidRPr="00421EA5">
        <w:rPr>
          <w:rFonts w:ascii="Times New Roman" w:hAnsi="Times New Roman" w:cs="Times New Roman"/>
          <w:sz w:val="24"/>
          <w:szCs w:val="24"/>
        </w:rPr>
        <w:t xml:space="preserve">Finally, the company’s projected profit decreased by </w:t>
      </w:r>
      <w:r>
        <w:rPr>
          <w:rFonts w:ascii="Times New Roman" w:hAnsi="Times New Roman" w:cs="Times New Roman"/>
          <w:sz w:val="24"/>
          <w:szCs w:val="24"/>
        </w:rPr>
        <w:t>£</w:t>
      </w:r>
      <w:r w:rsidRPr="00421EA5">
        <w:rPr>
          <w:rFonts w:ascii="Times New Roman" w:hAnsi="Times New Roman" w:cs="Times New Roman"/>
          <w:sz w:val="24"/>
          <w:szCs w:val="24"/>
        </w:rPr>
        <w:t xml:space="preserve">555,000. For instance, it anticipated realizing a profit of </w:t>
      </w:r>
      <w:r>
        <w:rPr>
          <w:rFonts w:ascii="Times New Roman" w:hAnsi="Times New Roman" w:cs="Times New Roman"/>
          <w:sz w:val="24"/>
          <w:szCs w:val="24"/>
        </w:rPr>
        <w:t>£</w:t>
      </w:r>
      <w:r w:rsidRPr="00421EA5">
        <w:rPr>
          <w:rFonts w:ascii="Times New Roman" w:hAnsi="Times New Roman" w:cs="Times New Roman"/>
          <w:sz w:val="24"/>
          <w:szCs w:val="24"/>
        </w:rPr>
        <w:t xml:space="preserve">1,010,000 but its actual profits were </w:t>
      </w:r>
      <w:r>
        <w:rPr>
          <w:rFonts w:ascii="Times New Roman" w:hAnsi="Times New Roman" w:cs="Times New Roman"/>
          <w:sz w:val="24"/>
          <w:szCs w:val="24"/>
        </w:rPr>
        <w:t>£</w:t>
      </w:r>
      <w:r w:rsidRPr="00421EA5">
        <w:rPr>
          <w:rFonts w:ascii="Times New Roman" w:hAnsi="Times New Roman" w:cs="Times New Roman"/>
          <w:sz w:val="24"/>
          <w:szCs w:val="24"/>
        </w:rPr>
        <w:t xml:space="preserve">455,000. Therefore, it </w:t>
      </w:r>
      <w:r w:rsidRPr="00421EA5">
        <w:rPr>
          <w:rFonts w:ascii="Times New Roman" w:hAnsi="Times New Roman" w:cs="Times New Roman"/>
          <w:sz w:val="24"/>
          <w:szCs w:val="24"/>
        </w:rPr>
        <w:lastRenderedPageBreak/>
        <w:t xml:space="preserve">has an </w:t>
      </w:r>
      <w:proofErr w:type="spellStart"/>
      <w:r w:rsidRPr="00421EA5">
        <w:rPr>
          <w:rFonts w:ascii="Times New Roman" w:hAnsi="Times New Roman" w:cs="Times New Roman"/>
          <w:sz w:val="24"/>
          <w:szCs w:val="24"/>
        </w:rPr>
        <w:t>unfavourable</w:t>
      </w:r>
      <w:proofErr w:type="spellEnd"/>
      <w:r w:rsidRPr="00421EA5">
        <w:rPr>
          <w:rFonts w:ascii="Times New Roman" w:hAnsi="Times New Roman" w:cs="Times New Roman"/>
          <w:sz w:val="24"/>
          <w:szCs w:val="24"/>
        </w:rPr>
        <w:t xml:space="preserve"> variance of </w:t>
      </w:r>
      <w:r>
        <w:rPr>
          <w:rFonts w:ascii="Times New Roman" w:hAnsi="Times New Roman" w:cs="Times New Roman"/>
          <w:sz w:val="24"/>
          <w:szCs w:val="24"/>
        </w:rPr>
        <w:t>£</w:t>
      </w:r>
      <w:r w:rsidRPr="00421EA5">
        <w:rPr>
          <w:rFonts w:ascii="Times New Roman" w:hAnsi="Times New Roman" w:cs="Times New Roman"/>
          <w:sz w:val="24"/>
          <w:szCs w:val="24"/>
        </w:rPr>
        <w:t xml:space="preserve">555,000, which shows that its profits decreased significantly compared to the budgeted amounts. The company reduced its selling price from </w:t>
      </w:r>
      <w:r>
        <w:rPr>
          <w:rFonts w:ascii="Times New Roman" w:hAnsi="Times New Roman" w:cs="Times New Roman"/>
          <w:sz w:val="24"/>
          <w:szCs w:val="24"/>
        </w:rPr>
        <w:t>£</w:t>
      </w:r>
      <w:r w:rsidRPr="00421EA5">
        <w:rPr>
          <w:rFonts w:ascii="Times New Roman" w:hAnsi="Times New Roman" w:cs="Times New Roman"/>
          <w:sz w:val="24"/>
          <w:szCs w:val="24"/>
        </w:rPr>
        <w:t xml:space="preserve">25 to </w:t>
      </w:r>
      <w:r>
        <w:rPr>
          <w:rFonts w:ascii="Times New Roman" w:hAnsi="Times New Roman" w:cs="Times New Roman"/>
          <w:sz w:val="24"/>
          <w:szCs w:val="24"/>
        </w:rPr>
        <w:t>£</w:t>
      </w:r>
      <w:r w:rsidRPr="00421EA5">
        <w:rPr>
          <w:rFonts w:ascii="Times New Roman" w:hAnsi="Times New Roman" w:cs="Times New Roman"/>
          <w:sz w:val="24"/>
          <w:szCs w:val="24"/>
        </w:rPr>
        <w:t xml:space="preserve">20 to increase the revenue. However, the strategy is not sustainable. The quantity sold and the selling price determine the revenue that a business generates within a period (Rhode &amp; Garrison, 2019). Therefore, Amana Ltd might have reduced the selling price in 2020 to increase its sales and remain competitive within the market (Alegre and Sar, 2017). Nevertheless, lowering the selling prices to stimulate sales is an unsustainable strategy, and hence, the company should review the prices to guarantee they generate long-term profitability. </w:t>
      </w:r>
    </w:p>
    <w:p w14:paraId="57023A68" w14:textId="77777777" w:rsidR="00B26DF6" w:rsidRPr="00421EA5" w:rsidRDefault="00B26DF6" w:rsidP="00B26DF6">
      <w:pPr>
        <w:spacing w:after="0" w:line="480" w:lineRule="auto"/>
        <w:rPr>
          <w:rFonts w:ascii="Times New Roman" w:hAnsi="Times New Roman" w:cs="Times New Roman"/>
          <w:b/>
          <w:bCs/>
          <w:sz w:val="24"/>
          <w:szCs w:val="24"/>
        </w:rPr>
      </w:pPr>
      <w:r w:rsidRPr="00421EA5">
        <w:rPr>
          <w:rFonts w:ascii="Times New Roman" w:hAnsi="Times New Roman" w:cs="Times New Roman"/>
          <w:b/>
          <w:bCs/>
          <w:sz w:val="24"/>
          <w:szCs w:val="24"/>
        </w:rPr>
        <w:t>Recommendations to Amana’s CEO on Areas of Improvement</w:t>
      </w:r>
    </w:p>
    <w:p w14:paraId="0B878E10" w14:textId="77777777" w:rsidR="00B26DF6" w:rsidRPr="00421EA5" w:rsidRDefault="00B26DF6" w:rsidP="00B26DF6">
      <w:pPr>
        <w:spacing w:after="0" w:line="480" w:lineRule="auto"/>
        <w:ind w:firstLine="720"/>
        <w:rPr>
          <w:rFonts w:ascii="Times New Roman" w:hAnsi="Times New Roman" w:cs="Times New Roman"/>
          <w:sz w:val="24"/>
          <w:szCs w:val="24"/>
        </w:rPr>
      </w:pPr>
      <w:r w:rsidRPr="00421EA5">
        <w:rPr>
          <w:rFonts w:ascii="Times New Roman" w:hAnsi="Times New Roman" w:cs="Times New Roman"/>
          <w:sz w:val="24"/>
          <w:szCs w:val="24"/>
        </w:rPr>
        <w:t xml:space="preserve">The analysis of financial performance shows that there are many areas of improvement that Amana Ltd.'s CEO should address to improve the financial performance across the period. Firstly, there was an increase in the cost of materials. Being a product-based business, the cost of materials is a significant part of the company's cost structure and </w:t>
      </w:r>
      <w:proofErr w:type="gramStart"/>
      <w:r w:rsidRPr="00421EA5">
        <w:rPr>
          <w:rFonts w:ascii="Times New Roman" w:hAnsi="Times New Roman" w:cs="Times New Roman"/>
          <w:sz w:val="24"/>
          <w:szCs w:val="24"/>
        </w:rPr>
        <w:t>has to</w:t>
      </w:r>
      <w:proofErr w:type="gramEnd"/>
      <w:r w:rsidRPr="00421EA5">
        <w:rPr>
          <w:rFonts w:ascii="Times New Roman" w:hAnsi="Times New Roman" w:cs="Times New Roman"/>
          <w:sz w:val="24"/>
          <w:szCs w:val="24"/>
        </w:rPr>
        <w:t xml:space="preserve"> be monitored more efficiently (</w:t>
      </w:r>
      <w:r w:rsidRPr="00421EA5">
        <w:rPr>
          <w:rFonts w:ascii="Times New Roman" w:hAnsi="Times New Roman" w:cs="Times New Roman"/>
          <w:sz w:val="24"/>
          <w:szCs w:val="24"/>
          <w:lang w:val="en-GB"/>
        </w:rPr>
        <w:t>Weygandt et al., 2018)</w:t>
      </w:r>
      <w:r w:rsidRPr="00421EA5">
        <w:rPr>
          <w:rFonts w:ascii="Times New Roman" w:hAnsi="Times New Roman" w:cs="Times New Roman"/>
          <w:sz w:val="24"/>
          <w:szCs w:val="24"/>
        </w:rPr>
        <w:t xml:space="preserve">. The cost of raw materials for Amana Ltd rose in 2020. Given that the core products of the company are souvenirs, the CEO </w:t>
      </w:r>
      <w:proofErr w:type="gramStart"/>
      <w:r w:rsidRPr="00421EA5">
        <w:rPr>
          <w:rFonts w:ascii="Times New Roman" w:hAnsi="Times New Roman" w:cs="Times New Roman"/>
          <w:sz w:val="24"/>
          <w:szCs w:val="24"/>
        </w:rPr>
        <w:t>has to</w:t>
      </w:r>
      <w:proofErr w:type="gramEnd"/>
      <w:r w:rsidRPr="00421EA5">
        <w:rPr>
          <w:rFonts w:ascii="Times New Roman" w:hAnsi="Times New Roman" w:cs="Times New Roman"/>
          <w:sz w:val="24"/>
          <w:szCs w:val="24"/>
        </w:rPr>
        <w:t xml:space="preserve"> guarantee that they keep the material costs under control </w:t>
      </w:r>
      <w:r>
        <w:rPr>
          <w:rFonts w:ascii="Times New Roman" w:hAnsi="Times New Roman" w:cs="Times New Roman"/>
          <w:sz w:val="24"/>
          <w:szCs w:val="24"/>
        </w:rPr>
        <w:t>with no compromise to</w:t>
      </w:r>
      <w:r w:rsidRPr="00421EA5">
        <w:rPr>
          <w:rFonts w:ascii="Times New Roman" w:hAnsi="Times New Roman" w:cs="Times New Roman"/>
          <w:sz w:val="24"/>
          <w:szCs w:val="24"/>
        </w:rPr>
        <w:t xml:space="preserve"> the quality. Therefore, Amana Ltd should consider switching to other cheaper suppliers who have good track records. </w:t>
      </w:r>
    </w:p>
    <w:p w14:paraId="6A61ACF7" w14:textId="77777777" w:rsidR="00B26DF6" w:rsidRPr="00421EA5" w:rsidRDefault="00B26DF6" w:rsidP="00B26DF6">
      <w:pPr>
        <w:spacing w:after="0" w:line="480" w:lineRule="auto"/>
        <w:ind w:firstLine="720"/>
        <w:rPr>
          <w:rFonts w:ascii="Times New Roman" w:hAnsi="Times New Roman" w:cs="Times New Roman"/>
          <w:sz w:val="24"/>
          <w:szCs w:val="24"/>
        </w:rPr>
      </w:pPr>
      <w:r w:rsidRPr="00421EA5">
        <w:rPr>
          <w:rFonts w:ascii="Times New Roman" w:hAnsi="Times New Roman" w:cs="Times New Roman"/>
          <w:sz w:val="24"/>
          <w:szCs w:val="24"/>
        </w:rPr>
        <w:t xml:space="preserve">Secondly, the company reduced its selling price and experienced decreased sales revenue. There is a direct relationship between quality sold and selling price and the revenue that a business generates. The company lowered its selling price to perhaps increase its sales revenue and remain competitive within the industry. Even though reducing prices can stimulate sales, it is not a sustainable </w:t>
      </w:r>
      <w:proofErr w:type="gramStart"/>
      <w:r w:rsidRPr="00421EA5">
        <w:rPr>
          <w:rFonts w:ascii="Times New Roman" w:hAnsi="Times New Roman" w:cs="Times New Roman"/>
          <w:sz w:val="24"/>
          <w:szCs w:val="24"/>
        </w:rPr>
        <w:t>strategy</w:t>
      </w:r>
      <w:proofErr w:type="gramEnd"/>
      <w:r w:rsidRPr="00421EA5">
        <w:rPr>
          <w:rFonts w:ascii="Times New Roman" w:hAnsi="Times New Roman" w:cs="Times New Roman"/>
          <w:sz w:val="24"/>
          <w:szCs w:val="24"/>
        </w:rPr>
        <w:t xml:space="preserve"> and the CEO should consider maintaining the </w:t>
      </w:r>
      <w:r>
        <w:rPr>
          <w:rFonts w:ascii="Times New Roman" w:hAnsi="Times New Roman" w:cs="Times New Roman"/>
          <w:sz w:val="24"/>
          <w:szCs w:val="24"/>
        </w:rPr>
        <w:lastRenderedPageBreak/>
        <w:t>£</w:t>
      </w:r>
      <w:r w:rsidRPr="00421EA5">
        <w:rPr>
          <w:rFonts w:ascii="Times New Roman" w:hAnsi="Times New Roman" w:cs="Times New Roman"/>
          <w:sz w:val="24"/>
          <w:szCs w:val="24"/>
        </w:rPr>
        <w:t xml:space="preserve">25 selling price to improve its lon0term profitability. The suitable approach for the company is to increase the quality of its products and increase the price to target premium customers. </w:t>
      </w:r>
    </w:p>
    <w:p w14:paraId="40355F90" w14:textId="77777777" w:rsidR="00B26DF6" w:rsidRPr="00421EA5" w:rsidRDefault="00B26DF6" w:rsidP="00B26DF6">
      <w:pPr>
        <w:spacing w:after="0" w:line="480" w:lineRule="auto"/>
        <w:jc w:val="center"/>
        <w:rPr>
          <w:rFonts w:ascii="Times New Roman" w:hAnsi="Times New Roman" w:cs="Times New Roman"/>
          <w:b/>
          <w:bCs/>
          <w:sz w:val="24"/>
          <w:szCs w:val="24"/>
        </w:rPr>
      </w:pPr>
      <w:r w:rsidRPr="00421EA5">
        <w:rPr>
          <w:rFonts w:ascii="Times New Roman" w:hAnsi="Times New Roman" w:cs="Times New Roman"/>
          <w:b/>
          <w:bCs/>
          <w:sz w:val="24"/>
          <w:szCs w:val="24"/>
        </w:rPr>
        <w:t>Part B</w:t>
      </w:r>
    </w:p>
    <w:p w14:paraId="5A9FFD5D" w14:textId="77777777" w:rsidR="00B26DF6" w:rsidRPr="00421EA5" w:rsidRDefault="00B26DF6" w:rsidP="00B26DF6">
      <w:pPr>
        <w:pStyle w:val="NormalWeb"/>
        <w:shd w:val="clear" w:color="auto" w:fill="FFFFFF"/>
        <w:spacing w:before="0" w:beforeAutospacing="0" w:after="0" w:afterAutospacing="0" w:line="480" w:lineRule="auto"/>
        <w:ind w:firstLine="720"/>
        <w:textAlignment w:val="baseline"/>
        <w:rPr>
          <w:lang w:val="en-GB"/>
        </w:rPr>
      </w:pPr>
      <w:r w:rsidRPr="00421EA5">
        <w:rPr>
          <w:lang w:val="en-GB"/>
        </w:rPr>
        <w:t xml:space="preserve">The decision by the CEO to move half of the company's sales to online platforms is a good one as it will ensure that it increases its reach and presence within the market. Having physical locations in Manchester city centre, Birmingham city centre, and Brighton only limits its presence as it is only capable of catering to a limited section or area of people. Even though the company is capable of enjoying a greater customer loyalty base through these physical stores, there will be a lower potential to reach a new customer </w:t>
      </w:r>
      <w:proofErr w:type="gramStart"/>
      <w:r w:rsidRPr="00421EA5">
        <w:rPr>
          <w:lang w:val="en-GB"/>
        </w:rPr>
        <w:t>base</w:t>
      </w:r>
      <w:proofErr w:type="gramEnd"/>
      <w:r w:rsidRPr="00421EA5">
        <w:rPr>
          <w:lang w:val="en-GB"/>
        </w:rPr>
        <w:t xml:space="preserve"> but the expenses associated with maintaining physical stores would be greater. Nevertheless, routing 50% of its projected sales through an online model targeting the U.S., Europe, and the UK would allow Aman Ltd to significantly increase its customer base and market across the globe. Moreover, the company will have the opportunity to strategy to revamp or reposition the other physical stores to cater to its domestic market or customer base as well as its loyalists within the UK.</w:t>
      </w:r>
    </w:p>
    <w:p w14:paraId="46C7C1C2" w14:textId="77777777" w:rsidR="00B26DF6" w:rsidRPr="00421EA5" w:rsidRDefault="00B26DF6" w:rsidP="00B26DF6">
      <w:pPr>
        <w:spacing w:after="0" w:line="480" w:lineRule="auto"/>
        <w:ind w:firstLine="720"/>
        <w:rPr>
          <w:rFonts w:ascii="Times New Roman" w:hAnsi="Times New Roman" w:cs="Times New Roman"/>
          <w:b/>
          <w:bCs/>
          <w:sz w:val="24"/>
          <w:szCs w:val="24"/>
          <w:lang w:val="en-GB"/>
        </w:rPr>
      </w:pPr>
      <w:r w:rsidRPr="00421EA5">
        <w:rPr>
          <w:rFonts w:ascii="Times New Roman" w:hAnsi="Times New Roman" w:cs="Times New Roman"/>
          <w:sz w:val="24"/>
          <w:szCs w:val="24"/>
          <w:lang w:val="en-GB"/>
        </w:rPr>
        <w:t>Online retail sales continue to soar, which will enable the company to increase its long-term profitability. A</w:t>
      </w:r>
      <w:r>
        <w:rPr>
          <w:rFonts w:ascii="Times New Roman" w:hAnsi="Times New Roman" w:cs="Times New Roman"/>
          <w:sz w:val="24"/>
          <w:szCs w:val="24"/>
          <w:lang w:val="en-GB"/>
        </w:rPr>
        <w:t>s per</w:t>
      </w:r>
      <w:r w:rsidRPr="00421EA5">
        <w:rPr>
          <w:rFonts w:ascii="Times New Roman" w:hAnsi="Times New Roman" w:cs="Times New Roman"/>
          <w:sz w:val="24"/>
          <w:szCs w:val="24"/>
          <w:lang w:val="en-GB"/>
        </w:rPr>
        <w:t xml:space="preserve"> Bowsher (2018), non-food items</w:t>
      </w:r>
      <w:r>
        <w:rPr>
          <w:rFonts w:ascii="Times New Roman" w:hAnsi="Times New Roman" w:cs="Times New Roman"/>
          <w:sz w:val="24"/>
          <w:szCs w:val="24"/>
          <w:lang w:val="en-GB"/>
        </w:rPr>
        <w:t xml:space="preserve">’ </w:t>
      </w:r>
      <w:r w:rsidRPr="00421EA5">
        <w:rPr>
          <w:rFonts w:ascii="Times New Roman" w:hAnsi="Times New Roman" w:cs="Times New Roman"/>
          <w:sz w:val="24"/>
          <w:szCs w:val="24"/>
          <w:lang w:val="en-GB"/>
        </w:rPr>
        <w:t xml:space="preserve">online sales have </w:t>
      </w:r>
      <w:r>
        <w:rPr>
          <w:rFonts w:ascii="Times New Roman" w:hAnsi="Times New Roman" w:cs="Times New Roman"/>
          <w:sz w:val="24"/>
          <w:szCs w:val="24"/>
          <w:lang w:val="en-GB"/>
        </w:rPr>
        <w:t>soared</w:t>
      </w:r>
      <w:r w:rsidRPr="00421EA5">
        <w:rPr>
          <w:rFonts w:ascii="Times New Roman" w:hAnsi="Times New Roman" w:cs="Times New Roman"/>
          <w:sz w:val="24"/>
          <w:szCs w:val="24"/>
          <w:lang w:val="en-GB"/>
        </w:rPr>
        <w:t xml:space="preserve"> over the past few years because of convenience. Moreover, price plays a critical role as many consumers perceive online purchases to be cheaper. Online stores have no reach limitations. Sellers who have physical stores can only reach a given number of buyers within the locality. They </w:t>
      </w:r>
      <w:proofErr w:type="gramStart"/>
      <w:r w:rsidRPr="00421EA5">
        <w:rPr>
          <w:rFonts w:ascii="Times New Roman" w:hAnsi="Times New Roman" w:cs="Times New Roman"/>
          <w:sz w:val="24"/>
          <w:szCs w:val="24"/>
          <w:lang w:val="en-GB"/>
        </w:rPr>
        <w:t>are capable of delivering</w:t>
      </w:r>
      <w:proofErr w:type="gramEnd"/>
      <w:r w:rsidRPr="00421EA5">
        <w:rPr>
          <w:rFonts w:ascii="Times New Roman" w:hAnsi="Times New Roman" w:cs="Times New Roman"/>
          <w:sz w:val="24"/>
          <w:szCs w:val="24"/>
          <w:lang w:val="en-GB"/>
        </w:rPr>
        <w:t xml:space="preserve"> to the homes of customers but there are distance limitations. Nevertheless, most of the eCommerce marketplaces, for instance, Amazon, have their own delivery and logistics systems. With online sales, Amaan Ltd can reach out to more customers. The company is facing stiff competition and needs to expand its reach to locate new customers thereby realizing significant benefits. In addition, expanding online enables </w:t>
      </w:r>
      <w:r w:rsidRPr="00421EA5">
        <w:rPr>
          <w:rFonts w:ascii="Times New Roman" w:hAnsi="Times New Roman" w:cs="Times New Roman"/>
          <w:sz w:val="24"/>
          <w:szCs w:val="24"/>
          <w:lang w:val="en-GB"/>
        </w:rPr>
        <w:lastRenderedPageBreak/>
        <w:t xml:space="preserve">the company to save on the logistics costs as well as being rest assured of loyal customers while those with physical stores can only sell to local buyers (Bowsher, 2018). Moreover, the company will not have to spend a lot of money to promote its items due to affordable marketing and advertising with online platforms. </w:t>
      </w:r>
    </w:p>
    <w:p w14:paraId="78611BAB" w14:textId="77777777" w:rsidR="00B26DF6" w:rsidRPr="00421EA5" w:rsidRDefault="00B26DF6" w:rsidP="00B26DF6">
      <w:pPr>
        <w:pStyle w:val="NormalWeb"/>
        <w:shd w:val="clear" w:color="auto" w:fill="FFFFFF"/>
        <w:spacing w:before="0" w:beforeAutospacing="0" w:after="0" w:afterAutospacing="0" w:line="480" w:lineRule="auto"/>
        <w:ind w:firstLine="720"/>
        <w:textAlignment w:val="baseline"/>
        <w:rPr>
          <w:lang w:val="en-GB"/>
        </w:rPr>
      </w:pPr>
      <w:r w:rsidRPr="00421EA5">
        <w:rPr>
          <w:lang w:val="en-GB"/>
        </w:rPr>
        <w:t xml:space="preserve">The company intends to venture into the online business either through its own website or through selling its products directly on Amazon. However, the decision to either sell on Amazon </w:t>
      </w:r>
      <w:r>
        <w:rPr>
          <w:lang w:val="en-GB"/>
        </w:rPr>
        <w:t xml:space="preserve">or </w:t>
      </w:r>
      <w:r w:rsidRPr="00421EA5">
        <w:rPr>
          <w:lang w:val="en-GB"/>
        </w:rPr>
        <w:t>set up its own shop</w:t>
      </w:r>
      <w:r>
        <w:rPr>
          <w:lang w:val="en-GB"/>
        </w:rPr>
        <w:t xml:space="preserve"> </w:t>
      </w:r>
      <w:r w:rsidRPr="00421EA5">
        <w:rPr>
          <w:lang w:val="en-GB"/>
        </w:rPr>
        <w:t xml:space="preserve">can be assessed by taking into consideration both qualitative and quantitative factors. A selling price of </w:t>
      </w:r>
      <w:r>
        <w:rPr>
          <w:lang w:val="en-GB"/>
        </w:rPr>
        <w:t>£</w:t>
      </w:r>
      <w:r w:rsidRPr="00421EA5">
        <w:rPr>
          <w:lang w:val="en-GB"/>
        </w:rPr>
        <w:t>25 is used to assess the impact of the two options of going online using incremental analysis.</w:t>
      </w:r>
    </w:p>
    <w:tbl>
      <w:tblPr>
        <w:tblW w:w="8075" w:type="dxa"/>
        <w:tblLook w:val="04A0" w:firstRow="1" w:lastRow="0" w:firstColumn="1" w:lastColumn="0" w:noHBand="0" w:noVBand="1"/>
      </w:tblPr>
      <w:tblGrid>
        <w:gridCol w:w="3660"/>
        <w:gridCol w:w="2147"/>
        <w:gridCol w:w="2268"/>
      </w:tblGrid>
      <w:tr w:rsidR="00B26DF6" w14:paraId="23210820" w14:textId="77777777" w:rsidTr="00452613">
        <w:trPr>
          <w:trHeight w:val="315"/>
        </w:trPr>
        <w:tc>
          <w:tcPr>
            <w:tcW w:w="3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06F7A6A"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w:t>
            </w:r>
          </w:p>
        </w:tc>
        <w:tc>
          <w:tcPr>
            <w:tcW w:w="2147" w:type="dxa"/>
            <w:tcBorders>
              <w:top w:val="single" w:sz="4" w:space="0" w:color="auto"/>
              <w:left w:val="nil"/>
              <w:bottom w:val="single" w:sz="4" w:space="0" w:color="auto"/>
              <w:right w:val="single" w:sz="4" w:space="0" w:color="auto"/>
            </w:tcBorders>
            <w:shd w:val="clear" w:color="auto" w:fill="auto"/>
            <w:noWrap/>
            <w:vAlign w:val="bottom"/>
            <w:hideMark/>
          </w:tcPr>
          <w:p w14:paraId="0FB801C3" w14:textId="77777777" w:rsidR="00B26DF6" w:rsidRPr="000E5003" w:rsidRDefault="00B26DF6" w:rsidP="00452613">
            <w:pPr>
              <w:spacing w:after="0" w:line="240" w:lineRule="auto"/>
              <w:rPr>
                <w:rFonts w:ascii="Times New Roman" w:eastAsia="Times New Roman" w:hAnsi="Times New Roman" w:cs="Times New Roman"/>
                <w:b/>
                <w:bCs/>
                <w:sz w:val="24"/>
                <w:szCs w:val="24"/>
              </w:rPr>
            </w:pPr>
            <w:r w:rsidRPr="000E5003">
              <w:rPr>
                <w:rFonts w:ascii="Times New Roman" w:eastAsia="Times New Roman" w:hAnsi="Times New Roman" w:cs="Times New Roman"/>
                <w:b/>
                <w:bCs/>
                <w:sz w:val="24"/>
                <w:szCs w:val="24"/>
              </w:rPr>
              <w:t>Own Online Shop</w:t>
            </w:r>
          </w:p>
        </w:tc>
        <w:tc>
          <w:tcPr>
            <w:tcW w:w="2268" w:type="dxa"/>
            <w:tcBorders>
              <w:top w:val="single" w:sz="4" w:space="0" w:color="auto"/>
              <w:left w:val="nil"/>
              <w:bottom w:val="single" w:sz="4" w:space="0" w:color="auto"/>
              <w:right w:val="single" w:sz="4" w:space="0" w:color="auto"/>
            </w:tcBorders>
            <w:shd w:val="clear" w:color="auto" w:fill="auto"/>
            <w:noWrap/>
            <w:vAlign w:val="bottom"/>
            <w:hideMark/>
          </w:tcPr>
          <w:p w14:paraId="212853BC" w14:textId="77777777" w:rsidR="00B26DF6" w:rsidRPr="000E5003" w:rsidRDefault="00B26DF6" w:rsidP="00452613">
            <w:pPr>
              <w:spacing w:after="0" w:line="240" w:lineRule="auto"/>
              <w:rPr>
                <w:rFonts w:ascii="Times New Roman" w:eastAsia="Times New Roman" w:hAnsi="Times New Roman" w:cs="Times New Roman"/>
                <w:b/>
                <w:bCs/>
                <w:sz w:val="24"/>
                <w:szCs w:val="24"/>
              </w:rPr>
            </w:pPr>
            <w:r w:rsidRPr="000E5003">
              <w:rPr>
                <w:rFonts w:ascii="Times New Roman" w:eastAsia="Times New Roman" w:hAnsi="Times New Roman" w:cs="Times New Roman"/>
                <w:b/>
                <w:bCs/>
                <w:sz w:val="24"/>
                <w:szCs w:val="24"/>
              </w:rPr>
              <w:t>Selling on Amazon</w:t>
            </w:r>
          </w:p>
        </w:tc>
      </w:tr>
      <w:tr w:rsidR="00B26DF6" w14:paraId="5B13A523" w14:textId="77777777" w:rsidTr="00452613">
        <w:trPr>
          <w:trHeight w:val="315"/>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14:paraId="45416946"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Units</w:t>
            </w:r>
          </w:p>
        </w:tc>
        <w:tc>
          <w:tcPr>
            <w:tcW w:w="2147" w:type="dxa"/>
            <w:tcBorders>
              <w:top w:val="nil"/>
              <w:left w:val="nil"/>
              <w:bottom w:val="single" w:sz="4" w:space="0" w:color="auto"/>
              <w:right w:val="single" w:sz="4" w:space="0" w:color="auto"/>
            </w:tcBorders>
            <w:shd w:val="clear" w:color="auto" w:fill="auto"/>
            <w:noWrap/>
            <w:vAlign w:val="bottom"/>
            <w:hideMark/>
          </w:tcPr>
          <w:p w14:paraId="79707E5D"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xml:space="preserve">                 100,000 </w:t>
            </w:r>
          </w:p>
        </w:tc>
        <w:tc>
          <w:tcPr>
            <w:tcW w:w="2268" w:type="dxa"/>
            <w:tcBorders>
              <w:top w:val="nil"/>
              <w:left w:val="nil"/>
              <w:bottom w:val="single" w:sz="4" w:space="0" w:color="auto"/>
              <w:right w:val="single" w:sz="4" w:space="0" w:color="auto"/>
            </w:tcBorders>
            <w:shd w:val="clear" w:color="auto" w:fill="auto"/>
            <w:noWrap/>
            <w:vAlign w:val="bottom"/>
            <w:hideMark/>
          </w:tcPr>
          <w:p w14:paraId="6BACB11D"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xml:space="preserve">                    65,000 </w:t>
            </w:r>
          </w:p>
        </w:tc>
      </w:tr>
      <w:tr w:rsidR="00B26DF6" w14:paraId="7F733E3F" w14:textId="77777777" w:rsidTr="00452613">
        <w:trPr>
          <w:trHeight w:val="315"/>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14:paraId="1BB31672"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Selling price</w:t>
            </w:r>
          </w:p>
        </w:tc>
        <w:tc>
          <w:tcPr>
            <w:tcW w:w="2147" w:type="dxa"/>
            <w:tcBorders>
              <w:top w:val="nil"/>
              <w:left w:val="nil"/>
              <w:bottom w:val="single" w:sz="4" w:space="0" w:color="auto"/>
              <w:right w:val="single" w:sz="4" w:space="0" w:color="auto"/>
            </w:tcBorders>
            <w:shd w:val="clear" w:color="auto" w:fill="auto"/>
            <w:noWrap/>
            <w:vAlign w:val="bottom"/>
            <w:hideMark/>
          </w:tcPr>
          <w:p w14:paraId="4070C804"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xml:space="preserve"> £ 25.00 </w:t>
            </w:r>
          </w:p>
        </w:tc>
        <w:tc>
          <w:tcPr>
            <w:tcW w:w="2268" w:type="dxa"/>
            <w:tcBorders>
              <w:top w:val="nil"/>
              <w:left w:val="nil"/>
              <w:bottom w:val="single" w:sz="4" w:space="0" w:color="auto"/>
              <w:right w:val="single" w:sz="4" w:space="0" w:color="auto"/>
            </w:tcBorders>
            <w:shd w:val="clear" w:color="auto" w:fill="auto"/>
            <w:noWrap/>
            <w:vAlign w:val="bottom"/>
            <w:hideMark/>
          </w:tcPr>
          <w:p w14:paraId="41B6088F"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xml:space="preserve"> £ 25.00 </w:t>
            </w:r>
          </w:p>
        </w:tc>
      </w:tr>
      <w:tr w:rsidR="00B26DF6" w14:paraId="416177B9" w14:textId="77777777" w:rsidTr="00452613">
        <w:trPr>
          <w:trHeight w:val="315"/>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14:paraId="0327F119"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w:t>
            </w:r>
          </w:p>
        </w:tc>
        <w:tc>
          <w:tcPr>
            <w:tcW w:w="2147" w:type="dxa"/>
            <w:tcBorders>
              <w:top w:val="nil"/>
              <w:left w:val="nil"/>
              <w:bottom w:val="single" w:sz="4" w:space="0" w:color="auto"/>
              <w:right w:val="single" w:sz="4" w:space="0" w:color="auto"/>
            </w:tcBorders>
            <w:shd w:val="clear" w:color="auto" w:fill="auto"/>
            <w:noWrap/>
            <w:vAlign w:val="bottom"/>
            <w:hideMark/>
          </w:tcPr>
          <w:p w14:paraId="2E590973"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w:t>
            </w:r>
          </w:p>
        </w:tc>
        <w:tc>
          <w:tcPr>
            <w:tcW w:w="2268" w:type="dxa"/>
            <w:tcBorders>
              <w:top w:val="nil"/>
              <w:left w:val="nil"/>
              <w:bottom w:val="single" w:sz="4" w:space="0" w:color="auto"/>
              <w:right w:val="single" w:sz="4" w:space="0" w:color="auto"/>
            </w:tcBorders>
            <w:shd w:val="clear" w:color="auto" w:fill="auto"/>
            <w:noWrap/>
            <w:vAlign w:val="bottom"/>
            <w:hideMark/>
          </w:tcPr>
          <w:p w14:paraId="28CC518E"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w:t>
            </w:r>
          </w:p>
        </w:tc>
      </w:tr>
      <w:tr w:rsidR="00B26DF6" w14:paraId="250887E2" w14:textId="77777777" w:rsidTr="00452613">
        <w:trPr>
          <w:trHeight w:val="315"/>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14:paraId="533AC474"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Revenue</w:t>
            </w:r>
          </w:p>
        </w:tc>
        <w:tc>
          <w:tcPr>
            <w:tcW w:w="2147" w:type="dxa"/>
            <w:tcBorders>
              <w:top w:val="nil"/>
              <w:left w:val="nil"/>
              <w:bottom w:val="single" w:sz="4" w:space="0" w:color="auto"/>
              <w:right w:val="single" w:sz="4" w:space="0" w:color="auto"/>
            </w:tcBorders>
            <w:shd w:val="clear" w:color="auto" w:fill="auto"/>
            <w:noWrap/>
            <w:vAlign w:val="bottom"/>
            <w:hideMark/>
          </w:tcPr>
          <w:p w14:paraId="108F8497"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xml:space="preserve"> £1,250,000.00 </w:t>
            </w:r>
          </w:p>
        </w:tc>
        <w:tc>
          <w:tcPr>
            <w:tcW w:w="2268" w:type="dxa"/>
            <w:tcBorders>
              <w:top w:val="nil"/>
              <w:left w:val="nil"/>
              <w:bottom w:val="single" w:sz="4" w:space="0" w:color="auto"/>
              <w:right w:val="single" w:sz="4" w:space="0" w:color="auto"/>
            </w:tcBorders>
            <w:shd w:val="clear" w:color="auto" w:fill="auto"/>
            <w:noWrap/>
            <w:vAlign w:val="bottom"/>
            <w:hideMark/>
          </w:tcPr>
          <w:p w14:paraId="6CDE3E4A"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xml:space="preserve"> £1,250,000.00 </w:t>
            </w:r>
          </w:p>
        </w:tc>
      </w:tr>
      <w:tr w:rsidR="00B26DF6" w14:paraId="3D82524F" w14:textId="77777777" w:rsidTr="00452613">
        <w:trPr>
          <w:trHeight w:val="315"/>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14:paraId="5351AB43"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w:t>
            </w:r>
          </w:p>
        </w:tc>
        <w:tc>
          <w:tcPr>
            <w:tcW w:w="2147" w:type="dxa"/>
            <w:tcBorders>
              <w:top w:val="nil"/>
              <w:left w:val="nil"/>
              <w:bottom w:val="single" w:sz="4" w:space="0" w:color="auto"/>
              <w:right w:val="single" w:sz="4" w:space="0" w:color="auto"/>
            </w:tcBorders>
            <w:shd w:val="clear" w:color="auto" w:fill="auto"/>
            <w:noWrap/>
            <w:vAlign w:val="bottom"/>
            <w:hideMark/>
          </w:tcPr>
          <w:p w14:paraId="7F241216"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w:t>
            </w:r>
          </w:p>
        </w:tc>
        <w:tc>
          <w:tcPr>
            <w:tcW w:w="2268" w:type="dxa"/>
            <w:tcBorders>
              <w:top w:val="nil"/>
              <w:left w:val="nil"/>
              <w:bottom w:val="single" w:sz="4" w:space="0" w:color="auto"/>
              <w:right w:val="single" w:sz="4" w:space="0" w:color="auto"/>
            </w:tcBorders>
            <w:shd w:val="clear" w:color="auto" w:fill="auto"/>
            <w:noWrap/>
            <w:vAlign w:val="bottom"/>
            <w:hideMark/>
          </w:tcPr>
          <w:p w14:paraId="25D6D3A6"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w:t>
            </w:r>
          </w:p>
        </w:tc>
      </w:tr>
      <w:tr w:rsidR="00B26DF6" w14:paraId="5B94EDD8" w14:textId="77777777" w:rsidTr="00452613">
        <w:trPr>
          <w:trHeight w:val="315"/>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14:paraId="4B9C73B8"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Incremental costs</w:t>
            </w:r>
          </w:p>
        </w:tc>
        <w:tc>
          <w:tcPr>
            <w:tcW w:w="2147" w:type="dxa"/>
            <w:tcBorders>
              <w:top w:val="nil"/>
              <w:left w:val="nil"/>
              <w:bottom w:val="single" w:sz="4" w:space="0" w:color="auto"/>
              <w:right w:val="single" w:sz="4" w:space="0" w:color="auto"/>
            </w:tcBorders>
            <w:shd w:val="clear" w:color="auto" w:fill="auto"/>
            <w:noWrap/>
            <w:vAlign w:val="bottom"/>
            <w:hideMark/>
          </w:tcPr>
          <w:p w14:paraId="4C103D93"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w:t>
            </w:r>
          </w:p>
        </w:tc>
        <w:tc>
          <w:tcPr>
            <w:tcW w:w="2268" w:type="dxa"/>
            <w:tcBorders>
              <w:top w:val="nil"/>
              <w:left w:val="nil"/>
              <w:bottom w:val="single" w:sz="4" w:space="0" w:color="auto"/>
              <w:right w:val="single" w:sz="4" w:space="0" w:color="auto"/>
            </w:tcBorders>
            <w:shd w:val="clear" w:color="auto" w:fill="auto"/>
            <w:noWrap/>
            <w:vAlign w:val="bottom"/>
            <w:hideMark/>
          </w:tcPr>
          <w:p w14:paraId="2617012D"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w:t>
            </w:r>
          </w:p>
        </w:tc>
      </w:tr>
      <w:tr w:rsidR="00B26DF6" w14:paraId="08073899" w14:textId="77777777" w:rsidTr="00452613">
        <w:trPr>
          <w:trHeight w:val="315"/>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14:paraId="7B7550C8"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Cost of setting up a delivery network</w:t>
            </w:r>
          </w:p>
        </w:tc>
        <w:tc>
          <w:tcPr>
            <w:tcW w:w="2147" w:type="dxa"/>
            <w:tcBorders>
              <w:top w:val="nil"/>
              <w:left w:val="nil"/>
              <w:bottom w:val="single" w:sz="4" w:space="0" w:color="auto"/>
              <w:right w:val="single" w:sz="4" w:space="0" w:color="auto"/>
            </w:tcBorders>
            <w:shd w:val="clear" w:color="auto" w:fill="auto"/>
            <w:noWrap/>
            <w:vAlign w:val="bottom"/>
            <w:hideMark/>
          </w:tcPr>
          <w:p w14:paraId="5EA8F646"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xml:space="preserve"> £150,000.00 </w:t>
            </w:r>
          </w:p>
        </w:tc>
        <w:tc>
          <w:tcPr>
            <w:tcW w:w="2268" w:type="dxa"/>
            <w:tcBorders>
              <w:top w:val="nil"/>
              <w:left w:val="nil"/>
              <w:bottom w:val="single" w:sz="4" w:space="0" w:color="auto"/>
              <w:right w:val="single" w:sz="4" w:space="0" w:color="auto"/>
            </w:tcBorders>
            <w:shd w:val="clear" w:color="auto" w:fill="auto"/>
            <w:noWrap/>
            <w:vAlign w:val="bottom"/>
            <w:hideMark/>
          </w:tcPr>
          <w:p w14:paraId="12FCD1BF"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w:t>
            </w:r>
          </w:p>
        </w:tc>
      </w:tr>
      <w:tr w:rsidR="00B26DF6" w14:paraId="381FC255" w14:textId="77777777" w:rsidTr="00452613">
        <w:trPr>
          <w:trHeight w:val="315"/>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14:paraId="1812FF81"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xml:space="preserve">Cost of </w:t>
            </w:r>
            <w:r w:rsidRPr="00421EA5">
              <w:rPr>
                <w:rFonts w:ascii="Times New Roman" w:eastAsia="Times New Roman" w:hAnsi="Times New Roman" w:cs="Times New Roman"/>
                <w:sz w:val="24"/>
                <w:szCs w:val="24"/>
              </w:rPr>
              <w:t>upgrading</w:t>
            </w:r>
            <w:r w:rsidRPr="000E5003">
              <w:rPr>
                <w:rFonts w:ascii="Times New Roman" w:eastAsia="Times New Roman" w:hAnsi="Times New Roman" w:cs="Times New Roman"/>
                <w:sz w:val="24"/>
                <w:szCs w:val="24"/>
              </w:rPr>
              <w:t xml:space="preserve"> the current website</w:t>
            </w:r>
          </w:p>
        </w:tc>
        <w:tc>
          <w:tcPr>
            <w:tcW w:w="2147" w:type="dxa"/>
            <w:tcBorders>
              <w:top w:val="nil"/>
              <w:left w:val="nil"/>
              <w:bottom w:val="single" w:sz="4" w:space="0" w:color="auto"/>
              <w:right w:val="single" w:sz="4" w:space="0" w:color="auto"/>
            </w:tcBorders>
            <w:shd w:val="clear" w:color="auto" w:fill="auto"/>
            <w:noWrap/>
            <w:vAlign w:val="bottom"/>
            <w:hideMark/>
          </w:tcPr>
          <w:p w14:paraId="2BE0BB00"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xml:space="preserve"> £50,000.00 </w:t>
            </w:r>
          </w:p>
        </w:tc>
        <w:tc>
          <w:tcPr>
            <w:tcW w:w="2268" w:type="dxa"/>
            <w:tcBorders>
              <w:top w:val="nil"/>
              <w:left w:val="nil"/>
              <w:bottom w:val="single" w:sz="4" w:space="0" w:color="auto"/>
              <w:right w:val="single" w:sz="4" w:space="0" w:color="auto"/>
            </w:tcBorders>
            <w:shd w:val="clear" w:color="auto" w:fill="auto"/>
            <w:noWrap/>
            <w:vAlign w:val="bottom"/>
            <w:hideMark/>
          </w:tcPr>
          <w:p w14:paraId="6772BF3F"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w:t>
            </w:r>
          </w:p>
        </w:tc>
      </w:tr>
      <w:tr w:rsidR="00B26DF6" w14:paraId="541E5419" w14:textId="77777777" w:rsidTr="00452613">
        <w:trPr>
          <w:trHeight w:val="315"/>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14:paraId="356F06AE"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Fulltime IT programmer salary</w:t>
            </w:r>
          </w:p>
        </w:tc>
        <w:tc>
          <w:tcPr>
            <w:tcW w:w="2147" w:type="dxa"/>
            <w:tcBorders>
              <w:top w:val="nil"/>
              <w:left w:val="nil"/>
              <w:bottom w:val="single" w:sz="4" w:space="0" w:color="auto"/>
              <w:right w:val="single" w:sz="4" w:space="0" w:color="auto"/>
            </w:tcBorders>
            <w:shd w:val="clear" w:color="auto" w:fill="auto"/>
            <w:noWrap/>
            <w:vAlign w:val="bottom"/>
            <w:hideMark/>
          </w:tcPr>
          <w:p w14:paraId="7F6005D7"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xml:space="preserve"> £35,000.00 </w:t>
            </w:r>
          </w:p>
        </w:tc>
        <w:tc>
          <w:tcPr>
            <w:tcW w:w="2268" w:type="dxa"/>
            <w:tcBorders>
              <w:top w:val="nil"/>
              <w:left w:val="nil"/>
              <w:bottom w:val="single" w:sz="4" w:space="0" w:color="auto"/>
              <w:right w:val="single" w:sz="4" w:space="0" w:color="auto"/>
            </w:tcBorders>
            <w:shd w:val="clear" w:color="auto" w:fill="auto"/>
            <w:noWrap/>
            <w:vAlign w:val="bottom"/>
            <w:hideMark/>
          </w:tcPr>
          <w:p w14:paraId="21CD17FF"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w:t>
            </w:r>
          </w:p>
        </w:tc>
      </w:tr>
      <w:tr w:rsidR="00B26DF6" w14:paraId="12A1A82E" w14:textId="77777777" w:rsidTr="00452613">
        <w:trPr>
          <w:trHeight w:val="315"/>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14:paraId="2A8D2158"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Amazon fulfilment fees</w:t>
            </w:r>
          </w:p>
        </w:tc>
        <w:tc>
          <w:tcPr>
            <w:tcW w:w="2147" w:type="dxa"/>
            <w:tcBorders>
              <w:top w:val="nil"/>
              <w:left w:val="nil"/>
              <w:bottom w:val="single" w:sz="4" w:space="0" w:color="auto"/>
              <w:right w:val="single" w:sz="4" w:space="0" w:color="auto"/>
            </w:tcBorders>
            <w:shd w:val="clear" w:color="auto" w:fill="auto"/>
            <w:noWrap/>
            <w:vAlign w:val="bottom"/>
            <w:hideMark/>
          </w:tcPr>
          <w:p w14:paraId="0344F3C8"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w:t>
            </w:r>
          </w:p>
        </w:tc>
        <w:tc>
          <w:tcPr>
            <w:tcW w:w="2268" w:type="dxa"/>
            <w:tcBorders>
              <w:top w:val="nil"/>
              <w:left w:val="nil"/>
              <w:bottom w:val="single" w:sz="4" w:space="0" w:color="auto"/>
              <w:right w:val="single" w:sz="4" w:space="0" w:color="auto"/>
            </w:tcBorders>
            <w:shd w:val="clear" w:color="auto" w:fill="auto"/>
            <w:noWrap/>
            <w:vAlign w:val="bottom"/>
            <w:hideMark/>
          </w:tcPr>
          <w:p w14:paraId="0748E5B9"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xml:space="preserve"> £50,000.00 </w:t>
            </w:r>
          </w:p>
        </w:tc>
      </w:tr>
      <w:tr w:rsidR="00B26DF6" w14:paraId="23F21CA0" w14:textId="77777777" w:rsidTr="00452613">
        <w:trPr>
          <w:trHeight w:val="315"/>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14:paraId="5EBD9922"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w:t>
            </w:r>
          </w:p>
        </w:tc>
        <w:tc>
          <w:tcPr>
            <w:tcW w:w="2147" w:type="dxa"/>
            <w:tcBorders>
              <w:top w:val="nil"/>
              <w:left w:val="nil"/>
              <w:bottom w:val="single" w:sz="4" w:space="0" w:color="auto"/>
              <w:right w:val="single" w:sz="4" w:space="0" w:color="auto"/>
            </w:tcBorders>
            <w:shd w:val="clear" w:color="auto" w:fill="auto"/>
            <w:noWrap/>
            <w:vAlign w:val="bottom"/>
            <w:hideMark/>
          </w:tcPr>
          <w:p w14:paraId="2AA8934B"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w:t>
            </w:r>
          </w:p>
        </w:tc>
        <w:tc>
          <w:tcPr>
            <w:tcW w:w="2268" w:type="dxa"/>
            <w:tcBorders>
              <w:top w:val="nil"/>
              <w:left w:val="nil"/>
              <w:bottom w:val="single" w:sz="4" w:space="0" w:color="auto"/>
              <w:right w:val="single" w:sz="4" w:space="0" w:color="auto"/>
            </w:tcBorders>
            <w:shd w:val="clear" w:color="auto" w:fill="auto"/>
            <w:noWrap/>
            <w:vAlign w:val="bottom"/>
            <w:hideMark/>
          </w:tcPr>
          <w:p w14:paraId="20276FA0" w14:textId="77777777" w:rsidR="00B26DF6" w:rsidRPr="000E5003" w:rsidRDefault="00B26DF6" w:rsidP="00452613">
            <w:pPr>
              <w:spacing w:after="0" w:line="240" w:lineRule="auto"/>
              <w:rPr>
                <w:rFonts w:ascii="Times New Roman" w:eastAsia="Times New Roman" w:hAnsi="Times New Roman" w:cs="Times New Roman"/>
                <w:sz w:val="24"/>
                <w:szCs w:val="24"/>
              </w:rPr>
            </w:pPr>
            <w:r w:rsidRPr="000E5003">
              <w:rPr>
                <w:rFonts w:ascii="Times New Roman" w:eastAsia="Times New Roman" w:hAnsi="Times New Roman" w:cs="Times New Roman"/>
                <w:sz w:val="24"/>
                <w:szCs w:val="24"/>
              </w:rPr>
              <w:t> </w:t>
            </w:r>
          </w:p>
        </w:tc>
      </w:tr>
      <w:tr w:rsidR="00B26DF6" w14:paraId="565F666D" w14:textId="77777777" w:rsidTr="00452613">
        <w:trPr>
          <w:trHeight w:val="315"/>
        </w:trPr>
        <w:tc>
          <w:tcPr>
            <w:tcW w:w="3660" w:type="dxa"/>
            <w:tcBorders>
              <w:top w:val="nil"/>
              <w:left w:val="single" w:sz="4" w:space="0" w:color="auto"/>
              <w:bottom w:val="single" w:sz="4" w:space="0" w:color="auto"/>
              <w:right w:val="single" w:sz="4" w:space="0" w:color="auto"/>
            </w:tcBorders>
            <w:shd w:val="clear" w:color="auto" w:fill="auto"/>
            <w:noWrap/>
            <w:vAlign w:val="bottom"/>
            <w:hideMark/>
          </w:tcPr>
          <w:p w14:paraId="1A40F540" w14:textId="77777777" w:rsidR="00B26DF6" w:rsidRPr="000E5003" w:rsidRDefault="00B26DF6" w:rsidP="00452613">
            <w:pPr>
              <w:spacing w:after="0" w:line="240" w:lineRule="auto"/>
              <w:rPr>
                <w:rFonts w:ascii="Times New Roman" w:eastAsia="Times New Roman" w:hAnsi="Times New Roman" w:cs="Times New Roman"/>
                <w:b/>
                <w:bCs/>
                <w:sz w:val="24"/>
                <w:szCs w:val="24"/>
              </w:rPr>
            </w:pPr>
            <w:r w:rsidRPr="000E5003">
              <w:rPr>
                <w:rFonts w:ascii="Times New Roman" w:eastAsia="Times New Roman" w:hAnsi="Times New Roman" w:cs="Times New Roman"/>
                <w:b/>
                <w:bCs/>
                <w:sz w:val="24"/>
                <w:szCs w:val="24"/>
              </w:rPr>
              <w:t>Incremental profit</w:t>
            </w:r>
          </w:p>
        </w:tc>
        <w:tc>
          <w:tcPr>
            <w:tcW w:w="2147" w:type="dxa"/>
            <w:tcBorders>
              <w:top w:val="nil"/>
              <w:left w:val="nil"/>
              <w:bottom w:val="single" w:sz="4" w:space="0" w:color="auto"/>
              <w:right w:val="single" w:sz="4" w:space="0" w:color="auto"/>
            </w:tcBorders>
            <w:shd w:val="clear" w:color="auto" w:fill="auto"/>
            <w:noWrap/>
            <w:vAlign w:val="bottom"/>
            <w:hideMark/>
          </w:tcPr>
          <w:p w14:paraId="490D6AE5" w14:textId="77777777" w:rsidR="00B26DF6" w:rsidRPr="000E5003" w:rsidRDefault="00B26DF6" w:rsidP="00452613">
            <w:pPr>
              <w:spacing w:after="0" w:line="240" w:lineRule="auto"/>
              <w:rPr>
                <w:rFonts w:ascii="Times New Roman" w:eastAsia="Times New Roman" w:hAnsi="Times New Roman" w:cs="Times New Roman"/>
                <w:b/>
                <w:bCs/>
                <w:sz w:val="24"/>
                <w:szCs w:val="24"/>
              </w:rPr>
            </w:pPr>
            <w:r w:rsidRPr="000E5003">
              <w:rPr>
                <w:rFonts w:ascii="Times New Roman" w:eastAsia="Times New Roman" w:hAnsi="Times New Roman" w:cs="Times New Roman"/>
                <w:b/>
                <w:bCs/>
                <w:sz w:val="24"/>
                <w:szCs w:val="24"/>
              </w:rPr>
              <w:t xml:space="preserve"> £1,015,000.00 </w:t>
            </w:r>
          </w:p>
        </w:tc>
        <w:tc>
          <w:tcPr>
            <w:tcW w:w="2268" w:type="dxa"/>
            <w:tcBorders>
              <w:top w:val="nil"/>
              <w:left w:val="nil"/>
              <w:bottom w:val="single" w:sz="4" w:space="0" w:color="auto"/>
              <w:right w:val="single" w:sz="4" w:space="0" w:color="auto"/>
            </w:tcBorders>
            <w:shd w:val="clear" w:color="auto" w:fill="auto"/>
            <w:noWrap/>
            <w:vAlign w:val="bottom"/>
            <w:hideMark/>
          </w:tcPr>
          <w:p w14:paraId="22CABA72" w14:textId="77777777" w:rsidR="00B26DF6" w:rsidRPr="000E5003" w:rsidRDefault="00B26DF6" w:rsidP="00452613">
            <w:pPr>
              <w:spacing w:after="0" w:line="240" w:lineRule="auto"/>
              <w:rPr>
                <w:rFonts w:ascii="Times New Roman" w:eastAsia="Times New Roman" w:hAnsi="Times New Roman" w:cs="Times New Roman"/>
                <w:b/>
                <w:bCs/>
                <w:sz w:val="24"/>
                <w:szCs w:val="24"/>
              </w:rPr>
            </w:pPr>
            <w:r w:rsidRPr="000E5003">
              <w:rPr>
                <w:rFonts w:ascii="Times New Roman" w:eastAsia="Times New Roman" w:hAnsi="Times New Roman" w:cs="Times New Roman"/>
                <w:b/>
                <w:bCs/>
                <w:sz w:val="24"/>
                <w:szCs w:val="24"/>
              </w:rPr>
              <w:t xml:space="preserve"> £1,200,000.00 </w:t>
            </w:r>
          </w:p>
        </w:tc>
      </w:tr>
    </w:tbl>
    <w:p w14:paraId="24E95A96" w14:textId="77777777" w:rsidR="00B26DF6" w:rsidRPr="00421EA5" w:rsidRDefault="00B26DF6" w:rsidP="00B26DF6">
      <w:pPr>
        <w:pStyle w:val="NormalWeb"/>
        <w:shd w:val="clear" w:color="auto" w:fill="FFFFFF"/>
        <w:spacing w:before="0" w:beforeAutospacing="0" w:after="0" w:afterAutospacing="0" w:line="480" w:lineRule="auto"/>
        <w:textAlignment w:val="baseline"/>
        <w:rPr>
          <w:lang w:val="en-GB"/>
        </w:rPr>
      </w:pPr>
      <w:r w:rsidRPr="00421EA5">
        <w:rPr>
          <w:lang w:val="en-GB"/>
        </w:rPr>
        <w:tab/>
        <w:t xml:space="preserve">Even though the two option offers a higher sales volume, only </w:t>
      </w:r>
      <w:r>
        <w:rPr>
          <w:lang w:val="en-GB"/>
        </w:rPr>
        <w:t>£</w:t>
      </w:r>
      <w:r w:rsidRPr="00421EA5">
        <w:rPr>
          <w:lang w:val="en-GB"/>
        </w:rPr>
        <w:t xml:space="preserve">50,000 will be sold assuming the production capacity is the budgeted 100,000 units. Therefore, 50% of 100,000 will be 50,000 unis. Given the incremental analysis above, selling on Amazon will result in higher incremental profit for Amana Limited. </w:t>
      </w:r>
      <w:proofErr w:type="gramStart"/>
      <w:r w:rsidRPr="00421EA5">
        <w:rPr>
          <w:lang w:val="en-GB"/>
        </w:rPr>
        <w:t>Despite the fact that</w:t>
      </w:r>
      <w:proofErr w:type="gramEnd"/>
      <w:r w:rsidRPr="00421EA5">
        <w:rPr>
          <w:lang w:val="en-GB"/>
        </w:rPr>
        <w:t xml:space="preserve"> the market research indicates that setting up its own website or online store will result in a guaranteed sales volume of 100,000; the company will incur an upfront cost of </w:t>
      </w:r>
      <w:r>
        <w:rPr>
          <w:lang w:val="en-GB"/>
        </w:rPr>
        <w:t>£</w:t>
      </w:r>
      <w:r w:rsidRPr="00421EA5">
        <w:rPr>
          <w:lang w:val="en-GB"/>
        </w:rPr>
        <w:t>200,000 (</w:t>
      </w:r>
      <w:r>
        <w:rPr>
          <w:lang w:val="en-GB"/>
        </w:rPr>
        <w:t>£</w:t>
      </w:r>
      <w:r w:rsidRPr="00421EA5">
        <w:rPr>
          <w:lang w:val="en-GB"/>
        </w:rPr>
        <w:t xml:space="preserve">150,000 to set up a delivery network and </w:t>
      </w:r>
      <w:r>
        <w:rPr>
          <w:lang w:val="en-GB"/>
        </w:rPr>
        <w:t>£</w:t>
      </w:r>
      <w:r w:rsidRPr="00421EA5">
        <w:rPr>
          <w:lang w:val="en-GB"/>
        </w:rPr>
        <w:t xml:space="preserve">50,000 to upgrade its current website to be able to handle large sales volume) as well as an annual recurring cost of </w:t>
      </w:r>
      <w:r>
        <w:rPr>
          <w:lang w:val="en-GB"/>
        </w:rPr>
        <w:t>£</w:t>
      </w:r>
      <w:r w:rsidRPr="00421EA5">
        <w:rPr>
          <w:lang w:val="en-GB"/>
        </w:rPr>
        <w:t xml:space="preserve">35,000 to hire a fulltime IT programmer to </w:t>
      </w:r>
      <w:r w:rsidRPr="00421EA5">
        <w:rPr>
          <w:lang w:val="en-GB"/>
        </w:rPr>
        <w:lastRenderedPageBreak/>
        <w:t xml:space="preserve">maintain the online store. However, by selling on Amazon, Amana Ltd will incur an annual recurring cost of </w:t>
      </w:r>
      <w:r>
        <w:rPr>
          <w:lang w:val="en-GB"/>
        </w:rPr>
        <w:t>£</w:t>
      </w:r>
      <w:r w:rsidRPr="00421EA5">
        <w:rPr>
          <w:lang w:val="en-GB"/>
        </w:rPr>
        <w:t xml:space="preserve">50,000 but will result in a guaranteed sales volume of </w:t>
      </w:r>
      <w:r>
        <w:rPr>
          <w:lang w:val="en-GB"/>
        </w:rPr>
        <w:t>£</w:t>
      </w:r>
      <w:r w:rsidRPr="00421EA5">
        <w:rPr>
          <w:lang w:val="en-GB"/>
        </w:rPr>
        <w:t xml:space="preserve">65,000 each year. When a sales volume of 50,000 (50% of its current sales) is taken, selling on Amazon will result in an incremental profit of </w:t>
      </w:r>
      <w:r>
        <w:rPr>
          <w:lang w:val="en-GB"/>
        </w:rPr>
        <w:t>£</w:t>
      </w:r>
      <w:r w:rsidRPr="00421EA5">
        <w:rPr>
          <w:lang w:val="en-GB"/>
        </w:rPr>
        <w:t xml:space="preserve">1,200,000, which is higher than setting up its own online store of </w:t>
      </w:r>
      <w:r>
        <w:rPr>
          <w:lang w:val="en-GB"/>
        </w:rPr>
        <w:t>£</w:t>
      </w:r>
      <w:r w:rsidRPr="00421EA5">
        <w:rPr>
          <w:lang w:val="en-GB"/>
        </w:rPr>
        <w:t xml:space="preserve">1,015,000. As a result, Amana’s CEO should sell on Amazon to save on operating costs in terms of high upfront costs and recurring expenses associated with setting own online store. </w:t>
      </w:r>
    </w:p>
    <w:p w14:paraId="2744F10E" w14:textId="77777777" w:rsidR="00B26DF6" w:rsidRPr="00421EA5" w:rsidRDefault="00B26DF6" w:rsidP="00B26DF6">
      <w:pPr>
        <w:pStyle w:val="NormalWeb"/>
        <w:shd w:val="clear" w:color="auto" w:fill="FFFFFF"/>
        <w:spacing w:before="0" w:beforeAutospacing="0" w:after="0" w:afterAutospacing="0" w:line="480" w:lineRule="auto"/>
        <w:textAlignment w:val="baseline"/>
        <w:rPr>
          <w:lang w:val="en-GB"/>
        </w:rPr>
      </w:pPr>
      <w:r w:rsidRPr="00421EA5">
        <w:rPr>
          <w:lang w:val="en-GB"/>
        </w:rPr>
        <w:tab/>
        <w:t xml:space="preserve">Other than the investment decision involved </w:t>
      </w:r>
      <w:proofErr w:type="gramStart"/>
      <w:r w:rsidRPr="00421EA5">
        <w:rPr>
          <w:lang w:val="en-GB"/>
        </w:rPr>
        <w:t>on the basis of</w:t>
      </w:r>
      <w:proofErr w:type="gramEnd"/>
      <w:r w:rsidRPr="00421EA5">
        <w:rPr>
          <w:lang w:val="en-GB"/>
        </w:rPr>
        <w:t xml:space="preserve"> the figure above, the company CEO of the company needs to take into consideration the current visibility of the chosen online brand within the U.S. Europe, and the UK as well as the marketing costs associated with increasing its brand awareness within such regions. Amana Ltd is operating physical stores within select locations in the UK and hence has a limited brand awareness overseas as it is only known in a few parts of the UK. According to </w:t>
      </w:r>
      <w:proofErr w:type="spellStart"/>
      <w:r w:rsidRPr="00421EA5">
        <w:rPr>
          <w:lang w:val="en-GB"/>
        </w:rPr>
        <w:t>Dowsett</w:t>
      </w:r>
      <w:proofErr w:type="spellEnd"/>
      <w:r w:rsidRPr="00421EA5">
        <w:rPr>
          <w:lang w:val="en-GB"/>
        </w:rPr>
        <w:t xml:space="preserve"> and Fares (2019), Amazon is experiencing significant growth, which is enticing many retailers who then decide to offer their products on the platform to take advantage of the significant customer reach. The sales of online retailers </w:t>
      </w:r>
      <w:r>
        <w:rPr>
          <w:lang w:val="en-GB"/>
        </w:rPr>
        <w:t>have grown</w:t>
      </w:r>
      <w:r w:rsidRPr="00421EA5">
        <w:rPr>
          <w:lang w:val="en-GB"/>
        </w:rPr>
        <w:t xml:space="preserve"> at double-digit percentage rates in all western European nations (Pal, 2018). As a result, venturing onto the online platform through a well-established electronic commerce platform will enable Amana Ltd to attract and retain more customers thereby increasing its sales revenue.</w:t>
      </w:r>
    </w:p>
    <w:p w14:paraId="1AE06148" w14:textId="77777777" w:rsidR="00B26DF6" w:rsidRPr="00421EA5" w:rsidRDefault="00B26DF6" w:rsidP="00B26DF6">
      <w:pPr>
        <w:pStyle w:val="NormalWeb"/>
        <w:shd w:val="clear" w:color="auto" w:fill="FFFFFF"/>
        <w:spacing w:before="0" w:beforeAutospacing="0" w:after="0" w:afterAutospacing="0" w:line="480" w:lineRule="auto"/>
        <w:textAlignment w:val="baseline"/>
        <w:rPr>
          <w:lang w:val="en-GB"/>
        </w:rPr>
      </w:pPr>
      <w:r w:rsidRPr="00421EA5">
        <w:rPr>
          <w:lang w:val="en-GB"/>
        </w:rPr>
        <w:tab/>
        <w:t xml:space="preserve">Taking into consideration such factors, Amana's CEO should consider selecting to offer its products through Amazon for the first few years as it establishes its brand awareness within the market. Even though it is likely that Amana Ltd will face stiff competition on the platform due to the existence of a wide variety of products offered by companies through this seller space, the CEO will obtain real feedback </w:t>
      </w:r>
      <w:proofErr w:type="gramStart"/>
      <w:r w:rsidRPr="00421EA5">
        <w:rPr>
          <w:lang w:val="en-GB"/>
        </w:rPr>
        <w:t>in regards to</w:t>
      </w:r>
      <w:proofErr w:type="gramEnd"/>
      <w:r w:rsidRPr="00421EA5">
        <w:rPr>
          <w:lang w:val="en-GB"/>
        </w:rPr>
        <w:t xml:space="preserve"> the level of acceptance of its products within the chosen markets. Moreover, the CEO will have the capacity to build </w:t>
      </w:r>
      <w:r w:rsidRPr="00421EA5">
        <w:rPr>
          <w:lang w:val="en-GB"/>
        </w:rPr>
        <w:lastRenderedPageBreak/>
        <w:t xml:space="preserve">marketing campaigns accordingly thereby increasing customer loyalty and awareness in the long </w:t>
      </w:r>
      <w:r>
        <w:rPr>
          <w:lang w:val="en-GB"/>
        </w:rPr>
        <w:t>term</w:t>
      </w:r>
      <w:r w:rsidRPr="00421EA5">
        <w:rPr>
          <w:lang w:val="en-GB"/>
        </w:rPr>
        <w:t>. By s</w:t>
      </w:r>
      <w:r>
        <w:rPr>
          <w:lang w:val="en-GB"/>
        </w:rPr>
        <w:t xml:space="preserve">ubstantially improving </w:t>
      </w:r>
      <w:r w:rsidRPr="00421EA5">
        <w:rPr>
          <w:lang w:val="en-GB"/>
        </w:rPr>
        <w:t xml:space="preserve">the brand awareness of the product within the targeted market during the first few years, the CEO will have to take into consideration switching its operations to its own online store for its souvenirs. </w:t>
      </w:r>
    </w:p>
    <w:p w14:paraId="2D00CDAA" w14:textId="77777777" w:rsidR="00B26DF6" w:rsidRPr="00421EA5" w:rsidRDefault="00B26DF6" w:rsidP="00B26DF6">
      <w:pPr>
        <w:spacing w:after="0" w:line="480" w:lineRule="auto"/>
        <w:rPr>
          <w:rFonts w:ascii="Times New Roman" w:hAnsi="Times New Roman" w:cs="Times New Roman"/>
          <w:sz w:val="24"/>
          <w:szCs w:val="24"/>
        </w:rPr>
      </w:pPr>
    </w:p>
    <w:p w14:paraId="12DEC9AD" w14:textId="77777777" w:rsidR="00B26DF6" w:rsidRPr="00421EA5" w:rsidRDefault="00B26DF6" w:rsidP="00B26DF6">
      <w:pPr>
        <w:spacing w:after="0" w:line="480" w:lineRule="auto"/>
        <w:rPr>
          <w:rFonts w:ascii="Times New Roman" w:hAnsi="Times New Roman" w:cs="Times New Roman"/>
          <w:sz w:val="24"/>
          <w:szCs w:val="24"/>
        </w:rPr>
      </w:pPr>
    </w:p>
    <w:p w14:paraId="07EBC04D" w14:textId="77777777" w:rsidR="00B26DF6" w:rsidRPr="00421EA5" w:rsidRDefault="00B26DF6" w:rsidP="00B26DF6">
      <w:pPr>
        <w:spacing w:after="0" w:line="480" w:lineRule="auto"/>
        <w:rPr>
          <w:rFonts w:ascii="Times New Roman" w:hAnsi="Times New Roman" w:cs="Times New Roman"/>
          <w:sz w:val="24"/>
          <w:szCs w:val="24"/>
        </w:rPr>
      </w:pPr>
    </w:p>
    <w:p w14:paraId="7A3D0443" w14:textId="77777777" w:rsidR="00B26DF6" w:rsidRPr="00421EA5" w:rsidRDefault="00B26DF6" w:rsidP="00B26DF6">
      <w:pPr>
        <w:spacing w:after="0" w:line="480" w:lineRule="auto"/>
        <w:rPr>
          <w:rFonts w:ascii="Times New Roman" w:hAnsi="Times New Roman" w:cs="Times New Roman"/>
          <w:sz w:val="24"/>
          <w:szCs w:val="24"/>
        </w:rPr>
      </w:pPr>
    </w:p>
    <w:p w14:paraId="11D98AAF" w14:textId="77777777" w:rsidR="00B26DF6" w:rsidRPr="00421EA5" w:rsidRDefault="00B26DF6" w:rsidP="00B26DF6">
      <w:pPr>
        <w:spacing w:after="0" w:line="480" w:lineRule="auto"/>
        <w:rPr>
          <w:rFonts w:ascii="Times New Roman" w:hAnsi="Times New Roman" w:cs="Times New Roman"/>
          <w:sz w:val="24"/>
          <w:szCs w:val="24"/>
        </w:rPr>
      </w:pPr>
    </w:p>
    <w:p w14:paraId="61AA174A" w14:textId="77777777" w:rsidR="00B26DF6" w:rsidRPr="00421EA5" w:rsidRDefault="00B26DF6" w:rsidP="00B26DF6">
      <w:pPr>
        <w:spacing w:after="0" w:line="480" w:lineRule="auto"/>
        <w:rPr>
          <w:rFonts w:ascii="Times New Roman" w:hAnsi="Times New Roman" w:cs="Times New Roman"/>
          <w:sz w:val="24"/>
          <w:szCs w:val="24"/>
        </w:rPr>
      </w:pPr>
    </w:p>
    <w:p w14:paraId="554C692B" w14:textId="77777777" w:rsidR="00B26DF6" w:rsidRPr="00421EA5" w:rsidRDefault="00B26DF6" w:rsidP="00B26DF6">
      <w:pPr>
        <w:spacing w:after="0" w:line="480" w:lineRule="auto"/>
        <w:rPr>
          <w:rFonts w:ascii="Times New Roman" w:hAnsi="Times New Roman" w:cs="Times New Roman"/>
          <w:sz w:val="24"/>
          <w:szCs w:val="24"/>
        </w:rPr>
      </w:pPr>
    </w:p>
    <w:p w14:paraId="6F6B770D" w14:textId="77777777" w:rsidR="00B26DF6" w:rsidRPr="00421EA5" w:rsidRDefault="00B26DF6" w:rsidP="00B26DF6">
      <w:pPr>
        <w:spacing w:after="0" w:line="480" w:lineRule="auto"/>
        <w:rPr>
          <w:rFonts w:ascii="Times New Roman" w:hAnsi="Times New Roman" w:cs="Times New Roman"/>
          <w:sz w:val="24"/>
          <w:szCs w:val="24"/>
        </w:rPr>
      </w:pPr>
    </w:p>
    <w:p w14:paraId="08C32529" w14:textId="77777777" w:rsidR="00B26DF6" w:rsidRPr="00421EA5" w:rsidRDefault="00B26DF6" w:rsidP="00B26DF6">
      <w:pPr>
        <w:spacing w:after="0" w:line="480" w:lineRule="auto"/>
        <w:rPr>
          <w:rFonts w:ascii="Times New Roman" w:hAnsi="Times New Roman" w:cs="Times New Roman"/>
          <w:sz w:val="24"/>
          <w:szCs w:val="24"/>
        </w:rPr>
      </w:pPr>
    </w:p>
    <w:p w14:paraId="41755E0D" w14:textId="77777777" w:rsidR="00B26DF6" w:rsidRPr="00421EA5" w:rsidRDefault="00B26DF6" w:rsidP="00B26DF6">
      <w:pPr>
        <w:spacing w:after="0" w:line="480" w:lineRule="auto"/>
        <w:rPr>
          <w:rFonts w:ascii="Times New Roman" w:hAnsi="Times New Roman" w:cs="Times New Roman"/>
          <w:sz w:val="24"/>
          <w:szCs w:val="24"/>
        </w:rPr>
      </w:pPr>
    </w:p>
    <w:p w14:paraId="4EA5EF7D" w14:textId="77777777" w:rsidR="00B26DF6" w:rsidRPr="00421EA5" w:rsidRDefault="00B26DF6" w:rsidP="00B26DF6">
      <w:pPr>
        <w:spacing w:after="0" w:line="480" w:lineRule="auto"/>
        <w:rPr>
          <w:rFonts w:ascii="Times New Roman" w:hAnsi="Times New Roman" w:cs="Times New Roman"/>
          <w:sz w:val="24"/>
          <w:szCs w:val="24"/>
        </w:rPr>
      </w:pPr>
    </w:p>
    <w:p w14:paraId="4EE17549" w14:textId="77777777" w:rsidR="00B26DF6" w:rsidRPr="00421EA5" w:rsidRDefault="00B26DF6" w:rsidP="00B26DF6">
      <w:pPr>
        <w:spacing w:after="0" w:line="480" w:lineRule="auto"/>
        <w:rPr>
          <w:rFonts w:ascii="Times New Roman" w:hAnsi="Times New Roman" w:cs="Times New Roman"/>
          <w:sz w:val="24"/>
          <w:szCs w:val="24"/>
        </w:rPr>
      </w:pPr>
    </w:p>
    <w:p w14:paraId="3A5D5A6B" w14:textId="77777777" w:rsidR="00B26DF6" w:rsidRPr="00421EA5" w:rsidRDefault="00B26DF6" w:rsidP="00B26DF6">
      <w:pPr>
        <w:spacing w:after="0" w:line="480" w:lineRule="auto"/>
        <w:rPr>
          <w:rFonts w:ascii="Times New Roman" w:hAnsi="Times New Roman" w:cs="Times New Roman"/>
          <w:sz w:val="24"/>
          <w:szCs w:val="24"/>
        </w:rPr>
      </w:pPr>
    </w:p>
    <w:p w14:paraId="2A62A01A" w14:textId="77777777" w:rsidR="00B26DF6" w:rsidRPr="00421EA5" w:rsidRDefault="00B26DF6" w:rsidP="00B26DF6">
      <w:pPr>
        <w:spacing w:after="0" w:line="480" w:lineRule="auto"/>
        <w:rPr>
          <w:rFonts w:ascii="Times New Roman" w:hAnsi="Times New Roman" w:cs="Times New Roman"/>
          <w:sz w:val="24"/>
          <w:szCs w:val="24"/>
        </w:rPr>
      </w:pPr>
    </w:p>
    <w:p w14:paraId="24A4C822" w14:textId="77777777" w:rsidR="00B26DF6" w:rsidRPr="00421EA5" w:rsidRDefault="00B26DF6" w:rsidP="00B26DF6">
      <w:pPr>
        <w:spacing w:after="0" w:line="480" w:lineRule="auto"/>
        <w:rPr>
          <w:rFonts w:ascii="Times New Roman" w:hAnsi="Times New Roman" w:cs="Times New Roman"/>
          <w:sz w:val="24"/>
          <w:szCs w:val="24"/>
        </w:rPr>
      </w:pPr>
    </w:p>
    <w:p w14:paraId="609E8D27" w14:textId="77777777" w:rsidR="00B26DF6" w:rsidRPr="00421EA5" w:rsidRDefault="00B26DF6" w:rsidP="00B26DF6">
      <w:pPr>
        <w:spacing w:after="0" w:line="480" w:lineRule="auto"/>
        <w:rPr>
          <w:rFonts w:ascii="Times New Roman" w:hAnsi="Times New Roman" w:cs="Times New Roman"/>
          <w:sz w:val="24"/>
          <w:szCs w:val="24"/>
        </w:rPr>
      </w:pPr>
    </w:p>
    <w:p w14:paraId="3D99F1FA" w14:textId="77777777" w:rsidR="00B26DF6" w:rsidRPr="00421EA5" w:rsidRDefault="00B26DF6" w:rsidP="00B26DF6">
      <w:pPr>
        <w:spacing w:after="0" w:line="480" w:lineRule="auto"/>
        <w:rPr>
          <w:rFonts w:ascii="Times New Roman" w:hAnsi="Times New Roman" w:cs="Times New Roman"/>
          <w:sz w:val="24"/>
          <w:szCs w:val="24"/>
        </w:rPr>
      </w:pPr>
    </w:p>
    <w:p w14:paraId="55E4D15F" w14:textId="77777777" w:rsidR="00B26DF6" w:rsidRPr="00421EA5" w:rsidRDefault="00B26DF6" w:rsidP="00B26DF6">
      <w:pPr>
        <w:spacing w:after="0" w:line="480" w:lineRule="auto"/>
        <w:rPr>
          <w:rFonts w:ascii="Times New Roman" w:hAnsi="Times New Roman" w:cs="Times New Roman"/>
          <w:sz w:val="24"/>
          <w:szCs w:val="24"/>
        </w:rPr>
      </w:pPr>
    </w:p>
    <w:p w14:paraId="46410347" w14:textId="77777777" w:rsidR="00B26DF6" w:rsidRDefault="00B26DF6" w:rsidP="00B26DF6">
      <w:pPr>
        <w:spacing w:after="0" w:line="480" w:lineRule="auto"/>
        <w:jc w:val="center"/>
        <w:rPr>
          <w:rFonts w:ascii="Times New Roman" w:hAnsi="Times New Roman" w:cs="Times New Roman"/>
          <w:sz w:val="24"/>
          <w:szCs w:val="24"/>
        </w:rPr>
      </w:pPr>
    </w:p>
    <w:p w14:paraId="523936A5" w14:textId="2A1588DF" w:rsidR="00B26DF6" w:rsidRDefault="00B26DF6" w:rsidP="00A51872">
      <w:pPr>
        <w:spacing w:after="0" w:line="480" w:lineRule="auto"/>
        <w:rPr>
          <w:rFonts w:ascii="Times New Roman" w:hAnsi="Times New Roman" w:cs="Times New Roman"/>
          <w:sz w:val="24"/>
          <w:szCs w:val="24"/>
        </w:rPr>
      </w:pPr>
    </w:p>
    <w:p w14:paraId="17308AFC" w14:textId="77777777" w:rsidR="00FC0F12" w:rsidRDefault="00FC0F12" w:rsidP="00A51872">
      <w:pPr>
        <w:spacing w:after="0" w:line="480" w:lineRule="auto"/>
        <w:rPr>
          <w:rFonts w:ascii="Times New Roman" w:hAnsi="Times New Roman" w:cs="Times New Roman"/>
          <w:sz w:val="24"/>
          <w:szCs w:val="24"/>
        </w:rPr>
      </w:pPr>
    </w:p>
    <w:p w14:paraId="77F24C27" w14:textId="77777777" w:rsidR="00B26DF6" w:rsidRPr="00A51872" w:rsidRDefault="00B26DF6" w:rsidP="00B26DF6">
      <w:pPr>
        <w:spacing w:after="0" w:line="480" w:lineRule="auto"/>
        <w:jc w:val="center"/>
        <w:rPr>
          <w:rFonts w:ascii="Times New Roman" w:hAnsi="Times New Roman" w:cs="Times New Roman"/>
          <w:b/>
          <w:bCs/>
          <w:sz w:val="32"/>
          <w:szCs w:val="32"/>
          <w:u w:val="single"/>
        </w:rPr>
      </w:pPr>
      <w:r w:rsidRPr="00A51872">
        <w:rPr>
          <w:rFonts w:ascii="Times New Roman" w:hAnsi="Times New Roman" w:cs="Times New Roman"/>
          <w:b/>
          <w:bCs/>
          <w:sz w:val="32"/>
          <w:szCs w:val="32"/>
          <w:u w:val="single"/>
        </w:rPr>
        <w:lastRenderedPageBreak/>
        <w:t>References</w:t>
      </w:r>
    </w:p>
    <w:p w14:paraId="256069CF" w14:textId="77777777" w:rsidR="00B26DF6" w:rsidRPr="00A51872" w:rsidRDefault="00B26DF6" w:rsidP="00A51872">
      <w:pPr>
        <w:pStyle w:val="ListParagraph"/>
        <w:numPr>
          <w:ilvl w:val="0"/>
          <w:numId w:val="1"/>
        </w:numPr>
        <w:spacing w:after="0" w:line="480" w:lineRule="auto"/>
        <w:rPr>
          <w:rFonts w:ascii="Times New Roman" w:hAnsi="Times New Roman" w:cs="Times New Roman"/>
          <w:sz w:val="24"/>
          <w:szCs w:val="24"/>
        </w:rPr>
      </w:pPr>
      <w:r w:rsidRPr="00A51872">
        <w:rPr>
          <w:rFonts w:ascii="Times New Roman" w:hAnsi="Times New Roman" w:cs="Times New Roman"/>
          <w:sz w:val="24"/>
          <w:szCs w:val="24"/>
        </w:rPr>
        <w:t>Alegre, J. and Sard, M., 2017. Price strategies by German and British tour operators in Mallorca. </w:t>
      </w:r>
      <w:r w:rsidRPr="00A51872">
        <w:rPr>
          <w:rFonts w:ascii="Times New Roman" w:hAnsi="Times New Roman" w:cs="Times New Roman"/>
          <w:i/>
          <w:iCs/>
          <w:sz w:val="24"/>
          <w:szCs w:val="24"/>
        </w:rPr>
        <w:t>Journal of Hospitality and Tourism Management, 33</w:t>
      </w:r>
      <w:r w:rsidRPr="00A51872">
        <w:rPr>
          <w:rFonts w:ascii="Times New Roman" w:hAnsi="Times New Roman" w:cs="Times New Roman"/>
          <w:sz w:val="24"/>
          <w:szCs w:val="24"/>
        </w:rPr>
        <w:t>, pp.93-102.</w:t>
      </w:r>
    </w:p>
    <w:p w14:paraId="7EC7E491" w14:textId="77777777" w:rsidR="00B26DF6" w:rsidRPr="00A51872" w:rsidRDefault="00B26DF6" w:rsidP="00A51872">
      <w:pPr>
        <w:pStyle w:val="ListParagraph"/>
        <w:numPr>
          <w:ilvl w:val="0"/>
          <w:numId w:val="1"/>
        </w:numPr>
        <w:spacing w:line="480" w:lineRule="auto"/>
        <w:rPr>
          <w:rFonts w:ascii="Times New Roman" w:hAnsi="Times New Roman" w:cs="Times New Roman"/>
          <w:sz w:val="24"/>
          <w:szCs w:val="24"/>
          <w:lang w:val="en-GB"/>
        </w:rPr>
      </w:pPr>
      <w:r w:rsidRPr="00A51872">
        <w:rPr>
          <w:rFonts w:ascii="Times New Roman" w:hAnsi="Times New Roman" w:cs="Times New Roman"/>
          <w:sz w:val="24"/>
          <w:szCs w:val="24"/>
          <w:lang w:val="en-GB"/>
        </w:rPr>
        <w:t xml:space="preserve">Bowsher, E. (2018, January 2018). </w:t>
      </w:r>
      <w:r w:rsidRPr="00A51872">
        <w:rPr>
          <w:rFonts w:ascii="Times New Roman" w:hAnsi="Times New Roman" w:cs="Times New Roman"/>
          <w:i/>
          <w:iCs/>
          <w:sz w:val="24"/>
          <w:szCs w:val="24"/>
          <w:lang w:val="en-GB"/>
        </w:rPr>
        <w:t>Online retail sales continue to soar</w:t>
      </w:r>
      <w:r w:rsidRPr="00A51872">
        <w:rPr>
          <w:rFonts w:ascii="Times New Roman" w:hAnsi="Times New Roman" w:cs="Times New Roman"/>
          <w:sz w:val="24"/>
          <w:szCs w:val="24"/>
          <w:lang w:val="en-GB"/>
        </w:rPr>
        <w:t>. Financial Times. Available at: https://www.ft.com/content/a8f5c780-f46d-11e7-a4c9-bbdefa4f210b</w:t>
      </w:r>
    </w:p>
    <w:p w14:paraId="55987B9F" w14:textId="77777777" w:rsidR="00B26DF6" w:rsidRPr="00A51872" w:rsidRDefault="00B26DF6" w:rsidP="00A51872">
      <w:pPr>
        <w:pStyle w:val="ListParagraph"/>
        <w:numPr>
          <w:ilvl w:val="0"/>
          <w:numId w:val="1"/>
        </w:numPr>
        <w:spacing w:after="0" w:line="480" w:lineRule="auto"/>
        <w:rPr>
          <w:rFonts w:ascii="Times New Roman" w:hAnsi="Times New Roman" w:cs="Times New Roman"/>
          <w:sz w:val="24"/>
          <w:szCs w:val="24"/>
          <w:lang w:val="en-GB"/>
        </w:rPr>
      </w:pPr>
      <w:proofErr w:type="spellStart"/>
      <w:r w:rsidRPr="00A51872">
        <w:rPr>
          <w:rFonts w:ascii="Times New Roman" w:hAnsi="Times New Roman" w:cs="Times New Roman"/>
          <w:sz w:val="24"/>
          <w:szCs w:val="24"/>
          <w:lang w:val="en-GB"/>
        </w:rPr>
        <w:t>Dowsett</w:t>
      </w:r>
      <w:proofErr w:type="spellEnd"/>
      <w:r w:rsidRPr="00A51872">
        <w:rPr>
          <w:rFonts w:ascii="Times New Roman" w:hAnsi="Times New Roman" w:cs="Times New Roman"/>
          <w:sz w:val="24"/>
          <w:szCs w:val="24"/>
          <w:lang w:val="en-GB"/>
        </w:rPr>
        <w:t xml:space="preserve">, S., &amp; Fares, M. (2019, April 2019). Selling with the enemy: Why rival retailers embrace Amazon.com. Reuters. Available at: </w:t>
      </w:r>
      <w:hyperlink r:id="rId7" w:history="1">
        <w:r w:rsidRPr="00A51872">
          <w:rPr>
            <w:rStyle w:val="Hyperlink"/>
            <w:rFonts w:ascii="Times New Roman" w:hAnsi="Times New Roman" w:cs="Times New Roman"/>
            <w:color w:val="auto"/>
            <w:sz w:val="24"/>
            <w:szCs w:val="24"/>
            <w:lang w:val="en-GB"/>
          </w:rPr>
          <w:t>https://www.reuters.com/article/us-amazon-com-brands-apparel-idUSKCN1RL0E7</w:t>
        </w:r>
      </w:hyperlink>
    </w:p>
    <w:p w14:paraId="55CB60CC" w14:textId="77777777" w:rsidR="00B26DF6" w:rsidRPr="00421EA5" w:rsidRDefault="00B26DF6" w:rsidP="00A51872">
      <w:pPr>
        <w:pStyle w:val="NormalWeb"/>
        <w:numPr>
          <w:ilvl w:val="0"/>
          <w:numId w:val="1"/>
        </w:numPr>
        <w:shd w:val="clear" w:color="auto" w:fill="FFFFFF"/>
        <w:spacing w:before="0" w:beforeAutospacing="0" w:after="0" w:afterAutospacing="0" w:line="480" w:lineRule="auto"/>
        <w:textAlignment w:val="baseline"/>
        <w:rPr>
          <w:lang w:val="en-GB"/>
        </w:rPr>
      </w:pPr>
      <w:proofErr w:type="spellStart"/>
      <w:r w:rsidRPr="00421EA5">
        <w:rPr>
          <w:lang w:val="en-GB"/>
        </w:rPr>
        <w:t>Eldenburg</w:t>
      </w:r>
      <w:proofErr w:type="spellEnd"/>
      <w:r w:rsidRPr="00421EA5">
        <w:rPr>
          <w:lang w:val="en-GB"/>
        </w:rPr>
        <w:t xml:space="preserve">, L., Brooks, A., Oliver, J., </w:t>
      </w:r>
      <w:proofErr w:type="spellStart"/>
      <w:r w:rsidRPr="00421EA5">
        <w:rPr>
          <w:lang w:val="en-GB"/>
        </w:rPr>
        <w:t>Vesty</w:t>
      </w:r>
      <w:proofErr w:type="spellEnd"/>
      <w:r w:rsidRPr="00421EA5">
        <w:rPr>
          <w:lang w:val="en-GB"/>
        </w:rPr>
        <w:t xml:space="preserve">, G., Dormer, R., Murthy, V., &amp; Pawsey, N. (2020). </w:t>
      </w:r>
      <w:r w:rsidRPr="00421EA5">
        <w:rPr>
          <w:i/>
          <w:iCs/>
          <w:lang w:val="en-GB"/>
        </w:rPr>
        <w:t>Management Accounting</w:t>
      </w:r>
      <w:r w:rsidRPr="00421EA5">
        <w:rPr>
          <w:lang w:val="en-GB"/>
        </w:rPr>
        <w:t>.</w:t>
      </w:r>
      <w:r w:rsidRPr="00421EA5">
        <w:t xml:space="preserve"> </w:t>
      </w:r>
      <w:r w:rsidRPr="00421EA5">
        <w:rPr>
          <w:lang w:val="en-GB"/>
        </w:rPr>
        <w:t>Milton, Qld: John Wiley &amp; Sons Australia, Ltd.</w:t>
      </w:r>
    </w:p>
    <w:p w14:paraId="764D4A5F" w14:textId="77777777" w:rsidR="00B26DF6" w:rsidRPr="00A51872" w:rsidRDefault="00B26DF6" w:rsidP="00A51872">
      <w:pPr>
        <w:pStyle w:val="ListParagraph"/>
        <w:numPr>
          <w:ilvl w:val="0"/>
          <w:numId w:val="1"/>
        </w:numPr>
        <w:spacing w:after="0" w:line="480" w:lineRule="auto"/>
        <w:rPr>
          <w:rFonts w:ascii="Times New Roman" w:hAnsi="Times New Roman" w:cs="Times New Roman"/>
          <w:sz w:val="24"/>
          <w:szCs w:val="24"/>
          <w:lang w:val="en-GB"/>
        </w:rPr>
      </w:pPr>
      <w:r w:rsidRPr="00A51872">
        <w:rPr>
          <w:rFonts w:ascii="Times New Roman" w:hAnsi="Times New Roman" w:cs="Times New Roman"/>
          <w:sz w:val="24"/>
          <w:szCs w:val="24"/>
          <w:lang w:val="en-GB"/>
        </w:rPr>
        <w:t xml:space="preserve">Pal, A. (2018, February 23). 'Sooner, faster, now' - the companies surfing the e-commerce wave. Reuters. Available at: </w:t>
      </w:r>
      <w:hyperlink r:id="rId8" w:history="1">
        <w:r w:rsidRPr="00A51872">
          <w:rPr>
            <w:rStyle w:val="Hyperlink"/>
            <w:rFonts w:ascii="Times New Roman" w:hAnsi="Times New Roman" w:cs="Times New Roman"/>
            <w:color w:val="auto"/>
            <w:sz w:val="24"/>
            <w:szCs w:val="24"/>
            <w:lang w:val="en-GB"/>
          </w:rPr>
          <w:t>https://www.reuters.com/article/us-internet-retail-investors-idUSKCN1G71JO</w:t>
        </w:r>
      </w:hyperlink>
    </w:p>
    <w:p w14:paraId="0E2B1DAB" w14:textId="77777777" w:rsidR="00B26DF6" w:rsidRPr="00A51872" w:rsidRDefault="00B26DF6" w:rsidP="00A51872">
      <w:pPr>
        <w:pStyle w:val="ListParagraph"/>
        <w:numPr>
          <w:ilvl w:val="0"/>
          <w:numId w:val="1"/>
        </w:numPr>
        <w:spacing w:after="0" w:line="480" w:lineRule="auto"/>
        <w:rPr>
          <w:rFonts w:ascii="Times New Roman" w:hAnsi="Times New Roman" w:cs="Times New Roman"/>
          <w:sz w:val="24"/>
          <w:szCs w:val="24"/>
        </w:rPr>
      </w:pPr>
      <w:r w:rsidRPr="00A51872">
        <w:rPr>
          <w:rFonts w:ascii="Times New Roman" w:hAnsi="Times New Roman" w:cs="Times New Roman"/>
          <w:sz w:val="24"/>
          <w:szCs w:val="24"/>
        </w:rPr>
        <w:t xml:space="preserve">Rhode, S. and Garrison, N. (2019) </w:t>
      </w:r>
      <w:r w:rsidRPr="00A51872">
        <w:rPr>
          <w:rFonts w:ascii="Times New Roman" w:hAnsi="Times New Roman" w:cs="Times New Roman"/>
          <w:i/>
          <w:iCs/>
          <w:sz w:val="24"/>
          <w:szCs w:val="24"/>
        </w:rPr>
        <w:t>Management Accounting</w:t>
      </w:r>
      <w:r w:rsidRPr="00A51872">
        <w:rPr>
          <w:rFonts w:ascii="Times New Roman" w:hAnsi="Times New Roman" w:cs="Times New Roman"/>
          <w:sz w:val="24"/>
          <w:szCs w:val="24"/>
        </w:rPr>
        <w:t>. Sixth edition. London, England: McGraw Hill.</w:t>
      </w:r>
    </w:p>
    <w:p w14:paraId="271DE60A" w14:textId="77777777" w:rsidR="00B26DF6" w:rsidRPr="00421EA5" w:rsidRDefault="00B26DF6" w:rsidP="00A51872">
      <w:pPr>
        <w:pStyle w:val="NormalWeb"/>
        <w:numPr>
          <w:ilvl w:val="0"/>
          <w:numId w:val="1"/>
        </w:numPr>
        <w:shd w:val="clear" w:color="auto" w:fill="FFFFFF"/>
        <w:spacing w:before="0" w:beforeAutospacing="0" w:after="0" w:afterAutospacing="0" w:line="480" w:lineRule="auto"/>
        <w:textAlignment w:val="baseline"/>
        <w:rPr>
          <w:lang w:val="en-GB"/>
        </w:rPr>
      </w:pPr>
      <w:r w:rsidRPr="00421EA5">
        <w:rPr>
          <w:lang w:val="en-GB"/>
        </w:rPr>
        <w:t xml:space="preserve">Weygandt, J. J., </w:t>
      </w:r>
      <w:proofErr w:type="spellStart"/>
      <w:r w:rsidRPr="00421EA5">
        <w:rPr>
          <w:lang w:val="en-GB"/>
        </w:rPr>
        <w:t>Kieso</w:t>
      </w:r>
      <w:proofErr w:type="spellEnd"/>
      <w:r w:rsidRPr="00421EA5">
        <w:rPr>
          <w:lang w:val="en-GB"/>
        </w:rPr>
        <w:t xml:space="preserve">, D. E., &amp; Kimmel, P. D. (2018). </w:t>
      </w:r>
      <w:r w:rsidRPr="00421EA5">
        <w:rPr>
          <w:i/>
          <w:iCs/>
          <w:lang w:val="en-GB"/>
        </w:rPr>
        <w:t>Financial &amp; managerial accounting</w:t>
      </w:r>
      <w:r w:rsidRPr="00421EA5">
        <w:rPr>
          <w:lang w:val="en-GB"/>
        </w:rPr>
        <w:t>. Hoboken, NJ: J. Wiley &amp; Sons.</w:t>
      </w:r>
    </w:p>
    <w:p w14:paraId="15AAA8EA" w14:textId="410EDAF6" w:rsidR="009B0D8C" w:rsidRDefault="00B26DF6" w:rsidP="00A51872">
      <w:pPr>
        <w:pStyle w:val="ListParagraph"/>
        <w:numPr>
          <w:ilvl w:val="0"/>
          <w:numId w:val="1"/>
        </w:numPr>
      </w:pPr>
      <w:r w:rsidRPr="00A51872">
        <w:rPr>
          <w:lang w:val="en-GB"/>
        </w:rPr>
        <w:t xml:space="preserve">Weygandt, J. J., </w:t>
      </w:r>
      <w:proofErr w:type="spellStart"/>
      <w:r w:rsidRPr="00A51872">
        <w:rPr>
          <w:lang w:val="en-GB"/>
        </w:rPr>
        <w:t>Kieso</w:t>
      </w:r>
      <w:proofErr w:type="spellEnd"/>
      <w:r w:rsidRPr="00A51872">
        <w:rPr>
          <w:lang w:val="en-GB"/>
        </w:rPr>
        <w:t xml:space="preserve">, D. E., Kimmel, P. D., &amp; Aly, I. (2018). </w:t>
      </w:r>
      <w:r w:rsidRPr="00A51872">
        <w:rPr>
          <w:i/>
          <w:iCs/>
          <w:lang w:val="en-GB"/>
        </w:rPr>
        <w:t>Managerial accounting: Tools for business decision-making</w:t>
      </w:r>
      <w:r w:rsidRPr="00A51872">
        <w:rPr>
          <w:lang w:val="en-GB"/>
        </w:rPr>
        <w:t>.</w:t>
      </w:r>
      <w:r w:rsidRPr="00421EA5">
        <w:t xml:space="preserve"> </w:t>
      </w:r>
      <w:r w:rsidRPr="00A51872">
        <w:rPr>
          <w:lang w:val="en-GB"/>
        </w:rPr>
        <w:t>Toronto, Ontario: John Wiley &amp; Sons Canada, Ltd.</w:t>
      </w:r>
    </w:p>
    <w:sectPr w:rsidR="009B0D8C">
      <w:headerReference w:type="default"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FAADE5" w14:textId="77777777" w:rsidR="00980F43" w:rsidRDefault="00980F43" w:rsidP="00B26DF6">
      <w:pPr>
        <w:spacing w:after="0" w:line="240" w:lineRule="auto"/>
      </w:pPr>
      <w:r>
        <w:separator/>
      </w:r>
    </w:p>
  </w:endnote>
  <w:endnote w:type="continuationSeparator" w:id="0">
    <w:p w14:paraId="56E6842A" w14:textId="77777777" w:rsidR="00980F43" w:rsidRDefault="00980F43" w:rsidP="00B26D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9194212"/>
      <w:docPartObj>
        <w:docPartGallery w:val="Page Numbers (Bottom of Page)"/>
        <w:docPartUnique/>
      </w:docPartObj>
    </w:sdtPr>
    <w:sdtEndPr>
      <w:rPr>
        <w:noProof/>
      </w:rPr>
    </w:sdtEndPr>
    <w:sdtContent>
      <w:p w14:paraId="64F905FB" w14:textId="5AA0E208" w:rsidR="00B26DF6" w:rsidRDefault="00B26DF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C1F04D" w14:textId="77777777" w:rsidR="00B26DF6" w:rsidRDefault="00B26D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4D243D" w14:textId="77777777" w:rsidR="00980F43" w:rsidRDefault="00980F43" w:rsidP="00B26DF6">
      <w:pPr>
        <w:spacing w:after="0" w:line="240" w:lineRule="auto"/>
      </w:pPr>
      <w:r>
        <w:separator/>
      </w:r>
    </w:p>
  </w:footnote>
  <w:footnote w:type="continuationSeparator" w:id="0">
    <w:p w14:paraId="7FE9C973" w14:textId="77777777" w:rsidR="00980F43" w:rsidRDefault="00980F43" w:rsidP="00B26D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CD3540" w14:textId="77777777" w:rsidR="00A51872" w:rsidRDefault="00A51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0D5195"/>
    <w:multiLevelType w:val="hybridMultilevel"/>
    <w:tmpl w:val="DF0ECE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31566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C93"/>
    <w:rsid w:val="001E6C93"/>
    <w:rsid w:val="00980F43"/>
    <w:rsid w:val="009B0D8C"/>
    <w:rsid w:val="00A51872"/>
    <w:rsid w:val="00B26DF6"/>
    <w:rsid w:val="00BD1AA3"/>
    <w:rsid w:val="00F64EBE"/>
    <w:rsid w:val="00FC0F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A4A6E"/>
  <w15:chartTrackingRefBased/>
  <w15:docId w15:val="{B35D758F-5D0D-4C70-815F-7027615A5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DF6"/>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6DF6"/>
    <w:rPr>
      <w:color w:val="0563C1" w:themeColor="hyperlink"/>
      <w:u w:val="single"/>
    </w:rPr>
  </w:style>
  <w:style w:type="paragraph" w:styleId="NormalWeb">
    <w:name w:val="Normal (Web)"/>
    <w:basedOn w:val="Normal"/>
    <w:uiPriority w:val="99"/>
    <w:unhideWhenUsed/>
    <w:rsid w:val="00B26DF6"/>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B26D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6DF6"/>
    <w:rPr>
      <w:lang w:val="en-US"/>
    </w:rPr>
  </w:style>
  <w:style w:type="paragraph" w:styleId="Footer">
    <w:name w:val="footer"/>
    <w:basedOn w:val="Normal"/>
    <w:link w:val="FooterChar"/>
    <w:uiPriority w:val="99"/>
    <w:unhideWhenUsed/>
    <w:rsid w:val="00B26D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DF6"/>
    <w:rPr>
      <w:lang w:val="en-US"/>
    </w:rPr>
  </w:style>
  <w:style w:type="paragraph" w:styleId="ListParagraph">
    <w:name w:val="List Paragraph"/>
    <w:basedOn w:val="Normal"/>
    <w:uiPriority w:val="34"/>
    <w:qFormat/>
    <w:rsid w:val="00A518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uters.com/article/us-internet-retail-investors-idUSKCN1G71JO" TargetMode="External"/><Relationship Id="rId3" Type="http://schemas.openxmlformats.org/officeDocument/2006/relationships/settings" Target="settings.xml"/><Relationship Id="rId7" Type="http://schemas.openxmlformats.org/officeDocument/2006/relationships/hyperlink" Target="https://www.reuters.com/article/us-amazon-com-brands-apparel-idUSKCN1RL0E7"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11</Pages>
  <Words>2750</Words>
  <Characters>15680</Characters>
  <Application>Microsoft Office Word</Application>
  <DocSecurity>0</DocSecurity>
  <Lines>130</Lines>
  <Paragraphs>36</Paragraphs>
  <ScaleCrop>false</ScaleCrop>
  <Company/>
  <LinksUpToDate>false</LinksUpToDate>
  <CharactersWithSpaces>18394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Sima</dc:creator>
  <cp:keywords/>
  <dc:description/>
  <cp:lastModifiedBy>Georgiana Sima</cp:lastModifiedBy>
  <cp:revision>5</cp:revision>
  <dcterms:created xsi:type="dcterms:W3CDTF">2022-05-02T19:32:00Z</dcterms:created>
  <dcterms:modified xsi:type="dcterms:W3CDTF">2022-05-02T22:54:00Z</dcterms:modified>
</cp:coreProperties>
</file>