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D793F5" w14:textId="77777777" w:rsidR="004665FF" w:rsidRDefault="004665FF">
      <w:r>
        <w:tab/>
      </w:r>
      <w:proofErr w:type="spellStart"/>
      <w:proofErr w:type="gramStart"/>
      <w:r>
        <w:t>Name:Andreea</w:t>
      </w:r>
      <w:proofErr w:type="spellEnd"/>
      <w:proofErr w:type="gramEnd"/>
      <w:r>
        <w:t xml:space="preserve"> Camelia  </w:t>
      </w:r>
      <w:proofErr w:type="spellStart"/>
      <w:r>
        <w:t>Liuta</w:t>
      </w:r>
      <w:proofErr w:type="spellEnd"/>
    </w:p>
    <w:p w14:paraId="31B8E0E5" w14:textId="77777777" w:rsidR="00E67485" w:rsidRDefault="004665FF">
      <w:r>
        <w:t xml:space="preserve">            Id number:</w:t>
      </w:r>
      <w:r w:rsidR="005E7A46">
        <w:t>2131348</w:t>
      </w:r>
    </w:p>
    <w:p w14:paraId="121F1271" w14:textId="6DFD1898" w:rsidR="006203E0" w:rsidRDefault="00E67485">
      <w:r>
        <w:t xml:space="preserve">            Lecturer: Jemma Smith</w:t>
      </w:r>
      <w:r w:rsidR="006203E0">
        <w:br w:type="page"/>
      </w:r>
    </w:p>
    <w:p w14:paraId="4D132C27" w14:textId="77777777" w:rsidR="00CE3E97" w:rsidRDefault="006203E0" w:rsidP="00CE3E97">
      <w:pPr>
        <w:pStyle w:val="Title"/>
        <w:jc w:val="center"/>
      </w:pPr>
      <w:r>
        <w:lastRenderedPageBreak/>
        <w:t>International Meetings Management for the Hotel Industry</w:t>
      </w:r>
    </w:p>
    <w:p w14:paraId="7391A95C" w14:textId="77777777" w:rsidR="00CE3E97" w:rsidRDefault="00CE3E97">
      <w:pPr>
        <w:spacing w:line="259" w:lineRule="auto"/>
        <w:jc w:val="left"/>
        <w:rPr>
          <w:rFonts w:eastAsiaTheme="majorEastAsia" w:cstheme="majorBidi"/>
          <w:spacing w:val="-10"/>
          <w:kern w:val="28"/>
          <w:sz w:val="56"/>
          <w:szCs w:val="56"/>
        </w:rPr>
      </w:pPr>
      <w:r>
        <w:br w:type="page"/>
      </w:r>
    </w:p>
    <w:sdt>
      <w:sdtPr>
        <w:rPr>
          <w:rFonts w:ascii="Times New Roman" w:eastAsiaTheme="minorHAnsi" w:hAnsi="Times New Roman" w:cstheme="minorBidi"/>
          <w:color w:val="auto"/>
          <w:sz w:val="24"/>
          <w:szCs w:val="22"/>
          <w:lang w:val="en-GB"/>
        </w:rPr>
        <w:id w:val="1162435404"/>
        <w:docPartObj>
          <w:docPartGallery w:val="Table of Contents"/>
          <w:docPartUnique/>
        </w:docPartObj>
      </w:sdtPr>
      <w:sdtEndPr>
        <w:rPr>
          <w:b/>
          <w:bCs/>
          <w:noProof/>
        </w:rPr>
      </w:sdtEndPr>
      <w:sdtContent>
        <w:p w14:paraId="361B1C6B" w14:textId="77777777" w:rsidR="00D63A22" w:rsidRPr="00D63A22" w:rsidRDefault="00D63A22">
          <w:pPr>
            <w:pStyle w:val="TOCHeading"/>
            <w:rPr>
              <w:rFonts w:ascii="Times New Roman" w:hAnsi="Times New Roman" w:cs="Times New Roman"/>
              <w:b/>
              <w:color w:val="auto"/>
              <w:sz w:val="24"/>
            </w:rPr>
          </w:pPr>
          <w:r w:rsidRPr="00D63A22">
            <w:rPr>
              <w:rFonts w:ascii="Times New Roman" w:hAnsi="Times New Roman" w:cs="Times New Roman"/>
              <w:b/>
              <w:color w:val="auto"/>
              <w:sz w:val="24"/>
            </w:rPr>
            <w:t>Table of Contents</w:t>
          </w:r>
        </w:p>
        <w:p w14:paraId="491E0139" w14:textId="77777777" w:rsidR="00D63A22" w:rsidRDefault="00D63A22">
          <w:pPr>
            <w:pStyle w:val="TOC1"/>
            <w:tabs>
              <w:tab w:val="right" w:leader="dot" w:pos="9016"/>
            </w:tabs>
            <w:rPr>
              <w:noProof/>
            </w:rPr>
          </w:pPr>
          <w:r>
            <w:fldChar w:fldCharType="begin"/>
          </w:r>
          <w:r>
            <w:instrText xml:space="preserve"> TOC \o "1-3" \h \z \u </w:instrText>
          </w:r>
          <w:r>
            <w:fldChar w:fldCharType="separate"/>
          </w:r>
          <w:hyperlink w:anchor="_Toc165486269" w:history="1">
            <w:r w:rsidRPr="00C563D6">
              <w:rPr>
                <w:rStyle w:val="Hyperlink"/>
                <w:noProof/>
              </w:rPr>
              <w:t>Slide 1 – Introduction</w:t>
            </w:r>
            <w:r>
              <w:rPr>
                <w:noProof/>
                <w:webHidden/>
              </w:rPr>
              <w:tab/>
            </w:r>
            <w:r>
              <w:rPr>
                <w:noProof/>
                <w:webHidden/>
              </w:rPr>
              <w:fldChar w:fldCharType="begin"/>
            </w:r>
            <w:r>
              <w:rPr>
                <w:noProof/>
                <w:webHidden/>
              </w:rPr>
              <w:instrText xml:space="preserve"> PAGEREF _Toc165486269 \h </w:instrText>
            </w:r>
            <w:r>
              <w:rPr>
                <w:noProof/>
                <w:webHidden/>
              </w:rPr>
            </w:r>
            <w:r>
              <w:rPr>
                <w:noProof/>
                <w:webHidden/>
              </w:rPr>
              <w:fldChar w:fldCharType="separate"/>
            </w:r>
            <w:r>
              <w:rPr>
                <w:noProof/>
                <w:webHidden/>
              </w:rPr>
              <w:t>4</w:t>
            </w:r>
            <w:r>
              <w:rPr>
                <w:noProof/>
                <w:webHidden/>
              </w:rPr>
              <w:fldChar w:fldCharType="end"/>
            </w:r>
          </w:hyperlink>
        </w:p>
        <w:p w14:paraId="1F21C512" w14:textId="77777777" w:rsidR="00D63A22" w:rsidRDefault="003C6C10">
          <w:pPr>
            <w:pStyle w:val="TOC1"/>
            <w:tabs>
              <w:tab w:val="right" w:leader="dot" w:pos="9016"/>
            </w:tabs>
            <w:rPr>
              <w:noProof/>
            </w:rPr>
          </w:pPr>
          <w:hyperlink w:anchor="_Toc165486270" w:history="1">
            <w:r w:rsidR="00D63A22" w:rsidRPr="00C563D6">
              <w:rPr>
                <w:rStyle w:val="Hyperlink"/>
                <w:noProof/>
              </w:rPr>
              <w:t>Slide 2 – Situational Analysis – Market factors</w:t>
            </w:r>
            <w:r w:rsidR="00D63A22">
              <w:rPr>
                <w:noProof/>
                <w:webHidden/>
              </w:rPr>
              <w:tab/>
            </w:r>
            <w:r w:rsidR="00D63A22">
              <w:rPr>
                <w:noProof/>
                <w:webHidden/>
              </w:rPr>
              <w:fldChar w:fldCharType="begin"/>
            </w:r>
            <w:r w:rsidR="00D63A22">
              <w:rPr>
                <w:noProof/>
                <w:webHidden/>
              </w:rPr>
              <w:instrText xml:space="preserve"> PAGEREF _Toc165486270 \h </w:instrText>
            </w:r>
            <w:r w:rsidR="00D63A22">
              <w:rPr>
                <w:noProof/>
                <w:webHidden/>
              </w:rPr>
            </w:r>
            <w:r w:rsidR="00D63A22">
              <w:rPr>
                <w:noProof/>
                <w:webHidden/>
              </w:rPr>
              <w:fldChar w:fldCharType="separate"/>
            </w:r>
            <w:r w:rsidR="00D63A22">
              <w:rPr>
                <w:noProof/>
                <w:webHidden/>
              </w:rPr>
              <w:t>5</w:t>
            </w:r>
            <w:r w:rsidR="00D63A22">
              <w:rPr>
                <w:noProof/>
                <w:webHidden/>
              </w:rPr>
              <w:fldChar w:fldCharType="end"/>
            </w:r>
          </w:hyperlink>
        </w:p>
        <w:p w14:paraId="6D920373" w14:textId="77777777" w:rsidR="00D63A22" w:rsidRDefault="003C6C10">
          <w:pPr>
            <w:pStyle w:val="TOC1"/>
            <w:tabs>
              <w:tab w:val="right" w:leader="dot" w:pos="9016"/>
            </w:tabs>
            <w:rPr>
              <w:noProof/>
            </w:rPr>
          </w:pPr>
          <w:hyperlink w:anchor="_Toc165486271" w:history="1">
            <w:r w:rsidR="00D63A22" w:rsidRPr="00C563D6">
              <w:rPr>
                <w:rStyle w:val="Hyperlink"/>
                <w:noProof/>
              </w:rPr>
              <w:t>Slide 3 – Situational Analysis – Operational factors</w:t>
            </w:r>
            <w:r w:rsidR="00D63A22">
              <w:rPr>
                <w:noProof/>
                <w:webHidden/>
              </w:rPr>
              <w:tab/>
            </w:r>
            <w:r w:rsidR="00D63A22">
              <w:rPr>
                <w:noProof/>
                <w:webHidden/>
              </w:rPr>
              <w:fldChar w:fldCharType="begin"/>
            </w:r>
            <w:r w:rsidR="00D63A22">
              <w:rPr>
                <w:noProof/>
                <w:webHidden/>
              </w:rPr>
              <w:instrText xml:space="preserve"> PAGEREF _Toc165486271 \h </w:instrText>
            </w:r>
            <w:r w:rsidR="00D63A22">
              <w:rPr>
                <w:noProof/>
                <w:webHidden/>
              </w:rPr>
            </w:r>
            <w:r w:rsidR="00D63A22">
              <w:rPr>
                <w:noProof/>
                <w:webHidden/>
              </w:rPr>
              <w:fldChar w:fldCharType="separate"/>
            </w:r>
            <w:r w:rsidR="00D63A22">
              <w:rPr>
                <w:noProof/>
                <w:webHidden/>
              </w:rPr>
              <w:t>6</w:t>
            </w:r>
            <w:r w:rsidR="00D63A22">
              <w:rPr>
                <w:noProof/>
                <w:webHidden/>
              </w:rPr>
              <w:fldChar w:fldCharType="end"/>
            </w:r>
          </w:hyperlink>
        </w:p>
        <w:p w14:paraId="159B50A9" w14:textId="77777777" w:rsidR="00D63A22" w:rsidRDefault="003C6C10">
          <w:pPr>
            <w:pStyle w:val="TOC1"/>
            <w:tabs>
              <w:tab w:val="right" w:leader="dot" w:pos="9016"/>
            </w:tabs>
            <w:rPr>
              <w:noProof/>
            </w:rPr>
          </w:pPr>
          <w:hyperlink w:anchor="_Toc165486272" w:history="1">
            <w:r w:rsidR="00D63A22" w:rsidRPr="00C563D6">
              <w:rPr>
                <w:rStyle w:val="Hyperlink"/>
                <w:noProof/>
              </w:rPr>
              <w:t>Slide 4 – Situational Analysis – Financial factors</w:t>
            </w:r>
            <w:r w:rsidR="00D63A22">
              <w:rPr>
                <w:noProof/>
                <w:webHidden/>
              </w:rPr>
              <w:tab/>
            </w:r>
            <w:r w:rsidR="00D63A22">
              <w:rPr>
                <w:noProof/>
                <w:webHidden/>
              </w:rPr>
              <w:fldChar w:fldCharType="begin"/>
            </w:r>
            <w:r w:rsidR="00D63A22">
              <w:rPr>
                <w:noProof/>
                <w:webHidden/>
              </w:rPr>
              <w:instrText xml:space="preserve"> PAGEREF _Toc165486272 \h </w:instrText>
            </w:r>
            <w:r w:rsidR="00D63A22">
              <w:rPr>
                <w:noProof/>
                <w:webHidden/>
              </w:rPr>
            </w:r>
            <w:r w:rsidR="00D63A22">
              <w:rPr>
                <w:noProof/>
                <w:webHidden/>
              </w:rPr>
              <w:fldChar w:fldCharType="separate"/>
            </w:r>
            <w:r w:rsidR="00D63A22">
              <w:rPr>
                <w:noProof/>
                <w:webHidden/>
              </w:rPr>
              <w:t>7</w:t>
            </w:r>
            <w:r w:rsidR="00D63A22">
              <w:rPr>
                <w:noProof/>
                <w:webHidden/>
              </w:rPr>
              <w:fldChar w:fldCharType="end"/>
            </w:r>
          </w:hyperlink>
        </w:p>
        <w:p w14:paraId="02721CDE" w14:textId="77777777" w:rsidR="00D63A22" w:rsidRDefault="003C6C10">
          <w:pPr>
            <w:pStyle w:val="TOC1"/>
            <w:tabs>
              <w:tab w:val="right" w:leader="dot" w:pos="9016"/>
            </w:tabs>
            <w:rPr>
              <w:noProof/>
            </w:rPr>
          </w:pPr>
          <w:hyperlink w:anchor="_Toc165486273" w:history="1">
            <w:r w:rsidR="00D63A22" w:rsidRPr="00C563D6">
              <w:rPr>
                <w:rStyle w:val="Hyperlink"/>
                <w:noProof/>
              </w:rPr>
              <w:t>Slide 5 – Situational Analysis – Financial factors</w:t>
            </w:r>
            <w:r w:rsidR="00D63A22">
              <w:rPr>
                <w:noProof/>
                <w:webHidden/>
              </w:rPr>
              <w:tab/>
            </w:r>
            <w:r w:rsidR="00D63A22">
              <w:rPr>
                <w:noProof/>
                <w:webHidden/>
              </w:rPr>
              <w:fldChar w:fldCharType="begin"/>
            </w:r>
            <w:r w:rsidR="00D63A22">
              <w:rPr>
                <w:noProof/>
                <w:webHidden/>
              </w:rPr>
              <w:instrText xml:space="preserve"> PAGEREF _Toc165486273 \h </w:instrText>
            </w:r>
            <w:r w:rsidR="00D63A22">
              <w:rPr>
                <w:noProof/>
                <w:webHidden/>
              </w:rPr>
            </w:r>
            <w:r w:rsidR="00D63A22">
              <w:rPr>
                <w:noProof/>
                <w:webHidden/>
              </w:rPr>
              <w:fldChar w:fldCharType="separate"/>
            </w:r>
            <w:r w:rsidR="00D63A22">
              <w:rPr>
                <w:noProof/>
                <w:webHidden/>
              </w:rPr>
              <w:t>8</w:t>
            </w:r>
            <w:r w:rsidR="00D63A22">
              <w:rPr>
                <w:noProof/>
                <w:webHidden/>
              </w:rPr>
              <w:fldChar w:fldCharType="end"/>
            </w:r>
          </w:hyperlink>
        </w:p>
        <w:p w14:paraId="6ECA3056" w14:textId="77777777" w:rsidR="00D63A22" w:rsidRDefault="003C6C10">
          <w:pPr>
            <w:pStyle w:val="TOC1"/>
            <w:tabs>
              <w:tab w:val="right" w:leader="dot" w:pos="9016"/>
            </w:tabs>
            <w:rPr>
              <w:noProof/>
            </w:rPr>
          </w:pPr>
          <w:hyperlink w:anchor="_Toc165486274" w:history="1">
            <w:r w:rsidR="00D63A22" w:rsidRPr="00C563D6">
              <w:rPr>
                <w:rStyle w:val="Hyperlink"/>
                <w:noProof/>
              </w:rPr>
              <w:t>Slide 6 – SWOT Analysis</w:t>
            </w:r>
            <w:r w:rsidR="00D63A22">
              <w:rPr>
                <w:noProof/>
                <w:webHidden/>
              </w:rPr>
              <w:tab/>
            </w:r>
            <w:r w:rsidR="00D63A22">
              <w:rPr>
                <w:noProof/>
                <w:webHidden/>
              </w:rPr>
              <w:fldChar w:fldCharType="begin"/>
            </w:r>
            <w:r w:rsidR="00D63A22">
              <w:rPr>
                <w:noProof/>
                <w:webHidden/>
              </w:rPr>
              <w:instrText xml:space="preserve"> PAGEREF _Toc165486274 \h </w:instrText>
            </w:r>
            <w:r w:rsidR="00D63A22">
              <w:rPr>
                <w:noProof/>
                <w:webHidden/>
              </w:rPr>
            </w:r>
            <w:r w:rsidR="00D63A22">
              <w:rPr>
                <w:noProof/>
                <w:webHidden/>
              </w:rPr>
              <w:fldChar w:fldCharType="separate"/>
            </w:r>
            <w:r w:rsidR="00D63A22">
              <w:rPr>
                <w:noProof/>
                <w:webHidden/>
              </w:rPr>
              <w:t>9</w:t>
            </w:r>
            <w:r w:rsidR="00D63A22">
              <w:rPr>
                <w:noProof/>
                <w:webHidden/>
              </w:rPr>
              <w:fldChar w:fldCharType="end"/>
            </w:r>
          </w:hyperlink>
        </w:p>
        <w:p w14:paraId="5DAD3C38" w14:textId="77777777" w:rsidR="00D63A22" w:rsidRDefault="003C6C10">
          <w:pPr>
            <w:pStyle w:val="TOC1"/>
            <w:tabs>
              <w:tab w:val="right" w:leader="dot" w:pos="9016"/>
            </w:tabs>
            <w:rPr>
              <w:noProof/>
            </w:rPr>
          </w:pPr>
          <w:hyperlink w:anchor="_Toc165486275" w:history="1">
            <w:r w:rsidR="00D63A22" w:rsidRPr="00C563D6">
              <w:rPr>
                <w:rStyle w:val="Hyperlink"/>
                <w:noProof/>
              </w:rPr>
              <w:t>Slide 7 – PESTLE Analysis</w:t>
            </w:r>
            <w:r w:rsidR="00D63A22">
              <w:rPr>
                <w:noProof/>
                <w:webHidden/>
              </w:rPr>
              <w:tab/>
            </w:r>
            <w:r w:rsidR="00D63A22">
              <w:rPr>
                <w:noProof/>
                <w:webHidden/>
              </w:rPr>
              <w:fldChar w:fldCharType="begin"/>
            </w:r>
            <w:r w:rsidR="00D63A22">
              <w:rPr>
                <w:noProof/>
                <w:webHidden/>
              </w:rPr>
              <w:instrText xml:space="preserve"> PAGEREF _Toc165486275 \h </w:instrText>
            </w:r>
            <w:r w:rsidR="00D63A22">
              <w:rPr>
                <w:noProof/>
                <w:webHidden/>
              </w:rPr>
            </w:r>
            <w:r w:rsidR="00D63A22">
              <w:rPr>
                <w:noProof/>
                <w:webHidden/>
              </w:rPr>
              <w:fldChar w:fldCharType="separate"/>
            </w:r>
            <w:r w:rsidR="00D63A22">
              <w:rPr>
                <w:noProof/>
                <w:webHidden/>
              </w:rPr>
              <w:t>10</w:t>
            </w:r>
            <w:r w:rsidR="00D63A22">
              <w:rPr>
                <w:noProof/>
                <w:webHidden/>
              </w:rPr>
              <w:fldChar w:fldCharType="end"/>
            </w:r>
          </w:hyperlink>
        </w:p>
        <w:p w14:paraId="59EC0D2E" w14:textId="77777777" w:rsidR="00D63A22" w:rsidRDefault="003C6C10">
          <w:pPr>
            <w:pStyle w:val="TOC1"/>
            <w:tabs>
              <w:tab w:val="right" w:leader="dot" w:pos="9016"/>
            </w:tabs>
            <w:rPr>
              <w:noProof/>
            </w:rPr>
          </w:pPr>
          <w:hyperlink w:anchor="_Toc165486276" w:history="1">
            <w:r w:rsidR="00D63A22" w:rsidRPr="00C563D6">
              <w:rPr>
                <w:rStyle w:val="Hyperlink"/>
                <w:noProof/>
              </w:rPr>
              <w:t>Slide 8 – PESTLE Analysis</w:t>
            </w:r>
            <w:r w:rsidR="00D63A22">
              <w:rPr>
                <w:noProof/>
                <w:webHidden/>
              </w:rPr>
              <w:tab/>
            </w:r>
            <w:r w:rsidR="00D63A22">
              <w:rPr>
                <w:noProof/>
                <w:webHidden/>
              </w:rPr>
              <w:fldChar w:fldCharType="begin"/>
            </w:r>
            <w:r w:rsidR="00D63A22">
              <w:rPr>
                <w:noProof/>
                <w:webHidden/>
              </w:rPr>
              <w:instrText xml:space="preserve"> PAGEREF _Toc165486276 \h </w:instrText>
            </w:r>
            <w:r w:rsidR="00D63A22">
              <w:rPr>
                <w:noProof/>
                <w:webHidden/>
              </w:rPr>
            </w:r>
            <w:r w:rsidR="00D63A22">
              <w:rPr>
                <w:noProof/>
                <w:webHidden/>
              </w:rPr>
              <w:fldChar w:fldCharType="separate"/>
            </w:r>
            <w:r w:rsidR="00D63A22">
              <w:rPr>
                <w:noProof/>
                <w:webHidden/>
              </w:rPr>
              <w:t>11</w:t>
            </w:r>
            <w:r w:rsidR="00D63A22">
              <w:rPr>
                <w:noProof/>
                <w:webHidden/>
              </w:rPr>
              <w:fldChar w:fldCharType="end"/>
            </w:r>
          </w:hyperlink>
        </w:p>
        <w:p w14:paraId="4FC27993" w14:textId="77777777" w:rsidR="00D63A22" w:rsidRDefault="003C6C10">
          <w:pPr>
            <w:pStyle w:val="TOC1"/>
            <w:tabs>
              <w:tab w:val="right" w:leader="dot" w:pos="9016"/>
            </w:tabs>
            <w:rPr>
              <w:noProof/>
            </w:rPr>
          </w:pPr>
          <w:hyperlink w:anchor="_Toc165486277" w:history="1">
            <w:r w:rsidR="00D63A22" w:rsidRPr="00C563D6">
              <w:rPr>
                <w:rStyle w:val="Hyperlink"/>
                <w:noProof/>
              </w:rPr>
              <w:t>Slide 9 – Risk Analysis</w:t>
            </w:r>
            <w:r w:rsidR="00D63A22">
              <w:rPr>
                <w:noProof/>
                <w:webHidden/>
              </w:rPr>
              <w:tab/>
            </w:r>
            <w:r w:rsidR="00D63A22">
              <w:rPr>
                <w:noProof/>
                <w:webHidden/>
              </w:rPr>
              <w:fldChar w:fldCharType="begin"/>
            </w:r>
            <w:r w:rsidR="00D63A22">
              <w:rPr>
                <w:noProof/>
                <w:webHidden/>
              </w:rPr>
              <w:instrText xml:space="preserve"> PAGEREF _Toc165486277 \h </w:instrText>
            </w:r>
            <w:r w:rsidR="00D63A22">
              <w:rPr>
                <w:noProof/>
                <w:webHidden/>
              </w:rPr>
            </w:r>
            <w:r w:rsidR="00D63A22">
              <w:rPr>
                <w:noProof/>
                <w:webHidden/>
              </w:rPr>
              <w:fldChar w:fldCharType="separate"/>
            </w:r>
            <w:r w:rsidR="00D63A22">
              <w:rPr>
                <w:noProof/>
                <w:webHidden/>
              </w:rPr>
              <w:t>12</w:t>
            </w:r>
            <w:r w:rsidR="00D63A22">
              <w:rPr>
                <w:noProof/>
                <w:webHidden/>
              </w:rPr>
              <w:fldChar w:fldCharType="end"/>
            </w:r>
          </w:hyperlink>
        </w:p>
        <w:p w14:paraId="72BECA66" w14:textId="77777777" w:rsidR="00D63A22" w:rsidRDefault="003C6C10">
          <w:pPr>
            <w:pStyle w:val="TOC1"/>
            <w:tabs>
              <w:tab w:val="right" w:leader="dot" w:pos="9016"/>
            </w:tabs>
            <w:rPr>
              <w:noProof/>
            </w:rPr>
          </w:pPr>
          <w:hyperlink w:anchor="_Toc165486278" w:history="1">
            <w:r w:rsidR="00D63A22" w:rsidRPr="00C563D6">
              <w:rPr>
                <w:rStyle w:val="Hyperlink"/>
                <w:noProof/>
              </w:rPr>
              <w:t>Slide 10 – Conclusion</w:t>
            </w:r>
            <w:r w:rsidR="00D63A22">
              <w:rPr>
                <w:noProof/>
                <w:webHidden/>
              </w:rPr>
              <w:tab/>
            </w:r>
            <w:r w:rsidR="00D63A22">
              <w:rPr>
                <w:noProof/>
                <w:webHidden/>
              </w:rPr>
              <w:fldChar w:fldCharType="begin"/>
            </w:r>
            <w:r w:rsidR="00D63A22">
              <w:rPr>
                <w:noProof/>
                <w:webHidden/>
              </w:rPr>
              <w:instrText xml:space="preserve"> PAGEREF _Toc165486278 \h </w:instrText>
            </w:r>
            <w:r w:rsidR="00D63A22">
              <w:rPr>
                <w:noProof/>
                <w:webHidden/>
              </w:rPr>
            </w:r>
            <w:r w:rsidR="00D63A22">
              <w:rPr>
                <w:noProof/>
                <w:webHidden/>
              </w:rPr>
              <w:fldChar w:fldCharType="separate"/>
            </w:r>
            <w:r w:rsidR="00D63A22">
              <w:rPr>
                <w:noProof/>
                <w:webHidden/>
              </w:rPr>
              <w:t>13</w:t>
            </w:r>
            <w:r w:rsidR="00D63A22">
              <w:rPr>
                <w:noProof/>
                <w:webHidden/>
              </w:rPr>
              <w:fldChar w:fldCharType="end"/>
            </w:r>
          </w:hyperlink>
        </w:p>
        <w:p w14:paraId="1C67AEA2" w14:textId="77777777" w:rsidR="00D63A22" w:rsidRDefault="003C6C10">
          <w:pPr>
            <w:pStyle w:val="TOC1"/>
            <w:tabs>
              <w:tab w:val="right" w:leader="dot" w:pos="9016"/>
            </w:tabs>
            <w:rPr>
              <w:noProof/>
            </w:rPr>
          </w:pPr>
          <w:hyperlink w:anchor="_Toc165486279" w:history="1">
            <w:r w:rsidR="00D63A22" w:rsidRPr="00C563D6">
              <w:rPr>
                <w:rStyle w:val="Hyperlink"/>
                <w:noProof/>
              </w:rPr>
              <w:t>References</w:t>
            </w:r>
            <w:r w:rsidR="00D63A22">
              <w:rPr>
                <w:noProof/>
                <w:webHidden/>
              </w:rPr>
              <w:tab/>
            </w:r>
            <w:r w:rsidR="00D63A22">
              <w:rPr>
                <w:noProof/>
                <w:webHidden/>
              </w:rPr>
              <w:fldChar w:fldCharType="begin"/>
            </w:r>
            <w:r w:rsidR="00D63A22">
              <w:rPr>
                <w:noProof/>
                <w:webHidden/>
              </w:rPr>
              <w:instrText xml:space="preserve"> PAGEREF _Toc165486279 \h </w:instrText>
            </w:r>
            <w:r w:rsidR="00D63A22">
              <w:rPr>
                <w:noProof/>
                <w:webHidden/>
              </w:rPr>
            </w:r>
            <w:r w:rsidR="00D63A22">
              <w:rPr>
                <w:noProof/>
                <w:webHidden/>
              </w:rPr>
              <w:fldChar w:fldCharType="separate"/>
            </w:r>
            <w:r w:rsidR="00D63A22">
              <w:rPr>
                <w:noProof/>
                <w:webHidden/>
              </w:rPr>
              <w:t>14</w:t>
            </w:r>
            <w:r w:rsidR="00D63A22">
              <w:rPr>
                <w:noProof/>
                <w:webHidden/>
              </w:rPr>
              <w:fldChar w:fldCharType="end"/>
            </w:r>
          </w:hyperlink>
        </w:p>
        <w:p w14:paraId="50A32ED4" w14:textId="77777777" w:rsidR="00D63A22" w:rsidRDefault="00D63A22">
          <w:r>
            <w:rPr>
              <w:b/>
              <w:bCs/>
              <w:noProof/>
            </w:rPr>
            <w:fldChar w:fldCharType="end"/>
          </w:r>
        </w:p>
      </w:sdtContent>
    </w:sdt>
    <w:p w14:paraId="1F485AC7" w14:textId="77777777" w:rsidR="00D63A22" w:rsidRDefault="00D63A22">
      <w:pPr>
        <w:spacing w:line="259" w:lineRule="auto"/>
        <w:jc w:val="left"/>
      </w:pPr>
      <w:r>
        <w:br w:type="page"/>
      </w:r>
    </w:p>
    <w:p w14:paraId="35CF3D04" w14:textId="77777777" w:rsidR="00CE3E97" w:rsidRDefault="00CE3E97">
      <w:pPr>
        <w:spacing w:line="259" w:lineRule="auto"/>
        <w:jc w:val="left"/>
      </w:pPr>
    </w:p>
    <w:p w14:paraId="6A64892F" w14:textId="77777777" w:rsidR="006203E0" w:rsidRDefault="00CE3E97" w:rsidP="00CE3E97">
      <w:pPr>
        <w:pStyle w:val="Heading1"/>
      </w:pPr>
      <w:bookmarkStart w:id="0" w:name="_Toc165486269"/>
      <w:r>
        <w:t>Slide 1 – Introduction</w:t>
      </w:r>
      <w:bookmarkEnd w:id="0"/>
    </w:p>
    <w:p w14:paraId="2DEFBBE6" w14:textId="77777777" w:rsidR="00CE3E97" w:rsidRDefault="00CE3E97" w:rsidP="00CE3E97">
      <w:r>
        <w:rPr>
          <w:noProof/>
          <w:lang w:eastAsia="en-GB"/>
        </w:rPr>
        <w:drawing>
          <wp:inline distT="0" distB="0" distL="0" distR="0" wp14:anchorId="5652BC89" wp14:editId="3F17BD7E">
            <wp:extent cx="6096000" cy="3429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096000" cy="3429000"/>
                    </a:xfrm>
                    <a:prstGeom prst="rect">
                      <a:avLst/>
                    </a:prstGeom>
                    <a:noFill/>
                  </pic:spPr>
                </pic:pic>
              </a:graphicData>
            </a:graphic>
          </wp:inline>
        </w:drawing>
      </w:r>
    </w:p>
    <w:p w14:paraId="110BFD5D" w14:textId="19B9BF17" w:rsidR="00023422" w:rsidRPr="00CE3E97" w:rsidRDefault="00022ADE" w:rsidP="00CE3E97">
      <w:pPr>
        <w:rPr>
          <w:b/>
        </w:rPr>
      </w:pPr>
      <w:r>
        <w:rPr>
          <w:b/>
        </w:rPr>
        <w:t>S</w:t>
      </w:r>
      <w:r w:rsidR="00CE3E97" w:rsidRPr="00CE3E97">
        <w:rPr>
          <w:b/>
        </w:rPr>
        <w:t>peaker Notes</w:t>
      </w:r>
    </w:p>
    <w:p w14:paraId="14038DD6" w14:textId="77777777" w:rsidR="000F00B4" w:rsidRDefault="00CE3E97" w:rsidP="00CE3E97">
      <w:r w:rsidRPr="00CE3E97">
        <w:t>The proposed event is a business conference on Data Intelligence Usage in the Hospitality Industry. The event is to be conducted in London and the expected size is about 100 members from the hospitality industry. The attendees will also be organisations and associations of the hospitality industry who help in partnering and collaborating with other businesses associated with the industry and who will benefit from applying data intelligence tools for their business.</w:t>
      </w:r>
      <w:r>
        <w:t xml:space="preserve"> The presentation will address the feasibility of conducting an event of this size based on situational analysis of the</w:t>
      </w:r>
      <w:r w:rsidR="00920032">
        <w:t xml:space="preserve"> market, operational and financial factors in addition to the study on the</w:t>
      </w:r>
      <w:r>
        <w:t xml:space="preserve"> internal and environmental factors that may influence the event. </w:t>
      </w:r>
      <w:r w:rsidR="00AC1A47">
        <w:t xml:space="preserve">The internal factors are the Strengths / Weakness / Opportunities and Threats (SWOT) for the event and the environmental factors the Political, Economic, Socio-Cultural, Technological, Legal and Environmental (PESTLE) factors that influence the event. </w:t>
      </w:r>
    </w:p>
    <w:p w14:paraId="6765154B" w14:textId="77777777" w:rsidR="000F00B4" w:rsidRDefault="000F00B4">
      <w:pPr>
        <w:spacing w:line="259" w:lineRule="auto"/>
        <w:jc w:val="left"/>
      </w:pPr>
      <w:r>
        <w:br w:type="page"/>
      </w:r>
    </w:p>
    <w:p w14:paraId="2BEED42F" w14:textId="77777777" w:rsidR="00CE3E97" w:rsidRDefault="000F00B4" w:rsidP="000F00B4">
      <w:pPr>
        <w:pStyle w:val="Heading1"/>
      </w:pPr>
      <w:bookmarkStart w:id="1" w:name="_Toc165486270"/>
      <w:r>
        <w:lastRenderedPageBreak/>
        <w:t>Slide 2 – Situational Analysis – Market factors</w:t>
      </w:r>
      <w:bookmarkEnd w:id="1"/>
    </w:p>
    <w:p w14:paraId="044EE52C" w14:textId="77777777" w:rsidR="000F00B4" w:rsidRDefault="000F00B4" w:rsidP="00CE3E97"/>
    <w:p w14:paraId="61BA7125" w14:textId="77777777" w:rsidR="000F00B4" w:rsidRPr="000F00B4" w:rsidRDefault="000F00B4" w:rsidP="00CE3E97">
      <w:pPr>
        <w:rPr>
          <w:b/>
        </w:rPr>
      </w:pPr>
      <w:r>
        <w:rPr>
          <w:b/>
          <w:noProof/>
          <w:lang w:eastAsia="en-GB"/>
        </w:rPr>
        <w:drawing>
          <wp:inline distT="0" distB="0" distL="0" distR="0" wp14:anchorId="0CCD6FEE" wp14:editId="404BB92E">
            <wp:extent cx="6096000" cy="34290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096000" cy="3429000"/>
                    </a:xfrm>
                    <a:prstGeom prst="rect">
                      <a:avLst/>
                    </a:prstGeom>
                    <a:noFill/>
                  </pic:spPr>
                </pic:pic>
              </a:graphicData>
            </a:graphic>
          </wp:inline>
        </w:drawing>
      </w:r>
      <w:r w:rsidRPr="000F00B4">
        <w:rPr>
          <w:b/>
        </w:rPr>
        <w:t>Speaker Notes</w:t>
      </w:r>
    </w:p>
    <w:p w14:paraId="48938011" w14:textId="77777777" w:rsidR="00920032" w:rsidRDefault="000F00B4" w:rsidP="00CE3E97">
      <w:r>
        <w:t xml:space="preserve">The market factors concern the target market, collaborators and the competition that may affect the turnout for the event. The target market is essentially all the major players in the hospitality industry, who gain benefit from the technology. </w:t>
      </w:r>
      <w:r w:rsidR="00920032">
        <w:t xml:space="preserve">In addition to business owners in the hospitality sector, associations that work with similar businesses and help in partnership and collaboration of various supporting fields in the sector and institutes, researchers and academicians are the target market for the event. </w:t>
      </w:r>
    </w:p>
    <w:p w14:paraId="5DA4EE08" w14:textId="77777777" w:rsidR="000F00B4" w:rsidRDefault="000F00B4" w:rsidP="00CE3E97">
      <w:r>
        <w:t xml:space="preserve">The demand and supply is from all partnering businesses that can predict tourist demand, trends and effectively forecast for better and efficient delivery of services. Competition is from similar businesses that deal with data intelligence or different formats such as Artificial Intelligence (AI), robotics, automation and various other innovations that impact the way hospitality services are delivered. </w:t>
      </w:r>
    </w:p>
    <w:p w14:paraId="1B4C8B4A" w14:textId="77777777" w:rsidR="000F00B4" w:rsidRDefault="000F00B4">
      <w:pPr>
        <w:spacing w:line="259" w:lineRule="auto"/>
        <w:jc w:val="left"/>
      </w:pPr>
      <w:r>
        <w:br w:type="page"/>
      </w:r>
    </w:p>
    <w:p w14:paraId="62885C50" w14:textId="77777777" w:rsidR="000F00B4" w:rsidRDefault="000F00B4" w:rsidP="000F00B4">
      <w:pPr>
        <w:pStyle w:val="Heading1"/>
      </w:pPr>
      <w:bookmarkStart w:id="2" w:name="_Toc165486271"/>
      <w:r>
        <w:lastRenderedPageBreak/>
        <w:t>Slide 3 – Situational Analysis – Operational factors</w:t>
      </w:r>
      <w:bookmarkEnd w:id="2"/>
    </w:p>
    <w:p w14:paraId="244A5F60" w14:textId="77777777" w:rsidR="000F00B4" w:rsidRDefault="000F00B4" w:rsidP="00CE3E97">
      <w:r>
        <w:rPr>
          <w:noProof/>
          <w:lang w:eastAsia="en-GB"/>
        </w:rPr>
        <w:drawing>
          <wp:inline distT="0" distB="0" distL="0" distR="0" wp14:anchorId="340BEAA2" wp14:editId="48352949">
            <wp:extent cx="6096000" cy="34290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096000" cy="3429000"/>
                    </a:xfrm>
                    <a:prstGeom prst="rect">
                      <a:avLst/>
                    </a:prstGeom>
                    <a:noFill/>
                  </pic:spPr>
                </pic:pic>
              </a:graphicData>
            </a:graphic>
          </wp:inline>
        </w:drawing>
      </w:r>
    </w:p>
    <w:p w14:paraId="5439B872" w14:textId="77777777" w:rsidR="000F00B4" w:rsidRPr="000F00B4" w:rsidRDefault="000F00B4" w:rsidP="00CE3E97">
      <w:pPr>
        <w:rPr>
          <w:b/>
        </w:rPr>
      </w:pPr>
      <w:r w:rsidRPr="000F00B4">
        <w:rPr>
          <w:b/>
        </w:rPr>
        <w:t>Speaker Notes</w:t>
      </w:r>
    </w:p>
    <w:p w14:paraId="4565CDB2" w14:textId="77777777" w:rsidR="00920032" w:rsidRDefault="000F00B4" w:rsidP="00CE3E97">
      <w:r w:rsidRPr="000F00B4">
        <w:t xml:space="preserve">Events are operated under an environment of high uncertainty, as the event management team needs to offer a unique experience under dynamic conditions where expectations may keep changing. Risks are an inherent part of an event organisation plan and it is essential to be aware of all the possibilities that may impact a successful management of an event. Hence the skills needed for event management can be wide and generic such as project management or specific such as specialists in technology, catering, negotiation etc. </w:t>
      </w:r>
      <w:r w:rsidR="00920032">
        <w:t xml:space="preserve">In addition to technical and management skills, soft skills such as communication and negotiation is also valued, as the role of event managers is predominantly public or customer facing and situations may be needed to be handled with tact and diplomacy. </w:t>
      </w:r>
    </w:p>
    <w:p w14:paraId="6D910F29" w14:textId="77777777" w:rsidR="000F00B4" w:rsidRDefault="000F00B4" w:rsidP="00CE3E97">
      <w:r w:rsidRPr="000F00B4">
        <w:t xml:space="preserve">Event managers need to make a variety of decisions related to choosing venue, designing the event experience and selecting resources and </w:t>
      </w:r>
      <w:r w:rsidR="00CE2EC6">
        <w:t xml:space="preserve">vendor </w:t>
      </w:r>
      <w:r w:rsidRPr="000F00B4">
        <w:t>partners for conducting the event.</w:t>
      </w:r>
      <w:r w:rsidR="00CE2EC6">
        <w:t xml:space="preserve"> Availability of venues with most of the facilities can reduce the effort involved in selecting the vendors. Business meeting spaces offered by Premier Inn have a </w:t>
      </w:r>
      <w:proofErr w:type="gramStart"/>
      <w:r w:rsidR="00CE2EC6">
        <w:t>select options</w:t>
      </w:r>
      <w:proofErr w:type="gramEnd"/>
      <w:r w:rsidR="00CE2EC6">
        <w:t xml:space="preserve"> with facilities for parking, refreshments and basic infrastructure for holding business meetings. </w:t>
      </w:r>
    </w:p>
    <w:p w14:paraId="70FF8E81" w14:textId="77777777" w:rsidR="000F00B4" w:rsidRDefault="000F00B4">
      <w:pPr>
        <w:spacing w:line="259" w:lineRule="auto"/>
        <w:jc w:val="left"/>
      </w:pPr>
      <w:r>
        <w:br w:type="page"/>
      </w:r>
    </w:p>
    <w:p w14:paraId="170AD963" w14:textId="77777777" w:rsidR="000F00B4" w:rsidRDefault="000F00B4" w:rsidP="004F3026">
      <w:pPr>
        <w:pStyle w:val="Heading1"/>
      </w:pPr>
      <w:bookmarkStart w:id="3" w:name="_Toc165486272"/>
      <w:r>
        <w:lastRenderedPageBreak/>
        <w:t>Slide 4 – Situational Analysis – Financial factors</w:t>
      </w:r>
      <w:bookmarkEnd w:id="3"/>
    </w:p>
    <w:p w14:paraId="16425B72" w14:textId="77777777" w:rsidR="000F00B4" w:rsidRDefault="000F00B4" w:rsidP="00CE3E97">
      <w:r>
        <w:rPr>
          <w:noProof/>
          <w:lang w:eastAsia="en-GB"/>
        </w:rPr>
        <w:drawing>
          <wp:inline distT="0" distB="0" distL="0" distR="0" wp14:anchorId="3A7DA698" wp14:editId="016CDD3B">
            <wp:extent cx="6096000" cy="34290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096000" cy="3429000"/>
                    </a:xfrm>
                    <a:prstGeom prst="rect">
                      <a:avLst/>
                    </a:prstGeom>
                    <a:noFill/>
                  </pic:spPr>
                </pic:pic>
              </a:graphicData>
            </a:graphic>
          </wp:inline>
        </w:drawing>
      </w:r>
    </w:p>
    <w:p w14:paraId="0ABAEBE6" w14:textId="77777777" w:rsidR="000F00B4" w:rsidRPr="000F00B4" w:rsidRDefault="000F00B4" w:rsidP="00CE3E97">
      <w:pPr>
        <w:rPr>
          <w:b/>
        </w:rPr>
      </w:pPr>
      <w:r w:rsidRPr="000F00B4">
        <w:rPr>
          <w:b/>
        </w:rPr>
        <w:t>Speaker Notes</w:t>
      </w:r>
    </w:p>
    <w:p w14:paraId="3FF894F8" w14:textId="77777777" w:rsidR="000F00B4" w:rsidRPr="000F00B4" w:rsidRDefault="000F00B4" w:rsidP="000F00B4">
      <w:r w:rsidRPr="000F00B4">
        <w:t xml:space="preserve">Financial management depends on the type of event – profit driven, association conferences, community events etc. However, financial planning and cash flow management is an important factor in event planning as there is a lot of uncertainty and risks involved in any type of event. Significant expenditure occurs in the initial stage of the event and mismanagement can lead to risks in successfully conducting the event. </w:t>
      </w:r>
    </w:p>
    <w:p w14:paraId="3E77D3B2" w14:textId="77777777" w:rsidR="000F00B4" w:rsidRPr="000F00B4" w:rsidRDefault="004F3026" w:rsidP="000F00B4">
      <w:r>
        <w:t>T</w:t>
      </w:r>
      <w:r w:rsidR="000F00B4" w:rsidRPr="000F00B4">
        <w:t xml:space="preserve">he proposed event is a business conference wherein the goal is to </w:t>
      </w:r>
      <w:r>
        <w:t>demonstrate the usability of data intelligence to transform the industry and benefit all players in the market</w:t>
      </w:r>
      <w:r w:rsidR="000F00B4" w:rsidRPr="000F00B4">
        <w:t xml:space="preserve">. The event is funded by various organisers to promote the product to industry players.  </w:t>
      </w:r>
    </w:p>
    <w:p w14:paraId="16013932" w14:textId="77777777" w:rsidR="004F3026" w:rsidRDefault="004F3026">
      <w:pPr>
        <w:spacing w:line="259" w:lineRule="auto"/>
        <w:jc w:val="left"/>
      </w:pPr>
      <w:r>
        <w:br w:type="page"/>
      </w:r>
    </w:p>
    <w:p w14:paraId="47FBEB5C" w14:textId="77777777" w:rsidR="000F00B4" w:rsidRDefault="004F3026" w:rsidP="004F3026">
      <w:pPr>
        <w:pStyle w:val="Heading1"/>
      </w:pPr>
      <w:bookmarkStart w:id="4" w:name="_Toc165486273"/>
      <w:r>
        <w:lastRenderedPageBreak/>
        <w:t>Slide 5 – Situational Analysis – Financial factors</w:t>
      </w:r>
      <w:bookmarkEnd w:id="4"/>
    </w:p>
    <w:p w14:paraId="26810B1B" w14:textId="77777777" w:rsidR="004F3026" w:rsidRDefault="007E6326" w:rsidP="00CE3E97">
      <w:r>
        <w:rPr>
          <w:noProof/>
          <w:lang w:eastAsia="en-GB"/>
        </w:rPr>
        <w:drawing>
          <wp:inline distT="0" distB="0" distL="0" distR="0" wp14:anchorId="486FC2E7" wp14:editId="0294E0AE">
            <wp:extent cx="6096000" cy="34290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096000" cy="3429000"/>
                    </a:xfrm>
                    <a:prstGeom prst="rect">
                      <a:avLst/>
                    </a:prstGeom>
                    <a:noFill/>
                  </pic:spPr>
                </pic:pic>
              </a:graphicData>
            </a:graphic>
          </wp:inline>
        </w:drawing>
      </w:r>
    </w:p>
    <w:p w14:paraId="3F93C6C0" w14:textId="77777777" w:rsidR="004F3026" w:rsidRPr="004F3026" w:rsidRDefault="004F3026" w:rsidP="00CE3E97">
      <w:pPr>
        <w:rPr>
          <w:b/>
        </w:rPr>
      </w:pPr>
      <w:r w:rsidRPr="004F3026">
        <w:rPr>
          <w:b/>
        </w:rPr>
        <w:t>Speaker Notes</w:t>
      </w:r>
    </w:p>
    <w:p w14:paraId="233C9994" w14:textId="77777777" w:rsidR="005739A3" w:rsidRPr="005739A3" w:rsidRDefault="005739A3" w:rsidP="005739A3">
      <w:r w:rsidRPr="005739A3">
        <w:t>The cost breakdown is a realistic estimate based on the pricings at Premier meetings. The line items are grouped based on broad categories and the estimate is made on the expenses that are likely to take up a major percentage of the budget. Premier meetings, similar to most venues, provide most of the infrastructure and equipment for the meeting. The event venue offers staff to co-ordinate between the facility officials and the event co-ordinators, however, event management team is expected to organise any additional staff with unique skillsets required for the meeting. A contingency cost is also included to deal with any unexpected expenses during the event. The main sources of revenue for the event are the funding from various sources and the sponsors. The other source of income are the registration and the advertisements which will contribute to the profit of the event.</w:t>
      </w:r>
    </w:p>
    <w:p w14:paraId="66DC96D5" w14:textId="77777777" w:rsidR="004F3026" w:rsidRDefault="004F3026">
      <w:pPr>
        <w:spacing w:line="259" w:lineRule="auto"/>
        <w:jc w:val="left"/>
      </w:pPr>
      <w:r>
        <w:br w:type="page"/>
      </w:r>
    </w:p>
    <w:p w14:paraId="379361F0" w14:textId="77777777" w:rsidR="004F3026" w:rsidRDefault="004F3026" w:rsidP="004F3026">
      <w:pPr>
        <w:pStyle w:val="Heading1"/>
      </w:pPr>
      <w:bookmarkStart w:id="5" w:name="_Toc165486274"/>
      <w:r>
        <w:lastRenderedPageBreak/>
        <w:t>Slide 6 – SWOT Analysis</w:t>
      </w:r>
      <w:bookmarkEnd w:id="5"/>
    </w:p>
    <w:p w14:paraId="2C2117FE" w14:textId="77777777" w:rsidR="004F3026" w:rsidRDefault="004F3026" w:rsidP="004F3026">
      <w:r>
        <w:rPr>
          <w:noProof/>
          <w:lang w:eastAsia="en-GB"/>
        </w:rPr>
        <w:drawing>
          <wp:inline distT="0" distB="0" distL="0" distR="0" wp14:anchorId="247C1A1A" wp14:editId="48021557">
            <wp:extent cx="6096000" cy="342900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096000" cy="3429000"/>
                    </a:xfrm>
                    <a:prstGeom prst="rect">
                      <a:avLst/>
                    </a:prstGeom>
                    <a:noFill/>
                  </pic:spPr>
                </pic:pic>
              </a:graphicData>
            </a:graphic>
          </wp:inline>
        </w:drawing>
      </w:r>
    </w:p>
    <w:p w14:paraId="0CA24305" w14:textId="77777777" w:rsidR="004F3026" w:rsidRPr="004F3026" w:rsidRDefault="004F3026" w:rsidP="004F3026">
      <w:pPr>
        <w:rPr>
          <w:b/>
        </w:rPr>
      </w:pPr>
      <w:r w:rsidRPr="004F3026">
        <w:rPr>
          <w:b/>
        </w:rPr>
        <w:t>Speaker Notes</w:t>
      </w:r>
    </w:p>
    <w:p w14:paraId="47F1BED4" w14:textId="77777777" w:rsidR="009D59E3" w:rsidRDefault="009D59E3" w:rsidP="009D59E3">
      <w:r>
        <w:t xml:space="preserve">The strength and weakness of the SWOT analysis is an assessment of the internal factors and the opportunity and threat the external factors that affects the competitive position of the particular organisation or phenomenon. The SWOT analysis on the proposed event reveals the factors that make the event appealing to the attendees, the weakness that negatively impact its appeal, the opportunity that the event can give to the attendees and the threats that can deter them from participating. </w:t>
      </w:r>
    </w:p>
    <w:p w14:paraId="2032A4B5" w14:textId="77777777" w:rsidR="005F47A5" w:rsidRDefault="004F3026" w:rsidP="004F3026">
      <w:r w:rsidRPr="004F3026">
        <w:t>Data intelligence has a lot of applications in the hospitality industry such as revenue management, customer relationship management, sales optimisation, data analytics etc. An event promoting the usage of data intelligence in hospitality offers an opportunity to discuss the various challenges and benefits in implementing the technology. The event being held in London gives an additional advantage for many businesses at both national and international level to participate and contribute. However, there are very few alternatives for venues with facilities to handle a huge turnout, forcing the event to rely on the limited options available.</w:t>
      </w:r>
      <w:r w:rsidR="009D59E3">
        <w:t xml:space="preserve"> The analysis reveals that a well-chosen venue with an attractive agenda can assure success of the event. </w:t>
      </w:r>
      <w:r w:rsidRPr="004F3026">
        <w:t xml:space="preserve"> </w:t>
      </w:r>
    </w:p>
    <w:p w14:paraId="51E5777D" w14:textId="77777777" w:rsidR="005F47A5" w:rsidRDefault="005F47A5">
      <w:pPr>
        <w:spacing w:line="259" w:lineRule="auto"/>
        <w:jc w:val="left"/>
      </w:pPr>
      <w:r>
        <w:br w:type="page"/>
      </w:r>
    </w:p>
    <w:p w14:paraId="6B25D80A" w14:textId="77777777" w:rsidR="004F3026" w:rsidRDefault="005F47A5" w:rsidP="005F47A5">
      <w:pPr>
        <w:pStyle w:val="Heading1"/>
      </w:pPr>
      <w:bookmarkStart w:id="6" w:name="_Toc165486275"/>
      <w:r>
        <w:lastRenderedPageBreak/>
        <w:t>Slide 7 – PESTLE Analysis</w:t>
      </w:r>
      <w:bookmarkEnd w:id="6"/>
    </w:p>
    <w:p w14:paraId="25DDEB79" w14:textId="77777777" w:rsidR="005F47A5" w:rsidRDefault="005F47A5" w:rsidP="004F3026">
      <w:r>
        <w:rPr>
          <w:noProof/>
          <w:lang w:eastAsia="en-GB"/>
        </w:rPr>
        <w:drawing>
          <wp:inline distT="0" distB="0" distL="0" distR="0" wp14:anchorId="12F97670" wp14:editId="07415346">
            <wp:extent cx="6096000" cy="342900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096000" cy="3429000"/>
                    </a:xfrm>
                    <a:prstGeom prst="rect">
                      <a:avLst/>
                    </a:prstGeom>
                    <a:noFill/>
                  </pic:spPr>
                </pic:pic>
              </a:graphicData>
            </a:graphic>
          </wp:inline>
        </w:drawing>
      </w:r>
    </w:p>
    <w:p w14:paraId="4D9F53E7" w14:textId="77777777" w:rsidR="005F47A5" w:rsidRPr="005F47A5" w:rsidRDefault="005F47A5" w:rsidP="004F3026">
      <w:pPr>
        <w:rPr>
          <w:b/>
        </w:rPr>
      </w:pPr>
      <w:r w:rsidRPr="005F47A5">
        <w:rPr>
          <w:b/>
        </w:rPr>
        <w:t>Speaker Notes</w:t>
      </w:r>
    </w:p>
    <w:p w14:paraId="7462A1AD" w14:textId="77777777" w:rsidR="00F747F5" w:rsidRDefault="005F47A5" w:rsidP="004F3026">
      <w:r>
        <w:t xml:space="preserve">The environmental factors play an important role in the management of the event. The political and </w:t>
      </w:r>
      <w:r w:rsidR="00041B1F">
        <w:t>economic factors have a high</w:t>
      </w:r>
      <w:r>
        <w:t xml:space="preserve"> influence</w:t>
      </w:r>
      <w:r w:rsidR="00041B1F">
        <w:t xml:space="preserve"> in the success of the event</w:t>
      </w:r>
      <w:r>
        <w:t xml:space="preserve">. The UK government has invested heavily in the hospitality sector and </w:t>
      </w:r>
      <w:r w:rsidR="00041B1F">
        <w:t xml:space="preserve">has contributed through various grants and funding to businesses to recover from the loss of the pandemic. </w:t>
      </w:r>
      <w:r w:rsidR="0095117A">
        <w:t xml:space="preserve">The </w:t>
      </w:r>
      <w:r w:rsidR="00F747F5">
        <w:t xml:space="preserve">political and economic environment for the hospitality and event industry has been particularly volatile and performance in the sector has been dismal. The government recognises hospitality sector as one of the contributors to the economy and has committed to the revival of the industry. In the revival plan, the government has encouraged the use of technology and its various applications to ensure that the industry has regained its competitive edge. Hence the political and economic influence plays a major role in the success of the event and the agenda of promoting data intelligence usage to improve the industry performance. </w:t>
      </w:r>
    </w:p>
    <w:p w14:paraId="06E1651C" w14:textId="77777777" w:rsidR="00041B1F" w:rsidRDefault="0095117A" w:rsidP="004F3026">
      <w:r>
        <w:t xml:space="preserve"> </w:t>
      </w:r>
      <w:r w:rsidR="00041B1F">
        <w:t xml:space="preserve">Socio-cultural influence on the event is medium as the event is a business conference and involves diverse businesses that are concerned with the use of technology to improve their revenue. However, London, with its unique culture, offers a convenient and suitable location for a business conference. </w:t>
      </w:r>
    </w:p>
    <w:p w14:paraId="0FF08F02" w14:textId="77777777" w:rsidR="00041B1F" w:rsidRDefault="00041B1F">
      <w:pPr>
        <w:spacing w:line="259" w:lineRule="auto"/>
        <w:jc w:val="left"/>
      </w:pPr>
      <w:r>
        <w:br w:type="page"/>
      </w:r>
    </w:p>
    <w:p w14:paraId="1AAAFD2C" w14:textId="77777777" w:rsidR="005F47A5" w:rsidRDefault="00041B1F" w:rsidP="00041B1F">
      <w:pPr>
        <w:pStyle w:val="Heading1"/>
      </w:pPr>
      <w:bookmarkStart w:id="7" w:name="_Toc165486276"/>
      <w:r>
        <w:lastRenderedPageBreak/>
        <w:t>Slide 8 – PESTLE Analysis</w:t>
      </w:r>
      <w:bookmarkEnd w:id="7"/>
    </w:p>
    <w:p w14:paraId="2CBF325D" w14:textId="77777777" w:rsidR="00041B1F" w:rsidRDefault="000D523E" w:rsidP="004F3026">
      <w:r>
        <w:rPr>
          <w:noProof/>
          <w:lang w:eastAsia="en-GB"/>
        </w:rPr>
        <w:drawing>
          <wp:inline distT="0" distB="0" distL="0" distR="0" wp14:anchorId="70245AD3" wp14:editId="3DBD4BE9">
            <wp:extent cx="6096000" cy="342900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096000" cy="3429000"/>
                    </a:xfrm>
                    <a:prstGeom prst="rect">
                      <a:avLst/>
                    </a:prstGeom>
                    <a:noFill/>
                  </pic:spPr>
                </pic:pic>
              </a:graphicData>
            </a:graphic>
          </wp:inline>
        </w:drawing>
      </w:r>
    </w:p>
    <w:p w14:paraId="3DFBE829" w14:textId="77777777" w:rsidR="00041B1F" w:rsidRPr="000D523E" w:rsidRDefault="00041B1F" w:rsidP="004F3026">
      <w:pPr>
        <w:rPr>
          <w:b/>
        </w:rPr>
      </w:pPr>
      <w:r w:rsidRPr="000D523E">
        <w:rPr>
          <w:b/>
        </w:rPr>
        <w:t>Speaker Notes</w:t>
      </w:r>
    </w:p>
    <w:p w14:paraId="04064696" w14:textId="77777777" w:rsidR="00B174A7" w:rsidRDefault="000D523E" w:rsidP="004F3026">
      <w:r>
        <w:t xml:space="preserve">Technological influence on the event performance is high, as data intelligence can be applied to the proposed event to promote the </w:t>
      </w:r>
      <w:r w:rsidR="00D96058">
        <w:t xml:space="preserve">proposed </w:t>
      </w:r>
      <w:r>
        <w:t>technology</w:t>
      </w:r>
      <w:r w:rsidR="00D96058">
        <w:t xml:space="preserve"> itself</w:t>
      </w:r>
      <w:r>
        <w:t>.</w:t>
      </w:r>
      <w:r w:rsidR="007A5E6C">
        <w:t xml:space="preserve"> The use of technology can be leveraged to offer immersive experiences that can assure a memorable event </w:t>
      </w:r>
      <w:r w:rsidR="00D96058">
        <w:t xml:space="preserve">for the attendees. Activities that encourage active engagement between the attendees and event hosts, workshops and ideation are stimulating intellectual experiences that can contribute to the success of the event. </w:t>
      </w:r>
      <w:r>
        <w:t xml:space="preserve">Legal influences and environmental influences will </w:t>
      </w:r>
      <w:r w:rsidR="00445678">
        <w:t>have minimal</w:t>
      </w:r>
      <w:r>
        <w:t xml:space="preserve"> impact </w:t>
      </w:r>
      <w:r w:rsidR="00445678">
        <w:t xml:space="preserve">on </w:t>
      </w:r>
      <w:r>
        <w:t>the event</w:t>
      </w:r>
      <w:r w:rsidR="00445678">
        <w:t xml:space="preserve"> itself</w:t>
      </w:r>
      <w:r>
        <w:t xml:space="preserve">, as the organisers are </w:t>
      </w:r>
      <w:r w:rsidR="00B174A7">
        <w:t xml:space="preserve">at minimum, </w:t>
      </w:r>
      <w:r>
        <w:t xml:space="preserve">expected to comply with the regulations that have been set by the government or the event venue business owner. The choice of event venue will factor in </w:t>
      </w:r>
      <w:r w:rsidR="00B174A7">
        <w:t>essential technical infrastructure, sustainable event space and a location that assures health and safety arrangements on-site.</w:t>
      </w:r>
      <w:r>
        <w:t xml:space="preserve"> </w:t>
      </w:r>
    </w:p>
    <w:p w14:paraId="7FCEAC39" w14:textId="77777777" w:rsidR="00B174A7" w:rsidRDefault="00B174A7">
      <w:pPr>
        <w:spacing w:line="259" w:lineRule="auto"/>
        <w:jc w:val="left"/>
      </w:pPr>
      <w:r>
        <w:br w:type="page"/>
      </w:r>
    </w:p>
    <w:p w14:paraId="36B20EB4" w14:textId="77777777" w:rsidR="00041B1F" w:rsidRDefault="00B174A7" w:rsidP="00B174A7">
      <w:pPr>
        <w:pStyle w:val="Heading1"/>
      </w:pPr>
      <w:bookmarkStart w:id="8" w:name="_Toc165486277"/>
      <w:r>
        <w:lastRenderedPageBreak/>
        <w:t>Slide 9 – Risk Analysis</w:t>
      </w:r>
      <w:bookmarkEnd w:id="8"/>
    </w:p>
    <w:p w14:paraId="67EADCF0" w14:textId="77777777" w:rsidR="00B174A7" w:rsidRDefault="00B174A7" w:rsidP="004F3026">
      <w:r>
        <w:rPr>
          <w:noProof/>
          <w:lang w:eastAsia="en-GB"/>
        </w:rPr>
        <w:drawing>
          <wp:inline distT="0" distB="0" distL="0" distR="0" wp14:anchorId="2215FBD8" wp14:editId="406B4AE9">
            <wp:extent cx="6096000" cy="342900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096000" cy="3429000"/>
                    </a:xfrm>
                    <a:prstGeom prst="rect">
                      <a:avLst/>
                    </a:prstGeom>
                    <a:noFill/>
                  </pic:spPr>
                </pic:pic>
              </a:graphicData>
            </a:graphic>
          </wp:inline>
        </w:drawing>
      </w:r>
    </w:p>
    <w:p w14:paraId="382AE351" w14:textId="77777777" w:rsidR="00B174A7" w:rsidRPr="00B174A7" w:rsidRDefault="00B174A7" w:rsidP="004F3026">
      <w:pPr>
        <w:rPr>
          <w:b/>
        </w:rPr>
      </w:pPr>
      <w:r w:rsidRPr="00B174A7">
        <w:rPr>
          <w:b/>
        </w:rPr>
        <w:t>Speaker notes</w:t>
      </w:r>
    </w:p>
    <w:p w14:paraId="605F6521" w14:textId="77777777" w:rsidR="007E6326" w:rsidRDefault="00B174A7" w:rsidP="00B174A7">
      <w:r w:rsidRPr="00B174A7">
        <w:t>The feasibility studies offer a valuable input to risk management in any project. While risks are inevitable in the event industry, it is essential to assess if the risks are most likely to occur during the proposed event in the feasibility studies.</w:t>
      </w:r>
      <w:r w:rsidR="00D96058">
        <w:t xml:space="preserve"> </w:t>
      </w:r>
      <w:r w:rsidR="00D96058" w:rsidRPr="00B174A7">
        <w:t xml:space="preserve">The risk assessment table offers a broad category of risks that highlights specific elements </w:t>
      </w:r>
      <w:r w:rsidR="00D96058">
        <w:t xml:space="preserve">that have been uncovered during the research for </w:t>
      </w:r>
      <w:r w:rsidR="00D96058" w:rsidRPr="00B174A7">
        <w:t>the situational analysis</w:t>
      </w:r>
      <w:r w:rsidR="00D96058">
        <w:t>,</w:t>
      </w:r>
      <w:r w:rsidR="00D96058" w:rsidRPr="00B174A7">
        <w:t xml:space="preserve"> that need mitigating measures.</w:t>
      </w:r>
      <w:r w:rsidRPr="00B174A7">
        <w:t xml:space="preserve"> The UK health and safety executive recommends a step by step risk assessment process for identifying and mitigating hazards.</w:t>
      </w:r>
      <w:r w:rsidR="00D96058">
        <w:t xml:space="preserve"> These standard risks can be addressed by the venue business owner.</w:t>
      </w:r>
      <w:r w:rsidRPr="00B174A7">
        <w:t xml:space="preserve"> </w:t>
      </w:r>
    </w:p>
    <w:p w14:paraId="46B78080" w14:textId="77777777" w:rsidR="00B174A7" w:rsidRDefault="00B174A7" w:rsidP="00B174A7">
      <w:r w:rsidRPr="00B174A7">
        <w:t>However, there are specific risks, such as likelihood of another business conducting a similar event during the same time that can affect the success of the proposed event</w:t>
      </w:r>
      <w:r w:rsidR="00D96058">
        <w:t>, over-extending budget, equipment failure etc., that need to be addressed by the event organiser</w:t>
      </w:r>
      <w:r w:rsidRPr="00B174A7">
        <w:t xml:space="preserve">. </w:t>
      </w:r>
      <w:r w:rsidR="00D96058">
        <w:t xml:space="preserve">Event attendees may exceed or fall below the expected count. </w:t>
      </w:r>
      <w:r w:rsidR="007E6326">
        <w:t xml:space="preserve">They may be unwilling to participate in certain activities. The event organiser must be prepared with counter measures under these circumstances.  </w:t>
      </w:r>
    </w:p>
    <w:p w14:paraId="08C97C5B" w14:textId="77777777" w:rsidR="00B174A7" w:rsidRDefault="00B174A7">
      <w:pPr>
        <w:spacing w:line="259" w:lineRule="auto"/>
        <w:jc w:val="left"/>
      </w:pPr>
      <w:r>
        <w:br w:type="page"/>
      </w:r>
    </w:p>
    <w:p w14:paraId="34B457F8" w14:textId="77777777" w:rsidR="00B174A7" w:rsidRDefault="00B174A7" w:rsidP="0057220A">
      <w:pPr>
        <w:pStyle w:val="Heading1"/>
      </w:pPr>
      <w:bookmarkStart w:id="9" w:name="_Toc165486278"/>
      <w:r>
        <w:lastRenderedPageBreak/>
        <w:t xml:space="preserve">Slide 10 </w:t>
      </w:r>
      <w:r w:rsidR="0057220A">
        <w:t>–</w:t>
      </w:r>
      <w:r>
        <w:t xml:space="preserve"> </w:t>
      </w:r>
      <w:r w:rsidR="0057220A">
        <w:t>Conclusion</w:t>
      </w:r>
      <w:bookmarkEnd w:id="9"/>
    </w:p>
    <w:p w14:paraId="059FA5AE" w14:textId="77777777" w:rsidR="0057220A" w:rsidRDefault="0057220A" w:rsidP="00B174A7">
      <w:r>
        <w:rPr>
          <w:noProof/>
          <w:lang w:eastAsia="en-GB"/>
        </w:rPr>
        <w:drawing>
          <wp:inline distT="0" distB="0" distL="0" distR="0" wp14:anchorId="6F25A462" wp14:editId="12203858">
            <wp:extent cx="6096000" cy="342900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096000" cy="3429000"/>
                    </a:xfrm>
                    <a:prstGeom prst="rect">
                      <a:avLst/>
                    </a:prstGeom>
                    <a:noFill/>
                  </pic:spPr>
                </pic:pic>
              </a:graphicData>
            </a:graphic>
          </wp:inline>
        </w:drawing>
      </w:r>
    </w:p>
    <w:p w14:paraId="58A3BCDB" w14:textId="77777777" w:rsidR="0057220A" w:rsidRPr="0057220A" w:rsidRDefault="0057220A" w:rsidP="00B174A7">
      <w:pPr>
        <w:rPr>
          <w:b/>
        </w:rPr>
      </w:pPr>
      <w:r w:rsidRPr="0057220A">
        <w:rPr>
          <w:b/>
        </w:rPr>
        <w:t>Speaker Notes</w:t>
      </w:r>
    </w:p>
    <w:p w14:paraId="1C9103B0" w14:textId="77777777" w:rsidR="0057220A" w:rsidRPr="0057220A" w:rsidRDefault="0057220A" w:rsidP="0057220A">
      <w:r w:rsidRPr="0057220A">
        <w:t>Hospitality industry caters to a wide audience comprising national and international businesses. Technology</w:t>
      </w:r>
      <w:r>
        <w:t xml:space="preserve"> has been a driving force of change and transformation across all industries. Data intelligence not only improves the hospitality services to customers, but also facilitates better collaboration among all the partners and vendors in the industry. The proposed event to host a business conference on data intelligence usage in the industry is expected to highlight these advantages to the stakeholders in the business. The feasibility study shows that </w:t>
      </w:r>
      <w:r w:rsidR="009E35E9">
        <w:t>with appropriate risk mitigation measures in place, and appropriate planning and management, the event can be held successfully.</w:t>
      </w:r>
      <w:r>
        <w:t xml:space="preserve">  </w:t>
      </w:r>
      <w:r w:rsidRPr="0057220A">
        <w:t xml:space="preserve"> </w:t>
      </w:r>
    </w:p>
    <w:p w14:paraId="02474085" w14:textId="77777777" w:rsidR="0057220A" w:rsidRPr="00B174A7" w:rsidRDefault="0057220A" w:rsidP="00B174A7"/>
    <w:p w14:paraId="0282F008" w14:textId="77777777" w:rsidR="00B174A7" w:rsidRPr="004F3026" w:rsidRDefault="00B174A7" w:rsidP="004F3026"/>
    <w:p w14:paraId="743F21D8" w14:textId="77777777" w:rsidR="004F3026" w:rsidRPr="004F3026" w:rsidRDefault="004F3026" w:rsidP="004F3026"/>
    <w:p w14:paraId="3502627C" w14:textId="77777777" w:rsidR="004F3026" w:rsidRPr="00CE3E97" w:rsidRDefault="004F3026" w:rsidP="00CE3E97"/>
    <w:p w14:paraId="37890D88" w14:textId="77777777" w:rsidR="00CE3E97" w:rsidRPr="00CE3E97" w:rsidRDefault="00CE3E97" w:rsidP="00CE3E97"/>
    <w:p w14:paraId="1FD8F61F" w14:textId="77777777" w:rsidR="00EC6EB2" w:rsidRDefault="00EC6EB2" w:rsidP="00A21BC4">
      <w:pPr>
        <w:rPr>
          <w:b/>
          <w:bCs/>
          <w:sz w:val="23"/>
          <w:szCs w:val="23"/>
        </w:rPr>
      </w:pPr>
    </w:p>
    <w:p w14:paraId="6166C353" w14:textId="77777777" w:rsidR="005E1B5A" w:rsidRDefault="005E1B5A" w:rsidP="00A21BC4">
      <w:pPr>
        <w:rPr>
          <w:b/>
          <w:bCs/>
          <w:sz w:val="23"/>
          <w:szCs w:val="23"/>
        </w:rPr>
      </w:pPr>
      <w:r>
        <w:rPr>
          <w:b/>
          <w:bCs/>
          <w:sz w:val="23"/>
          <w:szCs w:val="23"/>
        </w:rPr>
        <w:br w:type="page"/>
      </w:r>
    </w:p>
    <w:bookmarkStart w:id="10" w:name="_Toc165486279" w:displacedByCustomXml="next"/>
    <w:sdt>
      <w:sdtPr>
        <w:rPr>
          <w:rFonts w:eastAsiaTheme="minorHAnsi" w:cstheme="minorBidi"/>
          <w:b w:val="0"/>
          <w:szCs w:val="22"/>
          <w:lang w:val="en-GB"/>
        </w:rPr>
        <w:id w:val="733820825"/>
        <w:docPartObj>
          <w:docPartGallery w:val="Bibliographies"/>
          <w:docPartUnique/>
        </w:docPartObj>
      </w:sdtPr>
      <w:sdtEndPr/>
      <w:sdtContent>
        <w:p w14:paraId="3E602C9B" w14:textId="77777777" w:rsidR="00A707D5" w:rsidRDefault="00A707D5">
          <w:pPr>
            <w:pStyle w:val="Heading1"/>
          </w:pPr>
          <w:r>
            <w:t>References</w:t>
          </w:r>
          <w:bookmarkEnd w:id="10"/>
        </w:p>
        <w:sdt>
          <w:sdtPr>
            <w:id w:val="-573587230"/>
            <w:bibliography/>
          </w:sdtPr>
          <w:sdtEndPr/>
          <w:sdtContent>
            <w:p w14:paraId="0A9C0DE7" w14:textId="77777777" w:rsidR="00A707D5" w:rsidRDefault="00A707D5" w:rsidP="00A707D5">
              <w:pPr>
                <w:pStyle w:val="Bibliography"/>
                <w:rPr>
                  <w:noProof/>
                  <w:szCs w:val="24"/>
                  <w:lang w:val="en-US"/>
                </w:rPr>
              </w:pPr>
              <w:r>
                <w:fldChar w:fldCharType="begin"/>
              </w:r>
              <w:r>
                <w:instrText xml:space="preserve"> BIBLIOGRAPHY </w:instrText>
              </w:r>
              <w:r>
                <w:fldChar w:fldCharType="separate"/>
              </w:r>
              <w:r>
                <w:rPr>
                  <w:noProof/>
                  <w:lang w:val="en-US"/>
                </w:rPr>
                <w:t xml:space="preserve">Antchak, V. &amp; Ramsbottom, O., 2019. </w:t>
              </w:r>
              <w:r>
                <w:rPr>
                  <w:i/>
                  <w:iCs/>
                  <w:noProof/>
                  <w:lang w:val="en-US"/>
                </w:rPr>
                <w:t xml:space="preserve">The Fundamentals of Event Design. </w:t>
              </w:r>
              <w:r>
                <w:rPr>
                  <w:noProof/>
                  <w:lang w:val="en-US"/>
                </w:rPr>
                <w:t>2019 ed. New York: Taylor &amp; Francis.</w:t>
              </w:r>
            </w:p>
            <w:p w14:paraId="1FCE175C" w14:textId="77777777" w:rsidR="00A707D5" w:rsidRDefault="00A707D5" w:rsidP="00A707D5">
              <w:pPr>
                <w:pStyle w:val="Bibliography"/>
                <w:rPr>
                  <w:noProof/>
                  <w:lang w:val="en-US"/>
                </w:rPr>
              </w:pPr>
              <w:r>
                <w:rPr>
                  <w:noProof/>
                  <w:lang w:val="en-US"/>
                </w:rPr>
                <w:t xml:space="preserve">Bowdin, G. A. J. et al., 2023. </w:t>
              </w:r>
              <w:r>
                <w:rPr>
                  <w:i/>
                  <w:iCs/>
                  <w:noProof/>
                  <w:lang w:val="en-US"/>
                </w:rPr>
                <w:t xml:space="preserve">Events Management. </w:t>
              </w:r>
              <w:r>
                <w:rPr>
                  <w:noProof/>
                  <w:lang w:val="en-US"/>
                </w:rPr>
                <w:t>2023 ed. New York: Taylor &amp; Francis.</w:t>
              </w:r>
            </w:p>
            <w:p w14:paraId="4062DFFD" w14:textId="77777777" w:rsidR="00A707D5" w:rsidRDefault="00A707D5" w:rsidP="00A707D5">
              <w:pPr>
                <w:pStyle w:val="Bibliography"/>
                <w:rPr>
                  <w:noProof/>
                  <w:lang w:val="en-US"/>
                </w:rPr>
              </w:pPr>
              <w:r>
                <w:rPr>
                  <w:noProof/>
                  <w:lang w:val="en-US"/>
                </w:rPr>
                <w:t xml:space="preserve">Department for Business and Trade, 2023. </w:t>
              </w:r>
              <w:r>
                <w:rPr>
                  <w:i/>
                  <w:iCs/>
                  <w:noProof/>
                  <w:lang w:val="en-US"/>
                </w:rPr>
                <w:t xml:space="preserve">Hospitality Strategy: Reopening, Recovery, Resilience, </w:t>
              </w:r>
              <w:r>
                <w:rPr>
                  <w:noProof/>
                  <w:lang w:val="en-US"/>
                </w:rPr>
                <w:t>London: OGL Crown Copyright.</w:t>
              </w:r>
            </w:p>
            <w:p w14:paraId="2C37D643" w14:textId="77777777" w:rsidR="00A707D5" w:rsidRDefault="00A707D5" w:rsidP="00A707D5">
              <w:pPr>
                <w:pStyle w:val="Bibliography"/>
                <w:rPr>
                  <w:noProof/>
                  <w:lang w:val="en-US"/>
                </w:rPr>
              </w:pPr>
              <w:r>
                <w:rPr>
                  <w:noProof/>
                  <w:lang w:val="en-US"/>
                </w:rPr>
                <w:t xml:space="preserve">Dowson, R., Albert, B. &amp; Lomax, D., 2023. </w:t>
              </w:r>
              <w:r>
                <w:rPr>
                  <w:i/>
                  <w:iCs/>
                  <w:noProof/>
                  <w:lang w:val="en-US"/>
                </w:rPr>
                <w:t xml:space="preserve">Event Planning and Management - Principles, Planning and Practice. </w:t>
              </w:r>
              <w:r>
                <w:rPr>
                  <w:noProof/>
                  <w:lang w:val="en-US"/>
                </w:rPr>
                <w:t>3rd ed. London: Kogan Page.</w:t>
              </w:r>
            </w:p>
            <w:p w14:paraId="75238AA6" w14:textId="77777777" w:rsidR="00A707D5" w:rsidRDefault="00A707D5" w:rsidP="00A707D5">
              <w:pPr>
                <w:pStyle w:val="Bibliography"/>
                <w:rPr>
                  <w:noProof/>
                  <w:lang w:val="en-US"/>
                </w:rPr>
              </w:pPr>
              <w:r>
                <w:rPr>
                  <w:noProof/>
                  <w:lang w:val="en-US"/>
                </w:rPr>
                <w:t xml:space="preserve">Evans, N., 2024. </w:t>
              </w:r>
              <w:r>
                <w:rPr>
                  <w:i/>
                  <w:iCs/>
                  <w:noProof/>
                  <w:lang w:val="en-US"/>
                </w:rPr>
                <w:t xml:space="preserve">Strategic Management for Tourism, Hospitality and Events. </w:t>
              </w:r>
              <w:r>
                <w:rPr>
                  <w:noProof/>
                  <w:lang w:val="en-US"/>
                </w:rPr>
                <w:t>2024 ed. New York: Taylor &amp; Francis.</w:t>
              </w:r>
            </w:p>
            <w:p w14:paraId="6F8AF8FD" w14:textId="77777777" w:rsidR="00A707D5" w:rsidRDefault="00A707D5" w:rsidP="00A707D5">
              <w:pPr>
                <w:pStyle w:val="Bibliography"/>
                <w:rPr>
                  <w:noProof/>
                  <w:lang w:val="en-US"/>
                </w:rPr>
              </w:pPr>
              <w:r>
                <w:rPr>
                  <w:noProof/>
                  <w:lang w:val="en-US"/>
                </w:rPr>
                <w:t xml:space="preserve">Everett, S. et al., 2021. </w:t>
              </w:r>
              <w:r>
                <w:rPr>
                  <w:i/>
                  <w:iCs/>
                  <w:noProof/>
                  <w:lang w:val="en-US"/>
                </w:rPr>
                <w:t xml:space="preserve">The Tourism, Hospitality and Events Student′s Guide to Study and Employability. </w:t>
              </w:r>
              <w:r>
                <w:rPr>
                  <w:noProof/>
                  <w:lang w:val="en-US"/>
                </w:rPr>
                <w:t>2021 ed. London: SAGE Publications.</w:t>
              </w:r>
            </w:p>
            <w:p w14:paraId="417EF753" w14:textId="77777777" w:rsidR="00A707D5" w:rsidRDefault="00A707D5" w:rsidP="00A707D5">
              <w:pPr>
                <w:pStyle w:val="Bibliography"/>
                <w:rPr>
                  <w:noProof/>
                  <w:lang w:val="en-US"/>
                </w:rPr>
              </w:pPr>
              <w:r>
                <w:rPr>
                  <w:noProof/>
                  <w:lang w:val="en-US"/>
                </w:rPr>
                <w:t xml:space="preserve">Fox, D., Gouthro, M. B., Morakabati, Y. &amp; Brackstone, J., 2014. </w:t>
              </w:r>
              <w:r>
                <w:rPr>
                  <w:i/>
                  <w:iCs/>
                  <w:noProof/>
                  <w:lang w:val="en-US"/>
                </w:rPr>
                <w:t xml:space="preserve">Doing Events Research: From Theory to Practice. </w:t>
              </w:r>
              <w:r>
                <w:rPr>
                  <w:noProof/>
                  <w:lang w:val="en-US"/>
                </w:rPr>
                <w:t>2014 ed. New York: Taylor &amp; Francis.</w:t>
              </w:r>
            </w:p>
            <w:p w14:paraId="3EE2F6E8" w14:textId="77777777" w:rsidR="00A707D5" w:rsidRDefault="00A707D5" w:rsidP="00A707D5">
              <w:pPr>
                <w:pStyle w:val="Bibliography"/>
                <w:rPr>
                  <w:noProof/>
                  <w:lang w:val="en-US"/>
                </w:rPr>
              </w:pPr>
              <w:r>
                <w:rPr>
                  <w:noProof/>
                  <w:lang w:val="en-US"/>
                </w:rPr>
                <w:t xml:space="preserve">Getz, D. &amp; Page, S. J., 2019. </w:t>
              </w:r>
              <w:r>
                <w:rPr>
                  <w:i/>
                  <w:iCs/>
                  <w:noProof/>
                  <w:lang w:val="en-US"/>
                </w:rPr>
                <w:t xml:space="preserve">Event Studies: Theory, Research and Policy for Planned Events. </w:t>
              </w:r>
              <w:r>
                <w:rPr>
                  <w:noProof/>
                  <w:lang w:val="en-US"/>
                </w:rPr>
                <w:t>4th ed. New York: Taylor &amp; Francis.</w:t>
              </w:r>
            </w:p>
            <w:p w14:paraId="2426EE43" w14:textId="77777777" w:rsidR="00A707D5" w:rsidRDefault="00A707D5" w:rsidP="00A707D5">
              <w:pPr>
                <w:pStyle w:val="Bibliography"/>
                <w:rPr>
                  <w:noProof/>
                  <w:lang w:val="en-US"/>
                </w:rPr>
              </w:pPr>
              <w:r>
                <w:rPr>
                  <w:noProof/>
                  <w:lang w:val="en-US"/>
                </w:rPr>
                <w:t xml:space="preserve">Health and Safety Executive, 2024. </w:t>
              </w:r>
              <w:r>
                <w:rPr>
                  <w:i/>
                  <w:iCs/>
                  <w:noProof/>
                  <w:lang w:val="en-US"/>
                </w:rPr>
                <w:t xml:space="preserve">Managing an event. </w:t>
              </w:r>
              <w:r>
                <w:rPr>
                  <w:noProof/>
                  <w:lang w:val="en-US"/>
                </w:rPr>
                <w:t xml:space="preserve">[Online] </w:t>
              </w:r>
              <w:r>
                <w:rPr>
                  <w:noProof/>
                  <w:lang w:val="en-US"/>
                </w:rPr>
                <w:br/>
                <w:t xml:space="preserve">Available at: </w:t>
              </w:r>
              <w:r>
                <w:rPr>
                  <w:noProof/>
                  <w:u w:val="single"/>
                  <w:lang w:val="en-US"/>
                </w:rPr>
                <w:t>https://www.hse.gov.uk/event-safety/managing-an-event.htm</w:t>
              </w:r>
              <w:r>
                <w:rPr>
                  <w:noProof/>
                  <w:lang w:val="en-US"/>
                </w:rPr>
                <w:br/>
                <w:t>[Accessed 1 5 2024].</w:t>
              </w:r>
            </w:p>
            <w:p w14:paraId="048F3ADD" w14:textId="77777777" w:rsidR="00A707D5" w:rsidRDefault="00A707D5" w:rsidP="00A707D5">
              <w:pPr>
                <w:pStyle w:val="Bibliography"/>
                <w:rPr>
                  <w:noProof/>
                  <w:lang w:val="en-US"/>
                </w:rPr>
              </w:pPr>
              <w:r>
                <w:rPr>
                  <w:noProof/>
                  <w:lang w:val="en-US"/>
                </w:rPr>
                <w:t xml:space="preserve">Hire Space, 2024. </w:t>
              </w:r>
              <w:r>
                <w:rPr>
                  <w:i/>
                  <w:iCs/>
                  <w:noProof/>
                  <w:lang w:val="en-US"/>
                </w:rPr>
                <w:t xml:space="preserve">Conference Venues in London. </w:t>
              </w:r>
              <w:r>
                <w:rPr>
                  <w:noProof/>
                  <w:lang w:val="en-US"/>
                </w:rPr>
                <w:t xml:space="preserve">[Online] </w:t>
              </w:r>
              <w:r>
                <w:rPr>
                  <w:noProof/>
                  <w:lang w:val="en-US"/>
                </w:rPr>
                <w:br/>
                <w:t xml:space="preserve">Available at: </w:t>
              </w:r>
              <w:r>
                <w:rPr>
                  <w:noProof/>
                  <w:u w:val="single"/>
                  <w:lang w:val="en-US"/>
                </w:rPr>
                <w:t>https://hirespace.com/GB/London/Conference-Venues</w:t>
              </w:r>
              <w:r>
                <w:rPr>
                  <w:noProof/>
                  <w:lang w:val="en-US"/>
                </w:rPr>
                <w:br/>
                <w:t>[Accessed 30 4 2024].</w:t>
              </w:r>
            </w:p>
            <w:p w14:paraId="05D1DE72" w14:textId="77777777" w:rsidR="00A707D5" w:rsidRDefault="00A707D5" w:rsidP="00A707D5">
              <w:pPr>
                <w:pStyle w:val="Bibliography"/>
                <w:rPr>
                  <w:noProof/>
                  <w:lang w:val="en-US"/>
                </w:rPr>
              </w:pPr>
              <w:r>
                <w:rPr>
                  <w:noProof/>
                  <w:lang w:val="en-US"/>
                </w:rPr>
                <w:t xml:space="preserve">Meredith, J., Shafer, S. &amp; Mantel, S., 2021. </w:t>
              </w:r>
              <w:r>
                <w:rPr>
                  <w:i/>
                  <w:iCs/>
                  <w:noProof/>
                  <w:lang w:val="en-US"/>
                </w:rPr>
                <w:t xml:space="preserve">Project Management: A Managerial Approach. </w:t>
              </w:r>
              <w:r>
                <w:rPr>
                  <w:noProof/>
                  <w:lang w:val="en-US"/>
                </w:rPr>
                <w:t>11th ed. New York: Wiley.</w:t>
              </w:r>
            </w:p>
            <w:p w14:paraId="5F4F6AB1" w14:textId="77777777" w:rsidR="00A707D5" w:rsidRDefault="00A707D5" w:rsidP="00A707D5">
              <w:pPr>
                <w:pStyle w:val="Bibliography"/>
                <w:rPr>
                  <w:noProof/>
                  <w:lang w:val="en-US"/>
                </w:rPr>
              </w:pPr>
              <w:r>
                <w:rPr>
                  <w:noProof/>
                  <w:lang w:val="en-US"/>
                </w:rPr>
                <w:t xml:space="preserve">Mordor Intelligence, 2024. </w:t>
              </w:r>
              <w:r>
                <w:rPr>
                  <w:i/>
                  <w:iCs/>
                  <w:noProof/>
                  <w:lang w:val="en-US"/>
                </w:rPr>
                <w:t xml:space="preserve">Hospitality Industry in UK Size &amp; Share Analysis - Growth Trends &amp; Forecasts (2024 - 2029) Source: https://www.mordorintelligence.com/industry-reports/hospitality-industry-in-the-united-kingdom. </w:t>
              </w:r>
              <w:r>
                <w:rPr>
                  <w:noProof/>
                  <w:lang w:val="en-US"/>
                </w:rPr>
                <w:t xml:space="preserve">[Online] </w:t>
              </w:r>
              <w:r>
                <w:rPr>
                  <w:noProof/>
                  <w:lang w:val="en-US"/>
                </w:rPr>
                <w:br/>
                <w:t xml:space="preserve">Available at: </w:t>
              </w:r>
              <w:r>
                <w:rPr>
                  <w:noProof/>
                  <w:u w:val="single"/>
                  <w:lang w:val="en-US"/>
                </w:rPr>
                <w:t>https://www.mordorintelligence.com/industry-reports/hospitality-industry-in-</w:t>
              </w:r>
              <w:r>
                <w:rPr>
                  <w:noProof/>
                  <w:u w:val="single"/>
                  <w:lang w:val="en-US"/>
                </w:rPr>
                <w:lastRenderedPageBreak/>
                <w:t>the-united-kingdom</w:t>
              </w:r>
              <w:r>
                <w:rPr>
                  <w:noProof/>
                  <w:lang w:val="en-US"/>
                </w:rPr>
                <w:br/>
                <w:t>[Accessed 1 5 2024].</w:t>
              </w:r>
            </w:p>
            <w:p w14:paraId="04BCF9BF" w14:textId="77777777" w:rsidR="00A707D5" w:rsidRDefault="00A707D5" w:rsidP="00A707D5">
              <w:pPr>
                <w:pStyle w:val="Bibliography"/>
                <w:rPr>
                  <w:noProof/>
                  <w:lang w:val="en-US"/>
                </w:rPr>
              </w:pPr>
              <w:r>
                <w:rPr>
                  <w:noProof/>
                  <w:lang w:val="en-US"/>
                </w:rPr>
                <w:t xml:space="preserve">Ntounis, N. et al., 2022. Tourism and Hospitality industry resilience during the Covid-19 pandemic: Evidence from England. </w:t>
              </w:r>
              <w:r>
                <w:rPr>
                  <w:i/>
                  <w:iCs/>
                  <w:noProof/>
                  <w:lang w:val="en-US"/>
                </w:rPr>
                <w:t xml:space="preserve">Current Issues in Tourism, </w:t>
              </w:r>
              <w:r>
                <w:rPr>
                  <w:noProof/>
                  <w:lang w:val="en-US"/>
                </w:rPr>
                <w:t>25(1), pp. 46-59.</w:t>
              </w:r>
            </w:p>
            <w:p w14:paraId="60C5C803" w14:textId="77777777" w:rsidR="00A707D5" w:rsidRDefault="00A707D5" w:rsidP="00A707D5">
              <w:pPr>
                <w:pStyle w:val="Bibliography"/>
                <w:rPr>
                  <w:noProof/>
                  <w:lang w:val="en-US"/>
                </w:rPr>
              </w:pPr>
              <w:r>
                <w:rPr>
                  <w:noProof/>
                  <w:lang w:val="en-US"/>
                </w:rPr>
                <w:t xml:space="preserve">O'Toole, W., 2011. </w:t>
              </w:r>
              <w:r>
                <w:rPr>
                  <w:i/>
                  <w:iCs/>
                  <w:noProof/>
                  <w:lang w:val="en-US"/>
                </w:rPr>
                <w:t xml:space="preserve">Events feasibility and development. </w:t>
              </w:r>
              <w:r>
                <w:rPr>
                  <w:noProof/>
                  <w:lang w:val="en-US"/>
                </w:rPr>
                <w:t>2011 ed. Oxford: Elsevier.</w:t>
              </w:r>
            </w:p>
            <w:p w14:paraId="1E96FAB3" w14:textId="77777777" w:rsidR="00A707D5" w:rsidRDefault="00A707D5" w:rsidP="00A707D5">
              <w:pPr>
                <w:pStyle w:val="Bibliography"/>
                <w:rPr>
                  <w:noProof/>
                  <w:lang w:val="en-US"/>
                </w:rPr>
              </w:pPr>
              <w:r>
                <w:rPr>
                  <w:noProof/>
                  <w:lang w:val="en-US"/>
                </w:rPr>
                <w:t xml:space="preserve">Pavluković, V., Vujičić, M., Kennell, J. &amp; Cimbaljević, M., 2020. </w:t>
              </w:r>
              <w:r>
                <w:rPr>
                  <w:i/>
                  <w:iCs/>
                  <w:noProof/>
                  <w:lang w:val="en-US"/>
                </w:rPr>
                <w:t xml:space="preserve">Sustainability in the Meetings Industry. </w:t>
              </w:r>
              <w:r>
                <w:rPr>
                  <w:noProof/>
                  <w:lang w:val="en-US"/>
                </w:rPr>
                <w:t>Serbia, SITCON 2020 - TOURISM AND SUSTAINABLE DEVELOPMENT – CHALLENGES, OPPORTUNITIES, AND CONTRADICTIONS.</w:t>
              </w:r>
            </w:p>
            <w:p w14:paraId="211C762D" w14:textId="77777777" w:rsidR="00A707D5" w:rsidRDefault="00A707D5" w:rsidP="00A707D5">
              <w:pPr>
                <w:pStyle w:val="Bibliography"/>
                <w:rPr>
                  <w:noProof/>
                  <w:lang w:val="en-US"/>
                </w:rPr>
              </w:pPr>
              <w:r>
                <w:rPr>
                  <w:noProof/>
                  <w:lang w:val="en-US"/>
                </w:rPr>
                <w:t xml:space="preserve">Premier Inn, 2024. </w:t>
              </w:r>
              <w:r>
                <w:rPr>
                  <w:i/>
                  <w:iCs/>
                  <w:noProof/>
                  <w:lang w:val="en-US"/>
                </w:rPr>
                <w:t xml:space="preserve">Pricing. </w:t>
              </w:r>
              <w:r>
                <w:rPr>
                  <w:noProof/>
                  <w:lang w:val="en-US"/>
                </w:rPr>
                <w:t xml:space="preserve">[Online] </w:t>
              </w:r>
              <w:r>
                <w:rPr>
                  <w:noProof/>
                  <w:lang w:val="en-US"/>
                </w:rPr>
                <w:br/>
                <w:t xml:space="preserve">Available at: </w:t>
              </w:r>
              <w:r>
                <w:rPr>
                  <w:noProof/>
                  <w:u w:val="single"/>
                  <w:lang w:val="en-US"/>
                </w:rPr>
                <w:t>https://www.premiermeetings.co.uk/pricing</w:t>
              </w:r>
              <w:r>
                <w:rPr>
                  <w:noProof/>
                  <w:lang w:val="en-US"/>
                </w:rPr>
                <w:br/>
                <w:t>[Accessed 30 4 2024].</w:t>
              </w:r>
            </w:p>
            <w:p w14:paraId="5BEE6B52" w14:textId="77777777" w:rsidR="00A707D5" w:rsidRDefault="00A707D5" w:rsidP="00A707D5">
              <w:pPr>
                <w:pStyle w:val="Bibliography"/>
                <w:rPr>
                  <w:noProof/>
                  <w:lang w:val="en-US"/>
                </w:rPr>
              </w:pPr>
              <w:r>
                <w:rPr>
                  <w:noProof/>
                  <w:lang w:val="en-US"/>
                </w:rPr>
                <w:t xml:space="preserve">Revenue Analytics, 2019. </w:t>
              </w:r>
              <w:r>
                <w:rPr>
                  <w:i/>
                  <w:iCs/>
                  <w:noProof/>
                  <w:lang w:val="en-US"/>
                </w:rPr>
                <w:t xml:space="preserve">Analytics, Data Intelligence, and Automation Key to Revenue Management Investment for Hospitality Industry, Revenue Analytics' 2019 Report Finds. </w:t>
              </w:r>
              <w:r>
                <w:rPr>
                  <w:noProof/>
                  <w:lang w:val="en-US"/>
                </w:rPr>
                <w:t xml:space="preserve">[Online] </w:t>
              </w:r>
              <w:r>
                <w:rPr>
                  <w:noProof/>
                  <w:lang w:val="en-US"/>
                </w:rPr>
                <w:br/>
                <w:t xml:space="preserve">Available at: </w:t>
              </w:r>
              <w:r>
                <w:rPr>
                  <w:noProof/>
                  <w:u w:val="single"/>
                  <w:lang w:val="en-US"/>
                </w:rPr>
                <w:t>https://www.prweb.com/releases/Analytics_Data_Intelligence_and_Automation_Key_to_Revenue_Management_Investment_for_Hospitality_Industry_Revenue_Analytics_2019_Report_Finds/prweb16421190.htm</w:t>
              </w:r>
              <w:r>
                <w:rPr>
                  <w:noProof/>
                  <w:lang w:val="en-US"/>
                </w:rPr>
                <w:br/>
                <w:t>[Accessed 1 5 2024].</w:t>
              </w:r>
            </w:p>
            <w:p w14:paraId="649813DC" w14:textId="77777777" w:rsidR="00A707D5" w:rsidRDefault="00A707D5" w:rsidP="00A707D5">
              <w:pPr>
                <w:pStyle w:val="Bibliography"/>
                <w:rPr>
                  <w:noProof/>
                  <w:lang w:val="en-US"/>
                </w:rPr>
              </w:pPr>
              <w:r>
                <w:rPr>
                  <w:noProof/>
                  <w:lang w:val="en-US"/>
                </w:rPr>
                <w:t xml:space="preserve">Silvers, J. R. &amp; O'Toole, W., 2020. </w:t>
              </w:r>
              <w:r>
                <w:rPr>
                  <w:i/>
                  <w:iCs/>
                  <w:noProof/>
                  <w:lang w:val="en-US"/>
                </w:rPr>
                <w:t xml:space="preserve">Risk Management for Events. </w:t>
              </w:r>
              <w:r>
                <w:rPr>
                  <w:noProof/>
                  <w:lang w:val="en-US"/>
                </w:rPr>
                <w:t>2020 ed. New York: Taylor &amp; Francis.</w:t>
              </w:r>
            </w:p>
            <w:p w14:paraId="393ECE6A" w14:textId="77777777" w:rsidR="00A707D5" w:rsidRDefault="00A707D5" w:rsidP="00A707D5">
              <w:pPr>
                <w:pStyle w:val="Bibliography"/>
                <w:rPr>
                  <w:noProof/>
                  <w:lang w:val="en-US"/>
                </w:rPr>
              </w:pPr>
              <w:r>
                <w:rPr>
                  <w:noProof/>
                  <w:lang w:val="en-US"/>
                </w:rPr>
                <w:t xml:space="preserve">UN tourism, 2024. </w:t>
              </w:r>
              <w:r>
                <w:rPr>
                  <w:i/>
                  <w:iCs/>
                  <w:noProof/>
                  <w:lang w:val="en-US"/>
                </w:rPr>
                <w:t xml:space="preserve">Data, intelligence and trends. </w:t>
              </w:r>
              <w:r>
                <w:rPr>
                  <w:noProof/>
                  <w:lang w:val="en-US"/>
                </w:rPr>
                <w:t xml:space="preserve">[Online] </w:t>
              </w:r>
              <w:r>
                <w:rPr>
                  <w:noProof/>
                  <w:lang w:val="en-US"/>
                </w:rPr>
                <w:br/>
                <w:t xml:space="preserve">Available at: </w:t>
              </w:r>
              <w:r>
                <w:rPr>
                  <w:noProof/>
                  <w:u w:val="single"/>
                  <w:lang w:val="en-US"/>
                </w:rPr>
                <w:t>https://www.unwto.org/archive/competitiveness-market-intelligence</w:t>
              </w:r>
              <w:r>
                <w:rPr>
                  <w:noProof/>
                  <w:lang w:val="en-US"/>
                </w:rPr>
                <w:br/>
                <w:t>[Accessed 27 4 2024].</w:t>
              </w:r>
            </w:p>
            <w:p w14:paraId="39819D23" w14:textId="77777777" w:rsidR="00A707D5" w:rsidRDefault="00A707D5" w:rsidP="00A707D5">
              <w:pPr>
                <w:pStyle w:val="Bibliography"/>
                <w:rPr>
                  <w:noProof/>
                  <w:lang w:val="en-US"/>
                </w:rPr>
              </w:pPr>
              <w:r>
                <w:rPr>
                  <w:noProof/>
                  <w:lang w:val="en-US"/>
                </w:rPr>
                <w:t xml:space="preserve">Williams, N. L., 2021. Managing Event Projects. In: N. Ferdinand &amp; P. J. Kitchin, eds. </w:t>
              </w:r>
              <w:r>
                <w:rPr>
                  <w:i/>
                  <w:iCs/>
                  <w:noProof/>
                  <w:lang w:val="en-US"/>
                </w:rPr>
                <w:t xml:space="preserve">Events Management: An International Approach. </w:t>
              </w:r>
              <w:r>
                <w:rPr>
                  <w:noProof/>
                  <w:lang w:val="en-US"/>
                </w:rPr>
                <w:t>London: SAGE, p. 3.</w:t>
              </w:r>
            </w:p>
            <w:p w14:paraId="3C761F62" w14:textId="77777777" w:rsidR="00A707D5" w:rsidRDefault="00A707D5" w:rsidP="00A707D5">
              <w:pPr>
                <w:pStyle w:val="Bibliography"/>
                <w:rPr>
                  <w:noProof/>
                  <w:lang w:val="en-US"/>
                </w:rPr>
              </w:pPr>
              <w:r>
                <w:rPr>
                  <w:noProof/>
                  <w:lang w:val="en-US"/>
                </w:rPr>
                <w:t xml:space="preserve">Wu, B., Hu, Y. &amp; Gu, X., 2022. </w:t>
              </w:r>
              <w:r>
                <w:rPr>
                  <w:i/>
                  <w:iCs/>
                  <w:noProof/>
                  <w:lang w:val="en-US"/>
                </w:rPr>
                <w:t xml:space="preserve">Achieving Greater Educational Impact through Data Intelligence. </w:t>
              </w:r>
              <w:r>
                <w:rPr>
                  <w:noProof/>
                  <w:lang w:val="en-US"/>
                </w:rPr>
                <w:t>2022 ed. Singapore: World Scientific Publishing Co. Ltd., Pte.</w:t>
              </w:r>
            </w:p>
            <w:p w14:paraId="1A9EBA03" w14:textId="77777777" w:rsidR="005E1B5A" w:rsidRDefault="00A707D5" w:rsidP="00023422">
              <w:r>
                <w:rPr>
                  <w:b/>
                  <w:bCs/>
                  <w:noProof/>
                </w:rPr>
                <w:fldChar w:fldCharType="end"/>
              </w:r>
            </w:p>
          </w:sdtContent>
        </w:sdt>
      </w:sdtContent>
    </w:sdt>
    <w:sectPr w:rsidR="005E1B5A">
      <w:foot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7ABBDB" w14:textId="77777777" w:rsidR="003C6C10" w:rsidRDefault="003C6C10" w:rsidP="006203E0">
      <w:pPr>
        <w:spacing w:after="0" w:line="240" w:lineRule="auto"/>
      </w:pPr>
      <w:r>
        <w:separator/>
      </w:r>
    </w:p>
  </w:endnote>
  <w:endnote w:type="continuationSeparator" w:id="0">
    <w:p w14:paraId="16C70EB0" w14:textId="77777777" w:rsidR="003C6C10" w:rsidRDefault="003C6C10" w:rsidP="006203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62774241"/>
      <w:docPartObj>
        <w:docPartGallery w:val="Page Numbers (Bottom of Page)"/>
        <w:docPartUnique/>
      </w:docPartObj>
    </w:sdtPr>
    <w:sdtEndPr>
      <w:rPr>
        <w:noProof/>
      </w:rPr>
    </w:sdtEndPr>
    <w:sdtContent>
      <w:p w14:paraId="60B2652F" w14:textId="77777777" w:rsidR="006203E0" w:rsidRDefault="006203E0">
        <w:pPr>
          <w:pStyle w:val="Footer"/>
          <w:jc w:val="right"/>
        </w:pPr>
        <w:r>
          <w:fldChar w:fldCharType="begin"/>
        </w:r>
        <w:r>
          <w:instrText xml:space="preserve"> PAGE   \* MERGEFORMAT </w:instrText>
        </w:r>
        <w:r>
          <w:fldChar w:fldCharType="separate"/>
        </w:r>
        <w:r w:rsidR="005739A3">
          <w:rPr>
            <w:noProof/>
          </w:rPr>
          <w:t>15</w:t>
        </w:r>
        <w:r>
          <w:rPr>
            <w:noProof/>
          </w:rPr>
          <w:fldChar w:fldCharType="end"/>
        </w:r>
      </w:p>
    </w:sdtContent>
  </w:sdt>
  <w:p w14:paraId="36E0AE31" w14:textId="77777777" w:rsidR="006203E0" w:rsidRDefault="006203E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37E44C" w14:textId="77777777" w:rsidR="003C6C10" w:rsidRDefault="003C6C10" w:rsidP="006203E0">
      <w:pPr>
        <w:spacing w:after="0" w:line="240" w:lineRule="auto"/>
      </w:pPr>
      <w:r>
        <w:separator/>
      </w:r>
    </w:p>
  </w:footnote>
  <w:footnote w:type="continuationSeparator" w:id="0">
    <w:p w14:paraId="5CE8E036" w14:textId="77777777" w:rsidR="003C6C10" w:rsidRDefault="003C6C10" w:rsidP="006203E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5FE7C50"/>
    <w:multiLevelType w:val="hybridMultilevel"/>
    <w:tmpl w:val="0F7251C9"/>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41E0F"/>
    <w:rsid w:val="00010F3E"/>
    <w:rsid w:val="00022ADE"/>
    <w:rsid w:val="00023422"/>
    <w:rsid w:val="00041B1F"/>
    <w:rsid w:val="00061D93"/>
    <w:rsid w:val="0009690D"/>
    <w:rsid w:val="000A191D"/>
    <w:rsid w:val="000D523E"/>
    <w:rsid w:val="000F00B4"/>
    <w:rsid w:val="001702BA"/>
    <w:rsid w:val="00186BC9"/>
    <w:rsid w:val="001B2077"/>
    <w:rsid w:val="001D647A"/>
    <w:rsid w:val="00200226"/>
    <w:rsid w:val="00224012"/>
    <w:rsid w:val="00241896"/>
    <w:rsid w:val="00245457"/>
    <w:rsid w:val="00245FF0"/>
    <w:rsid w:val="002B315B"/>
    <w:rsid w:val="002E59E2"/>
    <w:rsid w:val="00310F1F"/>
    <w:rsid w:val="003562C7"/>
    <w:rsid w:val="003856CC"/>
    <w:rsid w:val="003B786B"/>
    <w:rsid w:val="003C3286"/>
    <w:rsid w:val="003C6C10"/>
    <w:rsid w:val="00441FA2"/>
    <w:rsid w:val="00445678"/>
    <w:rsid w:val="00450E1D"/>
    <w:rsid w:val="004665FF"/>
    <w:rsid w:val="004B12A6"/>
    <w:rsid w:val="004F2710"/>
    <w:rsid w:val="004F3026"/>
    <w:rsid w:val="00501EF0"/>
    <w:rsid w:val="00521EE6"/>
    <w:rsid w:val="0057220A"/>
    <w:rsid w:val="005739A3"/>
    <w:rsid w:val="005E1B5A"/>
    <w:rsid w:val="005E7A46"/>
    <w:rsid w:val="005F47A5"/>
    <w:rsid w:val="0060038C"/>
    <w:rsid w:val="00611A06"/>
    <w:rsid w:val="006203E0"/>
    <w:rsid w:val="00741E0F"/>
    <w:rsid w:val="00742464"/>
    <w:rsid w:val="007A5E6C"/>
    <w:rsid w:val="007B30DE"/>
    <w:rsid w:val="007D0358"/>
    <w:rsid w:val="007E6326"/>
    <w:rsid w:val="0084431C"/>
    <w:rsid w:val="008961B2"/>
    <w:rsid w:val="008A3323"/>
    <w:rsid w:val="008C7395"/>
    <w:rsid w:val="00920032"/>
    <w:rsid w:val="00921DD8"/>
    <w:rsid w:val="0092328E"/>
    <w:rsid w:val="0095117A"/>
    <w:rsid w:val="009564E2"/>
    <w:rsid w:val="009D59E3"/>
    <w:rsid w:val="009E35E9"/>
    <w:rsid w:val="00A21BC4"/>
    <w:rsid w:val="00A66DC0"/>
    <w:rsid w:val="00A707D5"/>
    <w:rsid w:val="00AB61C2"/>
    <w:rsid w:val="00AC1A47"/>
    <w:rsid w:val="00B174A7"/>
    <w:rsid w:val="00B30AF0"/>
    <w:rsid w:val="00B44C9C"/>
    <w:rsid w:val="00B9245F"/>
    <w:rsid w:val="00BA3F57"/>
    <w:rsid w:val="00BD63CE"/>
    <w:rsid w:val="00C5698E"/>
    <w:rsid w:val="00CE2EC6"/>
    <w:rsid w:val="00CE3E97"/>
    <w:rsid w:val="00D63A22"/>
    <w:rsid w:val="00D96058"/>
    <w:rsid w:val="00DD0E3F"/>
    <w:rsid w:val="00DE3817"/>
    <w:rsid w:val="00DE649A"/>
    <w:rsid w:val="00DF6CFC"/>
    <w:rsid w:val="00E6217E"/>
    <w:rsid w:val="00E67485"/>
    <w:rsid w:val="00E73570"/>
    <w:rsid w:val="00EC6EB2"/>
    <w:rsid w:val="00EE045B"/>
    <w:rsid w:val="00F747F5"/>
    <w:rsid w:val="00FA6815"/>
    <w:rsid w:val="00FF048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FD06C4A"/>
  <w15:chartTrackingRefBased/>
  <w15:docId w15:val="{824C95DC-EAE1-4A51-9224-EEF9C8F791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E3E97"/>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CE3E97"/>
    <w:pPr>
      <w:keepNext/>
      <w:keepLines/>
      <w:spacing w:before="240" w:after="0"/>
      <w:outlineLvl w:val="0"/>
    </w:pPr>
    <w:rPr>
      <w:rFonts w:eastAsiaTheme="majorEastAsia" w:cstheme="majorBidi"/>
      <w:b/>
      <w:szCs w:val="32"/>
      <w:lang w:val="en-US"/>
    </w:rPr>
  </w:style>
  <w:style w:type="paragraph" w:styleId="Heading2">
    <w:name w:val="heading 2"/>
    <w:basedOn w:val="Normal"/>
    <w:next w:val="Normal"/>
    <w:link w:val="Heading2Char"/>
    <w:uiPriority w:val="9"/>
    <w:unhideWhenUsed/>
    <w:qFormat/>
    <w:rsid w:val="00CE3E97"/>
    <w:pPr>
      <w:keepNext/>
      <w:keepLines/>
      <w:spacing w:before="40" w:after="0"/>
      <w:outlineLvl w:val="1"/>
    </w:pPr>
    <w:rPr>
      <w:rFonts w:eastAsiaTheme="majorEastAsia" w:cstheme="majorBidi"/>
      <w:b/>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023422"/>
    <w:pPr>
      <w:autoSpaceDE w:val="0"/>
      <w:autoSpaceDN w:val="0"/>
      <w:adjustRightInd w:val="0"/>
      <w:spacing w:after="0" w:line="240" w:lineRule="auto"/>
    </w:pPr>
    <w:rPr>
      <w:rFonts w:ascii="Arial" w:hAnsi="Arial" w:cs="Arial"/>
      <w:color w:val="000000"/>
      <w:sz w:val="24"/>
      <w:szCs w:val="24"/>
    </w:rPr>
  </w:style>
  <w:style w:type="paragraph" w:styleId="Header">
    <w:name w:val="header"/>
    <w:basedOn w:val="Normal"/>
    <w:link w:val="HeaderChar"/>
    <w:uiPriority w:val="99"/>
    <w:unhideWhenUsed/>
    <w:rsid w:val="006203E0"/>
    <w:pPr>
      <w:tabs>
        <w:tab w:val="center" w:pos="4513"/>
        <w:tab w:val="right" w:pos="9026"/>
      </w:tabs>
      <w:spacing w:after="0" w:line="240" w:lineRule="auto"/>
    </w:pPr>
  </w:style>
  <w:style w:type="character" w:customStyle="1" w:styleId="HeaderChar">
    <w:name w:val="Header Char"/>
    <w:basedOn w:val="DefaultParagraphFont"/>
    <w:link w:val="Header"/>
    <w:uiPriority w:val="99"/>
    <w:rsid w:val="006203E0"/>
  </w:style>
  <w:style w:type="paragraph" w:styleId="Footer">
    <w:name w:val="footer"/>
    <w:basedOn w:val="Normal"/>
    <w:link w:val="FooterChar"/>
    <w:uiPriority w:val="99"/>
    <w:unhideWhenUsed/>
    <w:rsid w:val="006203E0"/>
    <w:pPr>
      <w:tabs>
        <w:tab w:val="center" w:pos="4513"/>
        <w:tab w:val="right" w:pos="9026"/>
      </w:tabs>
      <w:spacing w:after="0" w:line="240" w:lineRule="auto"/>
    </w:pPr>
  </w:style>
  <w:style w:type="character" w:customStyle="1" w:styleId="FooterChar">
    <w:name w:val="Footer Char"/>
    <w:basedOn w:val="DefaultParagraphFont"/>
    <w:link w:val="Footer"/>
    <w:uiPriority w:val="99"/>
    <w:rsid w:val="006203E0"/>
  </w:style>
  <w:style w:type="character" w:customStyle="1" w:styleId="Heading1Char">
    <w:name w:val="Heading 1 Char"/>
    <w:basedOn w:val="DefaultParagraphFont"/>
    <w:link w:val="Heading1"/>
    <w:uiPriority w:val="9"/>
    <w:rsid w:val="00CE3E97"/>
    <w:rPr>
      <w:rFonts w:ascii="Times New Roman" w:eastAsiaTheme="majorEastAsia" w:hAnsi="Times New Roman" w:cstheme="majorBidi"/>
      <w:b/>
      <w:sz w:val="24"/>
      <w:szCs w:val="32"/>
      <w:lang w:val="en-US"/>
    </w:rPr>
  </w:style>
  <w:style w:type="paragraph" w:styleId="Bibliography">
    <w:name w:val="Bibliography"/>
    <w:basedOn w:val="Normal"/>
    <w:next w:val="Normal"/>
    <w:uiPriority w:val="37"/>
    <w:unhideWhenUsed/>
    <w:rsid w:val="00A707D5"/>
  </w:style>
  <w:style w:type="paragraph" w:styleId="NoSpacing">
    <w:name w:val="No Spacing"/>
    <w:uiPriority w:val="1"/>
    <w:qFormat/>
    <w:rsid w:val="00CE3E97"/>
    <w:pPr>
      <w:spacing w:after="0" w:line="360" w:lineRule="auto"/>
      <w:jc w:val="both"/>
    </w:pPr>
    <w:rPr>
      <w:rFonts w:ascii="Times New Roman" w:hAnsi="Times New Roman"/>
      <w:sz w:val="24"/>
    </w:rPr>
  </w:style>
  <w:style w:type="character" w:customStyle="1" w:styleId="Heading2Char">
    <w:name w:val="Heading 2 Char"/>
    <w:basedOn w:val="DefaultParagraphFont"/>
    <w:link w:val="Heading2"/>
    <w:uiPriority w:val="9"/>
    <w:rsid w:val="00CE3E97"/>
    <w:rPr>
      <w:rFonts w:ascii="Times New Roman" w:eastAsiaTheme="majorEastAsia" w:hAnsi="Times New Roman" w:cstheme="majorBidi"/>
      <w:b/>
      <w:sz w:val="24"/>
      <w:szCs w:val="26"/>
    </w:rPr>
  </w:style>
  <w:style w:type="paragraph" w:styleId="Title">
    <w:name w:val="Title"/>
    <w:basedOn w:val="Normal"/>
    <w:next w:val="Normal"/>
    <w:link w:val="TitleChar"/>
    <w:uiPriority w:val="10"/>
    <w:qFormat/>
    <w:rsid w:val="00CE3E97"/>
    <w:pPr>
      <w:spacing w:after="0" w:line="240" w:lineRule="auto"/>
      <w:contextualSpacing/>
    </w:pPr>
    <w:rPr>
      <w:rFonts w:eastAsiaTheme="majorEastAsia" w:cstheme="majorBidi"/>
      <w:spacing w:val="-10"/>
      <w:kern w:val="28"/>
      <w:sz w:val="56"/>
      <w:szCs w:val="56"/>
    </w:rPr>
  </w:style>
  <w:style w:type="character" w:customStyle="1" w:styleId="TitleChar">
    <w:name w:val="Title Char"/>
    <w:basedOn w:val="DefaultParagraphFont"/>
    <w:link w:val="Title"/>
    <w:uiPriority w:val="10"/>
    <w:rsid w:val="00CE3E97"/>
    <w:rPr>
      <w:rFonts w:ascii="Times New Roman" w:eastAsiaTheme="majorEastAsia" w:hAnsi="Times New Roman" w:cstheme="majorBidi"/>
      <w:spacing w:val="-10"/>
      <w:kern w:val="28"/>
      <w:sz w:val="56"/>
      <w:szCs w:val="56"/>
    </w:rPr>
  </w:style>
  <w:style w:type="paragraph" w:styleId="TOCHeading">
    <w:name w:val="TOC Heading"/>
    <w:basedOn w:val="Heading1"/>
    <w:next w:val="Normal"/>
    <w:uiPriority w:val="39"/>
    <w:unhideWhenUsed/>
    <w:qFormat/>
    <w:rsid w:val="00D63A22"/>
    <w:pPr>
      <w:spacing w:line="259" w:lineRule="auto"/>
      <w:jc w:val="left"/>
      <w:outlineLvl w:val="9"/>
    </w:pPr>
    <w:rPr>
      <w:rFonts w:asciiTheme="majorHAnsi" w:hAnsiTheme="majorHAnsi"/>
      <w:b w:val="0"/>
      <w:color w:val="2E74B5" w:themeColor="accent1" w:themeShade="BF"/>
      <w:sz w:val="32"/>
    </w:rPr>
  </w:style>
  <w:style w:type="paragraph" w:styleId="TOC1">
    <w:name w:val="toc 1"/>
    <w:basedOn w:val="Normal"/>
    <w:next w:val="Normal"/>
    <w:autoRedefine/>
    <w:uiPriority w:val="39"/>
    <w:unhideWhenUsed/>
    <w:rsid w:val="00D63A22"/>
    <w:pPr>
      <w:spacing w:after="100"/>
    </w:pPr>
  </w:style>
  <w:style w:type="character" w:styleId="Hyperlink">
    <w:name w:val="Hyperlink"/>
    <w:basedOn w:val="DefaultParagraphFont"/>
    <w:uiPriority w:val="99"/>
    <w:unhideWhenUsed/>
    <w:rsid w:val="00D63A2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964857">
      <w:bodyDiv w:val="1"/>
      <w:marLeft w:val="0"/>
      <w:marRight w:val="0"/>
      <w:marTop w:val="0"/>
      <w:marBottom w:val="0"/>
      <w:divBdr>
        <w:top w:val="none" w:sz="0" w:space="0" w:color="auto"/>
        <w:left w:val="none" w:sz="0" w:space="0" w:color="auto"/>
        <w:bottom w:val="none" w:sz="0" w:space="0" w:color="auto"/>
        <w:right w:val="none" w:sz="0" w:space="0" w:color="auto"/>
      </w:divBdr>
    </w:div>
    <w:div w:id="110056053">
      <w:bodyDiv w:val="1"/>
      <w:marLeft w:val="0"/>
      <w:marRight w:val="0"/>
      <w:marTop w:val="0"/>
      <w:marBottom w:val="0"/>
      <w:divBdr>
        <w:top w:val="none" w:sz="0" w:space="0" w:color="auto"/>
        <w:left w:val="none" w:sz="0" w:space="0" w:color="auto"/>
        <w:bottom w:val="none" w:sz="0" w:space="0" w:color="auto"/>
        <w:right w:val="none" w:sz="0" w:space="0" w:color="auto"/>
      </w:divBdr>
    </w:div>
    <w:div w:id="122041542">
      <w:bodyDiv w:val="1"/>
      <w:marLeft w:val="0"/>
      <w:marRight w:val="0"/>
      <w:marTop w:val="0"/>
      <w:marBottom w:val="0"/>
      <w:divBdr>
        <w:top w:val="none" w:sz="0" w:space="0" w:color="auto"/>
        <w:left w:val="none" w:sz="0" w:space="0" w:color="auto"/>
        <w:bottom w:val="none" w:sz="0" w:space="0" w:color="auto"/>
        <w:right w:val="none" w:sz="0" w:space="0" w:color="auto"/>
      </w:divBdr>
    </w:div>
    <w:div w:id="166336148">
      <w:bodyDiv w:val="1"/>
      <w:marLeft w:val="0"/>
      <w:marRight w:val="0"/>
      <w:marTop w:val="0"/>
      <w:marBottom w:val="0"/>
      <w:divBdr>
        <w:top w:val="none" w:sz="0" w:space="0" w:color="auto"/>
        <w:left w:val="none" w:sz="0" w:space="0" w:color="auto"/>
        <w:bottom w:val="none" w:sz="0" w:space="0" w:color="auto"/>
        <w:right w:val="none" w:sz="0" w:space="0" w:color="auto"/>
      </w:divBdr>
    </w:div>
    <w:div w:id="174654737">
      <w:bodyDiv w:val="1"/>
      <w:marLeft w:val="0"/>
      <w:marRight w:val="0"/>
      <w:marTop w:val="0"/>
      <w:marBottom w:val="0"/>
      <w:divBdr>
        <w:top w:val="none" w:sz="0" w:space="0" w:color="auto"/>
        <w:left w:val="none" w:sz="0" w:space="0" w:color="auto"/>
        <w:bottom w:val="none" w:sz="0" w:space="0" w:color="auto"/>
        <w:right w:val="none" w:sz="0" w:space="0" w:color="auto"/>
      </w:divBdr>
    </w:div>
    <w:div w:id="212928233">
      <w:bodyDiv w:val="1"/>
      <w:marLeft w:val="0"/>
      <w:marRight w:val="0"/>
      <w:marTop w:val="0"/>
      <w:marBottom w:val="0"/>
      <w:divBdr>
        <w:top w:val="none" w:sz="0" w:space="0" w:color="auto"/>
        <w:left w:val="none" w:sz="0" w:space="0" w:color="auto"/>
        <w:bottom w:val="none" w:sz="0" w:space="0" w:color="auto"/>
        <w:right w:val="none" w:sz="0" w:space="0" w:color="auto"/>
      </w:divBdr>
    </w:div>
    <w:div w:id="216088031">
      <w:bodyDiv w:val="1"/>
      <w:marLeft w:val="0"/>
      <w:marRight w:val="0"/>
      <w:marTop w:val="0"/>
      <w:marBottom w:val="0"/>
      <w:divBdr>
        <w:top w:val="none" w:sz="0" w:space="0" w:color="auto"/>
        <w:left w:val="none" w:sz="0" w:space="0" w:color="auto"/>
        <w:bottom w:val="none" w:sz="0" w:space="0" w:color="auto"/>
        <w:right w:val="none" w:sz="0" w:space="0" w:color="auto"/>
      </w:divBdr>
    </w:div>
    <w:div w:id="267201822">
      <w:bodyDiv w:val="1"/>
      <w:marLeft w:val="0"/>
      <w:marRight w:val="0"/>
      <w:marTop w:val="0"/>
      <w:marBottom w:val="0"/>
      <w:divBdr>
        <w:top w:val="none" w:sz="0" w:space="0" w:color="auto"/>
        <w:left w:val="none" w:sz="0" w:space="0" w:color="auto"/>
        <w:bottom w:val="none" w:sz="0" w:space="0" w:color="auto"/>
        <w:right w:val="none" w:sz="0" w:space="0" w:color="auto"/>
      </w:divBdr>
    </w:div>
    <w:div w:id="315037487">
      <w:bodyDiv w:val="1"/>
      <w:marLeft w:val="0"/>
      <w:marRight w:val="0"/>
      <w:marTop w:val="0"/>
      <w:marBottom w:val="0"/>
      <w:divBdr>
        <w:top w:val="none" w:sz="0" w:space="0" w:color="auto"/>
        <w:left w:val="none" w:sz="0" w:space="0" w:color="auto"/>
        <w:bottom w:val="none" w:sz="0" w:space="0" w:color="auto"/>
        <w:right w:val="none" w:sz="0" w:space="0" w:color="auto"/>
      </w:divBdr>
    </w:div>
    <w:div w:id="320280630">
      <w:bodyDiv w:val="1"/>
      <w:marLeft w:val="0"/>
      <w:marRight w:val="0"/>
      <w:marTop w:val="0"/>
      <w:marBottom w:val="0"/>
      <w:divBdr>
        <w:top w:val="none" w:sz="0" w:space="0" w:color="auto"/>
        <w:left w:val="none" w:sz="0" w:space="0" w:color="auto"/>
        <w:bottom w:val="none" w:sz="0" w:space="0" w:color="auto"/>
        <w:right w:val="none" w:sz="0" w:space="0" w:color="auto"/>
      </w:divBdr>
    </w:div>
    <w:div w:id="338774798">
      <w:bodyDiv w:val="1"/>
      <w:marLeft w:val="0"/>
      <w:marRight w:val="0"/>
      <w:marTop w:val="0"/>
      <w:marBottom w:val="0"/>
      <w:divBdr>
        <w:top w:val="none" w:sz="0" w:space="0" w:color="auto"/>
        <w:left w:val="none" w:sz="0" w:space="0" w:color="auto"/>
        <w:bottom w:val="none" w:sz="0" w:space="0" w:color="auto"/>
        <w:right w:val="none" w:sz="0" w:space="0" w:color="auto"/>
      </w:divBdr>
    </w:div>
    <w:div w:id="409810293">
      <w:bodyDiv w:val="1"/>
      <w:marLeft w:val="0"/>
      <w:marRight w:val="0"/>
      <w:marTop w:val="0"/>
      <w:marBottom w:val="0"/>
      <w:divBdr>
        <w:top w:val="none" w:sz="0" w:space="0" w:color="auto"/>
        <w:left w:val="none" w:sz="0" w:space="0" w:color="auto"/>
        <w:bottom w:val="none" w:sz="0" w:space="0" w:color="auto"/>
        <w:right w:val="none" w:sz="0" w:space="0" w:color="auto"/>
      </w:divBdr>
    </w:div>
    <w:div w:id="411852435">
      <w:bodyDiv w:val="1"/>
      <w:marLeft w:val="0"/>
      <w:marRight w:val="0"/>
      <w:marTop w:val="0"/>
      <w:marBottom w:val="0"/>
      <w:divBdr>
        <w:top w:val="none" w:sz="0" w:space="0" w:color="auto"/>
        <w:left w:val="none" w:sz="0" w:space="0" w:color="auto"/>
        <w:bottom w:val="none" w:sz="0" w:space="0" w:color="auto"/>
        <w:right w:val="none" w:sz="0" w:space="0" w:color="auto"/>
      </w:divBdr>
    </w:div>
    <w:div w:id="442654882">
      <w:bodyDiv w:val="1"/>
      <w:marLeft w:val="0"/>
      <w:marRight w:val="0"/>
      <w:marTop w:val="0"/>
      <w:marBottom w:val="0"/>
      <w:divBdr>
        <w:top w:val="none" w:sz="0" w:space="0" w:color="auto"/>
        <w:left w:val="none" w:sz="0" w:space="0" w:color="auto"/>
        <w:bottom w:val="none" w:sz="0" w:space="0" w:color="auto"/>
        <w:right w:val="none" w:sz="0" w:space="0" w:color="auto"/>
      </w:divBdr>
    </w:div>
    <w:div w:id="492796055">
      <w:bodyDiv w:val="1"/>
      <w:marLeft w:val="0"/>
      <w:marRight w:val="0"/>
      <w:marTop w:val="0"/>
      <w:marBottom w:val="0"/>
      <w:divBdr>
        <w:top w:val="none" w:sz="0" w:space="0" w:color="auto"/>
        <w:left w:val="none" w:sz="0" w:space="0" w:color="auto"/>
        <w:bottom w:val="none" w:sz="0" w:space="0" w:color="auto"/>
        <w:right w:val="none" w:sz="0" w:space="0" w:color="auto"/>
      </w:divBdr>
    </w:div>
    <w:div w:id="496304582">
      <w:bodyDiv w:val="1"/>
      <w:marLeft w:val="0"/>
      <w:marRight w:val="0"/>
      <w:marTop w:val="0"/>
      <w:marBottom w:val="0"/>
      <w:divBdr>
        <w:top w:val="none" w:sz="0" w:space="0" w:color="auto"/>
        <w:left w:val="none" w:sz="0" w:space="0" w:color="auto"/>
        <w:bottom w:val="none" w:sz="0" w:space="0" w:color="auto"/>
        <w:right w:val="none" w:sz="0" w:space="0" w:color="auto"/>
      </w:divBdr>
    </w:div>
    <w:div w:id="542863656">
      <w:bodyDiv w:val="1"/>
      <w:marLeft w:val="0"/>
      <w:marRight w:val="0"/>
      <w:marTop w:val="0"/>
      <w:marBottom w:val="0"/>
      <w:divBdr>
        <w:top w:val="none" w:sz="0" w:space="0" w:color="auto"/>
        <w:left w:val="none" w:sz="0" w:space="0" w:color="auto"/>
        <w:bottom w:val="none" w:sz="0" w:space="0" w:color="auto"/>
        <w:right w:val="none" w:sz="0" w:space="0" w:color="auto"/>
      </w:divBdr>
    </w:div>
    <w:div w:id="568615146">
      <w:bodyDiv w:val="1"/>
      <w:marLeft w:val="0"/>
      <w:marRight w:val="0"/>
      <w:marTop w:val="0"/>
      <w:marBottom w:val="0"/>
      <w:divBdr>
        <w:top w:val="none" w:sz="0" w:space="0" w:color="auto"/>
        <w:left w:val="none" w:sz="0" w:space="0" w:color="auto"/>
        <w:bottom w:val="none" w:sz="0" w:space="0" w:color="auto"/>
        <w:right w:val="none" w:sz="0" w:space="0" w:color="auto"/>
      </w:divBdr>
    </w:div>
    <w:div w:id="732658766">
      <w:bodyDiv w:val="1"/>
      <w:marLeft w:val="0"/>
      <w:marRight w:val="0"/>
      <w:marTop w:val="0"/>
      <w:marBottom w:val="0"/>
      <w:divBdr>
        <w:top w:val="none" w:sz="0" w:space="0" w:color="auto"/>
        <w:left w:val="none" w:sz="0" w:space="0" w:color="auto"/>
        <w:bottom w:val="none" w:sz="0" w:space="0" w:color="auto"/>
        <w:right w:val="none" w:sz="0" w:space="0" w:color="auto"/>
      </w:divBdr>
    </w:div>
    <w:div w:id="907499568">
      <w:bodyDiv w:val="1"/>
      <w:marLeft w:val="0"/>
      <w:marRight w:val="0"/>
      <w:marTop w:val="0"/>
      <w:marBottom w:val="0"/>
      <w:divBdr>
        <w:top w:val="none" w:sz="0" w:space="0" w:color="auto"/>
        <w:left w:val="none" w:sz="0" w:space="0" w:color="auto"/>
        <w:bottom w:val="none" w:sz="0" w:space="0" w:color="auto"/>
        <w:right w:val="none" w:sz="0" w:space="0" w:color="auto"/>
      </w:divBdr>
    </w:div>
    <w:div w:id="984359472">
      <w:bodyDiv w:val="1"/>
      <w:marLeft w:val="0"/>
      <w:marRight w:val="0"/>
      <w:marTop w:val="0"/>
      <w:marBottom w:val="0"/>
      <w:divBdr>
        <w:top w:val="none" w:sz="0" w:space="0" w:color="auto"/>
        <w:left w:val="none" w:sz="0" w:space="0" w:color="auto"/>
        <w:bottom w:val="none" w:sz="0" w:space="0" w:color="auto"/>
        <w:right w:val="none" w:sz="0" w:space="0" w:color="auto"/>
      </w:divBdr>
    </w:div>
    <w:div w:id="1223564731">
      <w:bodyDiv w:val="1"/>
      <w:marLeft w:val="0"/>
      <w:marRight w:val="0"/>
      <w:marTop w:val="0"/>
      <w:marBottom w:val="0"/>
      <w:divBdr>
        <w:top w:val="none" w:sz="0" w:space="0" w:color="auto"/>
        <w:left w:val="none" w:sz="0" w:space="0" w:color="auto"/>
        <w:bottom w:val="none" w:sz="0" w:space="0" w:color="auto"/>
        <w:right w:val="none" w:sz="0" w:space="0" w:color="auto"/>
      </w:divBdr>
    </w:div>
    <w:div w:id="1263758438">
      <w:bodyDiv w:val="1"/>
      <w:marLeft w:val="0"/>
      <w:marRight w:val="0"/>
      <w:marTop w:val="0"/>
      <w:marBottom w:val="0"/>
      <w:divBdr>
        <w:top w:val="none" w:sz="0" w:space="0" w:color="auto"/>
        <w:left w:val="none" w:sz="0" w:space="0" w:color="auto"/>
        <w:bottom w:val="none" w:sz="0" w:space="0" w:color="auto"/>
        <w:right w:val="none" w:sz="0" w:space="0" w:color="auto"/>
      </w:divBdr>
    </w:div>
    <w:div w:id="1351569923">
      <w:bodyDiv w:val="1"/>
      <w:marLeft w:val="0"/>
      <w:marRight w:val="0"/>
      <w:marTop w:val="0"/>
      <w:marBottom w:val="0"/>
      <w:divBdr>
        <w:top w:val="none" w:sz="0" w:space="0" w:color="auto"/>
        <w:left w:val="none" w:sz="0" w:space="0" w:color="auto"/>
        <w:bottom w:val="none" w:sz="0" w:space="0" w:color="auto"/>
        <w:right w:val="none" w:sz="0" w:space="0" w:color="auto"/>
      </w:divBdr>
    </w:div>
    <w:div w:id="1412579032">
      <w:bodyDiv w:val="1"/>
      <w:marLeft w:val="0"/>
      <w:marRight w:val="0"/>
      <w:marTop w:val="0"/>
      <w:marBottom w:val="0"/>
      <w:divBdr>
        <w:top w:val="none" w:sz="0" w:space="0" w:color="auto"/>
        <w:left w:val="none" w:sz="0" w:space="0" w:color="auto"/>
        <w:bottom w:val="none" w:sz="0" w:space="0" w:color="auto"/>
        <w:right w:val="none" w:sz="0" w:space="0" w:color="auto"/>
      </w:divBdr>
    </w:div>
    <w:div w:id="1422600262">
      <w:bodyDiv w:val="1"/>
      <w:marLeft w:val="0"/>
      <w:marRight w:val="0"/>
      <w:marTop w:val="0"/>
      <w:marBottom w:val="0"/>
      <w:divBdr>
        <w:top w:val="none" w:sz="0" w:space="0" w:color="auto"/>
        <w:left w:val="none" w:sz="0" w:space="0" w:color="auto"/>
        <w:bottom w:val="none" w:sz="0" w:space="0" w:color="auto"/>
        <w:right w:val="none" w:sz="0" w:space="0" w:color="auto"/>
      </w:divBdr>
    </w:div>
    <w:div w:id="1531068171">
      <w:bodyDiv w:val="1"/>
      <w:marLeft w:val="0"/>
      <w:marRight w:val="0"/>
      <w:marTop w:val="0"/>
      <w:marBottom w:val="0"/>
      <w:divBdr>
        <w:top w:val="none" w:sz="0" w:space="0" w:color="auto"/>
        <w:left w:val="none" w:sz="0" w:space="0" w:color="auto"/>
        <w:bottom w:val="none" w:sz="0" w:space="0" w:color="auto"/>
        <w:right w:val="none" w:sz="0" w:space="0" w:color="auto"/>
      </w:divBdr>
    </w:div>
    <w:div w:id="1586377921">
      <w:bodyDiv w:val="1"/>
      <w:marLeft w:val="0"/>
      <w:marRight w:val="0"/>
      <w:marTop w:val="0"/>
      <w:marBottom w:val="0"/>
      <w:divBdr>
        <w:top w:val="none" w:sz="0" w:space="0" w:color="auto"/>
        <w:left w:val="none" w:sz="0" w:space="0" w:color="auto"/>
        <w:bottom w:val="none" w:sz="0" w:space="0" w:color="auto"/>
        <w:right w:val="none" w:sz="0" w:space="0" w:color="auto"/>
      </w:divBdr>
    </w:div>
    <w:div w:id="1654918095">
      <w:bodyDiv w:val="1"/>
      <w:marLeft w:val="0"/>
      <w:marRight w:val="0"/>
      <w:marTop w:val="0"/>
      <w:marBottom w:val="0"/>
      <w:divBdr>
        <w:top w:val="none" w:sz="0" w:space="0" w:color="auto"/>
        <w:left w:val="none" w:sz="0" w:space="0" w:color="auto"/>
        <w:bottom w:val="none" w:sz="0" w:space="0" w:color="auto"/>
        <w:right w:val="none" w:sz="0" w:space="0" w:color="auto"/>
      </w:divBdr>
    </w:div>
    <w:div w:id="1810901865">
      <w:bodyDiv w:val="1"/>
      <w:marLeft w:val="0"/>
      <w:marRight w:val="0"/>
      <w:marTop w:val="0"/>
      <w:marBottom w:val="0"/>
      <w:divBdr>
        <w:top w:val="none" w:sz="0" w:space="0" w:color="auto"/>
        <w:left w:val="none" w:sz="0" w:space="0" w:color="auto"/>
        <w:bottom w:val="none" w:sz="0" w:space="0" w:color="auto"/>
        <w:right w:val="none" w:sz="0" w:space="0" w:color="auto"/>
      </w:divBdr>
    </w:div>
    <w:div w:id="1889803720">
      <w:bodyDiv w:val="1"/>
      <w:marLeft w:val="0"/>
      <w:marRight w:val="0"/>
      <w:marTop w:val="0"/>
      <w:marBottom w:val="0"/>
      <w:divBdr>
        <w:top w:val="none" w:sz="0" w:space="0" w:color="auto"/>
        <w:left w:val="none" w:sz="0" w:space="0" w:color="auto"/>
        <w:bottom w:val="none" w:sz="0" w:space="0" w:color="auto"/>
        <w:right w:val="none" w:sz="0" w:space="0" w:color="auto"/>
      </w:divBdr>
    </w:div>
    <w:div w:id="2021664630">
      <w:bodyDiv w:val="1"/>
      <w:marLeft w:val="0"/>
      <w:marRight w:val="0"/>
      <w:marTop w:val="0"/>
      <w:marBottom w:val="0"/>
      <w:divBdr>
        <w:top w:val="none" w:sz="0" w:space="0" w:color="auto"/>
        <w:left w:val="none" w:sz="0" w:space="0" w:color="auto"/>
        <w:bottom w:val="none" w:sz="0" w:space="0" w:color="auto"/>
        <w:right w:val="none" w:sz="0" w:space="0" w:color="auto"/>
      </w:divBdr>
    </w:div>
    <w:div w:id="2032564712">
      <w:bodyDiv w:val="1"/>
      <w:marLeft w:val="0"/>
      <w:marRight w:val="0"/>
      <w:marTop w:val="0"/>
      <w:marBottom w:val="0"/>
      <w:divBdr>
        <w:top w:val="none" w:sz="0" w:space="0" w:color="auto"/>
        <w:left w:val="none" w:sz="0" w:space="0" w:color="auto"/>
        <w:bottom w:val="none" w:sz="0" w:space="0" w:color="auto"/>
        <w:right w:val="none" w:sz="0" w:space="0" w:color="auto"/>
      </w:divBdr>
    </w:div>
    <w:div w:id="21145205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13" Type="http://schemas.openxmlformats.org/officeDocument/2006/relationships/image" Target="media/image6.gif"/><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gif"/><Relationship Id="rId17" Type="http://schemas.openxmlformats.org/officeDocument/2006/relationships/image" Target="media/image10.gif"/><Relationship Id="rId2" Type="http://schemas.openxmlformats.org/officeDocument/2006/relationships/numbering" Target="numbering.xml"/><Relationship Id="rId16" Type="http://schemas.openxmlformats.org/officeDocument/2006/relationships/image" Target="media/image9.gif"/><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gif"/><Relationship Id="rId5" Type="http://schemas.openxmlformats.org/officeDocument/2006/relationships/webSettings" Target="webSettings.xml"/><Relationship Id="rId15" Type="http://schemas.openxmlformats.org/officeDocument/2006/relationships/image" Target="media/image8.gif"/><Relationship Id="rId10" Type="http://schemas.openxmlformats.org/officeDocument/2006/relationships/image" Target="media/image3.gif"/><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gif"/><Relationship Id="rId14" Type="http://schemas.openxmlformats.org/officeDocument/2006/relationships/image" Target="media/image7.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WuB22</b:Tag>
    <b:SourceType>Book</b:SourceType>
    <b:Guid>{3D7EF503-E064-4331-A1D9-0124BF6359F1}</b:Guid>
    <b:Title>Achieving Greater Educational Impact through Data Intelligence</b:Title>
    <b:Year>2022</b:Year>
    <b:City>Singapore</b:City>
    <b:Publisher>World Scientific Publishing Co. Ltd., Pte</b:Publisher>
    <b:Author>
      <b:Author>
        <b:NameList>
          <b:Person>
            <b:Last>Wu</b:Last>
            <b:First>Bian</b:First>
          </b:Person>
          <b:Person>
            <b:Last>Hu</b:Last>
            <b:First>Yiling</b:First>
          </b:Person>
          <b:Person>
            <b:Last>Gu</b:Last>
            <b:First>Xiaoqing</b:First>
          </b:Person>
        </b:NameList>
      </b:Author>
    </b:Author>
    <b:Edition>2022</b:Edition>
    <b:RefOrder>1</b:RefOrder>
  </b:Source>
  <b:Source>
    <b:Tag>Eve21</b:Tag>
    <b:SourceType>Book</b:SourceType>
    <b:Guid>{A6A431E0-0F61-47B0-B0E1-36520C92E5F5}</b:Guid>
    <b:Author>
      <b:Author>
        <b:NameList>
          <b:Person>
            <b:Last>Everett</b:Last>
            <b:First>Sally</b:First>
          </b:Person>
          <b:Person>
            <b:Last>Cade</b:Last>
            <b:First>Nicola</b:First>
          </b:Person>
          <b:Person>
            <b:Last>Hunt</b:Last>
            <b:First>Abigail</b:First>
          </b:Person>
          <b:Person>
            <b:Last>Lock</b:Last>
            <b:First>Deborah</b:First>
          </b:Person>
          <b:Person>
            <b:Last>Lupton</b:Last>
            <b:First>Katie</b:First>
          </b:Person>
          <b:Person>
            <b:Last>McDonald</b:Last>
            <b:First>Steve</b:First>
          </b:Person>
        </b:NameList>
      </b:Author>
    </b:Author>
    <b:Title>The Tourism, Hospitality and Events Student′s Guide to Study and Employability</b:Title>
    <b:Year>2021</b:Year>
    <b:City>London</b:City>
    <b:Publisher>SAGE Publications</b:Publisher>
    <b:Edition>2021</b:Edition>
    <b:RefOrder>2</b:RefOrder>
  </b:Source>
  <b:Source>
    <b:Tag>UNt24</b:Tag>
    <b:SourceType>InternetSite</b:SourceType>
    <b:Guid>{DD5616FE-1842-49EB-BA87-4F9C5711B957}</b:Guid>
    <b:Title>Data, intelligence and trends</b:Title>
    <b:Year>2024</b:Year>
    <b:Author>
      <b:Author>
        <b:Corporate>UN tourism</b:Corporate>
      </b:Author>
    </b:Author>
    <b:YearAccessed>2024</b:YearAccessed>
    <b:MonthAccessed>4</b:MonthAccessed>
    <b:DayAccessed>27</b:DayAccessed>
    <b:URL>https://www.unwto.org/archive/competitiveness-market-intelligence</b:URL>
    <b:RefOrder>3</b:RefOrder>
  </b:Source>
  <b:Source>
    <b:Tag>Get19</b:Tag>
    <b:SourceType>Book</b:SourceType>
    <b:Guid>{31EA93F4-004B-4A37-9217-6B1E4E66251D}</b:Guid>
    <b:Title>Event Studies: Theory, Research and Policy for Planned Events</b:Title>
    <b:Year>2019</b:Year>
    <b:Author>
      <b:Author>
        <b:NameList>
          <b:Person>
            <b:Last>Getz</b:Last>
            <b:First>Donald</b:First>
          </b:Person>
          <b:Person>
            <b:Last>Page</b:Last>
            <b:First>Stephen</b:First>
            <b:Middle>J.</b:Middle>
          </b:Person>
        </b:NameList>
      </b:Author>
    </b:Author>
    <b:City>New York</b:City>
    <b:Publisher>Taylor &amp; Francis</b:Publisher>
    <b:Edition>4th</b:Edition>
    <b:RefOrder>4</b:RefOrder>
  </b:Source>
  <b:Source>
    <b:Tag>OTo11</b:Tag>
    <b:SourceType>Book</b:SourceType>
    <b:Guid>{AC4D6684-423C-4532-82D7-1B1B777D8144}</b:Guid>
    <b:Author>
      <b:Author>
        <b:NameList>
          <b:Person>
            <b:Last>O'Toole</b:Last>
            <b:First>William</b:First>
          </b:Person>
        </b:NameList>
      </b:Author>
    </b:Author>
    <b:Title>Events feasibility and development</b:Title>
    <b:Year>2011</b:Year>
    <b:City>Oxford</b:City>
    <b:Publisher>Elsevier</b:Publisher>
    <b:Edition>2011</b:Edition>
    <b:RefOrder>5</b:RefOrder>
  </b:Source>
  <b:Source>
    <b:Tag>Ant19</b:Tag>
    <b:SourceType>Book</b:SourceType>
    <b:Guid>{D5A55C8A-2CB6-4ADF-A88D-765570298FA0}</b:Guid>
    <b:Author>
      <b:Author>
        <b:NameList>
          <b:Person>
            <b:Last>Antchak</b:Last>
            <b:First>Vladimir</b:First>
          </b:Person>
          <b:Person>
            <b:Last>Ramsbottom</b:Last>
            <b:First>Olivia</b:First>
          </b:Person>
        </b:NameList>
      </b:Author>
    </b:Author>
    <b:Title>The Fundamentals of Event Design</b:Title>
    <b:Year>2019</b:Year>
    <b:City>New York</b:City>
    <b:Publisher>Taylor &amp; Francis</b:Publisher>
    <b:Edition>2019</b:Edition>
    <b:RefOrder>6</b:RefOrder>
  </b:Source>
  <b:Source>
    <b:Tag>Mer21</b:Tag>
    <b:SourceType>Book</b:SourceType>
    <b:Guid>{1760BAF8-1F91-4479-85CE-798CC12CF603}</b:Guid>
    <b:Author>
      <b:Author>
        <b:NameList>
          <b:Person>
            <b:Last>Meredith</b:Last>
            <b:First>J.R</b:First>
          </b:Person>
          <b:Person>
            <b:Last>Shafer</b:Last>
            <b:First>S.M</b:First>
          </b:Person>
          <b:Person>
            <b:Last>Mantel</b:Last>
            <b:First>S.J</b:First>
          </b:Person>
        </b:NameList>
      </b:Author>
    </b:Author>
    <b:Title>Project Management: A Managerial Approach</b:Title>
    <b:Year>2021</b:Year>
    <b:City>New York</b:City>
    <b:Publisher>Wiley</b:Publisher>
    <b:Edition>11th</b:Edition>
    <b:RefOrder>7</b:RefOrder>
  </b:Source>
  <b:Source>
    <b:Tag>Wil211</b:Tag>
    <b:SourceType>BookSection</b:SourceType>
    <b:Guid>{1E450D42-47FA-4BFD-8651-584C67CA9739}</b:Guid>
    <b:Title>Managing Event Projects</b:Title>
    <b:Year>2021</b:Year>
    <b:City>London</b:City>
    <b:Publisher>SAGE</b:Publisher>
    <b:Author>
      <b:Author>
        <b:NameList>
          <b:Person>
            <b:Last>Williams</b:Last>
            <b:First>Nigel</b:First>
            <b:Middle>L</b:Middle>
          </b:Person>
        </b:NameList>
      </b:Author>
      <b:Editor>
        <b:NameList>
          <b:Person>
            <b:Last>Ferdinand</b:Last>
            <b:First>Nicole</b:First>
          </b:Person>
          <b:Person>
            <b:Last>Kitchin</b:Last>
            <b:First>Paul</b:First>
            <b:Middle>J.</b:Middle>
          </b:Person>
        </b:NameList>
      </b:Editor>
    </b:Author>
    <b:BookTitle>Events Management: An International Approach</b:BookTitle>
    <b:Pages>3</b:Pages>
    <b:RefOrder>9</b:RefOrder>
  </b:Source>
  <b:Source>
    <b:Tag>Bow23</b:Tag>
    <b:SourceType>Book</b:SourceType>
    <b:Guid>{42769C1A-BC9B-49CA-8E4B-73D6A026B0D0}</b:Guid>
    <b:Title>Events Management</b:Title>
    <b:Year>2023</b:Year>
    <b:City>New York</b:City>
    <b:Publisher>Taylor &amp; Francis</b:Publisher>
    <b:Author>
      <b:Author>
        <b:NameList>
          <b:Person>
            <b:Last>Bowdin</b:Last>
            <b:First>Glenn</b:First>
            <b:Middle>A. J.</b:Middle>
          </b:Person>
          <b:Person>
            <b:Last>Allen</b:Last>
            <b:First>Johnny</b:First>
          </b:Person>
          <b:Person>
            <b:Last>Harris</b:Last>
            <b:First>Rob</b:First>
          </b:Person>
          <b:Person>
            <b:Last>Jago</b:Last>
            <b:First>Leo</b:First>
          </b:Person>
          <b:Person>
            <b:Last>O'Toole</b:Last>
            <b:First>William</b:First>
          </b:Person>
          <b:Person>
            <b:Last>McDonnell</b:Last>
            <b:First>Ian</b:First>
          </b:Person>
        </b:NameList>
      </b:Author>
    </b:Author>
    <b:Edition>2023</b:Edition>
    <b:RefOrder>8</b:RefOrder>
  </b:Source>
  <b:Source>
    <b:Tag>Hir24</b:Tag>
    <b:SourceType>InternetSite</b:SourceType>
    <b:Guid>{72DF420D-9717-460E-9B8C-B17C9726BAF8}</b:Guid>
    <b:Title>Conference Venues in London</b:Title>
    <b:Year>2024</b:Year>
    <b:Author>
      <b:Author>
        <b:Corporate>Hire Space</b:Corporate>
      </b:Author>
    </b:Author>
    <b:YearAccessed>2024</b:YearAccessed>
    <b:MonthAccessed>4</b:MonthAccessed>
    <b:DayAccessed>30</b:DayAccessed>
    <b:URL>https://hirespace.com/GB/London/Conference-Venues</b:URL>
    <b:RefOrder>21</b:RefOrder>
  </b:Source>
  <b:Source>
    <b:Tag>Pre24</b:Tag>
    <b:SourceType>InternetSite</b:SourceType>
    <b:Guid>{9B11932C-28BA-41CC-BB31-C8CF1BA4B242}</b:Guid>
    <b:Author>
      <b:Author>
        <b:Corporate>Premier Inn</b:Corporate>
      </b:Author>
    </b:Author>
    <b:Title>Pricing</b:Title>
    <b:Year>2024</b:Year>
    <b:YearAccessed>2024</b:YearAccessed>
    <b:MonthAccessed>4</b:MonthAccessed>
    <b:DayAccessed>30</b:DayAccessed>
    <b:URL>https://www.premiermeetings.co.uk/pricing</b:URL>
    <b:RefOrder>10</b:RefOrder>
  </b:Source>
  <b:Source>
    <b:Tag>Rev19</b:Tag>
    <b:SourceType>InternetSite</b:SourceType>
    <b:Guid>{9F0CE7AE-0DD3-445B-A9D8-CCCC750A6C40}</b:Guid>
    <b:Author>
      <b:Author>
        <b:Corporate>Revenue Analytics</b:Corporate>
      </b:Author>
    </b:Author>
    <b:Title>Analytics, Data Intelligence, and Automation Key to Revenue Management Investment for Hospitality Industry, Revenue Analytics' 2019 Report Finds</b:Title>
    <b:Year>2019</b:Year>
    <b:YearAccessed>2024</b:YearAccessed>
    <b:MonthAccessed>5</b:MonthAccessed>
    <b:DayAccessed>1</b:DayAccessed>
    <b:URL>https://www.prweb.com/releases/Analytics_Data_Intelligence_and_Automation_Key_to_Revenue_Management_Investment_for_Hospitality_Industry_Revenue_Analytics_2019_Report_Finds/prweb16421190.htm</b:URL>
    <b:RefOrder>11</b:RefOrder>
  </b:Source>
  <b:Source>
    <b:Tag>Mor24</b:Tag>
    <b:SourceType>InternetSite</b:SourceType>
    <b:Guid>{7AE1A63B-0E36-4ED1-A93C-E304701C03AA}</b:Guid>
    <b:Author>
      <b:Author>
        <b:Corporate>Mordor Intelligence</b:Corporate>
      </b:Author>
    </b:Author>
    <b:Title>Hospitality Industry in UK Size &amp; Share Analysis - Growth Trends &amp; Forecasts (2024 - 2029) Source: https://www.mordorintelligence.com/industry-reports/hospitality-industry-in-the-united-kingdom</b:Title>
    <b:Year>2024</b:Year>
    <b:YearAccessed>2024</b:YearAccessed>
    <b:MonthAccessed>5</b:MonthAccessed>
    <b:DayAccessed>1</b:DayAccessed>
    <b:URL>https://www.mordorintelligence.com/industry-reports/hospitality-industry-in-the-united-kingdom</b:URL>
    <b:RefOrder>12</b:RefOrder>
  </b:Source>
  <b:Source>
    <b:Tag>Dep231</b:Tag>
    <b:SourceType>Report</b:SourceType>
    <b:Guid>{541EDDD7-3A84-4EE9-9EA8-77290561E02F}</b:Guid>
    <b:Title>Hospitality Strategy: Reopening, Recovery, Resilience</b:Title>
    <b:Year>2023</b:Year>
    <b:Author>
      <b:Author>
        <b:Corporate>Department for Business and Trade</b:Corporate>
      </b:Author>
    </b:Author>
    <b:Publisher>OGL Crown Copyright</b:Publisher>
    <b:City>London</b:City>
    <b:RefOrder>13</b:RefOrder>
  </b:Source>
  <b:Source>
    <b:Tag>Fox14</b:Tag>
    <b:SourceType>Book</b:SourceType>
    <b:Guid>{433526CB-C163-45E7-BCE1-FAE78F7E7A32}</b:Guid>
    <b:Title>Doing Events Research: From Theory to Practice</b:Title>
    <b:Year>2014</b:Year>
    <b:Publisher>Taylor &amp; Francis</b:Publisher>
    <b:City>New York</b:City>
    <b:Author>
      <b:Author>
        <b:NameList>
          <b:Person>
            <b:Last>Fox</b:Last>
            <b:First>Dorothy</b:First>
          </b:Person>
          <b:Person>
            <b:Last>Gouthro</b:Last>
            <b:First>Mary</b:First>
            <b:Middle>Beth</b:Middle>
          </b:Person>
          <b:Person>
            <b:Last>Morakabati</b:Last>
            <b:First>Yeganeh</b:First>
          </b:Person>
          <b:Person>
            <b:Last>Brackstone</b:Last>
            <b:First>John</b:First>
          </b:Person>
        </b:NameList>
      </b:Author>
    </b:Author>
    <b:Edition>2014</b:Edition>
    <b:RefOrder>14</b:RefOrder>
  </b:Source>
  <b:Source>
    <b:Tag>Nto22</b:Tag>
    <b:SourceType>JournalArticle</b:SourceType>
    <b:Guid>{A0B13B34-60F2-41DC-9361-5774C8FAB271}</b:Guid>
    <b:Title>Tourism and Hospitality industry resilience during the Covid-19 pandemic: Evidence from England</b:Title>
    <b:Year>2022</b:Year>
    <b:Author>
      <b:Author>
        <b:NameList>
          <b:Person>
            <b:Last>Ntounis</b:Last>
            <b:First>N.</b:First>
          </b:Person>
          <b:Person>
            <b:Last>Parker</b:Last>
            <b:First>C.</b:First>
          </b:Person>
          <b:Person>
            <b:Last>Skinner</b:Last>
            <b:First>H.</b:First>
          </b:Person>
          <b:Person>
            <b:Last>Steadman</b:Last>
            <b:First>C.</b:First>
          </b:Person>
          <b:Person>
            <b:Last>Warnaby</b:Last>
            <b:First>G.</b:First>
          </b:Person>
        </b:NameList>
      </b:Author>
    </b:Author>
    <b:JournalName>Current Issues in Tourism</b:JournalName>
    <b:Pages>46-59</b:Pages>
    <b:Volume>25</b:Volume>
    <b:Issue>1</b:Issue>
    <b:RefOrder>15</b:RefOrder>
  </b:Source>
  <b:Source>
    <b:Tag>Eva24</b:Tag>
    <b:SourceType>Book</b:SourceType>
    <b:Guid>{FD3C2618-3F16-45BF-BB0C-B9E9D0DCED5D}</b:Guid>
    <b:Title>Strategic Management for Tourism, Hospitality and Events</b:Title>
    <b:Year>2024</b:Year>
    <b:Author>
      <b:Author>
        <b:NameList>
          <b:Person>
            <b:Last>Evans</b:Last>
            <b:First>Nigel</b:First>
          </b:Person>
        </b:NameList>
      </b:Author>
    </b:Author>
    <b:City>New York</b:City>
    <b:Publisher>Taylor &amp; Francis</b:Publisher>
    <b:Edition>2024</b:Edition>
    <b:RefOrder>16</b:RefOrder>
  </b:Source>
  <b:Source>
    <b:Tag>Hea24</b:Tag>
    <b:SourceType>InternetSite</b:SourceType>
    <b:Guid>{B17278AD-E058-4485-8A75-D6F7EEF7DEDF}</b:Guid>
    <b:Title>Managing an event</b:Title>
    <b:Year>2024</b:Year>
    <b:Author>
      <b:Author>
        <b:Corporate>Health and Safety Executive</b:Corporate>
      </b:Author>
    </b:Author>
    <b:YearAccessed>2024</b:YearAccessed>
    <b:MonthAccessed>5</b:MonthAccessed>
    <b:DayAccessed>1</b:DayAccessed>
    <b:URL>https://www.hse.gov.uk/event-safety/managing-an-event.htm</b:URL>
    <b:RefOrder>17</b:RefOrder>
  </b:Source>
  <b:Source>
    <b:Tag>Pav20</b:Tag>
    <b:SourceType>ConferenceProceedings</b:SourceType>
    <b:Guid>{980966D4-051F-4F67-AD13-18E8A144D3C1}</b:Guid>
    <b:Title>Sustainability in the Meetings Industry</b:Title>
    <b:Year>2020</b:Year>
    <b:Author>
      <b:Author>
        <b:NameList>
          <b:Person>
            <b:Last>Pavluković</b:Last>
            <b:First>Vanja</b:First>
          </b:Person>
          <b:Person>
            <b:Last>Vujičić</b:Last>
            <b:First>Milica</b:First>
          </b:Person>
          <b:Person>
            <b:Last>Kennell</b:Last>
            <b:First>James</b:First>
          </b:Person>
          <b:Person>
            <b:Last>Cimbaljević</b:Last>
            <b:First>Marija</b:First>
          </b:Person>
        </b:NameList>
      </b:Author>
    </b:Author>
    <b:City>Serbia</b:City>
    <b:Publisher>SITCON 2020 - TOURISM AND SUSTAINABLE DEVELOPMENT – CHALLENGES, OPPORTUNITIES, AND CONTRADICTIONS</b:Publisher>
    <b:RefOrder>18</b:RefOrder>
  </b:Source>
  <b:Source>
    <b:Tag>Dow231</b:Tag>
    <b:SourceType>Book</b:SourceType>
    <b:Guid>{311D4170-65A8-475B-AA61-C8938D316610}</b:Guid>
    <b:Title>Event Planning and Management - Principles, Planning and Practice</b:Title>
    <b:Year>2023</b:Year>
    <b:City>London</b:City>
    <b:Publisher>Kogan Page</b:Publisher>
    <b:Author>
      <b:Author>
        <b:NameList>
          <b:Person>
            <b:Last>Dowson</b:Last>
            <b:First>Ruth</b:First>
          </b:Person>
          <b:Person>
            <b:Last>Albert</b:Last>
            <b:First>Bernadette</b:First>
          </b:Person>
          <b:Person>
            <b:Last>Lomax</b:Last>
            <b:First>Dan</b:First>
          </b:Person>
        </b:NameList>
      </b:Author>
    </b:Author>
    <b:Edition>3rd</b:Edition>
    <b:RefOrder>19</b:RefOrder>
  </b:Source>
  <b:Source>
    <b:Tag>Sil201</b:Tag>
    <b:SourceType>Book</b:SourceType>
    <b:Guid>{65CE1676-DA8B-4BB0-A8DD-E554926112F5}</b:Guid>
    <b:Author>
      <b:Author>
        <b:NameList>
          <b:Person>
            <b:Last>Silvers</b:Last>
            <b:First>Julia</b:First>
            <b:Middle>Rutherford</b:Middle>
          </b:Person>
          <b:Person>
            <b:Last>O'Toole</b:Last>
            <b:First>William</b:First>
          </b:Person>
        </b:NameList>
      </b:Author>
    </b:Author>
    <b:Title>Risk Management for Events</b:Title>
    <b:Year>2020</b:Year>
    <b:City>New York</b:City>
    <b:Publisher>Taylor &amp; Francis</b:Publisher>
    <b:Edition>2020</b:Edition>
    <b:RefOrder>20</b:RefOrder>
  </b:Source>
</b:Sources>
</file>

<file path=customXml/itemProps1.xml><?xml version="1.0" encoding="utf-8"?>
<ds:datastoreItem xmlns:ds="http://schemas.openxmlformats.org/officeDocument/2006/customXml" ds:itemID="{54C9D7CE-3977-4FD6-B308-8558853621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15</Pages>
  <Words>2256</Words>
  <Characters>12863</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Liuta Andreea</dc:creator>
  <cp:keywords/>
  <dc:description/>
  <cp:lastModifiedBy>Marius Guralata</cp:lastModifiedBy>
  <cp:revision>2</cp:revision>
  <dcterms:created xsi:type="dcterms:W3CDTF">2024-05-09T10:09:00Z</dcterms:created>
  <dcterms:modified xsi:type="dcterms:W3CDTF">2024-05-09T10:09:00Z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1a72ad6af4e897b809aee9f96283b2e8c129a90bbb5fa1481ea98bd5bae887d7</vt:lpwstr>
  </property>
</Properties>
</file>