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D5815" w14:textId="5D88C364" w:rsidR="00A767CF" w:rsidRPr="005970CE" w:rsidRDefault="00A767CF">
      <w:pPr>
        <w:pStyle w:val="Title"/>
        <w:rPr>
          <w:rFonts w:asciiTheme="majorBidi" w:hAnsiTheme="majorBidi"/>
        </w:rPr>
      </w:pPr>
      <w:r w:rsidRPr="005970CE">
        <w:rPr>
          <w:rFonts w:asciiTheme="majorBidi" w:hAnsiTheme="majorBidi"/>
          <w:noProof/>
        </w:rPr>
        <w:drawing>
          <wp:anchor distT="0" distB="0" distL="114300" distR="114300" simplePos="0" relativeHeight="251659264" behindDoc="0" locked="0" layoutInCell="1" allowOverlap="1" wp14:anchorId="62BCC225" wp14:editId="5815450F">
            <wp:simplePos x="0" y="0"/>
            <wp:positionH relativeFrom="column">
              <wp:posOffset>-444500</wp:posOffset>
            </wp:positionH>
            <wp:positionV relativeFrom="paragraph">
              <wp:posOffset>-393700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932796A" w14:textId="77777777" w:rsidR="00A767CF" w:rsidRPr="005970CE" w:rsidRDefault="00A767CF">
      <w:pPr>
        <w:pStyle w:val="Title"/>
        <w:rPr>
          <w:rFonts w:asciiTheme="majorBidi" w:hAnsiTheme="majorBidi"/>
        </w:rPr>
      </w:pPr>
    </w:p>
    <w:p w14:paraId="098FA344" w14:textId="77777777" w:rsidR="000C2242" w:rsidRPr="005970CE" w:rsidRDefault="000C2242">
      <w:pPr>
        <w:pStyle w:val="Title"/>
        <w:rPr>
          <w:rFonts w:asciiTheme="majorBidi" w:hAnsiTheme="majorBidi"/>
        </w:rPr>
      </w:pPr>
    </w:p>
    <w:p w14:paraId="455CDF49" w14:textId="36E1A54F" w:rsidR="004E0192" w:rsidRPr="005970CE" w:rsidRDefault="00E63A83">
      <w:pPr>
        <w:pStyle w:val="Title"/>
        <w:rPr>
          <w:rFonts w:asciiTheme="majorBidi" w:hAnsiTheme="majorBidi"/>
        </w:rPr>
      </w:pPr>
      <w:r w:rsidRPr="005970CE">
        <w:rPr>
          <w:rFonts w:asciiTheme="majorBidi" w:hAnsiTheme="majorBidi"/>
        </w:rPr>
        <w:t>The NHS App as a Digital Front Door to NHS Services in England</w:t>
      </w:r>
    </w:p>
    <w:p w14:paraId="16EEDF0B" w14:textId="0A6BB961" w:rsidR="004E0192" w:rsidRPr="005970CE" w:rsidRDefault="00E63A83" w:rsidP="00755A80">
      <w:pPr>
        <w:spacing w:after="160"/>
        <w:jc w:val="center"/>
        <w:rPr>
          <w:rFonts w:asciiTheme="majorBidi" w:hAnsiTheme="majorBidi" w:cstheme="majorBidi"/>
        </w:rPr>
      </w:pPr>
      <w:r w:rsidRPr="005970CE">
        <w:rPr>
          <w:rFonts w:asciiTheme="majorBidi" w:hAnsiTheme="majorBidi" w:cstheme="majorBidi"/>
        </w:rPr>
        <w:t xml:space="preserve">Student name: </w:t>
      </w:r>
      <w:r w:rsidR="001E35FF" w:rsidRPr="005970CE">
        <w:rPr>
          <w:rFonts w:asciiTheme="majorBidi" w:hAnsiTheme="majorBidi" w:cstheme="majorBidi"/>
        </w:rPr>
        <w:t>Musab Umayr Shah</w:t>
      </w:r>
    </w:p>
    <w:p w14:paraId="64EF7592" w14:textId="40D1F443" w:rsidR="004E0192" w:rsidRPr="005970CE" w:rsidRDefault="00E63A83" w:rsidP="00755A80">
      <w:pPr>
        <w:spacing w:after="160"/>
        <w:jc w:val="center"/>
        <w:rPr>
          <w:rFonts w:asciiTheme="majorBidi" w:hAnsiTheme="majorBidi" w:cstheme="majorBidi"/>
        </w:rPr>
      </w:pPr>
      <w:r w:rsidRPr="005970CE">
        <w:rPr>
          <w:rFonts w:asciiTheme="majorBidi" w:hAnsiTheme="majorBidi" w:cstheme="majorBidi"/>
        </w:rPr>
        <w:t xml:space="preserve">Student number: </w:t>
      </w:r>
      <w:r w:rsidR="001E35FF" w:rsidRPr="005970CE">
        <w:rPr>
          <w:rFonts w:asciiTheme="majorBidi" w:hAnsiTheme="majorBidi" w:cstheme="majorBidi"/>
        </w:rPr>
        <w:t>2411894</w:t>
      </w:r>
    </w:p>
    <w:p w14:paraId="517E544E" w14:textId="659F5C49" w:rsidR="004E0192" w:rsidRPr="005970CE" w:rsidRDefault="00546AB0" w:rsidP="00755A80">
      <w:pPr>
        <w:spacing w:after="160"/>
        <w:jc w:val="center"/>
        <w:rPr>
          <w:rFonts w:asciiTheme="majorBidi" w:hAnsiTheme="majorBidi" w:cstheme="majorBidi"/>
        </w:rPr>
      </w:pPr>
      <w:r>
        <w:rPr>
          <w:rFonts w:asciiTheme="majorBidi" w:hAnsiTheme="majorBidi" w:cstheme="majorBidi"/>
        </w:rPr>
        <w:t>Course</w:t>
      </w:r>
      <w:r w:rsidR="00E63A83" w:rsidRPr="005970CE">
        <w:rPr>
          <w:rFonts w:asciiTheme="majorBidi" w:hAnsiTheme="majorBidi" w:cstheme="majorBidi"/>
        </w:rPr>
        <w:t>: BSc (Hons) Health and Social Care</w:t>
      </w:r>
    </w:p>
    <w:p w14:paraId="76750E3F" w14:textId="77777777" w:rsidR="004E0192" w:rsidRPr="005970CE" w:rsidRDefault="00E63A83" w:rsidP="00755A80">
      <w:pPr>
        <w:spacing w:after="160"/>
        <w:jc w:val="center"/>
        <w:rPr>
          <w:rFonts w:asciiTheme="majorBidi" w:hAnsiTheme="majorBidi" w:cstheme="majorBidi"/>
        </w:rPr>
      </w:pPr>
      <w:r w:rsidRPr="005970CE">
        <w:rPr>
          <w:rFonts w:asciiTheme="majorBidi" w:hAnsiTheme="majorBidi" w:cstheme="majorBidi"/>
        </w:rPr>
        <w:t>Module: Digital Transformation in the Health and Care Professions</w:t>
      </w:r>
    </w:p>
    <w:p w14:paraId="03B085E5" w14:textId="77777777" w:rsidR="004E0192" w:rsidRPr="005970CE" w:rsidRDefault="00E63A83" w:rsidP="00755A80">
      <w:pPr>
        <w:spacing w:after="160"/>
        <w:jc w:val="center"/>
        <w:rPr>
          <w:rFonts w:asciiTheme="majorBidi" w:hAnsiTheme="majorBidi" w:cstheme="majorBidi"/>
        </w:rPr>
      </w:pPr>
      <w:r w:rsidRPr="005970CE">
        <w:rPr>
          <w:rFonts w:asciiTheme="majorBidi" w:hAnsiTheme="majorBidi" w:cstheme="majorBidi"/>
        </w:rPr>
        <w:t>Module code: BMHP6026</w:t>
      </w:r>
    </w:p>
    <w:p w14:paraId="67EFDA8D" w14:textId="77777777" w:rsidR="004E0192" w:rsidRPr="005970CE" w:rsidRDefault="00E63A83" w:rsidP="00755A80">
      <w:pPr>
        <w:spacing w:after="160"/>
        <w:jc w:val="center"/>
        <w:rPr>
          <w:rFonts w:asciiTheme="majorBidi" w:hAnsiTheme="majorBidi" w:cstheme="majorBidi"/>
        </w:rPr>
      </w:pPr>
      <w:r w:rsidRPr="005970CE">
        <w:rPr>
          <w:rFonts w:asciiTheme="majorBidi" w:hAnsiTheme="majorBidi" w:cstheme="majorBidi"/>
        </w:rPr>
        <w:t>Submission date: 19 October 2026</w:t>
      </w:r>
    </w:p>
    <w:p w14:paraId="77A03DB1" w14:textId="2B2BE4F9" w:rsidR="004E0192" w:rsidRPr="005970CE" w:rsidRDefault="002D5B07" w:rsidP="00755A80">
      <w:pPr>
        <w:spacing w:after="160"/>
        <w:jc w:val="center"/>
        <w:rPr>
          <w:rFonts w:asciiTheme="majorBidi" w:hAnsiTheme="majorBidi" w:cstheme="majorBidi"/>
        </w:rPr>
      </w:pPr>
      <w:r>
        <w:rPr>
          <w:rFonts w:asciiTheme="majorBidi" w:hAnsiTheme="majorBidi" w:cstheme="majorBidi"/>
        </w:rPr>
        <w:t>W</w:t>
      </w:r>
      <w:r w:rsidRPr="005970CE">
        <w:rPr>
          <w:rFonts w:asciiTheme="majorBidi" w:hAnsiTheme="majorBidi" w:cstheme="majorBidi"/>
        </w:rPr>
        <w:t>ord count: 2,</w:t>
      </w:r>
      <w:r>
        <w:rPr>
          <w:rFonts w:asciiTheme="majorBidi" w:hAnsiTheme="majorBidi" w:cstheme="majorBidi"/>
        </w:rPr>
        <w:t>191</w:t>
      </w:r>
    </w:p>
    <w:p w14:paraId="0B9913A0" w14:textId="77777777" w:rsidR="00B33EDD" w:rsidRPr="005970CE" w:rsidRDefault="00B33EDD">
      <w:pPr>
        <w:spacing w:line="276" w:lineRule="auto"/>
        <w:jc w:val="left"/>
        <w:rPr>
          <w:rFonts w:asciiTheme="majorBidi" w:hAnsiTheme="majorBidi" w:cstheme="majorBidi"/>
        </w:rPr>
      </w:pPr>
      <w:r w:rsidRPr="005970CE">
        <w:rPr>
          <w:rFonts w:asciiTheme="majorBidi" w:hAnsiTheme="majorBidi" w:cstheme="majorBidi"/>
        </w:rPr>
        <w:br w:type="page"/>
      </w:r>
    </w:p>
    <w:sdt>
      <w:sdtPr>
        <w:rPr>
          <w:rFonts w:ascii="Arial" w:eastAsia="Arial" w:hAnsi="Arial" w:cstheme="minorBidi"/>
          <w:b w:val="0"/>
          <w:bCs w:val="0"/>
          <w:sz w:val="22"/>
          <w:szCs w:val="22"/>
        </w:rPr>
        <w:id w:val="-1475682243"/>
        <w:docPartObj>
          <w:docPartGallery w:val="Table of Contents"/>
          <w:docPartUnique/>
        </w:docPartObj>
      </w:sdtPr>
      <w:sdtEndPr>
        <w:rPr>
          <w:noProof/>
        </w:rPr>
      </w:sdtEndPr>
      <w:sdtContent>
        <w:p w14:paraId="14C85752" w14:textId="546579FB" w:rsidR="002E5230" w:rsidRDefault="002E5230" w:rsidP="002E5230">
          <w:pPr>
            <w:pStyle w:val="TOCHeading"/>
            <w:jc w:val="center"/>
          </w:pPr>
          <w:r>
            <w:t>Table of Contents</w:t>
          </w:r>
        </w:p>
        <w:p w14:paraId="7D62040D" w14:textId="14351B1C" w:rsidR="002E5230" w:rsidRDefault="002E5230">
          <w:pPr>
            <w:pStyle w:val="TOC1"/>
            <w:tabs>
              <w:tab w:val="right" w:leader="dot" w:pos="9304"/>
            </w:tabs>
            <w:rPr>
              <w:noProof/>
            </w:rPr>
          </w:pPr>
          <w:r>
            <w:fldChar w:fldCharType="begin"/>
          </w:r>
          <w:r>
            <w:instrText xml:space="preserve"> TOC \o "1-3" \h \z \u </w:instrText>
          </w:r>
          <w:r>
            <w:fldChar w:fldCharType="separate"/>
          </w:r>
          <w:hyperlink w:anchor="_Toc240979355" w:history="1">
            <w:r w:rsidRPr="00121E32">
              <w:rPr>
                <w:rStyle w:val="Hyperlink"/>
                <w:noProof/>
              </w:rPr>
              <w:t>1. Introduction</w:t>
            </w:r>
            <w:r>
              <w:rPr>
                <w:noProof/>
                <w:webHidden/>
              </w:rPr>
              <w:tab/>
            </w:r>
            <w:r>
              <w:rPr>
                <w:noProof/>
                <w:webHidden/>
              </w:rPr>
              <w:fldChar w:fldCharType="begin"/>
            </w:r>
            <w:r>
              <w:rPr>
                <w:noProof/>
                <w:webHidden/>
              </w:rPr>
              <w:instrText xml:space="preserve"> PAGEREF _Toc240979355 \h </w:instrText>
            </w:r>
            <w:r>
              <w:rPr>
                <w:noProof/>
                <w:webHidden/>
              </w:rPr>
            </w:r>
            <w:r>
              <w:rPr>
                <w:noProof/>
                <w:webHidden/>
              </w:rPr>
              <w:fldChar w:fldCharType="separate"/>
            </w:r>
            <w:r>
              <w:rPr>
                <w:noProof/>
                <w:webHidden/>
              </w:rPr>
              <w:t>3</w:t>
            </w:r>
            <w:r>
              <w:rPr>
                <w:noProof/>
                <w:webHidden/>
              </w:rPr>
              <w:fldChar w:fldCharType="end"/>
            </w:r>
          </w:hyperlink>
        </w:p>
        <w:p w14:paraId="344264AE" w14:textId="2BE1FF37" w:rsidR="002E5230" w:rsidRDefault="002E5230">
          <w:pPr>
            <w:pStyle w:val="TOC1"/>
            <w:tabs>
              <w:tab w:val="right" w:leader="dot" w:pos="9304"/>
            </w:tabs>
            <w:rPr>
              <w:noProof/>
            </w:rPr>
          </w:pPr>
          <w:hyperlink w:anchor="_Toc240979356" w:history="1">
            <w:r w:rsidRPr="00121E32">
              <w:rPr>
                <w:rStyle w:val="Hyperlink"/>
                <w:noProof/>
              </w:rPr>
              <w:t>2. Innovation and implementation context</w:t>
            </w:r>
            <w:r>
              <w:rPr>
                <w:noProof/>
                <w:webHidden/>
              </w:rPr>
              <w:tab/>
            </w:r>
            <w:r>
              <w:rPr>
                <w:noProof/>
                <w:webHidden/>
              </w:rPr>
              <w:fldChar w:fldCharType="begin"/>
            </w:r>
            <w:r>
              <w:rPr>
                <w:noProof/>
                <w:webHidden/>
              </w:rPr>
              <w:instrText xml:space="preserve"> PAGEREF _Toc240979356 \h </w:instrText>
            </w:r>
            <w:r>
              <w:rPr>
                <w:noProof/>
                <w:webHidden/>
              </w:rPr>
            </w:r>
            <w:r>
              <w:rPr>
                <w:noProof/>
                <w:webHidden/>
              </w:rPr>
              <w:fldChar w:fldCharType="separate"/>
            </w:r>
            <w:r>
              <w:rPr>
                <w:noProof/>
                <w:webHidden/>
              </w:rPr>
              <w:t>3</w:t>
            </w:r>
            <w:r>
              <w:rPr>
                <w:noProof/>
                <w:webHidden/>
              </w:rPr>
              <w:fldChar w:fldCharType="end"/>
            </w:r>
          </w:hyperlink>
        </w:p>
        <w:p w14:paraId="721D27B9" w14:textId="226C9688" w:rsidR="002E5230" w:rsidRDefault="002E5230">
          <w:pPr>
            <w:pStyle w:val="TOC1"/>
            <w:tabs>
              <w:tab w:val="right" w:leader="dot" w:pos="9304"/>
            </w:tabs>
            <w:rPr>
              <w:noProof/>
            </w:rPr>
          </w:pPr>
          <w:hyperlink w:anchor="_Toc240979357" w:history="1">
            <w:r w:rsidRPr="00121E32">
              <w:rPr>
                <w:rStyle w:val="Hyperlink"/>
                <w:noProof/>
              </w:rPr>
              <w:t>3. Effects on the workforce</w:t>
            </w:r>
            <w:r>
              <w:rPr>
                <w:noProof/>
                <w:webHidden/>
              </w:rPr>
              <w:tab/>
            </w:r>
            <w:r>
              <w:rPr>
                <w:noProof/>
                <w:webHidden/>
              </w:rPr>
              <w:fldChar w:fldCharType="begin"/>
            </w:r>
            <w:r>
              <w:rPr>
                <w:noProof/>
                <w:webHidden/>
              </w:rPr>
              <w:instrText xml:space="preserve"> PAGEREF _Toc240979357 \h </w:instrText>
            </w:r>
            <w:r>
              <w:rPr>
                <w:noProof/>
                <w:webHidden/>
              </w:rPr>
            </w:r>
            <w:r>
              <w:rPr>
                <w:noProof/>
                <w:webHidden/>
              </w:rPr>
              <w:fldChar w:fldCharType="separate"/>
            </w:r>
            <w:r>
              <w:rPr>
                <w:noProof/>
                <w:webHidden/>
              </w:rPr>
              <w:t>3</w:t>
            </w:r>
            <w:r>
              <w:rPr>
                <w:noProof/>
                <w:webHidden/>
              </w:rPr>
              <w:fldChar w:fldCharType="end"/>
            </w:r>
          </w:hyperlink>
        </w:p>
        <w:p w14:paraId="6389CD1B" w14:textId="7DE81A37" w:rsidR="002E5230" w:rsidRDefault="002E5230">
          <w:pPr>
            <w:pStyle w:val="TOC1"/>
            <w:tabs>
              <w:tab w:val="right" w:leader="dot" w:pos="9304"/>
            </w:tabs>
            <w:rPr>
              <w:noProof/>
            </w:rPr>
          </w:pPr>
          <w:hyperlink w:anchor="_Toc240979358" w:history="1">
            <w:r w:rsidRPr="00121E32">
              <w:rPr>
                <w:rStyle w:val="Hyperlink"/>
                <w:noProof/>
              </w:rPr>
              <w:t>4. Effects on service delivery</w:t>
            </w:r>
            <w:r>
              <w:rPr>
                <w:noProof/>
                <w:webHidden/>
              </w:rPr>
              <w:tab/>
            </w:r>
            <w:r>
              <w:rPr>
                <w:noProof/>
                <w:webHidden/>
              </w:rPr>
              <w:fldChar w:fldCharType="begin"/>
            </w:r>
            <w:r>
              <w:rPr>
                <w:noProof/>
                <w:webHidden/>
              </w:rPr>
              <w:instrText xml:space="preserve"> PAGEREF _Toc240979358 \h </w:instrText>
            </w:r>
            <w:r>
              <w:rPr>
                <w:noProof/>
                <w:webHidden/>
              </w:rPr>
            </w:r>
            <w:r>
              <w:rPr>
                <w:noProof/>
                <w:webHidden/>
              </w:rPr>
              <w:fldChar w:fldCharType="separate"/>
            </w:r>
            <w:r>
              <w:rPr>
                <w:noProof/>
                <w:webHidden/>
              </w:rPr>
              <w:t>4</w:t>
            </w:r>
            <w:r>
              <w:rPr>
                <w:noProof/>
                <w:webHidden/>
              </w:rPr>
              <w:fldChar w:fldCharType="end"/>
            </w:r>
          </w:hyperlink>
        </w:p>
        <w:p w14:paraId="388E6A0A" w14:textId="34261B91" w:rsidR="002E5230" w:rsidRDefault="002E5230">
          <w:pPr>
            <w:pStyle w:val="TOC1"/>
            <w:tabs>
              <w:tab w:val="right" w:leader="dot" w:pos="9304"/>
            </w:tabs>
            <w:rPr>
              <w:noProof/>
            </w:rPr>
          </w:pPr>
          <w:hyperlink w:anchor="_Toc240979359" w:history="1">
            <w:r w:rsidRPr="00121E32">
              <w:rPr>
                <w:rStyle w:val="Hyperlink"/>
                <w:noProof/>
              </w:rPr>
              <w:t>5. Effects on patients and service users</w:t>
            </w:r>
            <w:r>
              <w:rPr>
                <w:noProof/>
                <w:webHidden/>
              </w:rPr>
              <w:tab/>
            </w:r>
            <w:r>
              <w:rPr>
                <w:noProof/>
                <w:webHidden/>
              </w:rPr>
              <w:fldChar w:fldCharType="begin"/>
            </w:r>
            <w:r>
              <w:rPr>
                <w:noProof/>
                <w:webHidden/>
              </w:rPr>
              <w:instrText xml:space="preserve"> PAGEREF _Toc240979359 \h </w:instrText>
            </w:r>
            <w:r>
              <w:rPr>
                <w:noProof/>
                <w:webHidden/>
              </w:rPr>
            </w:r>
            <w:r>
              <w:rPr>
                <w:noProof/>
                <w:webHidden/>
              </w:rPr>
              <w:fldChar w:fldCharType="separate"/>
            </w:r>
            <w:r>
              <w:rPr>
                <w:noProof/>
                <w:webHidden/>
              </w:rPr>
              <w:t>5</w:t>
            </w:r>
            <w:r>
              <w:rPr>
                <w:noProof/>
                <w:webHidden/>
              </w:rPr>
              <w:fldChar w:fldCharType="end"/>
            </w:r>
          </w:hyperlink>
        </w:p>
        <w:p w14:paraId="4A86C452" w14:textId="4E27174B" w:rsidR="002E5230" w:rsidRDefault="002E5230">
          <w:pPr>
            <w:pStyle w:val="TOC1"/>
            <w:tabs>
              <w:tab w:val="right" w:leader="dot" w:pos="9304"/>
            </w:tabs>
            <w:rPr>
              <w:noProof/>
            </w:rPr>
          </w:pPr>
          <w:hyperlink w:anchor="_Toc240979360" w:history="1">
            <w:r w:rsidRPr="00121E32">
              <w:rPr>
                <w:rStyle w:val="Hyperlink"/>
                <w:noProof/>
              </w:rPr>
              <w:t>6. Effects on communities and populations</w:t>
            </w:r>
            <w:r>
              <w:rPr>
                <w:noProof/>
                <w:webHidden/>
              </w:rPr>
              <w:tab/>
            </w:r>
            <w:r>
              <w:rPr>
                <w:noProof/>
                <w:webHidden/>
              </w:rPr>
              <w:fldChar w:fldCharType="begin"/>
            </w:r>
            <w:r>
              <w:rPr>
                <w:noProof/>
                <w:webHidden/>
              </w:rPr>
              <w:instrText xml:space="preserve"> PAGEREF _Toc240979360 \h </w:instrText>
            </w:r>
            <w:r>
              <w:rPr>
                <w:noProof/>
                <w:webHidden/>
              </w:rPr>
            </w:r>
            <w:r>
              <w:rPr>
                <w:noProof/>
                <w:webHidden/>
              </w:rPr>
              <w:fldChar w:fldCharType="separate"/>
            </w:r>
            <w:r>
              <w:rPr>
                <w:noProof/>
                <w:webHidden/>
              </w:rPr>
              <w:t>6</w:t>
            </w:r>
            <w:r>
              <w:rPr>
                <w:noProof/>
                <w:webHidden/>
              </w:rPr>
              <w:fldChar w:fldCharType="end"/>
            </w:r>
          </w:hyperlink>
        </w:p>
        <w:p w14:paraId="2F264A98" w14:textId="6884A08D" w:rsidR="002E5230" w:rsidRDefault="002E5230">
          <w:pPr>
            <w:pStyle w:val="TOC1"/>
            <w:tabs>
              <w:tab w:val="right" w:leader="dot" w:pos="9304"/>
            </w:tabs>
            <w:rPr>
              <w:noProof/>
            </w:rPr>
          </w:pPr>
          <w:hyperlink w:anchor="_Toc240979361" w:history="1">
            <w:r w:rsidRPr="00121E32">
              <w:rPr>
                <w:rStyle w:val="Hyperlink"/>
                <w:noProof/>
              </w:rPr>
              <w:t>7. Integrated discussion and recommendations</w:t>
            </w:r>
            <w:r>
              <w:rPr>
                <w:noProof/>
                <w:webHidden/>
              </w:rPr>
              <w:tab/>
            </w:r>
            <w:r>
              <w:rPr>
                <w:noProof/>
                <w:webHidden/>
              </w:rPr>
              <w:fldChar w:fldCharType="begin"/>
            </w:r>
            <w:r>
              <w:rPr>
                <w:noProof/>
                <w:webHidden/>
              </w:rPr>
              <w:instrText xml:space="preserve"> PAGEREF _Toc240979361 \h </w:instrText>
            </w:r>
            <w:r>
              <w:rPr>
                <w:noProof/>
                <w:webHidden/>
              </w:rPr>
            </w:r>
            <w:r>
              <w:rPr>
                <w:noProof/>
                <w:webHidden/>
              </w:rPr>
              <w:fldChar w:fldCharType="separate"/>
            </w:r>
            <w:r>
              <w:rPr>
                <w:noProof/>
                <w:webHidden/>
              </w:rPr>
              <w:t>6</w:t>
            </w:r>
            <w:r>
              <w:rPr>
                <w:noProof/>
                <w:webHidden/>
              </w:rPr>
              <w:fldChar w:fldCharType="end"/>
            </w:r>
          </w:hyperlink>
        </w:p>
        <w:p w14:paraId="6B0863A9" w14:textId="5C60E12E" w:rsidR="002E5230" w:rsidRDefault="002E5230">
          <w:pPr>
            <w:pStyle w:val="TOC1"/>
            <w:tabs>
              <w:tab w:val="right" w:leader="dot" w:pos="9304"/>
            </w:tabs>
            <w:rPr>
              <w:noProof/>
            </w:rPr>
          </w:pPr>
          <w:hyperlink w:anchor="_Toc240979362" w:history="1">
            <w:r w:rsidRPr="00121E32">
              <w:rPr>
                <w:rStyle w:val="Hyperlink"/>
                <w:noProof/>
              </w:rPr>
              <w:t>8. Conclusion</w:t>
            </w:r>
            <w:r>
              <w:rPr>
                <w:noProof/>
                <w:webHidden/>
              </w:rPr>
              <w:tab/>
            </w:r>
            <w:r>
              <w:rPr>
                <w:noProof/>
                <w:webHidden/>
              </w:rPr>
              <w:fldChar w:fldCharType="begin"/>
            </w:r>
            <w:r>
              <w:rPr>
                <w:noProof/>
                <w:webHidden/>
              </w:rPr>
              <w:instrText xml:space="preserve"> PAGEREF _Toc240979362 \h </w:instrText>
            </w:r>
            <w:r>
              <w:rPr>
                <w:noProof/>
                <w:webHidden/>
              </w:rPr>
            </w:r>
            <w:r>
              <w:rPr>
                <w:noProof/>
                <w:webHidden/>
              </w:rPr>
              <w:fldChar w:fldCharType="separate"/>
            </w:r>
            <w:r>
              <w:rPr>
                <w:noProof/>
                <w:webHidden/>
              </w:rPr>
              <w:t>7</w:t>
            </w:r>
            <w:r>
              <w:rPr>
                <w:noProof/>
                <w:webHidden/>
              </w:rPr>
              <w:fldChar w:fldCharType="end"/>
            </w:r>
          </w:hyperlink>
        </w:p>
        <w:p w14:paraId="3BE43E4F" w14:textId="500B1B3A" w:rsidR="002E5230" w:rsidRDefault="002E5230">
          <w:pPr>
            <w:pStyle w:val="TOC1"/>
            <w:tabs>
              <w:tab w:val="right" w:leader="dot" w:pos="9304"/>
            </w:tabs>
            <w:rPr>
              <w:noProof/>
            </w:rPr>
          </w:pPr>
          <w:hyperlink w:anchor="_Toc240979363" w:history="1">
            <w:r w:rsidRPr="00121E32">
              <w:rPr>
                <w:rStyle w:val="Hyperlink"/>
                <w:noProof/>
              </w:rPr>
              <w:t>9. Reference list</w:t>
            </w:r>
            <w:r>
              <w:rPr>
                <w:noProof/>
                <w:webHidden/>
              </w:rPr>
              <w:tab/>
            </w:r>
            <w:r>
              <w:rPr>
                <w:noProof/>
                <w:webHidden/>
              </w:rPr>
              <w:fldChar w:fldCharType="begin"/>
            </w:r>
            <w:r>
              <w:rPr>
                <w:noProof/>
                <w:webHidden/>
              </w:rPr>
              <w:instrText xml:space="preserve"> PAGEREF _Toc240979363 \h </w:instrText>
            </w:r>
            <w:r>
              <w:rPr>
                <w:noProof/>
                <w:webHidden/>
              </w:rPr>
            </w:r>
            <w:r>
              <w:rPr>
                <w:noProof/>
                <w:webHidden/>
              </w:rPr>
              <w:fldChar w:fldCharType="separate"/>
            </w:r>
            <w:r>
              <w:rPr>
                <w:noProof/>
                <w:webHidden/>
              </w:rPr>
              <w:t>8</w:t>
            </w:r>
            <w:r>
              <w:rPr>
                <w:noProof/>
                <w:webHidden/>
              </w:rPr>
              <w:fldChar w:fldCharType="end"/>
            </w:r>
          </w:hyperlink>
        </w:p>
        <w:p w14:paraId="64CAA527" w14:textId="552054E3" w:rsidR="002E5230" w:rsidRDefault="002E5230">
          <w:r>
            <w:rPr>
              <w:b/>
              <w:bCs/>
              <w:noProof/>
            </w:rPr>
            <w:fldChar w:fldCharType="end"/>
          </w:r>
        </w:p>
      </w:sdtContent>
    </w:sdt>
    <w:p w14:paraId="596BB3C6" w14:textId="6FB4F147" w:rsidR="004E0192" w:rsidRPr="005970CE" w:rsidRDefault="00E63A83">
      <w:pPr>
        <w:rPr>
          <w:rFonts w:asciiTheme="majorBidi" w:hAnsiTheme="majorBidi" w:cstheme="majorBidi"/>
        </w:rPr>
      </w:pPr>
      <w:r w:rsidRPr="005970CE">
        <w:rPr>
          <w:rFonts w:asciiTheme="majorBidi" w:hAnsiTheme="majorBidi" w:cstheme="majorBidi"/>
        </w:rPr>
        <w:br w:type="page"/>
      </w:r>
    </w:p>
    <w:p w14:paraId="13DC922B" w14:textId="77777777" w:rsidR="004E0192" w:rsidRPr="005970CE" w:rsidRDefault="00E63A83">
      <w:pPr>
        <w:pStyle w:val="Heading1"/>
      </w:pPr>
      <w:bookmarkStart w:id="0" w:name="_Toc240979355"/>
      <w:r w:rsidRPr="005970CE">
        <w:lastRenderedPageBreak/>
        <w:t>1. Introduction</w:t>
      </w:r>
      <w:bookmarkEnd w:id="0"/>
    </w:p>
    <w:p w14:paraId="0FE029EE" w14:textId="5F3E1FBF" w:rsidR="004E0192" w:rsidRPr="005970CE" w:rsidRDefault="005970CE">
      <w:pPr>
        <w:rPr>
          <w:rFonts w:asciiTheme="majorBidi" w:hAnsiTheme="majorBidi" w:cstheme="majorBidi"/>
        </w:rPr>
      </w:pPr>
      <w:r w:rsidRPr="005970CE">
        <w:rPr>
          <w:rFonts w:asciiTheme="majorBidi" w:hAnsiTheme="majorBidi" w:cstheme="majorBidi"/>
        </w:rPr>
        <w:t xml:space="preserve">The NHS App, which was launched in England in 2019 as the proposed ‘digital front door' to NHS services, is a nationally available digital platform for patients. It is primarily used by users for accessing GP services, repeat prescriptions, health records and was later expanded to include other services, such as vaccination certification, secondary-care appointments, test results and so on. The innovation is more than just a software product; it also transforms the way individuals enter, navigate and interact with healthcare and its professionals to gain access. The numbers of adults </w:t>
      </w:r>
      <w:proofErr w:type="gramStart"/>
      <w:r w:rsidRPr="005970CE">
        <w:rPr>
          <w:rFonts w:asciiTheme="majorBidi" w:hAnsiTheme="majorBidi" w:cstheme="majorBidi"/>
        </w:rPr>
        <w:t>registered</w:t>
      </w:r>
      <w:proofErr w:type="gramEnd"/>
      <w:r w:rsidRPr="005970CE">
        <w:rPr>
          <w:rFonts w:asciiTheme="majorBidi" w:hAnsiTheme="majorBidi" w:cstheme="majorBidi"/>
        </w:rPr>
        <w:t xml:space="preserve"> and appointments seen in the hospital through the App show a significant scale nationally (NHS England, 2026a), with 41 million adults registered by April 2026 and 64% of the hospital appointments visible. Adoption alone is not a marker of equitable access or better outcomes, however. This report specifically is about England as that is where implementation, evidence and policy are focused, and about using the App as a patient portal, and not the broader NHS digital system. It suggests that the NHS App has brought some real convenience and capacity to service and benefits, but transformation is dependent on factors: </w:t>
      </w:r>
      <w:proofErr w:type="spellStart"/>
      <w:r w:rsidRPr="005970CE">
        <w:rPr>
          <w:rFonts w:asciiTheme="majorBidi" w:hAnsiTheme="majorBidi" w:cstheme="majorBidi"/>
        </w:rPr>
        <w:t>organisation</w:t>
      </w:r>
      <w:proofErr w:type="spellEnd"/>
      <w:r w:rsidRPr="005970CE">
        <w:rPr>
          <w:rFonts w:asciiTheme="majorBidi" w:hAnsiTheme="majorBidi" w:cstheme="majorBidi"/>
        </w:rPr>
        <w:t xml:space="preserve"> readiness, interoperability, workforce support and inclusive alternatives for the ability of national scale to become sustainable and equitable improvement.</w:t>
      </w:r>
    </w:p>
    <w:p w14:paraId="25B54CAE" w14:textId="77777777" w:rsidR="004E0192" w:rsidRPr="005970CE" w:rsidRDefault="00E63A83">
      <w:pPr>
        <w:pStyle w:val="Heading1"/>
      </w:pPr>
      <w:bookmarkStart w:id="1" w:name="_Toc240979356"/>
      <w:r w:rsidRPr="005970CE">
        <w:t>2. Innovation and implementation context</w:t>
      </w:r>
      <w:bookmarkEnd w:id="1"/>
    </w:p>
    <w:p w14:paraId="0A401F9B" w14:textId="4B6E3254" w:rsidR="005970CE" w:rsidRPr="005970CE" w:rsidRDefault="005970CE" w:rsidP="005970CE">
      <w:pPr>
        <w:rPr>
          <w:rFonts w:asciiTheme="majorBidi" w:hAnsiTheme="majorBidi" w:cstheme="majorBidi"/>
        </w:rPr>
      </w:pPr>
      <w:r w:rsidRPr="005970CE">
        <w:rPr>
          <w:rFonts w:asciiTheme="majorBidi" w:hAnsiTheme="majorBidi" w:cstheme="majorBidi"/>
        </w:rPr>
        <w:t xml:space="preserve">The App was developed, in part, due to the need for more convenient routine transactions and responding to pressure on primary care. With the implementation of COVID-19, especially the COVID Pass, it gained momentum as the need for it was immediate. </w:t>
      </w:r>
      <w:proofErr w:type="spellStart"/>
      <w:r w:rsidRPr="005970CE">
        <w:rPr>
          <w:rFonts w:asciiTheme="majorBidi" w:hAnsiTheme="majorBidi" w:cstheme="majorBidi"/>
        </w:rPr>
        <w:t>Downloadments</w:t>
      </w:r>
      <w:proofErr w:type="spellEnd"/>
      <w:r w:rsidRPr="005970CE">
        <w:rPr>
          <w:rFonts w:asciiTheme="majorBidi" w:hAnsiTheme="majorBidi" w:cstheme="majorBidi"/>
        </w:rPr>
        <w:t xml:space="preserve"> rose from 8.5 million between January 2019 and May 2021 (KC et al., 2023</w:t>
      </w:r>
      <w:r w:rsidR="00695A97" w:rsidRPr="005970CE">
        <w:rPr>
          <w:rFonts w:asciiTheme="majorBidi" w:hAnsiTheme="majorBidi" w:cstheme="majorBidi"/>
        </w:rPr>
        <w:t>) and</w:t>
      </w:r>
      <w:r w:rsidRPr="005970CE">
        <w:rPr>
          <w:rFonts w:asciiTheme="majorBidi" w:hAnsiTheme="majorBidi" w:cstheme="majorBidi"/>
        </w:rPr>
        <w:t xml:space="preserve"> were increased by 4 times after the introduction of the COVID Pass. According to NHS England, 24.6 million record views and 5.5 million prescription-management transactions were recorded in one month/year comparison through the App, and 94% of the entire population managed secondary-care referrals via the App (NHS England, 2025a). As of April 2026, linkage with all acute NHS trusts was reached, with 64% of hospital appointments being visible (NHS England, 2026a). These are scale and expanding functional width, not necessarily effectiveness.</w:t>
      </w:r>
    </w:p>
    <w:p w14:paraId="64631118" w14:textId="02947640" w:rsidR="004E0192" w:rsidRPr="005970CE" w:rsidRDefault="005970CE" w:rsidP="005970CE">
      <w:pPr>
        <w:rPr>
          <w:rFonts w:asciiTheme="majorBidi" w:hAnsiTheme="majorBidi" w:cstheme="majorBidi"/>
        </w:rPr>
      </w:pPr>
      <w:r w:rsidRPr="005970CE">
        <w:rPr>
          <w:rFonts w:asciiTheme="majorBidi" w:hAnsiTheme="majorBidi" w:cstheme="majorBidi"/>
        </w:rPr>
        <w:t xml:space="preserve">The NASSS perspective is useful because the App relies on systems that are interconnected, local practice processes, staff capabilities and user expectations are complex. Both Reidy et al. (2025) and Greaves et al. (2026) identified significant differences in terms of capacity of </w:t>
      </w:r>
      <w:proofErr w:type="spellStart"/>
      <w:r w:rsidRPr="005970CE">
        <w:rPr>
          <w:rFonts w:asciiTheme="majorBidi" w:hAnsiTheme="majorBidi" w:cstheme="majorBidi"/>
        </w:rPr>
        <w:t>organisations</w:t>
      </w:r>
      <w:proofErr w:type="spellEnd"/>
      <w:r w:rsidRPr="005970CE">
        <w:rPr>
          <w:rFonts w:asciiTheme="majorBidi" w:hAnsiTheme="majorBidi" w:cstheme="majorBidi"/>
        </w:rPr>
        <w:t xml:space="preserve"> and availability of features and functions. The evidence base is also methodologically limited; national </w:t>
      </w:r>
      <w:proofErr w:type="spellStart"/>
      <w:r w:rsidRPr="005970CE">
        <w:rPr>
          <w:rFonts w:asciiTheme="majorBidi" w:hAnsiTheme="majorBidi" w:cstheme="majorBidi"/>
        </w:rPr>
        <w:t>utilisation</w:t>
      </w:r>
      <w:proofErr w:type="spellEnd"/>
      <w:r w:rsidRPr="005970CE">
        <w:rPr>
          <w:rFonts w:asciiTheme="majorBidi" w:hAnsiTheme="majorBidi" w:cstheme="majorBidi"/>
        </w:rPr>
        <w:t xml:space="preserve"> data is mostly aggregated, and the major evaluation </w:t>
      </w:r>
      <w:r w:rsidR="0086406F" w:rsidRPr="005970CE">
        <w:rPr>
          <w:rFonts w:asciiTheme="majorBidi" w:hAnsiTheme="majorBidi" w:cstheme="majorBidi"/>
        </w:rPr>
        <w:t>could not</w:t>
      </w:r>
      <w:r w:rsidRPr="005970CE">
        <w:rPr>
          <w:rFonts w:asciiTheme="majorBidi" w:hAnsiTheme="majorBidi" w:cstheme="majorBidi"/>
        </w:rPr>
        <w:t xml:space="preserve"> use an experimental design because the technology and context </w:t>
      </w:r>
      <w:r w:rsidR="00D23316" w:rsidRPr="005970CE">
        <w:rPr>
          <w:rFonts w:asciiTheme="majorBidi" w:hAnsiTheme="majorBidi" w:cstheme="majorBidi"/>
        </w:rPr>
        <w:t>were</w:t>
      </w:r>
      <w:r w:rsidRPr="005970CE">
        <w:rPr>
          <w:rFonts w:asciiTheme="majorBidi" w:hAnsiTheme="majorBidi" w:cstheme="majorBidi"/>
        </w:rPr>
        <w:t xml:space="preserve"> evolving at the same time (Greaves et al., 2026). Hence, evidence of implementation success is greater than evidence of causal improvements in health outcomes.</w:t>
      </w:r>
    </w:p>
    <w:p w14:paraId="4793C4A6" w14:textId="77777777" w:rsidR="004E0192" w:rsidRPr="005970CE" w:rsidRDefault="00E63A83">
      <w:pPr>
        <w:pStyle w:val="Heading1"/>
      </w:pPr>
      <w:bookmarkStart w:id="2" w:name="_Toc240979357"/>
      <w:r w:rsidRPr="005970CE">
        <w:lastRenderedPageBreak/>
        <w:t>3. Effects on the workforce</w:t>
      </w:r>
      <w:bookmarkEnd w:id="2"/>
    </w:p>
    <w:p w14:paraId="4985E7F7" w14:textId="7E3DD401" w:rsidR="005970CE" w:rsidRPr="005970CE" w:rsidRDefault="005970CE" w:rsidP="005970CE">
      <w:pPr>
        <w:rPr>
          <w:rFonts w:asciiTheme="majorBidi" w:hAnsiTheme="majorBidi" w:cstheme="majorBidi"/>
        </w:rPr>
      </w:pPr>
      <w:r w:rsidRPr="005970CE">
        <w:rPr>
          <w:rFonts w:asciiTheme="majorBidi" w:hAnsiTheme="majorBidi" w:cstheme="majorBidi"/>
        </w:rPr>
        <w:t xml:space="preserve">For the App, it can move away from the telephone and counter-based interactions to free up mundane administrative duties, so that the employee can focus on more complex interactions. The 2024 guidance from NHS England makes a direct connection between self-service, prescription management and automation and administrative burden reduction, and national data indicate that significant numbers of prescriptions, records and appointments are being digitally managed (NHS England, 2024; NHS England 2025a). These are viable productivity </w:t>
      </w:r>
      <w:r w:rsidR="00BE15DC" w:rsidRPr="005970CE">
        <w:rPr>
          <w:rFonts w:asciiTheme="majorBidi" w:hAnsiTheme="majorBidi" w:cstheme="majorBidi"/>
        </w:rPr>
        <w:t>pathways and</w:t>
      </w:r>
      <w:r w:rsidRPr="005970CE">
        <w:rPr>
          <w:rFonts w:asciiTheme="majorBidi" w:hAnsiTheme="majorBidi" w:cstheme="majorBidi"/>
        </w:rPr>
        <w:t xml:space="preserve"> should not be viewed as quantifying a staff-time savings benefit. There </w:t>
      </w:r>
      <w:r w:rsidR="00BE15DC" w:rsidRPr="005970CE">
        <w:rPr>
          <w:rFonts w:asciiTheme="majorBidi" w:hAnsiTheme="majorBidi" w:cstheme="majorBidi"/>
        </w:rPr>
        <w:t>are</w:t>
      </w:r>
      <w:r w:rsidRPr="005970CE">
        <w:rPr>
          <w:rFonts w:asciiTheme="majorBidi" w:hAnsiTheme="majorBidi" w:cstheme="majorBidi"/>
        </w:rPr>
        <w:t xml:space="preserve"> still configuration, troubleshooting, protection and follow-up to do with digital transactions.</w:t>
      </w:r>
    </w:p>
    <w:p w14:paraId="3120C187" w14:textId="3255C441" w:rsidR="005970CE" w:rsidRPr="005970CE" w:rsidRDefault="005970CE" w:rsidP="005970CE">
      <w:pPr>
        <w:rPr>
          <w:rFonts w:asciiTheme="majorBidi" w:hAnsiTheme="majorBidi" w:cstheme="majorBidi"/>
        </w:rPr>
      </w:pPr>
      <w:r w:rsidRPr="005970CE">
        <w:rPr>
          <w:rFonts w:asciiTheme="majorBidi" w:hAnsiTheme="majorBidi" w:cstheme="majorBidi"/>
        </w:rPr>
        <w:t xml:space="preserve">The most convincing qualitative evidence demonstrates this difference. Reidy et al. (2025) observed that while the actual process of implementation was relatively easy and required limited extra effort, GP practice staff became more likely to be the first point of contact for information on registration, proxy access, records and technical issues. In some cases, practice managers reported frustration when being asked to take on responsibility without appropriate consultation, training and technical support. </w:t>
      </w:r>
    </w:p>
    <w:p w14:paraId="282325C4" w14:textId="3ABBB786" w:rsidR="004E0192" w:rsidRPr="005970CE" w:rsidRDefault="005970CE" w:rsidP="005970CE">
      <w:pPr>
        <w:rPr>
          <w:rFonts w:asciiTheme="majorBidi" w:hAnsiTheme="majorBidi" w:cstheme="majorBidi"/>
        </w:rPr>
      </w:pPr>
      <w:r w:rsidRPr="005970CE">
        <w:rPr>
          <w:rFonts w:asciiTheme="majorBidi" w:hAnsiTheme="majorBidi" w:cstheme="majorBidi"/>
        </w:rPr>
        <w:t xml:space="preserve">There is also a change </w:t>
      </w:r>
      <w:r w:rsidR="00BE15DC" w:rsidRPr="005970CE">
        <w:rPr>
          <w:rFonts w:asciiTheme="majorBidi" w:hAnsiTheme="majorBidi" w:cstheme="majorBidi"/>
        </w:rPr>
        <w:t>in professional</w:t>
      </w:r>
      <w:r w:rsidRPr="005970CE">
        <w:rPr>
          <w:rFonts w:asciiTheme="majorBidi" w:hAnsiTheme="majorBidi" w:cstheme="majorBidi"/>
        </w:rPr>
        <w:t xml:space="preserve"> accountability. Staff need to be aware of access rights, recording access and proxy access, and formal access to a proxy should be subject to confidentiality controls (NHS England, 2025b). The new role is not a purely administrative one: the professionals are mediators between a national platform and local clinical systems. The different capabilities of practices can lead to different workloads and experiences by the same national App. However, it relies on protected learning time, reliable technical assistance and workflow redesign, not just on adoption targets.</w:t>
      </w:r>
    </w:p>
    <w:p w14:paraId="676C8B18" w14:textId="77777777" w:rsidR="004E0192" w:rsidRPr="005970CE" w:rsidRDefault="00E63A83">
      <w:pPr>
        <w:pStyle w:val="Heading1"/>
      </w:pPr>
      <w:bookmarkStart w:id="3" w:name="_Toc240979358"/>
      <w:r w:rsidRPr="005970CE">
        <w:t>4. Effects on service delivery</w:t>
      </w:r>
      <w:bookmarkEnd w:id="3"/>
    </w:p>
    <w:p w14:paraId="1FB38858" w14:textId="77777777" w:rsidR="005970CE" w:rsidRPr="005970CE" w:rsidRDefault="005970CE" w:rsidP="005970CE">
      <w:pPr>
        <w:rPr>
          <w:rFonts w:asciiTheme="majorBidi" w:hAnsiTheme="majorBidi" w:cstheme="majorBidi"/>
        </w:rPr>
      </w:pPr>
      <w:r w:rsidRPr="005970CE">
        <w:rPr>
          <w:rFonts w:asciiTheme="majorBidi" w:hAnsiTheme="majorBidi" w:cstheme="majorBidi"/>
        </w:rPr>
        <w:t xml:space="preserve">The App has changed the way access is gained, enabling patients to access prescriptions, records and appointments in an asynchronous way. This not only decreases the reliance on phone calls but also establishes a continuous line for people outside business hours. In March 2025, NHS England reported a total of 4.5 million secondary-care appointments managed via the App, which was almost double the previous year, and significant expansion in primary-care functions (NHS England, 2025a). Scale is further illustrated by the expansion </w:t>
      </w:r>
      <w:proofErr w:type="gramStart"/>
      <w:r w:rsidRPr="005970CE">
        <w:rPr>
          <w:rFonts w:asciiTheme="majorBidi" w:hAnsiTheme="majorBidi" w:cstheme="majorBidi"/>
        </w:rPr>
        <w:t>to</w:t>
      </w:r>
      <w:proofErr w:type="gramEnd"/>
      <w:r w:rsidRPr="005970CE">
        <w:rPr>
          <w:rFonts w:asciiTheme="majorBidi" w:hAnsiTheme="majorBidi" w:cstheme="majorBidi"/>
        </w:rPr>
        <w:t xml:space="preserve"> all acute trusts in 2026. However, the quality of service should be evaluated </w:t>
      </w:r>
      <w:proofErr w:type="gramStart"/>
      <w:r w:rsidRPr="005970CE">
        <w:rPr>
          <w:rFonts w:asciiTheme="majorBidi" w:hAnsiTheme="majorBidi" w:cstheme="majorBidi"/>
        </w:rPr>
        <w:t>on the basis of</w:t>
      </w:r>
      <w:proofErr w:type="gramEnd"/>
      <w:r w:rsidRPr="005970CE">
        <w:rPr>
          <w:rFonts w:asciiTheme="majorBidi" w:hAnsiTheme="majorBidi" w:cstheme="majorBidi"/>
        </w:rPr>
        <w:t xml:space="preserve"> pathway performance rather than transaction volume. Although 49% of patients in the 2025 GP Patient Survey reported that they could contact their GP practice through the NHS App, this does not necessarily mean they can use it easily, or have access to it (NHS England, 2025c).</w:t>
      </w:r>
    </w:p>
    <w:p w14:paraId="45826A04" w14:textId="1AC5C102" w:rsidR="005970CE" w:rsidRPr="005970CE" w:rsidRDefault="005970CE" w:rsidP="005970CE">
      <w:pPr>
        <w:rPr>
          <w:rFonts w:asciiTheme="majorBidi" w:hAnsiTheme="majorBidi" w:cstheme="majorBidi"/>
        </w:rPr>
      </w:pPr>
      <w:r w:rsidRPr="005970CE">
        <w:rPr>
          <w:rFonts w:asciiTheme="majorBidi" w:hAnsiTheme="majorBidi" w:cstheme="majorBidi"/>
        </w:rPr>
        <w:t xml:space="preserve">There continues to be a key restriction in terms of interoperability. Reidy et al (2025) reported that the App functions as a portal to the general practice infrastructures it sits on; features were not always present and information was sometimes missing or system oriented. This is important because although there may be a ‘national front door', there are often different pathways locally. The single patient record and full App </w:t>
      </w:r>
      <w:r w:rsidRPr="005970CE">
        <w:rPr>
          <w:rFonts w:asciiTheme="majorBidi" w:hAnsiTheme="majorBidi" w:cstheme="majorBidi"/>
        </w:rPr>
        <w:lastRenderedPageBreak/>
        <w:t>front door is an ambition in the 2025 national plan and not an achieved target (Department of Health and Social Care, 2025).</w:t>
      </w:r>
    </w:p>
    <w:p w14:paraId="1918C213" w14:textId="5ACCA6B3" w:rsidR="004E0192" w:rsidRPr="005970CE" w:rsidRDefault="005970CE" w:rsidP="005970CE">
      <w:pPr>
        <w:rPr>
          <w:rFonts w:asciiTheme="majorBidi" w:hAnsiTheme="majorBidi" w:cstheme="majorBidi"/>
        </w:rPr>
      </w:pPr>
      <w:r w:rsidRPr="005970CE">
        <w:rPr>
          <w:rFonts w:asciiTheme="majorBidi" w:hAnsiTheme="majorBidi" w:cstheme="majorBidi"/>
        </w:rPr>
        <w:t xml:space="preserve">There are additional safety and governance considerations. More widespread access can enhance access to patients, but this should be accompanied by appropriate restrictions and proxy safeguards, and accessibility standards should ensure public-sector digital services meet WCAG 2.1 AA expectations (NHS England, 2025d). Trust can also be lost due to technical </w:t>
      </w:r>
      <w:proofErr w:type="gramStart"/>
      <w:r w:rsidRPr="005970CE">
        <w:rPr>
          <w:rFonts w:asciiTheme="majorBidi" w:hAnsiTheme="majorBidi" w:cstheme="majorBidi"/>
        </w:rPr>
        <w:t>problem</w:t>
      </w:r>
      <w:proofErr w:type="gramEnd"/>
      <w:r w:rsidRPr="005970CE">
        <w:rPr>
          <w:rFonts w:asciiTheme="majorBidi" w:hAnsiTheme="majorBidi" w:cstheme="majorBidi"/>
        </w:rPr>
        <w:t>: qualitative assessment found cases where notifications were displayed without relevant information (Reidy et al., 2025). As such, the App is best seen as an enabling access infrastructure rather than a replacement for responsive human services. A service pathway is transformed only when digital and non-digital routes are interoperable and clinically appropriate.</w:t>
      </w:r>
    </w:p>
    <w:p w14:paraId="65DA1B5B" w14:textId="77777777" w:rsidR="004E0192" w:rsidRPr="005970CE" w:rsidRDefault="00E63A83">
      <w:pPr>
        <w:pStyle w:val="Heading1"/>
      </w:pPr>
      <w:bookmarkStart w:id="4" w:name="_Toc240979359"/>
      <w:r w:rsidRPr="005970CE">
        <w:t>5. Effects on patients and service users</w:t>
      </w:r>
      <w:bookmarkEnd w:id="4"/>
    </w:p>
    <w:p w14:paraId="523F0DF9" w14:textId="77777777" w:rsidR="005970CE" w:rsidRPr="005970CE" w:rsidRDefault="005970CE" w:rsidP="005970CE">
      <w:pPr>
        <w:rPr>
          <w:rFonts w:asciiTheme="majorBidi" w:hAnsiTheme="majorBidi" w:cstheme="majorBidi"/>
        </w:rPr>
      </w:pPr>
      <w:r w:rsidRPr="005970CE">
        <w:rPr>
          <w:rFonts w:asciiTheme="majorBidi" w:hAnsiTheme="majorBidi" w:cstheme="majorBidi"/>
        </w:rPr>
        <w:t>The App makes users who are more adept at using digital devices more convenient and in control. Reducing travel, waiting time and reliance on phone queues through prescription ordering, viewing of records, and appointment scheduling. High repeated usage is indicative of practical value: NHS England reported 61.5 million repeat prescriptions ordered in the last 12 months using the App by August 2025 (NHS England, 2025e). There are however different constructs between engagement, satisfaction and health outcomes. Use is measured by the number of transactions, not by health.</w:t>
      </w:r>
    </w:p>
    <w:p w14:paraId="5807F07B" w14:textId="77777777" w:rsidR="005970CE" w:rsidRPr="005970CE" w:rsidRDefault="005970CE" w:rsidP="005970CE">
      <w:pPr>
        <w:rPr>
          <w:rFonts w:asciiTheme="majorBidi" w:hAnsiTheme="majorBidi" w:cstheme="majorBidi"/>
        </w:rPr>
      </w:pPr>
      <w:r w:rsidRPr="005970CE">
        <w:rPr>
          <w:rFonts w:asciiTheme="majorBidi" w:hAnsiTheme="majorBidi" w:cstheme="majorBidi"/>
        </w:rPr>
        <w:t>Patient experience varies from person to person. Positive experiences with specific functions were reported by Reidy et al. (2025) as well as fragmented information, inconsistent availability, and uncertainty regarding the purpose of the App. The national evaluation in 2026 also revealed a mixed relationship between App use and patient experience, and that aggregated data did not allow for a robust causal inference at an individual level (Greaves et al., 2026). After adjusting for differences in the overall experience score, very few differences in App use between practices with good, moderate and poor access or quality scores were identified in an ecological analysis of 6,386 practices in England (KC et al., 2026), suggesting that App activity is not a clear indicator of good access or quality.</w:t>
      </w:r>
    </w:p>
    <w:p w14:paraId="43A19585" w14:textId="77777777" w:rsidR="005970CE" w:rsidRPr="005970CE" w:rsidRDefault="005970CE" w:rsidP="005970CE">
      <w:pPr>
        <w:rPr>
          <w:rFonts w:asciiTheme="majorBidi" w:hAnsiTheme="majorBidi" w:cstheme="majorBidi"/>
        </w:rPr>
      </w:pPr>
      <w:r w:rsidRPr="005970CE">
        <w:rPr>
          <w:rFonts w:asciiTheme="majorBidi" w:hAnsiTheme="majorBidi" w:cstheme="majorBidi"/>
        </w:rPr>
        <w:t xml:space="preserve">Inequality is more substantial. In more deprived practice groups (according to the four major groups), the use of the main App functions was also lower, for example, registrations were 34% lower and appointments booked 39.7% lower in more deprived practice groups compared to the less deprived ones. There was also diversity in use based on ethnicity, sex, age and </w:t>
      </w:r>
      <w:proofErr w:type="gramStart"/>
      <w:r w:rsidRPr="005970CE">
        <w:rPr>
          <w:rFonts w:asciiTheme="majorBidi" w:hAnsiTheme="majorBidi" w:cstheme="majorBidi"/>
        </w:rPr>
        <w:t>long term</w:t>
      </w:r>
      <w:proofErr w:type="gramEnd"/>
      <w:r w:rsidRPr="005970CE">
        <w:rPr>
          <w:rFonts w:asciiTheme="majorBidi" w:hAnsiTheme="majorBidi" w:cstheme="majorBidi"/>
        </w:rPr>
        <w:t xml:space="preserve"> health needs. These are associations that are identified at practice level, not that deprivation itself prevents individual </w:t>
      </w:r>
      <w:proofErr w:type="gramStart"/>
      <w:r w:rsidRPr="005970CE">
        <w:rPr>
          <w:rFonts w:asciiTheme="majorBidi" w:hAnsiTheme="majorBidi" w:cstheme="majorBidi"/>
        </w:rPr>
        <w:t>use</w:t>
      </w:r>
      <w:proofErr w:type="gramEnd"/>
      <w:r w:rsidRPr="005970CE">
        <w:rPr>
          <w:rFonts w:asciiTheme="majorBidi" w:hAnsiTheme="majorBidi" w:cstheme="majorBidi"/>
        </w:rPr>
        <w:t xml:space="preserve"> but they are consistent with the risk of an inverse digital-care gradient.</w:t>
      </w:r>
    </w:p>
    <w:p w14:paraId="5472FA14" w14:textId="7D0FCF80" w:rsidR="004E0192" w:rsidRPr="005970CE" w:rsidRDefault="005970CE" w:rsidP="005970CE">
      <w:pPr>
        <w:rPr>
          <w:rFonts w:asciiTheme="majorBidi" w:hAnsiTheme="majorBidi" w:cstheme="majorBidi"/>
        </w:rPr>
      </w:pPr>
      <w:r w:rsidRPr="005970CE">
        <w:rPr>
          <w:rFonts w:asciiTheme="majorBidi" w:hAnsiTheme="majorBidi" w:cstheme="majorBidi"/>
        </w:rPr>
        <w:t xml:space="preserve">This means that usability is more than just usability of the interface. Accessible information and digital standards for people with disabilities or sensory loss is required by NHS England (NHS England, 2025d). Proxy access can help someone who is unable to manage digital services on their own, but if this is done </w:t>
      </w:r>
      <w:r w:rsidRPr="005970CE">
        <w:rPr>
          <w:rFonts w:asciiTheme="majorBidi" w:hAnsiTheme="majorBidi" w:cstheme="majorBidi"/>
        </w:rPr>
        <w:lastRenderedPageBreak/>
        <w:t>informally, it has the potential to compromise confidentiality</w:t>
      </w:r>
      <w:r w:rsidR="00955171">
        <w:rPr>
          <w:rFonts w:asciiTheme="majorBidi" w:hAnsiTheme="majorBidi" w:cstheme="majorBidi"/>
        </w:rPr>
        <w:t>,</w:t>
      </w:r>
      <w:r w:rsidRPr="005970CE">
        <w:rPr>
          <w:rFonts w:asciiTheme="majorBidi" w:hAnsiTheme="majorBidi" w:cstheme="majorBidi"/>
        </w:rPr>
        <w:t xml:space="preserve"> for this reason, people may prefer formal proxy arrangements (NHS England, 2025b). Patient benefit is therefore greatest when autonomy is nurtured without being dependent on digital competence to receive care.</w:t>
      </w:r>
    </w:p>
    <w:p w14:paraId="59F0B080" w14:textId="77777777" w:rsidR="004E0192" w:rsidRPr="005970CE" w:rsidRDefault="00E63A83">
      <w:pPr>
        <w:pStyle w:val="Heading1"/>
      </w:pPr>
      <w:bookmarkStart w:id="5" w:name="_Toc240979360"/>
      <w:r w:rsidRPr="005970CE">
        <w:t>6. Effects on communities and populations</w:t>
      </w:r>
      <w:bookmarkEnd w:id="5"/>
    </w:p>
    <w:p w14:paraId="3763E49E" w14:textId="77777777" w:rsidR="005970CE" w:rsidRPr="005970CE" w:rsidRDefault="005970CE" w:rsidP="005970CE">
      <w:pPr>
        <w:rPr>
          <w:rFonts w:asciiTheme="majorBidi" w:hAnsiTheme="majorBidi" w:cstheme="majorBidi"/>
        </w:rPr>
      </w:pPr>
      <w:r w:rsidRPr="005970CE">
        <w:rPr>
          <w:rFonts w:asciiTheme="majorBidi" w:hAnsiTheme="majorBidi" w:cstheme="majorBidi"/>
        </w:rPr>
        <w:t xml:space="preserve">The potential of the App is to reduce geographical friction, such that transactions can be made without travelling, as potential services may be located far away from population. But access to digital is also socially shaped. However, the King's Fund cited its analysis, revealing that 27% of people in England had the lowest digital capability, and Ofcom continues to highlight connectivity as well as affordability, skills and confidence as barriers (Mistry and </w:t>
      </w:r>
      <w:proofErr w:type="spellStart"/>
      <w:r w:rsidRPr="005970CE">
        <w:rPr>
          <w:rFonts w:asciiTheme="majorBidi" w:hAnsiTheme="majorBidi" w:cstheme="majorBidi"/>
        </w:rPr>
        <w:t>Jabbal</w:t>
      </w:r>
      <w:proofErr w:type="spellEnd"/>
      <w:r w:rsidRPr="005970CE">
        <w:rPr>
          <w:rFonts w:asciiTheme="majorBidi" w:hAnsiTheme="majorBidi" w:cstheme="majorBidi"/>
        </w:rPr>
        <w:t>, 2023; Ofcom, 2025). Such restrictions are important as health-related digital use typically involves privacy, reliable devices, health-system specific authentication and confidence with health-system terminology, not just internet connectivity.</w:t>
      </w:r>
    </w:p>
    <w:p w14:paraId="0E464B35" w14:textId="77777777" w:rsidR="005970CE" w:rsidRPr="005970CE" w:rsidRDefault="005970CE" w:rsidP="005970CE">
      <w:pPr>
        <w:rPr>
          <w:rFonts w:asciiTheme="majorBidi" w:hAnsiTheme="majorBidi" w:cstheme="majorBidi"/>
        </w:rPr>
      </w:pPr>
      <w:r w:rsidRPr="005970CE">
        <w:rPr>
          <w:rFonts w:asciiTheme="majorBidi" w:hAnsiTheme="majorBidi" w:cstheme="majorBidi"/>
        </w:rPr>
        <w:t xml:space="preserve">The App's deprivation gradient gives a direct indication of the lack of equality in </w:t>
      </w:r>
      <w:proofErr w:type="spellStart"/>
      <w:r w:rsidRPr="005970CE">
        <w:rPr>
          <w:rFonts w:asciiTheme="majorBidi" w:hAnsiTheme="majorBidi" w:cstheme="majorBidi"/>
        </w:rPr>
        <w:t>utilisation</w:t>
      </w:r>
      <w:proofErr w:type="spellEnd"/>
      <w:r w:rsidRPr="005970CE">
        <w:rPr>
          <w:rFonts w:asciiTheme="majorBidi" w:hAnsiTheme="majorBidi" w:cstheme="majorBidi"/>
        </w:rPr>
        <w:t xml:space="preserve"> of national availability. KC et al. (2024) reported significantly lower use in practices that cater to more deprived populations, and the evaluation in 2026 showed uptake was inversely related to deprivation, with the factors of age, ethnicity and/or healthcare need accounting for this gradient (Greaves et al., 2026). This kind of result backs up the claims to the </w:t>
      </w:r>
      <w:proofErr w:type="spellStart"/>
      <w:r w:rsidRPr="005970CE">
        <w:rPr>
          <w:rFonts w:asciiTheme="majorBidi" w:hAnsiTheme="majorBidi" w:cstheme="majorBidi"/>
        </w:rPr>
        <w:t>democratisation</w:t>
      </w:r>
      <w:proofErr w:type="spellEnd"/>
      <w:r w:rsidRPr="005970CE">
        <w:rPr>
          <w:rFonts w:asciiTheme="majorBidi" w:hAnsiTheme="majorBidi" w:cstheme="majorBidi"/>
        </w:rPr>
        <w:t xml:space="preserve"> of digital transformation. A platform can eradicate one obstacle (physical or telephone) but create another (device, skills, language, disability or trust).</w:t>
      </w:r>
    </w:p>
    <w:p w14:paraId="564539BA" w14:textId="19701517" w:rsidR="004E0192" w:rsidRPr="005970CE" w:rsidRDefault="005970CE" w:rsidP="005970CE">
      <w:pPr>
        <w:rPr>
          <w:rFonts w:asciiTheme="majorBidi" w:hAnsiTheme="majorBidi" w:cstheme="majorBidi"/>
        </w:rPr>
      </w:pPr>
      <w:r w:rsidRPr="005970CE">
        <w:rPr>
          <w:rFonts w:asciiTheme="majorBidi" w:hAnsiTheme="majorBidi" w:cstheme="majorBidi"/>
        </w:rPr>
        <w:t xml:space="preserve">The solution to this problem can be partially mediated by community and family </w:t>
      </w:r>
      <w:r w:rsidR="00BE15DC" w:rsidRPr="005970CE">
        <w:rPr>
          <w:rFonts w:asciiTheme="majorBidi" w:hAnsiTheme="majorBidi" w:cstheme="majorBidi"/>
        </w:rPr>
        <w:t>relationships</w:t>
      </w:r>
      <w:r w:rsidRPr="005970CE">
        <w:rPr>
          <w:rFonts w:asciiTheme="majorBidi" w:hAnsiTheme="majorBidi" w:cstheme="majorBidi"/>
        </w:rPr>
        <w:t>. Proxy access enables trusted family members or carers to make appointments and administer medications, helping to extend the reach of the App to those without devices, data, or confidence. However, reliance on relatives may also lead to privacy, safeguarding and autonomy issues in the absence of formal permissions. But for inclusive transformation to happen both digital participation and credible non-digital paths must exist. NHS England's current quality strategy includes the App as part of its recognition that it should work alongside non-digital services for those who are not using or not confident to use the App (NHS England, 2026b). Equality should thus be judged by the (equal) opportunity to access the same care, rather than on the percentage of the population on the App.</w:t>
      </w:r>
    </w:p>
    <w:p w14:paraId="38C48650" w14:textId="77777777" w:rsidR="004E0192" w:rsidRPr="005970CE" w:rsidRDefault="00E63A83">
      <w:pPr>
        <w:pStyle w:val="Heading1"/>
      </w:pPr>
      <w:bookmarkStart w:id="6" w:name="_Toc240979361"/>
      <w:r w:rsidRPr="005970CE">
        <w:t>7. Integrated discussion and recommendations</w:t>
      </w:r>
      <w:bookmarkEnd w:id="6"/>
    </w:p>
    <w:p w14:paraId="03342439" w14:textId="77777777" w:rsidR="005970CE" w:rsidRPr="005970CE" w:rsidRDefault="005970CE" w:rsidP="005970CE">
      <w:pPr>
        <w:rPr>
          <w:rFonts w:asciiTheme="majorBidi" w:hAnsiTheme="majorBidi" w:cstheme="majorBidi"/>
        </w:rPr>
      </w:pPr>
      <w:r w:rsidRPr="005970CE">
        <w:rPr>
          <w:rFonts w:asciiTheme="majorBidi" w:hAnsiTheme="majorBidi" w:cstheme="majorBidi"/>
        </w:rPr>
        <w:t>The NASSS framework highlights the sociotechnical alignment of the App as the main challenge for all four domains of the framework. Scale has been reached, but benefits rely on local organizations being able to incorporate the platform, staffing to support it, users' ability to use it, and the infrastructure and alternatives that are present for communities to participate. Evidence on adoption and usage is strong, evidence on user experience and administrative impacts is moderate, and evidence on causal effects on health outcomes and the overall productivity of the workforce is somewhat weaker. This is a crucial difference to consider in assessing sustainability.</w:t>
      </w:r>
    </w:p>
    <w:p w14:paraId="44A7B570" w14:textId="6A3A5848" w:rsidR="004E0192" w:rsidRPr="005970CE" w:rsidRDefault="005970CE" w:rsidP="005970CE">
      <w:pPr>
        <w:rPr>
          <w:rFonts w:asciiTheme="majorBidi" w:hAnsiTheme="majorBidi" w:cstheme="majorBidi"/>
        </w:rPr>
      </w:pPr>
      <w:r w:rsidRPr="005970CE">
        <w:rPr>
          <w:rFonts w:asciiTheme="majorBidi" w:hAnsiTheme="majorBidi" w:cstheme="majorBidi"/>
        </w:rPr>
        <w:lastRenderedPageBreak/>
        <w:t xml:space="preserve">Four actions follow. First, NHS England and integrated care systems need to provide funding for digital training and protected learning time for practice and hospital staff, and for troubleshooting support, tracking things like digital query that are not resolved, and staff reported workload. Second, providers should continue to have supported phone, in-person and assisted-digital pathways, and comparison of wait times and completion rates between digital and non-digital pathways. Third, NHS England should mandate that routinely published App performance data is deprivation, disability, age, ethnicity and language, where it is possible to measure it with statistical strength, as scale-up should be determined by equitable use and outcomes, not just by register. </w:t>
      </w:r>
    </w:p>
    <w:p w14:paraId="70E85C55" w14:textId="77777777" w:rsidR="004E0192" w:rsidRPr="005970CE" w:rsidRDefault="00E63A83">
      <w:pPr>
        <w:pStyle w:val="Heading1"/>
      </w:pPr>
      <w:bookmarkStart w:id="7" w:name="_Toc240979362"/>
      <w:r w:rsidRPr="005970CE">
        <w:t>8. Conclusion</w:t>
      </w:r>
      <w:bookmarkEnd w:id="7"/>
    </w:p>
    <w:p w14:paraId="1D2B1022" w14:textId="423625D2" w:rsidR="004E0192" w:rsidRPr="005970CE" w:rsidRDefault="005970CE" w:rsidP="005970CE">
      <w:pPr>
        <w:rPr>
          <w:rFonts w:asciiTheme="majorBidi" w:hAnsiTheme="majorBidi" w:cstheme="majorBidi"/>
        </w:rPr>
      </w:pPr>
      <w:r w:rsidRPr="005970CE">
        <w:rPr>
          <w:rFonts w:asciiTheme="majorBidi" w:hAnsiTheme="majorBidi" w:cstheme="majorBidi"/>
        </w:rPr>
        <w:t xml:space="preserve">The NHS App is not just about the </w:t>
      </w:r>
      <w:proofErr w:type="spellStart"/>
      <w:r w:rsidRPr="005970CE">
        <w:rPr>
          <w:rFonts w:asciiTheme="majorBidi" w:hAnsiTheme="majorBidi" w:cstheme="majorBidi"/>
        </w:rPr>
        <w:t>digitalisation</w:t>
      </w:r>
      <w:proofErr w:type="spellEnd"/>
      <w:r w:rsidRPr="005970CE">
        <w:rPr>
          <w:rFonts w:asciiTheme="majorBidi" w:hAnsiTheme="majorBidi" w:cstheme="majorBidi"/>
        </w:rPr>
        <w:t xml:space="preserve"> of an existing form, it is a significant digital change to how NHS care is accessed in England, as it is affecting how patients access care, professionals interact with patients and how multiple service pathways interact. Successful implementation is evidenced by its size, range of duties and </w:t>
      </w:r>
      <w:r w:rsidR="00D23316" w:rsidRPr="005970CE">
        <w:rPr>
          <w:rFonts w:asciiTheme="majorBidi" w:hAnsiTheme="majorBidi" w:cstheme="majorBidi"/>
        </w:rPr>
        <w:t>number</w:t>
      </w:r>
      <w:r w:rsidRPr="005970CE">
        <w:rPr>
          <w:rFonts w:asciiTheme="majorBidi" w:hAnsiTheme="majorBidi" w:cstheme="majorBidi"/>
        </w:rPr>
        <w:t xml:space="preserve"> of transactions at a national level. However, the evidence does not provide a justification for identifying adoption with equitable and clinically effective transformation. Training and re-engineering of work processes are critical to workforce benefits; interoperability and reliable infrastructure are important to service benefits; patient benefits are dependent upon capability and need; and population-level use is socially patterned. The most defensible judgement is therefore nuanced: the NHS App is a major and possibly viable part of NHS digital transformation, but its equity and long-term value would require the maintenance of human alternatives, building up the capacity of local </w:t>
      </w:r>
      <w:proofErr w:type="spellStart"/>
      <w:r w:rsidRPr="005970CE">
        <w:rPr>
          <w:rFonts w:asciiTheme="majorBidi" w:hAnsiTheme="majorBidi" w:cstheme="majorBidi"/>
        </w:rPr>
        <w:t>organisations</w:t>
      </w:r>
      <w:proofErr w:type="spellEnd"/>
      <w:r w:rsidRPr="005970CE">
        <w:rPr>
          <w:rFonts w:asciiTheme="majorBidi" w:hAnsiTheme="majorBidi" w:cstheme="majorBidi"/>
        </w:rPr>
        <w:t>, and assessing outcomes by population groups.</w:t>
      </w:r>
    </w:p>
    <w:p w14:paraId="1816A785" w14:textId="77777777" w:rsidR="004E0192" w:rsidRPr="005970CE" w:rsidRDefault="00E63A83">
      <w:pPr>
        <w:rPr>
          <w:rFonts w:asciiTheme="majorBidi" w:hAnsiTheme="majorBidi" w:cstheme="majorBidi"/>
        </w:rPr>
      </w:pPr>
      <w:r w:rsidRPr="005970CE">
        <w:rPr>
          <w:rFonts w:asciiTheme="majorBidi" w:hAnsiTheme="majorBidi" w:cstheme="majorBidi"/>
        </w:rPr>
        <w:br w:type="page"/>
      </w:r>
    </w:p>
    <w:p w14:paraId="38255183" w14:textId="77777777" w:rsidR="004E0192" w:rsidRPr="005970CE" w:rsidRDefault="00E63A83">
      <w:pPr>
        <w:pStyle w:val="Heading1"/>
      </w:pPr>
      <w:bookmarkStart w:id="8" w:name="_Toc240979363"/>
      <w:r w:rsidRPr="005970CE">
        <w:lastRenderedPageBreak/>
        <w:t>9. Reference list</w:t>
      </w:r>
      <w:bookmarkEnd w:id="8"/>
    </w:p>
    <w:p w14:paraId="0AB4F146" w14:textId="1B408D5E"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Department of Health and Social Care (2025) Fit for the future: 10 Year Health Plan for England. London: DHSC. Available at: </w:t>
      </w:r>
      <w:hyperlink r:id="rId10" w:history="1">
        <w:r w:rsidR="001E35FF" w:rsidRPr="005970CE">
          <w:rPr>
            <w:rStyle w:val="Hyperlink"/>
            <w:rFonts w:asciiTheme="majorBidi" w:hAnsiTheme="majorBidi" w:cstheme="majorBidi"/>
          </w:rPr>
          <w:t>https://www.gov.uk/government/publications/10-year-health-plan-for-england-fit-for-the-future/fit-for-the-future-10-year-health-plan-for-england-accessible-version</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3A1859AD" w14:textId="77777777" w:rsidR="001E35FF" w:rsidRPr="005970CE" w:rsidRDefault="00E63A83" w:rsidP="001E35FF">
      <w:pPr>
        <w:spacing w:after="100" w:line="276" w:lineRule="auto"/>
        <w:ind w:left="360" w:hanging="360"/>
        <w:jc w:val="left"/>
        <w:rPr>
          <w:rFonts w:asciiTheme="majorBidi" w:hAnsiTheme="majorBidi" w:cstheme="majorBidi"/>
        </w:rPr>
      </w:pPr>
      <w:r w:rsidRPr="005970CE">
        <w:rPr>
          <w:rFonts w:asciiTheme="majorBidi" w:hAnsiTheme="majorBidi" w:cstheme="majorBidi"/>
        </w:rPr>
        <w:t>Greaves, F., Papoutsi, C., Kc, S., Tewolde, S., Reidy, C., Gudgin, B., Laverty, A.A., Majeed, A., Costelloe, C. and Powell, J. (2026) ‘Evaluating the national rollout of the NHS App in England using qualitative and quantitative methods’, Health and Social Care Delivery Research, 14(15), pp. 1–91.</w:t>
      </w:r>
    </w:p>
    <w:p w14:paraId="31FF1057" w14:textId="388AD411" w:rsidR="004E0192" w:rsidRPr="005970CE" w:rsidRDefault="00E63A83" w:rsidP="001E35FF">
      <w:pPr>
        <w:spacing w:after="100" w:line="276" w:lineRule="auto"/>
        <w:ind w:left="360" w:hanging="360"/>
        <w:jc w:val="left"/>
        <w:rPr>
          <w:rFonts w:asciiTheme="majorBidi" w:hAnsiTheme="majorBidi" w:cstheme="majorBidi"/>
        </w:rPr>
      </w:pPr>
      <w:r w:rsidRPr="005970CE">
        <w:rPr>
          <w:rFonts w:asciiTheme="majorBidi" w:hAnsiTheme="majorBidi" w:cstheme="majorBidi"/>
        </w:rPr>
        <w:t>KC, S., Papoutsi, C., Reidy, C., Gudgin, B., Powell, J., Majeed, A., Greaves, F. and Laverty, A.A. (2024) ‘Differences in use of a patient portal across sociodemographic groups: observational study of the NHS App in England’, Journal of Medical Internet Research, 26, e56320.</w:t>
      </w:r>
    </w:p>
    <w:p w14:paraId="2122ADAD" w14:textId="45D2A9B5"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KC, S., Papoutsi, C., Reidy, C., Gudgin, B., Powell, J., Majeed, A., Greaves, F. and Laverty, A.A. (2026) ‘Ease of access to general practice, patient experience and use of the NHS App: an ecological analysis of English data’, JRSM Open, 16(12), article 20542704251398918. </w:t>
      </w:r>
    </w:p>
    <w:p w14:paraId="696EC1CC" w14:textId="738F53DD" w:rsidR="004E0192" w:rsidRPr="005970CE" w:rsidRDefault="00E63A83" w:rsidP="001E35FF">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KC, S., Tewolde, S., Laverty, A.A., Costelloe, C., Papoutsi, C., Reidy, C., Gudgin, B., Shenton, C., Majeed, A. and Powell, J. and Greaves, F. (2023) ‘Uptake and adoption of the NHS App in England: an observational study’, British Journal of General Practice, 73(737), pp. e932–e940. Mistry, P. and </w:t>
      </w:r>
      <w:proofErr w:type="spellStart"/>
      <w:r w:rsidRPr="005970CE">
        <w:rPr>
          <w:rFonts w:asciiTheme="majorBidi" w:hAnsiTheme="majorBidi" w:cstheme="majorBidi"/>
        </w:rPr>
        <w:t>Jabbal</w:t>
      </w:r>
      <w:proofErr w:type="spellEnd"/>
      <w:r w:rsidRPr="005970CE">
        <w:rPr>
          <w:rFonts w:asciiTheme="majorBidi" w:hAnsiTheme="majorBidi" w:cstheme="majorBidi"/>
        </w:rPr>
        <w:t xml:space="preserve">, J. (2023) Moving from exclusion to inclusion in digital health and care. London: The King's Fund. Available at: </w:t>
      </w:r>
      <w:hyperlink r:id="rId11" w:history="1">
        <w:r w:rsidR="001E35FF" w:rsidRPr="005970CE">
          <w:rPr>
            <w:rStyle w:val="Hyperlink"/>
            <w:rFonts w:asciiTheme="majorBidi" w:hAnsiTheme="majorBidi" w:cstheme="majorBidi"/>
          </w:rPr>
          <w:t>https://www.kingsfund.org.uk/insight-and-analysis/long-reads/exclusion-inclusion-digital-health-care</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590DAD36" w14:textId="483EBD4F"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(2024) How to improve care related processes in general practice. London: NHS England. Available at: </w:t>
      </w:r>
      <w:hyperlink r:id="rId12" w:history="1">
        <w:r w:rsidR="001E35FF" w:rsidRPr="005970CE">
          <w:rPr>
            <w:rStyle w:val="Hyperlink"/>
            <w:rFonts w:asciiTheme="majorBidi" w:hAnsiTheme="majorBidi" w:cstheme="majorBidi"/>
          </w:rPr>
          <w:t>https://www.england.nhs.uk/long-read/how-to-improve-care-related-processes-in-general-practice/</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7CBAE55A" w14:textId="437D5F2E"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(2025a) Performance report 2024 to 2025. London: NHS England. Available at: </w:t>
      </w:r>
      <w:hyperlink r:id="rId13" w:history="1">
        <w:r w:rsidR="001E35FF" w:rsidRPr="005970CE">
          <w:rPr>
            <w:rStyle w:val="Hyperlink"/>
            <w:rFonts w:asciiTheme="majorBidi" w:hAnsiTheme="majorBidi" w:cstheme="majorBidi"/>
          </w:rPr>
          <w:t>https://www.england.nhs.uk/long-read/performance-report-24-25/</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8FDADC0" w14:textId="3D552E93"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(2025b) Proxy access. London: NHS England. Available at: </w:t>
      </w:r>
      <w:hyperlink r:id="rId14" w:history="1">
        <w:r w:rsidR="001E35FF" w:rsidRPr="005970CE">
          <w:rPr>
            <w:rStyle w:val="Hyperlink"/>
            <w:rFonts w:asciiTheme="majorBidi" w:hAnsiTheme="majorBidi" w:cstheme="majorBidi"/>
          </w:rPr>
          <w:t>https://www.england.nhs.uk/long-read/proxy-access/</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6FF6290" w14:textId="6F4423D8"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(2025c) GP Patient Survey 2025. London: NHS England. Available at: </w:t>
      </w:r>
      <w:hyperlink r:id="rId15" w:history="1">
        <w:r w:rsidR="001E35FF" w:rsidRPr="005970CE">
          <w:rPr>
            <w:rStyle w:val="Hyperlink"/>
            <w:rFonts w:asciiTheme="majorBidi" w:hAnsiTheme="majorBidi" w:cstheme="majorBidi"/>
          </w:rPr>
          <w:t>https://www.england.nhs.uk/statistics/2025/07/10/gp-patient-survey-2025/</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E74F08D" w14:textId="0A8FA434"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(2025d) Digital accessibility standards. London: NHS England. Available at: </w:t>
      </w:r>
      <w:hyperlink r:id="rId16" w:history="1">
        <w:r w:rsidR="001E35FF" w:rsidRPr="005970CE">
          <w:rPr>
            <w:rStyle w:val="Hyperlink"/>
            <w:rFonts w:asciiTheme="majorBidi" w:hAnsiTheme="majorBidi" w:cstheme="majorBidi"/>
          </w:rPr>
          <w:t>https://www.england.nhs.uk/long-read/digital-accessibility/</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573D1A94" w14:textId="261DC142"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(2025e) Hundreds of thousands use ‘Amazon-style’ prescription tracker in NHS App. London: NHS England. Available at: </w:t>
      </w:r>
      <w:hyperlink r:id="rId17" w:history="1">
        <w:r w:rsidR="001E35FF" w:rsidRPr="005970CE">
          <w:rPr>
            <w:rStyle w:val="Hyperlink"/>
            <w:rFonts w:asciiTheme="majorBidi" w:hAnsiTheme="majorBidi" w:cstheme="majorBidi"/>
          </w:rPr>
          <w:t>https://www.england.nhs.uk/2025/08/hundreds-of-thousands-use-amazon-style-prescription-tracker-in-nhs-app/</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5E3172EF" w14:textId="5475E1E8"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(2026a) Hospital patients can now check appointments in the NHS App. London: NHS England. Available at: </w:t>
      </w:r>
      <w:hyperlink r:id="rId18" w:history="1">
        <w:r w:rsidR="001E35FF" w:rsidRPr="005970CE">
          <w:rPr>
            <w:rStyle w:val="Hyperlink"/>
            <w:rFonts w:asciiTheme="majorBidi" w:hAnsiTheme="majorBidi" w:cstheme="majorBidi"/>
          </w:rPr>
          <w:t>https://www.england.nhs.uk/2026/04/hospital-patients-can-now-check-appointments-in-the-nhs-app/</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A132C7E" w14:textId="6AE88EDE"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NHS England (2026b) Quality strategy for NHS-funded care in England. London: NHS England. Available at: </w:t>
      </w:r>
      <w:hyperlink r:id="rId19" w:history="1">
        <w:r w:rsidR="001E35FF" w:rsidRPr="005970CE">
          <w:rPr>
            <w:rStyle w:val="Hyperlink"/>
            <w:rFonts w:asciiTheme="majorBidi" w:hAnsiTheme="majorBidi" w:cstheme="majorBidi"/>
          </w:rPr>
          <w:t>https://www.england.nhs.uk/long-read/quality-strategy-for-nhs-funded-care-in-england/</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3C9EA64E" w14:textId="2FDB4105"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lastRenderedPageBreak/>
        <w:t xml:space="preserve">Ofcom (2025) Barriers to household connectivity. London: Ofcom. Available at: </w:t>
      </w:r>
      <w:hyperlink r:id="rId20" w:history="1">
        <w:r w:rsidR="001E35FF" w:rsidRPr="005970CE">
          <w:rPr>
            <w:rStyle w:val="Hyperlink"/>
            <w:rFonts w:asciiTheme="majorBidi" w:hAnsiTheme="majorBidi" w:cstheme="majorBidi"/>
          </w:rPr>
          <w:t>https://www.ofcom.org.uk/internet-based-services/technology/barriers-to-household-connectivity</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D5ED195" w14:textId="73DD04C2"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Office for National Statistics (2024) ONS Local: Broadband coverage, age, disability status, deprivation and claimant count, by OA and LSOA for England. Newport: ONS. Available at: </w:t>
      </w:r>
      <w:hyperlink r:id="rId21" w:history="1">
        <w:r w:rsidR="001E35FF" w:rsidRPr="005970CE">
          <w:rPr>
            <w:rStyle w:val="Hyperlink"/>
            <w:rFonts w:asciiTheme="majorBidi" w:hAnsiTheme="majorBidi" w:cstheme="majorBidi"/>
          </w:rPr>
          <w:t>https://www.ons.gov.uk/peoplepopulationandcommunity/householdcharacteristics/homeinternetandsocialmediausage/adhocs/1820onslocalbroadbandcoverageagedisabilitystatusdeprivationandclaimantcountbyoaandlsoaforengland</w:t>
        </w:r>
      </w:hyperlink>
      <w:r w:rsidR="001E35FF" w:rsidRPr="005970CE">
        <w:rPr>
          <w:rFonts w:asciiTheme="majorBidi" w:hAnsiTheme="majorBidi" w:cstheme="majorBidi"/>
        </w:rPr>
        <w:t xml:space="preserve"> </w:t>
      </w:r>
      <w:r w:rsidRPr="005970CE">
        <w:rPr>
          <w:rFonts w:asciiTheme="majorBidi" w:hAnsiTheme="majorBidi" w:cstheme="majorBidi"/>
        </w:rPr>
        <w:t>(Accessed: 20 September 2026).</w:t>
      </w:r>
    </w:p>
    <w:p w14:paraId="299B1367" w14:textId="010C77FF" w:rsidR="004E0192" w:rsidRPr="005970CE" w:rsidRDefault="00E63A83">
      <w:pPr>
        <w:spacing w:after="100" w:line="276" w:lineRule="auto"/>
        <w:ind w:left="360" w:hanging="360"/>
        <w:jc w:val="left"/>
        <w:rPr>
          <w:rFonts w:asciiTheme="majorBidi" w:hAnsiTheme="majorBidi" w:cstheme="majorBidi"/>
        </w:rPr>
      </w:pPr>
      <w:r w:rsidRPr="005970CE">
        <w:rPr>
          <w:rFonts w:asciiTheme="majorBidi" w:hAnsiTheme="majorBidi" w:cstheme="majorBidi"/>
        </w:rPr>
        <w:t xml:space="preserve">Reidy, C., Papoutsi, C., Kc, S., </w:t>
      </w:r>
      <w:proofErr w:type="spellStart"/>
      <w:r w:rsidRPr="005970CE">
        <w:rPr>
          <w:rFonts w:asciiTheme="majorBidi" w:hAnsiTheme="majorBidi" w:cstheme="majorBidi"/>
        </w:rPr>
        <w:t>Gudgin</w:t>
      </w:r>
      <w:proofErr w:type="spellEnd"/>
      <w:r w:rsidRPr="005970CE">
        <w:rPr>
          <w:rFonts w:asciiTheme="majorBidi" w:hAnsiTheme="majorBidi" w:cstheme="majorBidi"/>
        </w:rPr>
        <w:t>, B., Laverty, A.A., Greaves, F. and Powell, J. (</w:t>
      </w:r>
      <w:proofErr w:type="gramStart"/>
      <w:r w:rsidRPr="005970CE">
        <w:rPr>
          <w:rFonts w:asciiTheme="majorBidi" w:hAnsiTheme="majorBidi" w:cstheme="majorBidi"/>
        </w:rPr>
        <w:t>2025) ‘</w:t>
      </w:r>
      <w:proofErr w:type="gramEnd"/>
      <w:r w:rsidRPr="005970CE">
        <w:rPr>
          <w:rFonts w:asciiTheme="majorBidi" w:hAnsiTheme="majorBidi" w:cstheme="majorBidi"/>
        </w:rPr>
        <w:t>Qualitative evaluation of the implementation and national roll-out of the NHS App in England’, BMC Medicine, 23, 20.</w:t>
      </w:r>
    </w:p>
    <w:sectPr w:rsidR="004E0192" w:rsidRPr="005970CE" w:rsidSect="00034616">
      <w:headerReference w:type="default" r:id="rId22"/>
      <w:footerReference w:type="default" r:id="rId23"/>
      <w:pgSz w:w="11906" w:h="16838"/>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35490" w14:textId="77777777" w:rsidR="00E63A83" w:rsidRDefault="00E63A83">
      <w:pPr>
        <w:spacing w:after="0" w:line="240" w:lineRule="auto"/>
      </w:pPr>
      <w:r>
        <w:separator/>
      </w:r>
    </w:p>
  </w:endnote>
  <w:endnote w:type="continuationSeparator" w:id="0">
    <w:p w14:paraId="62B1709B" w14:textId="77777777" w:rsidR="00E63A83" w:rsidRDefault="00E63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343755"/>
      <w:docPartObj>
        <w:docPartGallery w:val="Page Numbers (Bottom of Page)"/>
        <w:docPartUnique/>
      </w:docPartObj>
    </w:sdtPr>
    <w:sdtContent>
      <w:sdt>
        <w:sdtPr>
          <w:id w:val="1728636285"/>
          <w:docPartObj>
            <w:docPartGallery w:val="Page Numbers (Top of Page)"/>
            <w:docPartUnique/>
          </w:docPartObj>
        </w:sdtPr>
        <w:sdtContent>
          <w:p w14:paraId="7DC8202C" w14:textId="4607BA1B" w:rsidR="00170533" w:rsidRDefault="00170533">
            <w:pPr>
              <w:pStyle w:val="Footer"/>
              <w:jc w:val="center"/>
            </w:pPr>
            <w:r>
              <w:rPr>
                <w:lang w:val="en-GB"/>
              </w:rPr>
              <w:t xml:space="preserve">Page </w:t>
            </w:r>
            <w:r>
              <w:rPr>
                <w:b/>
                <w:bCs/>
                <w:sz w:val="24"/>
                <w:szCs w:val="24"/>
              </w:rPr>
              <w:fldChar w:fldCharType="begin"/>
            </w:r>
            <w:r>
              <w:rPr>
                <w:b/>
                <w:bCs/>
              </w:rPr>
              <w:instrText>PAGE</w:instrText>
            </w:r>
            <w:r>
              <w:rPr>
                <w:b/>
                <w:bCs/>
                <w:sz w:val="24"/>
                <w:szCs w:val="24"/>
              </w:rPr>
              <w:fldChar w:fldCharType="separate"/>
            </w:r>
            <w:r>
              <w:rPr>
                <w:b/>
                <w:bCs/>
                <w:lang w:val="en-GB"/>
              </w:rPr>
              <w:t>2</w:t>
            </w:r>
            <w:r>
              <w:rPr>
                <w:b/>
                <w:bCs/>
                <w:sz w:val="24"/>
                <w:szCs w:val="24"/>
              </w:rPr>
              <w:fldChar w:fldCharType="end"/>
            </w:r>
            <w:r>
              <w:rPr>
                <w:lang w:val="en-GB"/>
              </w:rPr>
              <w:t xml:space="preserve"> of </w:t>
            </w:r>
            <w:r>
              <w:rPr>
                <w:b/>
                <w:bCs/>
                <w:sz w:val="24"/>
                <w:szCs w:val="24"/>
              </w:rPr>
              <w:fldChar w:fldCharType="begin"/>
            </w:r>
            <w:r>
              <w:rPr>
                <w:b/>
                <w:bCs/>
              </w:rPr>
              <w:instrText>NUMPAGES</w:instrText>
            </w:r>
            <w:r>
              <w:rPr>
                <w:b/>
                <w:bCs/>
                <w:sz w:val="24"/>
                <w:szCs w:val="24"/>
              </w:rPr>
              <w:fldChar w:fldCharType="separate"/>
            </w:r>
            <w:r>
              <w:rPr>
                <w:b/>
                <w:bCs/>
                <w:lang w:val="en-GB"/>
              </w:rPr>
              <w:t>2</w:t>
            </w:r>
            <w:r>
              <w:rPr>
                <w:b/>
                <w:bCs/>
                <w:sz w:val="24"/>
                <w:szCs w:val="24"/>
              </w:rPr>
              <w:fldChar w:fldCharType="end"/>
            </w:r>
          </w:p>
        </w:sdtContent>
      </w:sdt>
    </w:sdtContent>
  </w:sdt>
  <w:p w14:paraId="042F13D5" w14:textId="7E116E79" w:rsidR="004E0192" w:rsidRDefault="004E019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0C952" w14:textId="77777777" w:rsidR="00E63A83" w:rsidRDefault="00E63A83">
      <w:pPr>
        <w:spacing w:after="0" w:line="240" w:lineRule="auto"/>
      </w:pPr>
      <w:r>
        <w:separator/>
      </w:r>
    </w:p>
  </w:footnote>
  <w:footnote w:type="continuationSeparator" w:id="0">
    <w:p w14:paraId="70C82863" w14:textId="77777777" w:rsidR="00E63A83" w:rsidRDefault="00E63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C35D4" w14:textId="7A0577F8" w:rsidR="00847609" w:rsidRDefault="00847609">
    <w:pPr>
      <w:spacing w:line="264" w:lineRule="auto"/>
    </w:pPr>
    <w:r>
      <w:rPr>
        <w:noProof/>
        <w:color w:val="000000"/>
      </w:rPr>
      <mc:AlternateContent>
        <mc:Choice Requires="wps">
          <w:drawing>
            <wp:anchor distT="0" distB="0" distL="114300" distR="114300" simplePos="0" relativeHeight="251659264" behindDoc="0" locked="0" layoutInCell="1" allowOverlap="1" wp14:anchorId="14C9E0E8" wp14:editId="1FC5E46C">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5C01EC2"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r>
      <w:rPr>
        <w:color w:val="4F81BD" w:themeColor="accent1"/>
        <w:sz w:val="20"/>
        <w:szCs w:val="20"/>
      </w:rPr>
      <w:t>Musab Shah 2411894</w:t>
    </w:r>
  </w:p>
  <w:p w14:paraId="4CF784C7" w14:textId="77777777" w:rsidR="00025855" w:rsidRDefault="000258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05178816">
    <w:abstractNumId w:val="8"/>
  </w:num>
  <w:num w:numId="2" w16cid:durableId="1655719718">
    <w:abstractNumId w:val="6"/>
  </w:num>
  <w:num w:numId="3" w16cid:durableId="1821845519">
    <w:abstractNumId w:val="5"/>
  </w:num>
  <w:num w:numId="4" w16cid:durableId="1576938185">
    <w:abstractNumId w:val="4"/>
  </w:num>
  <w:num w:numId="5" w16cid:durableId="2142262306">
    <w:abstractNumId w:val="7"/>
  </w:num>
  <w:num w:numId="6" w16cid:durableId="345790714">
    <w:abstractNumId w:val="3"/>
  </w:num>
  <w:num w:numId="7" w16cid:durableId="1171721520">
    <w:abstractNumId w:val="2"/>
  </w:num>
  <w:num w:numId="8" w16cid:durableId="1487939076">
    <w:abstractNumId w:val="1"/>
  </w:num>
  <w:num w:numId="9" w16cid:durableId="171536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5855"/>
    <w:rsid w:val="00034616"/>
    <w:rsid w:val="0006063C"/>
    <w:rsid w:val="000625AA"/>
    <w:rsid w:val="000C2242"/>
    <w:rsid w:val="0015074B"/>
    <w:rsid w:val="00170533"/>
    <w:rsid w:val="001E35FF"/>
    <w:rsid w:val="00240FEF"/>
    <w:rsid w:val="00271961"/>
    <w:rsid w:val="0029639D"/>
    <w:rsid w:val="002D5B07"/>
    <w:rsid w:val="002E5230"/>
    <w:rsid w:val="00326F90"/>
    <w:rsid w:val="004A3E06"/>
    <w:rsid w:val="004E0192"/>
    <w:rsid w:val="00546AB0"/>
    <w:rsid w:val="005970CE"/>
    <w:rsid w:val="00695A97"/>
    <w:rsid w:val="007467CF"/>
    <w:rsid w:val="00755A80"/>
    <w:rsid w:val="00847609"/>
    <w:rsid w:val="00861BD8"/>
    <w:rsid w:val="0086406F"/>
    <w:rsid w:val="00955171"/>
    <w:rsid w:val="00957AE8"/>
    <w:rsid w:val="00A75461"/>
    <w:rsid w:val="00A767CF"/>
    <w:rsid w:val="00AA1D8D"/>
    <w:rsid w:val="00AB16A9"/>
    <w:rsid w:val="00B33EDD"/>
    <w:rsid w:val="00B47730"/>
    <w:rsid w:val="00BE15DC"/>
    <w:rsid w:val="00CB0664"/>
    <w:rsid w:val="00D23316"/>
    <w:rsid w:val="00E63A83"/>
    <w:rsid w:val="00F1587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10669B"/>
  <w14:defaultImageDpi w14:val="300"/>
  <w15:docId w15:val="{9067F58A-A888-4F4C-8D69-C7D16D6DD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jc w:val="both"/>
    </w:pPr>
    <w:rPr>
      <w:rFonts w:ascii="Arial" w:eastAsia="Arial" w:hAnsi="Arial"/>
    </w:rPr>
  </w:style>
  <w:style w:type="paragraph" w:styleId="Heading1">
    <w:name w:val="heading 1"/>
    <w:basedOn w:val="Normal"/>
    <w:next w:val="Normal"/>
    <w:link w:val="Heading1Char"/>
    <w:uiPriority w:val="9"/>
    <w:qFormat/>
    <w:rsid w:val="001E35FF"/>
    <w:pPr>
      <w:keepNext/>
      <w:keepLines/>
      <w:spacing w:before="200" w:after="80"/>
      <w:outlineLvl w:val="0"/>
    </w:pPr>
    <w:rPr>
      <w:rFonts w:asciiTheme="majorBidi" w:eastAsiaTheme="majorEastAsia" w:hAnsiTheme="majorBid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E35FF"/>
    <w:rPr>
      <w:rFonts w:asciiTheme="majorBidi" w:eastAsiaTheme="majorEastAsia" w:hAnsiTheme="majorBidi" w:cstheme="majorBidi"/>
      <w:b/>
      <w:bCs/>
      <w:sz w:val="26"/>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E35FF"/>
    <w:rPr>
      <w:color w:val="0000FF" w:themeColor="hyperlink"/>
      <w:u w:val="single"/>
    </w:rPr>
  </w:style>
  <w:style w:type="character" w:styleId="UnresolvedMention">
    <w:name w:val="Unresolved Mention"/>
    <w:basedOn w:val="DefaultParagraphFont"/>
    <w:uiPriority w:val="99"/>
    <w:semiHidden/>
    <w:unhideWhenUsed/>
    <w:rsid w:val="001E35FF"/>
    <w:rPr>
      <w:color w:val="605E5C"/>
      <w:shd w:val="clear" w:color="auto" w:fill="E1DFDD"/>
    </w:rPr>
  </w:style>
  <w:style w:type="paragraph" w:styleId="TOC1">
    <w:name w:val="toc 1"/>
    <w:basedOn w:val="Normal"/>
    <w:next w:val="Normal"/>
    <w:autoRedefine/>
    <w:uiPriority w:val="39"/>
    <w:unhideWhenUsed/>
    <w:rsid w:val="002E52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performance-report-24-25/" TargetMode="External"/><Relationship Id="rId18" Type="http://schemas.openxmlformats.org/officeDocument/2006/relationships/hyperlink" Target="https://www.england.nhs.uk/2026/04/hospital-patients-can-now-check-appointments-in-the-nhs-app/" TargetMode="External"/><Relationship Id="rId3" Type="http://schemas.openxmlformats.org/officeDocument/2006/relationships/styles" Target="styles.xml"/><Relationship Id="rId21" Type="http://schemas.openxmlformats.org/officeDocument/2006/relationships/hyperlink" Target="https://www.ons.gov.uk/peoplepopulationandcommunity/householdcharacteristics/homeinternetandsocialmediausage/adhocs/1820onslocalbroadbandcoverageagedisabilitystatusdeprivationandclaimantcountbyoaandlsoaforengland" TargetMode="External"/><Relationship Id="rId7" Type="http://schemas.openxmlformats.org/officeDocument/2006/relationships/endnotes" Target="endnotes.xml"/><Relationship Id="rId12" Type="http://schemas.openxmlformats.org/officeDocument/2006/relationships/hyperlink" Target="https://www.england.nhs.uk/long-read/how-to-improve-care-related-processes-in-general-practice/" TargetMode="External"/><Relationship Id="rId17" Type="http://schemas.openxmlformats.org/officeDocument/2006/relationships/hyperlink" Target="https://www.england.nhs.uk/2025/08/hundreds-of-thousands-use-amazon-style-prescription-tracker-in-nhs-ap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long-read/digital-accessibility/" TargetMode="External"/><Relationship Id="rId20" Type="http://schemas.openxmlformats.org/officeDocument/2006/relationships/hyperlink" Target="https://www.ofcom.org.uk/internet-based-services/technology/barriers-to-household-connectiv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long-reads/exclusion-inclusion-digital-health-car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statistics/2025/07/10/gp-patient-survey-2025/" TargetMode="External"/><Relationship Id="rId23" Type="http://schemas.openxmlformats.org/officeDocument/2006/relationships/footer" Target="footer1.xml"/><Relationship Id="rId10" Type="http://schemas.openxmlformats.org/officeDocument/2006/relationships/hyperlink" Target="https://www.gov.uk/government/publications/10-year-health-plan-for-england-fit-for-the-future/fit-for-the-future-10-year-health-plan-for-england-accessible-version" TargetMode="External"/><Relationship Id="rId19" Type="http://schemas.openxmlformats.org/officeDocument/2006/relationships/hyperlink" Target="https://www.england.nhs.uk/long-read/quality-strategy-for-nhs-funded-care-in-englan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long-read/proxy-acces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3203</Words>
  <Characters>18258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Musab Umayr Shah (2411894)</cp:lastModifiedBy>
  <cp:revision>16</cp:revision>
  <dcterms:created xsi:type="dcterms:W3CDTF">2026-09-20T16:19:00Z</dcterms:created>
  <dcterms:modified xsi:type="dcterms:W3CDTF">2026-10-25T14:36:00Z</dcterms:modified>
  <cp:category/>
</cp:coreProperties>
</file>