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5D7C4B79" w:rsidR="005800DA" w:rsidRDefault="00666E0E" w:rsidP="4D56DE6F">
      <w:pPr>
        <w:spacing w:line="360" w:lineRule="auto"/>
        <w:rPr>
          <w:rFonts w:ascii="Arial" w:eastAsia="Arial" w:hAnsi="Arial" w:cs="Arial"/>
        </w:rPr>
      </w:pPr>
      <w:r>
        <w:rPr>
          <w:rFonts w:ascii="Arial" w:eastAsia="Arial" w:hAnsi="Arial" w:cs="Arial"/>
          <w:noProof/>
        </w:rPr>
        <w:drawing>
          <wp:anchor distT="0" distB="0" distL="114300" distR="114300" simplePos="0" relativeHeight="251658240" behindDoc="0" locked="0" layoutInCell="1" allowOverlap="1" wp14:anchorId="401C38D6" wp14:editId="452922F4">
            <wp:simplePos x="0" y="0"/>
            <wp:positionH relativeFrom="column">
              <wp:posOffset>4171950</wp:posOffset>
            </wp:positionH>
            <wp:positionV relativeFrom="paragraph">
              <wp:posOffset>-76200</wp:posOffset>
            </wp:positionV>
            <wp:extent cx="2143125" cy="2143125"/>
            <wp:effectExtent l="0" t="0" r="9525" b="9525"/>
            <wp:wrapNone/>
            <wp:docPr id="2121325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25381" name="Picture 2121325381"/>
                    <pic:cNvPicPr/>
                  </pic:nvPicPr>
                  <pic:blipFill>
                    <a:blip r:embed="rId7">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sidR="21B85C02" w:rsidRPr="4D56DE6F">
        <w:rPr>
          <w:rFonts w:ascii="Arial" w:eastAsia="Arial" w:hAnsi="Arial" w:cs="Arial"/>
        </w:rPr>
        <w:t xml:space="preserve">Student </w:t>
      </w:r>
      <w:r w:rsidR="1748E1C9" w:rsidRPr="4D56DE6F">
        <w:rPr>
          <w:rFonts w:ascii="Arial" w:eastAsia="Arial" w:hAnsi="Arial" w:cs="Arial"/>
        </w:rPr>
        <w:t>N</w:t>
      </w:r>
      <w:r w:rsidR="21B85C02" w:rsidRPr="4D56DE6F">
        <w:rPr>
          <w:rFonts w:ascii="Arial" w:eastAsia="Arial" w:hAnsi="Arial" w:cs="Arial"/>
        </w:rPr>
        <w:t>ame: Mrs Reda Juciute</w:t>
      </w:r>
    </w:p>
    <w:p w14:paraId="324B28A0" w14:textId="62D6976E" w:rsidR="21B85C02" w:rsidRDefault="21B85C02" w:rsidP="4D56DE6F">
      <w:pPr>
        <w:spacing w:line="360" w:lineRule="auto"/>
        <w:rPr>
          <w:rFonts w:ascii="Arial" w:eastAsia="Arial" w:hAnsi="Arial" w:cs="Arial"/>
        </w:rPr>
      </w:pPr>
      <w:r w:rsidRPr="4D56DE6F">
        <w:rPr>
          <w:rFonts w:ascii="Arial" w:eastAsia="Arial" w:hAnsi="Arial" w:cs="Arial"/>
        </w:rPr>
        <w:t>Student ID: 2213928</w:t>
      </w:r>
    </w:p>
    <w:p w14:paraId="1E1CF51F" w14:textId="075ECC6B" w:rsidR="21B85C02" w:rsidRDefault="21B85C02" w:rsidP="4D56DE6F">
      <w:pPr>
        <w:spacing w:line="360" w:lineRule="auto"/>
        <w:rPr>
          <w:rFonts w:ascii="Arial" w:eastAsia="Arial" w:hAnsi="Arial" w:cs="Arial"/>
        </w:rPr>
      </w:pPr>
      <w:r w:rsidRPr="4D56DE6F">
        <w:rPr>
          <w:rFonts w:ascii="Arial" w:eastAsia="Arial" w:hAnsi="Arial" w:cs="Arial"/>
        </w:rPr>
        <w:t xml:space="preserve">Module </w:t>
      </w:r>
      <w:r w:rsidR="2160BF07" w:rsidRPr="4D56DE6F">
        <w:rPr>
          <w:rFonts w:ascii="Arial" w:eastAsia="Arial" w:hAnsi="Arial" w:cs="Arial"/>
        </w:rPr>
        <w:t>N</w:t>
      </w:r>
      <w:r w:rsidRPr="4D56DE6F">
        <w:rPr>
          <w:rFonts w:ascii="Arial" w:eastAsia="Arial" w:hAnsi="Arial" w:cs="Arial"/>
        </w:rPr>
        <w:t xml:space="preserve">ame: </w:t>
      </w:r>
      <w:r w:rsidR="4FCC9D4D" w:rsidRPr="4D56DE6F">
        <w:rPr>
          <w:rFonts w:ascii="Arial" w:eastAsia="Arial" w:hAnsi="Arial" w:cs="Arial"/>
        </w:rPr>
        <w:t>International Business Concepts</w:t>
      </w:r>
    </w:p>
    <w:p w14:paraId="67CB13F2" w14:textId="59477070" w:rsidR="4FCC9D4D" w:rsidRDefault="4FCC9D4D" w:rsidP="4D56DE6F">
      <w:pPr>
        <w:spacing w:line="360" w:lineRule="auto"/>
        <w:rPr>
          <w:rFonts w:ascii="Arial" w:eastAsia="Arial" w:hAnsi="Arial" w:cs="Arial"/>
        </w:rPr>
      </w:pPr>
      <w:r w:rsidRPr="4D56DE6F">
        <w:rPr>
          <w:rFonts w:ascii="Arial" w:eastAsia="Arial" w:hAnsi="Arial" w:cs="Arial"/>
        </w:rPr>
        <w:t>Module Code: LCMB7034</w:t>
      </w:r>
    </w:p>
    <w:p w14:paraId="05ED8742" w14:textId="10552FD0" w:rsidR="4FCC9D4D" w:rsidRDefault="4FCC9D4D" w:rsidP="4D56DE6F">
      <w:pPr>
        <w:spacing w:line="360" w:lineRule="auto"/>
        <w:rPr>
          <w:rFonts w:ascii="Arial" w:eastAsia="Arial" w:hAnsi="Arial" w:cs="Arial"/>
        </w:rPr>
      </w:pPr>
      <w:r w:rsidRPr="4D56DE6F">
        <w:rPr>
          <w:rFonts w:ascii="Arial" w:eastAsia="Arial" w:hAnsi="Arial" w:cs="Arial"/>
        </w:rPr>
        <w:t xml:space="preserve">Lecturer </w:t>
      </w:r>
      <w:r w:rsidR="113FDAC2" w:rsidRPr="4D56DE6F">
        <w:rPr>
          <w:rFonts w:ascii="Arial" w:eastAsia="Arial" w:hAnsi="Arial" w:cs="Arial"/>
        </w:rPr>
        <w:t>N</w:t>
      </w:r>
      <w:r w:rsidRPr="4D56DE6F">
        <w:rPr>
          <w:rFonts w:ascii="Arial" w:eastAsia="Arial" w:hAnsi="Arial" w:cs="Arial"/>
        </w:rPr>
        <w:t xml:space="preserve">ame: </w:t>
      </w:r>
      <w:r w:rsidR="47151D17" w:rsidRPr="4D56DE6F">
        <w:rPr>
          <w:rFonts w:ascii="Arial" w:eastAsia="Arial" w:hAnsi="Arial" w:cs="Arial"/>
        </w:rPr>
        <w:t>Profe</w:t>
      </w:r>
      <w:r w:rsidR="675BDFD8" w:rsidRPr="4D56DE6F">
        <w:rPr>
          <w:rFonts w:ascii="Arial" w:eastAsia="Arial" w:hAnsi="Arial" w:cs="Arial"/>
        </w:rPr>
        <w:t>s</w:t>
      </w:r>
      <w:r w:rsidR="47151D17" w:rsidRPr="4D56DE6F">
        <w:rPr>
          <w:rFonts w:ascii="Arial" w:eastAsia="Arial" w:hAnsi="Arial" w:cs="Arial"/>
        </w:rPr>
        <w:t>sor Mansoob</w:t>
      </w:r>
    </w:p>
    <w:p w14:paraId="4826CF2A" w14:textId="3CB6D9E4" w:rsidR="1A0376F1" w:rsidRDefault="1A0376F1" w:rsidP="4D56DE6F">
      <w:pPr>
        <w:spacing w:line="360" w:lineRule="auto"/>
        <w:rPr>
          <w:rFonts w:ascii="Arial" w:eastAsia="Arial" w:hAnsi="Arial" w:cs="Arial"/>
        </w:rPr>
      </w:pPr>
      <w:r w:rsidRPr="4D56DE6F">
        <w:rPr>
          <w:rFonts w:ascii="Arial" w:eastAsia="Arial" w:hAnsi="Arial" w:cs="Arial"/>
        </w:rPr>
        <w:t>Word Count : 5000 words +/-10%</w:t>
      </w:r>
    </w:p>
    <w:p w14:paraId="39C62FFB" w14:textId="4C272E0C" w:rsidR="47151D17" w:rsidRDefault="47151D17" w:rsidP="4D56DE6F">
      <w:pPr>
        <w:spacing w:line="360" w:lineRule="auto"/>
        <w:rPr>
          <w:rFonts w:ascii="Arial" w:eastAsia="Arial" w:hAnsi="Arial" w:cs="Arial"/>
        </w:rPr>
      </w:pPr>
      <w:r w:rsidRPr="4D56DE6F">
        <w:rPr>
          <w:rFonts w:ascii="Arial" w:eastAsia="Arial" w:hAnsi="Arial" w:cs="Arial"/>
        </w:rPr>
        <w:t xml:space="preserve">Assignment </w:t>
      </w:r>
      <w:r w:rsidR="17AF08B9" w:rsidRPr="4D56DE6F">
        <w:rPr>
          <w:rFonts w:ascii="Arial" w:eastAsia="Arial" w:hAnsi="Arial" w:cs="Arial"/>
        </w:rPr>
        <w:t>S</w:t>
      </w:r>
      <w:r w:rsidRPr="4D56DE6F">
        <w:rPr>
          <w:rFonts w:ascii="Arial" w:eastAsia="Arial" w:hAnsi="Arial" w:cs="Arial"/>
        </w:rPr>
        <w:t xml:space="preserve">ubmission </w:t>
      </w:r>
      <w:r w:rsidR="00B1A5F9" w:rsidRPr="4D56DE6F">
        <w:rPr>
          <w:rFonts w:ascii="Arial" w:eastAsia="Arial" w:hAnsi="Arial" w:cs="Arial"/>
        </w:rPr>
        <w:t>D</w:t>
      </w:r>
      <w:r w:rsidRPr="4D56DE6F">
        <w:rPr>
          <w:rFonts w:ascii="Arial" w:eastAsia="Arial" w:hAnsi="Arial" w:cs="Arial"/>
        </w:rPr>
        <w:t>ate: 20 March 2026</w:t>
      </w:r>
    </w:p>
    <w:p w14:paraId="5ABB99A6" w14:textId="1A32B705" w:rsidR="3FB66E52" w:rsidRDefault="3FB66E52" w:rsidP="4D56DE6F">
      <w:pPr>
        <w:spacing w:line="360" w:lineRule="auto"/>
        <w:rPr>
          <w:rFonts w:ascii="Arial" w:eastAsia="Arial" w:hAnsi="Arial" w:cs="Arial"/>
        </w:rPr>
      </w:pPr>
    </w:p>
    <w:p w14:paraId="1E077AED" w14:textId="3F93BD88" w:rsidR="3FB66E52" w:rsidRDefault="3FB66E52"/>
    <w:p w14:paraId="083C9FCA" w14:textId="00648275" w:rsidR="3FB66E52" w:rsidRDefault="3FB66E52"/>
    <w:p w14:paraId="01C2907B" w14:textId="38353019" w:rsidR="3FB66E52" w:rsidRDefault="3FB66E52"/>
    <w:p w14:paraId="7888EB69" w14:textId="486DBFC2" w:rsidR="3FB66E52" w:rsidRDefault="3FB66E52"/>
    <w:p w14:paraId="60DAB7B5" w14:textId="44A9990E" w:rsidR="311B385F" w:rsidRDefault="311B385F" w:rsidP="4D56DE6F">
      <w:pPr>
        <w:spacing w:line="360" w:lineRule="auto"/>
        <w:jc w:val="center"/>
        <w:rPr>
          <w:rFonts w:ascii="Arial" w:eastAsia="Arial" w:hAnsi="Arial" w:cs="Arial"/>
          <w:sz w:val="36"/>
          <w:szCs w:val="36"/>
        </w:rPr>
      </w:pPr>
      <w:r w:rsidRPr="4D56DE6F">
        <w:rPr>
          <w:rFonts w:ascii="Arial" w:eastAsia="Arial" w:hAnsi="Arial" w:cs="Arial"/>
          <w:sz w:val="36"/>
          <w:szCs w:val="36"/>
        </w:rPr>
        <w:t>International Business Environment and MNC Strategy: A Critical Analysis of Amazon’s Operations in the UK E‑Commerce Industry</w:t>
      </w:r>
    </w:p>
    <w:p w14:paraId="75B6B628" w14:textId="78991EEB" w:rsidR="3FB66E52" w:rsidRDefault="3FB66E52" w:rsidP="4D56DE6F">
      <w:pPr>
        <w:spacing w:line="360" w:lineRule="auto"/>
        <w:jc w:val="center"/>
        <w:rPr>
          <w:rFonts w:ascii="Arial" w:eastAsia="Arial" w:hAnsi="Arial" w:cs="Arial"/>
          <w:sz w:val="32"/>
          <w:szCs w:val="32"/>
        </w:rPr>
      </w:pPr>
    </w:p>
    <w:p w14:paraId="0901824D" w14:textId="7387159C" w:rsidR="3FB66E52" w:rsidRDefault="3FB66E52" w:rsidP="3FB66E52">
      <w:pPr>
        <w:jc w:val="center"/>
        <w:rPr>
          <w:rFonts w:ascii="Arial" w:eastAsia="Arial" w:hAnsi="Arial" w:cs="Arial"/>
        </w:rPr>
      </w:pPr>
    </w:p>
    <w:p w14:paraId="10F607CC" w14:textId="5A5F013A" w:rsidR="3FB66E52" w:rsidRDefault="3FB66E52" w:rsidP="3FB66E52">
      <w:pPr>
        <w:jc w:val="center"/>
        <w:rPr>
          <w:rFonts w:ascii="Arial" w:eastAsia="Arial" w:hAnsi="Arial" w:cs="Arial"/>
        </w:rPr>
      </w:pPr>
    </w:p>
    <w:p w14:paraId="2403B8CD" w14:textId="6C974663" w:rsidR="3FB66E52" w:rsidRDefault="3FB66E52" w:rsidP="3FB66E52">
      <w:pPr>
        <w:jc w:val="center"/>
        <w:rPr>
          <w:rFonts w:ascii="Arial" w:eastAsia="Arial" w:hAnsi="Arial" w:cs="Arial"/>
        </w:rPr>
      </w:pPr>
    </w:p>
    <w:p w14:paraId="30B87BAA" w14:textId="36F454B6" w:rsidR="3FB66E52" w:rsidRDefault="3FB66E52" w:rsidP="3FB66E52">
      <w:pPr>
        <w:jc w:val="center"/>
        <w:rPr>
          <w:rFonts w:ascii="Arial" w:eastAsia="Arial" w:hAnsi="Arial" w:cs="Arial"/>
        </w:rPr>
      </w:pPr>
    </w:p>
    <w:p w14:paraId="581341D8" w14:textId="262A98E3" w:rsidR="3FB66E52" w:rsidRDefault="3FB66E52" w:rsidP="3FB66E52">
      <w:pPr>
        <w:jc w:val="center"/>
        <w:rPr>
          <w:rFonts w:ascii="Arial" w:eastAsia="Arial" w:hAnsi="Arial" w:cs="Arial"/>
        </w:rPr>
      </w:pPr>
    </w:p>
    <w:p w14:paraId="0FD256EA" w14:textId="2A743A38" w:rsidR="3FB66E52" w:rsidRDefault="3FB66E52" w:rsidP="3FB66E52">
      <w:pPr>
        <w:jc w:val="center"/>
        <w:rPr>
          <w:rFonts w:ascii="Arial" w:eastAsia="Arial" w:hAnsi="Arial" w:cs="Arial"/>
        </w:rPr>
      </w:pPr>
    </w:p>
    <w:p w14:paraId="458CA826" w14:textId="67DD7202" w:rsidR="3FB66E52" w:rsidRDefault="3FB66E52" w:rsidP="3FB66E52">
      <w:pPr>
        <w:jc w:val="center"/>
        <w:rPr>
          <w:rFonts w:ascii="Arial" w:eastAsia="Arial" w:hAnsi="Arial" w:cs="Arial"/>
        </w:rPr>
      </w:pPr>
    </w:p>
    <w:p w14:paraId="006AC8AE" w14:textId="32AF2A39" w:rsidR="3FB66E52" w:rsidRDefault="3FB66E52" w:rsidP="3FB66E52">
      <w:pPr>
        <w:jc w:val="center"/>
        <w:rPr>
          <w:rFonts w:ascii="Arial" w:eastAsia="Arial" w:hAnsi="Arial" w:cs="Arial"/>
        </w:rPr>
      </w:pPr>
    </w:p>
    <w:p w14:paraId="1A579BBA" w14:textId="4CBE4BEA" w:rsidR="3FB66E52" w:rsidRDefault="3FB66E52" w:rsidP="3FB66E52">
      <w:pPr>
        <w:jc w:val="center"/>
        <w:rPr>
          <w:rFonts w:ascii="Arial" w:eastAsia="Arial" w:hAnsi="Arial" w:cs="Arial"/>
        </w:rPr>
      </w:pPr>
    </w:p>
    <w:sdt>
      <w:sdtPr>
        <w:id w:val="1934184367"/>
        <w:docPartObj>
          <w:docPartGallery w:val="Table of Contents"/>
          <w:docPartUnique/>
        </w:docPartObj>
      </w:sdtPr>
      <w:sdtContent>
        <w:p w14:paraId="5E215BDB" w14:textId="5DD9075E" w:rsidR="1B13B883" w:rsidRDefault="4D56DE6F" w:rsidP="1B13B883">
          <w:pPr>
            <w:pStyle w:val="TOC1"/>
            <w:tabs>
              <w:tab w:val="right" w:leader="dot" w:pos="9015"/>
            </w:tabs>
            <w:rPr>
              <w:rStyle w:val="Hyperlink"/>
            </w:rPr>
          </w:pPr>
          <w:r>
            <w:fldChar w:fldCharType="begin"/>
          </w:r>
          <w:r w:rsidR="1B13B883">
            <w:instrText>TOC \o "1-9" \z \u \h</w:instrText>
          </w:r>
          <w:r>
            <w:fldChar w:fldCharType="separate"/>
          </w:r>
          <w:hyperlink w:anchor="_Toc1904781327">
            <w:r w:rsidRPr="4D56DE6F">
              <w:rPr>
                <w:rStyle w:val="Hyperlink"/>
              </w:rPr>
              <w:t>ABSTRACT</w:t>
            </w:r>
            <w:r w:rsidR="1B13B883">
              <w:tab/>
            </w:r>
            <w:r w:rsidR="1B13B883">
              <w:fldChar w:fldCharType="begin"/>
            </w:r>
            <w:r w:rsidR="1B13B883">
              <w:instrText>PAGEREF _Toc1904781327 \h</w:instrText>
            </w:r>
            <w:r w:rsidR="1B13B883">
              <w:fldChar w:fldCharType="separate"/>
            </w:r>
            <w:r w:rsidR="008B2A00">
              <w:rPr>
                <w:noProof/>
              </w:rPr>
              <w:t>4</w:t>
            </w:r>
            <w:r w:rsidR="1B13B883">
              <w:fldChar w:fldCharType="end"/>
            </w:r>
          </w:hyperlink>
        </w:p>
        <w:p w14:paraId="2E47C234" w14:textId="616DCFC6" w:rsidR="1B13B883" w:rsidRDefault="4D56DE6F" w:rsidP="1B13B883">
          <w:pPr>
            <w:pStyle w:val="TOC1"/>
            <w:tabs>
              <w:tab w:val="right" w:leader="dot" w:pos="9015"/>
            </w:tabs>
            <w:rPr>
              <w:rStyle w:val="Hyperlink"/>
            </w:rPr>
          </w:pPr>
          <w:hyperlink w:anchor="_Toc1538550700">
            <w:r w:rsidRPr="4D56DE6F">
              <w:rPr>
                <w:rStyle w:val="Hyperlink"/>
              </w:rPr>
              <w:t>I. International Business Environment and MNC Strategy: A Critical Analysis of Amazon’s Operations in the UK E‑Commerce Industry</w:t>
            </w:r>
            <w:r w:rsidR="1B13B883">
              <w:tab/>
            </w:r>
            <w:r w:rsidR="1B13B883">
              <w:fldChar w:fldCharType="begin"/>
            </w:r>
            <w:r w:rsidR="1B13B883">
              <w:instrText>PAGEREF _Toc1538550700 \h</w:instrText>
            </w:r>
            <w:r w:rsidR="1B13B883">
              <w:fldChar w:fldCharType="separate"/>
            </w:r>
            <w:r w:rsidR="008B2A00">
              <w:rPr>
                <w:noProof/>
              </w:rPr>
              <w:t>5</w:t>
            </w:r>
            <w:r w:rsidR="1B13B883">
              <w:fldChar w:fldCharType="end"/>
            </w:r>
          </w:hyperlink>
        </w:p>
        <w:p w14:paraId="5DFD86F4" w14:textId="4B87ADB0" w:rsidR="1B13B883" w:rsidRDefault="4D56DE6F" w:rsidP="4D56DE6F">
          <w:pPr>
            <w:pStyle w:val="TOC1"/>
            <w:tabs>
              <w:tab w:val="right" w:leader="dot" w:pos="9015"/>
            </w:tabs>
            <w:rPr>
              <w:rStyle w:val="Hyperlink"/>
            </w:rPr>
          </w:pPr>
          <w:hyperlink w:anchor="_Toc1567209223">
            <w:r w:rsidRPr="4D56DE6F">
              <w:rPr>
                <w:rStyle w:val="Hyperlink"/>
              </w:rPr>
              <w:t>1. Introduction</w:t>
            </w:r>
            <w:r w:rsidR="1B13B883">
              <w:tab/>
            </w:r>
            <w:r w:rsidR="1B13B883">
              <w:fldChar w:fldCharType="begin"/>
            </w:r>
            <w:r w:rsidR="1B13B883">
              <w:instrText>PAGEREF _Toc1567209223 \h</w:instrText>
            </w:r>
            <w:r w:rsidR="1B13B883">
              <w:fldChar w:fldCharType="separate"/>
            </w:r>
            <w:r w:rsidR="008B2A00">
              <w:rPr>
                <w:noProof/>
              </w:rPr>
              <w:t>5</w:t>
            </w:r>
            <w:r w:rsidR="1B13B883">
              <w:fldChar w:fldCharType="end"/>
            </w:r>
          </w:hyperlink>
        </w:p>
        <w:p w14:paraId="509E602D" w14:textId="546581E1" w:rsidR="1B13B883" w:rsidRDefault="4D56DE6F" w:rsidP="4D56DE6F">
          <w:pPr>
            <w:pStyle w:val="TOC1"/>
            <w:tabs>
              <w:tab w:val="right" w:leader="dot" w:pos="9015"/>
            </w:tabs>
            <w:rPr>
              <w:rStyle w:val="Hyperlink"/>
            </w:rPr>
          </w:pPr>
          <w:hyperlink w:anchor="_Toc547186092">
            <w:r w:rsidRPr="4D56DE6F">
              <w:rPr>
                <w:rStyle w:val="Hyperlink"/>
              </w:rPr>
              <w:t>2. Industry and Country Overview</w:t>
            </w:r>
            <w:r w:rsidR="1B13B883">
              <w:tab/>
            </w:r>
            <w:r w:rsidR="1B13B883">
              <w:fldChar w:fldCharType="begin"/>
            </w:r>
            <w:r w:rsidR="1B13B883">
              <w:instrText>PAGEREF _Toc547186092 \h</w:instrText>
            </w:r>
            <w:r w:rsidR="1B13B883">
              <w:fldChar w:fldCharType="separate"/>
            </w:r>
            <w:r w:rsidR="008B2A00">
              <w:rPr>
                <w:noProof/>
              </w:rPr>
              <w:t>6</w:t>
            </w:r>
            <w:r w:rsidR="1B13B883">
              <w:fldChar w:fldCharType="end"/>
            </w:r>
          </w:hyperlink>
        </w:p>
        <w:p w14:paraId="5D9D122B" w14:textId="5A90D242" w:rsidR="1B13B883" w:rsidRDefault="4D56DE6F" w:rsidP="1B13B883">
          <w:pPr>
            <w:pStyle w:val="TOC2"/>
            <w:tabs>
              <w:tab w:val="right" w:leader="dot" w:pos="9015"/>
            </w:tabs>
            <w:rPr>
              <w:rStyle w:val="Hyperlink"/>
            </w:rPr>
          </w:pPr>
          <w:hyperlink w:anchor="_Toc694058158">
            <w:r w:rsidRPr="4D56DE6F">
              <w:rPr>
                <w:rStyle w:val="Hyperlink"/>
              </w:rPr>
              <w:t>2.1 Size, Scope and Economic Importance of UK E‑Commerce</w:t>
            </w:r>
            <w:r w:rsidR="1B13B883">
              <w:tab/>
            </w:r>
            <w:r w:rsidR="1B13B883">
              <w:fldChar w:fldCharType="begin"/>
            </w:r>
            <w:r w:rsidR="1B13B883">
              <w:instrText>PAGEREF _Toc694058158 \h</w:instrText>
            </w:r>
            <w:r w:rsidR="1B13B883">
              <w:fldChar w:fldCharType="separate"/>
            </w:r>
            <w:r w:rsidR="008B2A00">
              <w:rPr>
                <w:noProof/>
              </w:rPr>
              <w:t>6</w:t>
            </w:r>
            <w:r w:rsidR="1B13B883">
              <w:fldChar w:fldCharType="end"/>
            </w:r>
          </w:hyperlink>
        </w:p>
        <w:p w14:paraId="396D043E" w14:textId="0BA83BA6" w:rsidR="1B13B883" w:rsidRDefault="4D56DE6F" w:rsidP="4D56DE6F">
          <w:pPr>
            <w:pStyle w:val="TOC2"/>
            <w:tabs>
              <w:tab w:val="right" w:leader="dot" w:pos="9015"/>
            </w:tabs>
            <w:rPr>
              <w:rStyle w:val="Hyperlink"/>
            </w:rPr>
          </w:pPr>
          <w:hyperlink w:anchor="_Toc1973654106">
            <w:r w:rsidRPr="4D56DE6F">
              <w:rPr>
                <w:rStyle w:val="Hyperlink"/>
              </w:rPr>
              <w:t>2.2 Major Domestic and Multinational Firms</w:t>
            </w:r>
            <w:r w:rsidR="1B13B883">
              <w:tab/>
            </w:r>
            <w:r w:rsidR="1B13B883">
              <w:fldChar w:fldCharType="begin"/>
            </w:r>
            <w:r w:rsidR="1B13B883">
              <w:instrText>PAGEREF _Toc1973654106 \h</w:instrText>
            </w:r>
            <w:r w:rsidR="1B13B883">
              <w:fldChar w:fldCharType="separate"/>
            </w:r>
            <w:r w:rsidR="008B2A00">
              <w:rPr>
                <w:noProof/>
              </w:rPr>
              <w:t>7</w:t>
            </w:r>
            <w:r w:rsidR="1B13B883">
              <w:fldChar w:fldCharType="end"/>
            </w:r>
          </w:hyperlink>
        </w:p>
        <w:p w14:paraId="62DE7CE1" w14:textId="695A2612" w:rsidR="1B13B883" w:rsidRDefault="4D56DE6F" w:rsidP="1B13B883">
          <w:pPr>
            <w:pStyle w:val="TOC2"/>
            <w:tabs>
              <w:tab w:val="right" w:leader="dot" w:pos="9015"/>
            </w:tabs>
            <w:rPr>
              <w:rStyle w:val="Hyperlink"/>
            </w:rPr>
          </w:pPr>
          <w:hyperlink w:anchor="_Toc2070497822">
            <w:r w:rsidRPr="4D56DE6F">
              <w:rPr>
                <w:rStyle w:val="Hyperlink"/>
              </w:rPr>
              <w:t>2.3 Competitive Positioning (Porter’s Five Forces)</w:t>
            </w:r>
            <w:r w:rsidR="1B13B883">
              <w:tab/>
            </w:r>
            <w:r w:rsidR="1B13B883">
              <w:fldChar w:fldCharType="begin"/>
            </w:r>
            <w:r w:rsidR="1B13B883">
              <w:instrText>PAGEREF _Toc2070497822 \h</w:instrText>
            </w:r>
            <w:r w:rsidR="1B13B883">
              <w:fldChar w:fldCharType="separate"/>
            </w:r>
            <w:r w:rsidR="008B2A00">
              <w:rPr>
                <w:noProof/>
              </w:rPr>
              <w:t>7</w:t>
            </w:r>
            <w:r w:rsidR="1B13B883">
              <w:fldChar w:fldCharType="end"/>
            </w:r>
          </w:hyperlink>
        </w:p>
        <w:p w14:paraId="4EE67F90" w14:textId="633BB4E9" w:rsidR="1B13B883" w:rsidRDefault="4D56DE6F" w:rsidP="4D56DE6F">
          <w:pPr>
            <w:pStyle w:val="TOC1"/>
            <w:tabs>
              <w:tab w:val="right" w:leader="dot" w:pos="9015"/>
            </w:tabs>
            <w:rPr>
              <w:rStyle w:val="Hyperlink"/>
            </w:rPr>
          </w:pPr>
          <w:hyperlink w:anchor="_Toc2139788385">
            <w:r w:rsidRPr="4D56DE6F">
              <w:rPr>
                <w:rStyle w:val="Hyperlink"/>
              </w:rPr>
              <w:t>3. Porter’s Diamond Analysis of the UK E-Commerce Industry</w:t>
            </w:r>
            <w:r w:rsidR="1B13B883">
              <w:tab/>
            </w:r>
            <w:r w:rsidR="1B13B883">
              <w:fldChar w:fldCharType="begin"/>
            </w:r>
            <w:r w:rsidR="1B13B883">
              <w:instrText>PAGEREF _Toc2139788385 \h</w:instrText>
            </w:r>
            <w:r w:rsidR="1B13B883">
              <w:fldChar w:fldCharType="separate"/>
            </w:r>
            <w:r w:rsidR="008B2A00">
              <w:rPr>
                <w:noProof/>
              </w:rPr>
              <w:t>8</w:t>
            </w:r>
            <w:r w:rsidR="1B13B883">
              <w:fldChar w:fldCharType="end"/>
            </w:r>
          </w:hyperlink>
        </w:p>
        <w:p w14:paraId="3714EB1D" w14:textId="5F106F4A" w:rsidR="1B13B883" w:rsidRDefault="4D56DE6F" w:rsidP="1B13B883">
          <w:pPr>
            <w:pStyle w:val="TOC2"/>
            <w:tabs>
              <w:tab w:val="right" w:leader="dot" w:pos="9015"/>
            </w:tabs>
            <w:rPr>
              <w:rStyle w:val="Hyperlink"/>
            </w:rPr>
          </w:pPr>
          <w:hyperlink w:anchor="_Toc1659824522">
            <w:r w:rsidRPr="4D56DE6F">
              <w:rPr>
                <w:rStyle w:val="Hyperlink"/>
              </w:rPr>
              <w:t>3.1 Factor Conditions</w:t>
            </w:r>
            <w:r w:rsidR="1B13B883">
              <w:tab/>
            </w:r>
            <w:r w:rsidR="1B13B883">
              <w:fldChar w:fldCharType="begin"/>
            </w:r>
            <w:r w:rsidR="1B13B883">
              <w:instrText>PAGEREF _Toc1659824522 \h</w:instrText>
            </w:r>
            <w:r w:rsidR="1B13B883">
              <w:fldChar w:fldCharType="separate"/>
            </w:r>
            <w:r w:rsidR="008B2A00">
              <w:rPr>
                <w:noProof/>
              </w:rPr>
              <w:t>8</w:t>
            </w:r>
            <w:r w:rsidR="1B13B883">
              <w:fldChar w:fldCharType="end"/>
            </w:r>
          </w:hyperlink>
        </w:p>
        <w:p w14:paraId="717CD047" w14:textId="1C6B074C" w:rsidR="1B13B883" w:rsidRDefault="4D56DE6F" w:rsidP="1B13B883">
          <w:pPr>
            <w:pStyle w:val="TOC2"/>
            <w:tabs>
              <w:tab w:val="right" w:leader="dot" w:pos="9015"/>
            </w:tabs>
            <w:rPr>
              <w:rStyle w:val="Hyperlink"/>
            </w:rPr>
          </w:pPr>
          <w:hyperlink w:anchor="_Toc449636136">
            <w:r w:rsidRPr="4D56DE6F">
              <w:rPr>
                <w:rStyle w:val="Hyperlink"/>
              </w:rPr>
              <w:t>3.2 Demand Conditions</w:t>
            </w:r>
            <w:r w:rsidR="1B13B883">
              <w:tab/>
            </w:r>
            <w:r w:rsidR="1B13B883">
              <w:fldChar w:fldCharType="begin"/>
            </w:r>
            <w:r w:rsidR="1B13B883">
              <w:instrText>PAGEREF _Toc449636136 \h</w:instrText>
            </w:r>
            <w:r w:rsidR="1B13B883">
              <w:fldChar w:fldCharType="separate"/>
            </w:r>
            <w:r w:rsidR="008B2A00">
              <w:rPr>
                <w:noProof/>
              </w:rPr>
              <w:t>9</w:t>
            </w:r>
            <w:r w:rsidR="1B13B883">
              <w:fldChar w:fldCharType="end"/>
            </w:r>
          </w:hyperlink>
        </w:p>
        <w:p w14:paraId="7D197996" w14:textId="154E0212" w:rsidR="1B13B883" w:rsidRDefault="4D56DE6F" w:rsidP="1B13B883">
          <w:pPr>
            <w:pStyle w:val="TOC2"/>
            <w:tabs>
              <w:tab w:val="right" w:leader="dot" w:pos="9015"/>
            </w:tabs>
            <w:rPr>
              <w:rStyle w:val="Hyperlink"/>
            </w:rPr>
          </w:pPr>
          <w:hyperlink w:anchor="_Toc328838196">
            <w:r w:rsidRPr="4D56DE6F">
              <w:rPr>
                <w:rStyle w:val="Hyperlink"/>
              </w:rPr>
              <w:t>3.3 Related and Supporting Industries</w:t>
            </w:r>
            <w:r w:rsidR="1B13B883">
              <w:tab/>
            </w:r>
            <w:r w:rsidR="1B13B883">
              <w:fldChar w:fldCharType="begin"/>
            </w:r>
            <w:r w:rsidR="1B13B883">
              <w:instrText>PAGEREF _Toc328838196 \h</w:instrText>
            </w:r>
            <w:r w:rsidR="1B13B883">
              <w:fldChar w:fldCharType="separate"/>
            </w:r>
            <w:r w:rsidR="008B2A00">
              <w:rPr>
                <w:noProof/>
              </w:rPr>
              <w:t>10</w:t>
            </w:r>
            <w:r w:rsidR="1B13B883">
              <w:fldChar w:fldCharType="end"/>
            </w:r>
          </w:hyperlink>
        </w:p>
        <w:p w14:paraId="322E9703" w14:textId="08CAE7E5" w:rsidR="1B13B883" w:rsidRDefault="4D56DE6F" w:rsidP="1B13B883">
          <w:pPr>
            <w:pStyle w:val="TOC2"/>
            <w:tabs>
              <w:tab w:val="right" w:leader="dot" w:pos="9015"/>
            </w:tabs>
            <w:rPr>
              <w:rStyle w:val="Hyperlink"/>
            </w:rPr>
          </w:pPr>
          <w:hyperlink w:anchor="_Toc676459133">
            <w:r w:rsidRPr="4D56DE6F">
              <w:rPr>
                <w:rStyle w:val="Hyperlink"/>
              </w:rPr>
              <w:t>3.4 Firm Strategy, Structure and Rivalry</w:t>
            </w:r>
            <w:r w:rsidR="1B13B883">
              <w:tab/>
            </w:r>
            <w:r w:rsidR="1B13B883">
              <w:fldChar w:fldCharType="begin"/>
            </w:r>
            <w:r w:rsidR="1B13B883">
              <w:instrText>PAGEREF _Toc676459133 \h</w:instrText>
            </w:r>
            <w:r w:rsidR="1B13B883">
              <w:fldChar w:fldCharType="separate"/>
            </w:r>
            <w:r w:rsidR="008B2A00">
              <w:rPr>
                <w:noProof/>
              </w:rPr>
              <w:t>10</w:t>
            </w:r>
            <w:r w:rsidR="1B13B883">
              <w:fldChar w:fldCharType="end"/>
            </w:r>
          </w:hyperlink>
        </w:p>
        <w:p w14:paraId="7FD4E886" w14:textId="046DB09F" w:rsidR="1B13B883" w:rsidRDefault="4D56DE6F" w:rsidP="4D56DE6F">
          <w:pPr>
            <w:pStyle w:val="TOC2"/>
            <w:tabs>
              <w:tab w:val="right" w:leader="dot" w:pos="9015"/>
            </w:tabs>
            <w:rPr>
              <w:rStyle w:val="Hyperlink"/>
            </w:rPr>
          </w:pPr>
          <w:hyperlink w:anchor="_Toc1758373745">
            <w:r w:rsidRPr="4D56DE6F">
              <w:rPr>
                <w:rStyle w:val="Hyperlink"/>
              </w:rPr>
              <w:t>3.5 Government</w:t>
            </w:r>
            <w:r w:rsidR="1B13B883">
              <w:tab/>
            </w:r>
            <w:r w:rsidR="1B13B883">
              <w:fldChar w:fldCharType="begin"/>
            </w:r>
            <w:r w:rsidR="1B13B883">
              <w:instrText>PAGEREF _Toc1758373745 \h</w:instrText>
            </w:r>
            <w:r w:rsidR="1B13B883">
              <w:fldChar w:fldCharType="separate"/>
            </w:r>
            <w:r w:rsidR="008B2A00">
              <w:rPr>
                <w:noProof/>
              </w:rPr>
              <w:t>11</w:t>
            </w:r>
            <w:r w:rsidR="1B13B883">
              <w:fldChar w:fldCharType="end"/>
            </w:r>
          </w:hyperlink>
        </w:p>
        <w:p w14:paraId="16E159B1" w14:textId="29CD2151" w:rsidR="1B13B883" w:rsidRDefault="4D56DE6F" w:rsidP="1B13B883">
          <w:pPr>
            <w:pStyle w:val="TOC2"/>
            <w:tabs>
              <w:tab w:val="right" w:leader="dot" w:pos="9015"/>
            </w:tabs>
            <w:rPr>
              <w:rStyle w:val="Hyperlink"/>
            </w:rPr>
          </w:pPr>
          <w:hyperlink w:anchor="_Toc1092440696">
            <w:r w:rsidRPr="4D56DE6F">
              <w:rPr>
                <w:rStyle w:val="Hyperlink"/>
              </w:rPr>
              <w:t>3.6 Chance Factors</w:t>
            </w:r>
            <w:r w:rsidR="1B13B883">
              <w:tab/>
            </w:r>
            <w:r w:rsidR="1B13B883">
              <w:fldChar w:fldCharType="begin"/>
            </w:r>
            <w:r w:rsidR="1B13B883">
              <w:instrText>PAGEREF _Toc1092440696 \h</w:instrText>
            </w:r>
            <w:r w:rsidR="1B13B883">
              <w:fldChar w:fldCharType="separate"/>
            </w:r>
            <w:r w:rsidR="008B2A00">
              <w:rPr>
                <w:noProof/>
              </w:rPr>
              <w:t>11</w:t>
            </w:r>
            <w:r w:rsidR="1B13B883">
              <w:fldChar w:fldCharType="end"/>
            </w:r>
          </w:hyperlink>
        </w:p>
        <w:p w14:paraId="1F6239D1" w14:textId="05FA8FDE" w:rsidR="1B13B883" w:rsidRDefault="4D56DE6F" w:rsidP="4D56DE6F">
          <w:pPr>
            <w:pStyle w:val="TOC1"/>
            <w:tabs>
              <w:tab w:val="right" w:leader="dot" w:pos="9015"/>
            </w:tabs>
            <w:rPr>
              <w:rStyle w:val="Hyperlink"/>
            </w:rPr>
          </w:pPr>
          <w:hyperlink w:anchor="_Toc1313350713">
            <w:r w:rsidRPr="4D56DE6F">
              <w:rPr>
                <w:rStyle w:val="Hyperlink"/>
              </w:rPr>
              <w:t>4. PESTLE Analysis of Amazon UK</w:t>
            </w:r>
            <w:r w:rsidR="1B13B883">
              <w:tab/>
            </w:r>
            <w:r w:rsidR="1B13B883">
              <w:fldChar w:fldCharType="begin"/>
            </w:r>
            <w:r w:rsidR="1B13B883">
              <w:instrText>PAGEREF _Toc1313350713 \h</w:instrText>
            </w:r>
            <w:r w:rsidR="1B13B883">
              <w:fldChar w:fldCharType="separate"/>
            </w:r>
            <w:r w:rsidR="008B2A00">
              <w:rPr>
                <w:noProof/>
              </w:rPr>
              <w:t>12</w:t>
            </w:r>
            <w:r w:rsidR="1B13B883">
              <w:fldChar w:fldCharType="end"/>
            </w:r>
          </w:hyperlink>
        </w:p>
        <w:p w14:paraId="6AD5E5DD" w14:textId="2E3221A8" w:rsidR="1B13B883" w:rsidRDefault="4D56DE6F" w:rsidP="1B13B883">
          <w:pPr>
            <w:pStyle w:val="TOC2"/>
            <w:tabs>
              <w:tab w:val="right" w:leader="dot" w:pos="9015"/>
            </w:tabs>
            <w:rPr>
              <w:rStyle w:val="Hyperlink"/>
            </w:rPr>
          </w:pPr>
          <w:hyperlink w:anchor="_Toc1170641374">
            <w:r w:rsidRPr="4D56DE6F">
              <w:rPr>
                <w:rStyle w:val="Hyperlink"/>
              </w:rPr>
              <w:t>4.1 Political Factors</w:t>
            </w:r>
            <w:r w:rsidR="1B13B883">
              <w:tab/>
            </w:r>
            <w:r w:rsidR="1B13B883">
              <w:fldChar w:fldCharType="begin"/>
            </w:r>
            <w:r w:rsidR="1B13B883">
              <w:instrText>PAGEREF _Toc1170641374 \h</w:instrText>
            </w:r>
            <w:r w:rsidR="1B13B883">
              <w:fldChar w:fldCharType="separate"/>
            </w:r>
            <w:r w:rsidR="008B2A00">
              <w:rPr>
                <w:noProof/>
              </w:rPr>
              <w:t>12</w:t>
            </w:r>
            <w:r w:rsidR="1B13B883">
              <w:fldChar w:fldCharType="end"/>
            </w:r>
          </w:hyperlink>
        </w:p>
        <w:p w14:paraId="29650F59" w14:textId="02CC5D00" w:rsidR="1B13B883" w:rsidRDefault="4D56DE6F" w:rsidP="1B13B883">
          <w:pPr>
            <w:pStyle w:val="TOC2"/>
            <w:tabs>
              <w:tab w:val="right" w:leader="dot" w:pos="9015"/>
            </w:tabs>
            <w:rPr>
              <w:rStyle w:val="Hyperlink"/>
            </w:rPr>
          </w:pPr>
          <w:hyperlink w:anchor="_Toc1242190469">
            <w:r w:rsidRPr="4D56DE6F">
              <w:rPr>
                <w:rStyle w:val="Hyperlink"/>
              </w:rPr>
              <w:t>4.2 Economic Factors</w:t>
            </w:r>
            <w:r w:rsidR="1B13B883">
              <w:tab/>
            </w:r>
            <w:r w:rsidR="1B13B883">
              <w:fldChar w:fldCharType="begin"/>
            </w:r>
            <w:r w:rsidR="1B13B883">
              <w:instrText>PAGEREF _Toc1242190469 \h</w:instrText>
            </w:r>
            <w:r w:rsidR="1B13B883">
              <w:fldChar w:fldCharType="separate"/>
            </w:r>
            <w:r w:rsidR="008B2A00">
              <w:rPr>
                <w:noProof/>
              </w:rPr>
              <w:t>12</w:t>
            </w:r>
            <w:r w:rsidR="1B13B883">
              <w:fldChar w:fldCharType="end"/>
            </w:r>
          </w:hyperlink>
        </w:p>
        <w:p w14:paraId="1DCAF550" w14:textId="45D3F85C" w:rsidR="1B13B883" w:rsidRDefault="4D56DE6F" w:rsidP="1B13B883">
          <w:pPr>
            <w:pStyle w:val="TOC2"/>
            <w:tabs>
              <w:tab w:val="right" w:leader="dot" w:pos="9015"/>
            </w:tabs>
            <w:rPr>
              <w:rStyle w:val="Hyperlink"/>
            </w:rPr>
          </w:pPr>
          <w:hyperlink w:anchor="_Toc1732266203">
            <w:r w:rsidRPr="4D56DE6F">
              <w:rPr>
                <w:rStyle w:val="Hyperlink"/>
              </w:rPr>
              <w:t>4.3 Social Factors</w:t>
            </w:r>
            <w:r w:rsidR="1B13B883">
              <w:tab/>
            </w:r>
            <w:r w:rsidR="1B13B883">
              <w:fldChar w:fldCharType="begin"/>
            </w:r>
            <w:r w:rsidR="1B13B883">
              <w:instrText>PAGEREF _Toc1732266203 \h</w:instrText>
            </w:r>
            <w:r w:rsidR="1B13B883">
              <w:fldChar w:fldCharType="separate"/>
            </w:r>
            <w:r w:rsidR="008B2A00">
              <w:rPr>
                <w:noProof/>
              </w:rPr>
              <w:t>13</w:t>
            </w:r>
            <w:r w:rsidR="1B13B883">
              <w:fldChar w:fldCharType="end"/>
            </w:r>
          </w:hyperlink>
        </w:p>
        <w:p w14:paraId="072F633B" w14:textId="4095D55C" w:rsidR="1B13B883" w:rsidRDefault="4D56DE6F" w:rsidP="1B13B883">
          <w:pPr>
            <w:pStyle w:val="TOC2"/>
            <w:tabs>
              <w:tab w:val="right" w:leader="dot" w:pos="9015"/>
            </w:tabs>
            <w:rPr>
              <w:rStyle w:val="Hyperlink"/>
            </w:rPr>
          </w:pPr>
          <w:hyperlink w:anchor="_Toc1343124023">
            <w:r w:rsidRPr="4D56DE6F">
              <w:rPr>
                <w:rStyle w:val="Hyperlink"/>
              </w:rPr>
              <w:t>4.4 Technological Factors</w:t>
            </w:r>
            <w:r w:rsidR="1B13B883">
              <w:tab/>
            </w:r>
            <w:r w:rsidR="1B13B883">
              <w:fldChar w:fldCharType="begin"/>
            </w:r>
            <w:r w:rsidR="1B13B883">
              <w:instrText>PAGEREF _Toc1343124023 \h</w:instrText>
            </w:r>
            <w:r w:rsidR="1B13B883">
              <w:fldChar w:fldCharType="separate"/>
            </w:r>
            <w:r w:rsidR="008B2A00">
              <w:rPr>
                <w:noProof/>
              </w:rPr>
              <w:t>13</w:t>
            </w:r>
            <w:r w:rsidR="1B13B883">
              <w:fldChar w:fldCharType="end"/>
            </w:r>
          </w:hyperlink>
        </w:p>
        <w:p w14:paraId="3EF85FD8" w14:textId="2479EB6E" w:rsidR="1B13B883" w:rsidRDefault="4D56DE6F" w:rsidP="1B13B883">
          <w:pPr>
            <w:pStyle w:val="TOC2"/>
            <w:tabs>
              <w:tab w:val="right" w:leader="dot" w:pos="9015"/>
            </w:tabs>
            <w:rPr>
              <w:rStyle w:val="Hyperlink"/>
            </w:rPr>
          </w:pPr>
          <w:hyperlink w:anchor="_Toc1759604722">
            <w:r w:rsidRPr="4D56DE6F">
              <w:rPr>
                <w:rStyle w:val="Hyperlink"/>
              </w:rPr>
              <w:t>4.5 Legal Factors</w:t>
            </w:r>
            <w:r w:rsidR="1B13B883">
              <w:tab/>
            </w:r>
            <w:r w:rsidR="1B13B883">
              <w:fldChar w:fldCharType="begin"/>
            </w:r>
            <w:r w:rsidR="1B13B883">
              <w:instrText>PAGEREF _Toc1759604722 \h</w:instrText>
            </w:r>
            <w:r w:rsidR="1B13B883">
              <w:fldChar w:fldCharType="separate"/>
            </w:r>
            <w:r w:rsidR="008B2A00">
              <w:rPr>
                <w:noProof/>
              </w:rPr>
              <w:t>14</w:t>
            </w:r>
            <w:r w:rsidR="1B13B883">
              <w:fldChar w:fldCharType="end"/>
            </w:r>
          </w:hyperlink>
        </w:p>
        <w:p w14:paraId="1F384DED" w14:textId="494B3DEC" w:rsidR="1B13B883" w:rsidRDefault="4D56DE6F" w:rsidP="4D56DE6F">
          <w:pPr>
            <w:pStyle w:val="TOC2"/>
            <w:tabs>
              <w:tab w:val="right" w:leader="dot" w:pos="9015"/>
            </w:tabs>
            <w:rPr>
              <w:rStyle w:val="Hyperlink"/>
            </w:rPr>
          </w:pPr>
          <w:hyperlink w:anchor="_Toc808933493">
            <w:r w:rsidRPr="4D56DE6F">
              <w:rPr>
                <w:rStyle w:val="Hyperlink"/>
              </w:rPr>
              <w:t>4.6 Environmental Factors</w:t>
            </w:r>
            <w:r w:rsidR="1B13B883">
              <w:tab/>
            </w:r>
            <w:r w:rsidR="1B13B883">
              <w:fldChar w:fldCharType="begin"/>
            </w:r>
            <w:r w:rsidR="1B13B883">
              <w:instrText>PAGEREF _Toc808933493 \h</w:instrText>
            </w:r>
            <w:r w:rsidR="1B13B883">
              <w:fldChar w:fldCharType="separate"/>
            </w:r>
            <w:r w:rsidR="008B2A00">
              <w:rPr>
                <w:noProof/>
              </w:rPr>
              <w:t>14</w:t>
            </w:r>
            <w:r w:rsidR="1B13B883">
              <w:fldChar w:fldCharType="end"/>
            </w:r>
          </w:hyperlink>
        </w:p>
        <w:p w14:paraId="7E4CA225" w14:textId="3F76B2DE" w:rsidR="1B13B883" w:rsidRDefault="4D56DE6F" w:rsidP="4D56DE6F">
          <w:pPr>
            <w:pStyle w:val="TOC2"/>
            <w:tabs>
              <w:tab w:val="right" w:leader="dot" w:pos="9015"/>
            </w:tabs>
            <w:rPr>
              <w:rStyle w:val="Hyperlink"/>
            </w:rPr>
          </w:pPr>
          <w:hyperlink w:anchor="_Toc1501141137">
            <w:r w:rsidRPr="4D56DE6F">
              <w:rPr>
                <w:rStyle w:val="Hyperlink"/>
              </w:rPr>
              <w:t>4.7 Synthesis of the PESTLE Analysis</w:t>
            </w:r>
            <w:r w:rsidR="1B13B883">
              <w:tab/>
            </w:r>
            <w:r w:rsidR="1B13B883">
              <w:fldChar w:fldCharType="begin"/>
            </w:r>
            <w:r w:rsidR="1B13B883">
              <w:instrText>PAGEREF _Toc1501141137 \h</w:instrText>
            </w:r>
            <w:r w:rsidR="1B13B883">
              <w:fldChar w:fldCharType="separate"/>
            </w:r>
            <w:r w:rsidR="008B2A00">
              <w:rPr>
                <w:noProof/>
              </w:rPr>
              <w:t>15</w:t>
            </w:r>
            <w:r w:rsidR="1B13B883">
              <w:fldChar w:fldCharType="end"/>
            </w:r>
          </w:hyperlink>
        </w:p>
        <w:p w14:paraId="17DFE68E" w14:textId="15F90035" w:rsidR="1B13B883" w:rsidRDefault="4D56DE6F" w:rsidP="4D56DE6F">
          <w:pPr>
            <w:pStyle w:val="TOC1"/>
            <w:tabs>
              <w:tab w:val="right" w:leader="dot" w:pos="9015"/>
            </w:tabs>
            <w:rPr>
              <w:rStyle w:val="Hyperlink"/>
            </w:rPr>
          </w:pPr>
          <w:hyperlink w:anchor="_Toc1139678382">
            <w:r w:rsidRPr="4D56DE6F">
              <w:rPr>
                <w:rStyle w:val="Hyperlink"/>
              </w:rPr>
              <w:t>5. Foreign Direct Investment (FDI) and Amazon UK</w:t>
            </w:r>
            <w:r w:rsidR="1B13B883">
              <w:tab/>
            </w:r>
            <w:r w:rsidR="1B13B883">
              <w:fldChar w:fldCharType="begin"/>
            </w:r>
            <w:r w:rsidR="1B13B883">
              <w:instrText>PAGEREF _Toc1139678382 \h</w:instrText>
            </w:r>
            <w:r w:rsidR="1B13B883">
              <w:fldChar w:fldCharType="separate"/>
            </w:r>
            <w:r w:rsidR="008B2A00">
              <w:rPr>
                <w:noProof/>
              </w:rPr>
              <w:t>15</w:t>
            </w:r>
            <w:r w:rsidR="1B13B883">
              <w:fldChar w:fldCharType="end"/>
            </w:r>
          </w:hyperlink>
        </w:p>
        <w:p w14:paraId="597735C8" w14:textId="18CEDC9B" w:rsidR="1B13B883" w:rsidRDefault="4D56DE6F" w:rsidP="4D56DE6F">
          <w:pPr>
            <w:pStyle w:val="TOC1"/>
            <w:tabs>
              <w:tab w:val="right" w:leader="dot" w:pos="9015"/>
            </w:tabs>
            <w:rPr>
              <w:rStyle w:val="Hyperlink"/>
            </w:rPr>
          </w:pPr>
          <w:hyperlink w:anchor="_Toc1058724840">
            <w:r w:rsidRPr="4D56DE6F">
              <w:rPr>
                <w:rStyle w:val="Hyperlink"/>
              </w:rPr>
              <w:t>6. Cultural Analysis and Amazon UK</w:t>
            </w:r>
            <w:r w:rsidR="1B13B883">
              <w:tab/>
            </w:r>
            <w:r w:rsidR="1B13B883">
              <w:fldChar w:fldCharType="begin"/>
            </w:r>
            <w:r w:rsidR="1B13B883">
              <w:instrText>PAGEREF _Toc1058724840 \h</w:instrText>
            </w:r>
            <w:r w:rsidR="1B13B883">
              <w:fldChar w:fldCharType="separate"/>
            </w:r>
            <w:r w:rsidR="008B2A00">
              <w:rPr>
                <w:noProof/>
              </w:rPr>
              <w:t>17</w:t>
            </w:r>
            <w:r w:rsidR="1B13B883">
              <w:fldChar w:fldCharType="end"/>
            </w:r>
          </w:hyperlink>
        </w:p>
        <w:p w14:paraId="75829E6F" w14:textId="2644E2C6" w:rsidR="1B13B883" w:rsidRDefault="4D56DE6F" w:rsidP="4D56DE6F">
          <w:pPr>
            <w:pStyle w:val="TOC1"/>
            <w:tabs>
              <w:tab w:val="right" w:leader="dot" w:pos="9015"/>
            </w:tabs>
            <w:rPr>
              <w:rStyle w:val="Hyperlink"/>
            </w:rPr>
          </w:pPr>
          <w:hyperlink w:anchor="_Toc246399088">
            <w:r w:rsidRPr="4D56DE6F">
              <w:rPr>
                <w:rStyle w:val="Hyperlink"/>
              </w:rPr>
              <w:t>7. Recommendations for Amazon UK</w:t>
            </w:r>
            <w:r w:rsidR="1B13B883">
              <w:tab/>
            </w:r>
            <w:r w:rsidR="1B13B883">
              <w:fldChar w:fldCharType="begin"/>
            </w:r>
            <w:r w:rsidR="1B13B883">
              <w:instrText>PAGEREF _Toc246399088 \h</w:instrText>
            </w:r>
            <w:r w:rsidR="1B13B883">
              <w:fldChar w:fldCharType="separate"/>
            </w:r>
            <w:r w:rsidR="008B2A00">
              <w:rPr>
                <w:noProof/>
              </w:rPr>
              <w:t>18</w:t>
            </w:r>
            <w:r w:rsidR="1B13B883">
              <w:fldChar w:fldCharType="end"/>
            </w:r>
          </w:hyperlink>
        </w:p>
        <w:p w14:paraId="4C65AAB3" w14:textId="4E331B46" w:rsidR="1B13B883" w:rsidRDefault="4D56DE6F" w:rsidP="4D56DE6F">
          <w:pPr>
            <w:pStyle w:val="TOC2"/>
            <w:tabs>
              <w:tab w:val="right" w:leader="dot" w:pos="9015"/>
            </w:tabs>
            <w:rPr>
              <w:rStyle w:val="Hyperlink"/>
            </w:rPr>
          </w:pPr>
          <w:hyperlink w:anchor="_Toc1209324659">
            <w:r w:rsidRPr="4D56DE6F">
              <w:rPr>
                <w:rStyle w:val="Hyperlink"/>
              </w:rPr>
              <w:t>1. Deepen value co‑creation within the UK digital ecosystem</w:t>
            </w:r>
            <w:r w:rsidR="1B13B883">
              <w:tab/>
            </w:r>
            <w:r w:rsidR="1B13B883">
              <w:fldChar w:fldCharType="begin"/>
            </w:r>
            <w:r w:rsidR="1B13B883">
              <w:instrText>PAGEREF _Toc1209324659 \h</w:instrText>
            </w:r>
            <w:r w:rsidR="1B13B883">
              <w:fldChar w:fldCharType="separate"/>
            </w:r>
            <w:r w:rsidR="008B2A00">
              <w:rPr>
                <w:noProof/>
              </w:rPr>
              <w:t>18</w:t>
            </w:r>
            <w:r w:rsidR="1B13B883">
              <w:fldChar w:fldCharType="end"/>
            </w:r>
          </w:hyperlink>
        </w:p>
        <w:p w14:paraId="5CEE4F9B" w14:textId="2EAAC0D4" w:rsidR="1B13B883" w:rsidRDefault="4D56DE6F" w:rsidP="4D56DE6F">
          <w:pPr>
            <w:pStyle w:val="TOC2"/>
            <w:tabs>
              <w:tab w:val="right" w:leader="dot" w:pos="9015"/>
            </w:tabs>
            <w:rPr>
              <w:rStyle w:val="Hyperlink"/>
            </w:rPr>
          </w:pPr>
          <w:hyperlink w:anchor="_Toc1981929206">
            <w:r w:rsidRPr="4D56DE6F">
              <w:rPr>
                <w:rStyle w:val="Hyperlink"/>
              </w:rPr>
              <w:t>2. Enhance CSR signalling to strengthen legitimacy and institutional trust</w:t>
            </w:r>
            <w:r w:rsidR="1B13B883">
              <w:tab/>
            </w:r>
            <w:r w:rsidR="1B13B883">
              <w:fldChar w:fldCharType="begin"/>
            </w:r>
            <w:r w:rsidR="1B13B883">
              <w:instrText>PAGEREF _Toc1981929206 \h</w:instrText>
            </w:r>
            <w:r w:rsidR="1B13B883">
              <w:fldChar w:fldCharType="separate"/>
            </w:r>
            <w:r w:rsidR="008B2A00">
              <w:rPr>
                <w:noProof/>
              </w:rPr>
              <w:t>19</w:t>
            </w:r>
            <w:r w:rsidR="1B13B883">
              <w:fldChar w:fldCharType="end"/>
            </w:r>
          </w:hyperlink>
        </w:p>
        <w:p w14:paraId="532919CE" w14:textId="0A047323" w:rsidR="1B13B883" w:rsidRDefault="4D56DE6F" w:rsidP="1B13B883">
          <w:pPr>
            <w:pStyle w:val="TOC2"/>
            <w:tabs>
              <w:tab w:val="right" w:leader="dot" w:pos="9015"/>
            </w:tabs>
            <w:rPr>
              <w:rStyle w:val="Hyperlink"/>
            </w:rPr>
          </w:pPr>
          <w:hyperlink w:anchor="_Toc1577653391">
            <w:r w:rsidRPr="4D56DE6F">
              <w:rPr>
                <w:rStyle w:val="Hyperlink"/>
              </w:rPr>
              <w:t>3. Invest in productivity‑enhancing technologies and regional infrastructure</w:t>
            </w:r>
            <w:r w:rsidR="1B13B883">
              <w:tab/>
            </w:r>
            <w:r w:rsidR="1B13B883">
              <w:fldChar w:fldCharType="begin"/>
            </w:r>
            <w:r w:rsidR="1B13B883">
              <w:instrText>PAGEREF _Toc1577653391 \h</w:instrText>
            </w:r>
            <w:r w:rsidR="1B13B883">
              <w:fldChar w:fldCharType="separate"/>
            </w:r>
            <w:r w:rsidR="008B2A00">
              <w:rPr>
                <w:noProof/>
              </w:rPr>
              <w:t>19</w:t>
            </w:r>
            <w:r w:rsidR="1B13B883">
              <w:fldChar w:fldCharType="end"/>
            </w:r>
          </w:hyperlink>
        </w:p>
        <w:p w14:paraId="4C33B3D0" w14:textId="0CB9AC2F" w:rsidR="1B13B883" w:rsidRDefault="4D56DE6F" w:rsidP="1B13B883">
          <w:pPr>
            <w:pStyle w:val="TOC2"/>
            <w:tabs>
              <w:tab w:val="right" w:leader="dot" w:pos="9015"/>
            </w:tabs>
            <w:rPr>
              <w:rStyle w:val="Hyperlink"/>
            </w:rPr>
          </w:pPr>
          <w:hyperlink w:anchor="_Toc653143504">
            <w:r w:rsidRPr="4D56DE6F">
              <w:rPr>
                <w:rStyle w:val="Hyperlink"/>
              </w:rPr>
              <w:t>4. Tailor communication and service design to UK cultural expectations</w:t>
            </w:r>
            <w:r w:rsidR="1B13B883">
              <w:tab/>
            </w:r>
            <w:r w:rsidR="1B13B883">
              <w:fldChar w:fldCharType="begin"/>
            </w:r>
            <w:r w:rsidR="1B13B883">
              <w:instrText>PAGEREF _Toc653143504 \h</w:instrText>
            </w:r>
            <w:r w:rsidR="1B13B883">
              <w:fldChar w:fldCharType="separate"/>
            </w:r>
            <w:r w:rsidR="008B2A00">
              <w:rPr>
                <w:noProof/>
              </w:rPr>
              <w:t>19</w:t>
            </w:r>
            <w:r w:rsidR="1B13B883">
              <w:fldChar w:fldCharType="end"/>
            </w:r>
          </w:hyperlink>
        </w:p>
        <w:p w14:paraId="66674E58" w14:textId="476DEC10" w:rsidR="1B13B883" w:rsidRDefault="4D56DE6F" w:rsidP="4D56DE6F">
          <w:pPr>
            <w:pStyle w:val="TOC2"/>
            <w:tabs>
              <w:tab w:val="right" w:leader="dot" w:pos="9015"/>
            </w:tabs>
            <w:rPr>
              <w:rStyle w:val="Hyperlink"/>
            </w:rPr>
          </w:pPr>
          <w:hyperlink w:anchor="_Toc55104469">
            <w:r w:rsidRPr="4D56DE6F">
              <w:rPr>
                <w:rStyle w:val="Hyperlink"/>
              </w:rPr>
              <w:t>5.Overall Evaluation</w:t>
            </w:r>
            <w:r w:rsidR="1B13B883">
              <w:tab/>
            </w:r>
            <w:r w:rsidR="1B13B883">
              <w:fldChar w:fldCharType="begin"/>
            </w:r>
            <w:r w:rsidR="1B13B883">
              <w:instrText>PAGEREF _Toc55104469 \h</w:instrText>
            </w:r>
            <w:r w:rsidR="1B13B883">
              <w:fldChar w:fldCharType="separate"/>
            </w:r>
            <w:r w:rsidR="008B2A00">
              <w:rPr>
                <w:noProof/>
              </w:rPr>
              <w:t>20</w:t>
            </w:r>
            <w:r w:rsidR="1B13B883">
              <w:fldChar w:fldCharType="end"/>
            </w:r>
          </w:hyperlink>
        </w:p>
        <w:p w14:paraId="0D303561" w14:textId="05AAAF4A" w:rsidR="4D56DE6F" w:rsidRDefault="4D56DE6F" w:rsidP="4D56DE6F">
          <w:pPr>
            <w:pStyle w:val="TOC2"/>
            <w:tabs>
              <w:tab w:val="right" w:leader="dot" w:pos="9015"/>
            </w:tabs>
            <w:rPr>
              <w:rStyle w:val="Hyperlink"/>
            </w:rPr>
          </w:pPr>
          <w:hyperlink w:anchor="_Toc1741928399">
            <w:r w:rsidRPr="4D56DE6F">
              <w:rPr>
                <w:rStyle w:val="Hyperlink"/>
              </w:rPr>
              <w:t>8. Conclusion</w:t>
            </w:r>
            <w:r>
              <w:tab/>
            </w:r>
            <w:r>
              <w:fldChar w:fldCharType="begin"/>
            </w:r>
            <w:r>
              <w:instrText>PAGEREF _Toc1741928399 \h</w:instrText>
            </w:r>
            <w:r>
              <w:fldChar w:fldCharType="separate"/>
            </w:r>
            <w:r w:rsidR="008B2A00">
              <w:rPr>
                <w:noProof/>
              </w:rPr>
              <w:t>20</w:t>
            </w:r>
            <w:r>
              <w:fldChar w:fldCharType="end"/>
            </w:r>
          </w:hyperlink>
        </w:p>
        <w:p w14:paraId="4EABF9B9" w14:textId="01FCE395" w:rsidR="4D56DE6F" w:rsidRDefault="4D56DE6F" w:rsidP="4D56DE6F">
          <w:pPr>
            <w:pStyle w:val="TOC1"/>
            <w:tabs>
              <w:tab w:val="right" w:leader="dot" w:pos="9015"/>
            </w:tabs>
            <w:rPr>
              <w:rStyle w:val="Hyperlink"/>
            </w:rPr>
          </w:pPr>
          <w:hyperlink w:anchor="_Toc1734900959">
            <w:r w:rsidRPr="4D56DE6F">
              <w:rPr>
                <w:rStyle w:val="Hyperlink"/>
              </w:rPr>
              <w:t>II Reflective Account (Gibbs’ Reflective Cycle)</w:t>
            </w:r>
            <w:r>
              <w:tab/>
            </w:r>
            <w:r>
              <w:fldChar w:fldCharType="begin"/>
            </w:r>
            <w:r>
              <w:instrText>PAGEREF _Toc1734900959 \h</w:instrText>
            </w:r>
            <w:r>
              <w:fldChar w:fldCharType="separate"/>
            </w:r>
            <w:r w:rsidR="008B2A00">
              <w:rPr>
                <w:noProof/>
              </w:rPr>
              <w:t>22</w:t>
            </w:r>
            <w:r>
              <w:fldChar w:fldCharType="end"/>
            </w:r>
          </w:hyperlink>
        </w:p>
        <w:p w14:paraId="2BF35219" w14:textId="47833CDD" w:rsidR="4D56DE6F" w:rsidRDefault="4D56DE6F" w:rsidP="4D56DE6F">
          <w:pPr>
            <w:pStyle w:val="TOC2"/>
            <w:tabs>
              <w:tab w:val="right" w:leader="dot" w:pos="9015"/>
            </w:tabs>
            <w:rPr>
              <w:rStyle w:val="Hyperlink"/>
            </w:rPr>
          </w:pPr>
          <w:hyperlink w:anchor="_Toc1652975123">
            <w:r w:rsidRPr="4D56DE6F">
              <w:rPr>
                <w:rStyle w:val="Hyperlink"/>
              </w:rPr>
              <w:t>Description</w:t>
            </w:r>
            <w:r>
              <w:tab/>
            </w:r>
            <w:r>
              <w:fldChar w:fldCharType="begin"/>
            </w:r>
            <w:r>
              <w:instrText>PAGEREF _Toc1652975123 \h</w:instrText>
            </w:r>
            <w:r>
              <w:fldChar w:fldCharType="separate"/>
            </w:r>
            <w:r w:rsidR="008B2A00">
              <w:rPr>
                <w:noProof/>
              </w:rPr>
              <w:t>22</w:t>
            </w:r>
            <w:r>
              <w:fldChar w:fldCharType="end"/>
            </w:r>
          </w:hyperlink>
        </w:p>
        <w:p w14:paraId="4B54B1E5" w14:textId="1B9A2969" w:rsidR="4D56DE6F" w:rsidRDefault="4D56DE6F" w:rsidP="4D56DE6F">
          <w:pPr>
            <w:pStyle w:val="TOC2"/>
            <w:tabs>
              <w:tab w:val="right" w:leader="dot" w:pos="9015"/>
            </w:tabs>
            <w:rPr>
              <w:rStyle w:val="Hyperlink"/>
            </w:rPr>
          </w:pPr>
          <w:hyperlink w:anchor="_Toc1962025225">
            <w:r w:rsidRPr="4D56DE6F">
              <w:rPr>
                <w:rStyle w:val="Hyperlink"/>
              </w:rPr>
              <w:t>Feelings</w:t>
            </w:r>
            <w:r>
              <w:tab/>
            </w:r>
            <w:r>
              <w:fldChar w:fldCharType="begin"/>
            </w:r>
            <w:r>
              <w:instrText>PAGEREF _Toc1962025225 \h</w:instrText>
            </w:r>
            <w:r>
              <w:fldChar w:fldCharType="separate"/>
            </w:r>
            <w:r w:rsidR="008B2A00">
              <w:rPr>
                <w:noProof/>
              </w:rPr>
              <w:t>22</w:t>
            </w:r>
            <w:r>
              <w:fldChar w:fldCharType="end"/>
            </w:r>
          </w:hyperlink>
        </w:p>
        <w:p w14:paraId="2EAD7FCC" w14:textId="42C32C98" w:rsidR="4D56DE6F" w:rsidRDefault="4D56DE6F" w:rsidP="4D56DE6F">
          <w:pPr>
            <w:pStyle w:val="TOC2"/>
            <w:tabs>
              <w:tab w:val="right" w:leader="dot" w:pos="9015"/>
            </w:tabs>
            <w:rPr>
              <w:rStyle w:val="Hyperlink"/>
            </w:rPr>
          </w:pPr>
          <w:hyperlink w:anchor="_Toc1430289920">
            <w:r w:rsidRPr="4D56DE6F">
              <w:rPr>
                <w:rStyle w:val="Hyperlink"/>
              </w:rPr>
              <w:t>Evaluation</w:t>
            </w:r>
            <w:r>
              <w:tab/>
            </w:r>
            <w:r>
              <w:fldChar w:fldCharType="begin"/>
            </w:r>
            <w:r>
              <w:instrText>PAGEREF _Toc1430289920 \h</w:instrText>
            </w:r>
            <w:r>
              <w:fldChar w:fldCharType="separate"/>
            </w:r>
            <w:r w:rsidR="008B2A00">
              <w:rPr>
                <w:noProof/>
              </w:rPr>
              <w:t>22</w:t>
            </w:r>
            <w:r>
              <w:fldChar w:fldCharType="end"/>
            </w:r>
          </w:hyperlink>
        </w:p>
        <w:p w14:paraId="28849DCD" w14:textId="17D0F7ED" w:rsidR="4D56DE6F" w:rsidRDefault="4D56DE6F" w:rsidP="4D56DE6F">
          <w:pPr>
            <w:pStyle w:val="TOC2"/>
            <w:tabs>
              <w:tab w:val="right" w:leader="dot" w:pos="9015"/>
            </w:tabs>
            <w:rPr>
              <w:rStyle w:val="Hyperlink"/>
            </w:rPr>
          </w:pPr>
          <w:hyperlink w:anchor="_Toc867274187">
            <w:r w:rsidRPr="4D56DE6F">
              <w:rPr>
                <w:rStyle w:val="Hyperlink"/>
              </w:rPr>
              <w:t>Analysis</w:t>
            </w:r>
            <w:r>
              <w:tab/>
            </w:r>
            <w:r>
              <w:fldChar w:fldCharType="begin"/>
            </w:r>
            <w:r>
              <w:instrText>PAGEREF _Toc867274187 \h</w:instrText>
            </w:r>
            <w:r>
              <w:fldChar w:fldCharType="separate"/>
            </w:r>
            <w:r w:rsidR="008B2A00">
              <w:rPr>
                <w:noProof/>
              </w:rPr>
              <w:t>23</w:t>
            </w:r>
            <w:r>
              <w:fldChar w:fldCharType="end"/>
            </w:r>
          </w:hyperlink>
        </w:p>
        <w:p w14:paraId="2996663E" w14:textId="672C5857" w:rsidR="4D56DE6F" w:rsidRDefault="4D56DE6F" w:rsidP="4D56DE6F">
          <w:pPr>
            <w:pStyle w:val="TOC2"/>
            <w:tabs>
              <w:tab w:val="right" w:leader="dot" w:pos="9015"/>
            </w:tabs>
            <w:rPr>
              <w:rStyle w:val="Hyperlink"/>
            </w:rPr>
          </w:pPr>
          <w:hyperlink w:anchor="_Toc1903168524">
            <w:r w:rsidRPr="4D56DE6F">
              <w:rPr>
                <w:rStyle w:val="Hyperlink"/>
              </w:rPr>
              <w:t>Conclusion</w:t>
            </w:r>
            <w:r>
              <w:tab/>
            </w:r>
            <w:r>
              <w:fldChar w:fldCharType="begin"/>
            </w:r>
            <w:r>
              <w:instrText>PAGEREF _Toc1903168524 \h</w:instrText>
            </w:r>
            <w:r>
              <w:fldChar w:fldCharType="separate"/>
            </w:r>
            <w:r w:rsidR="008B2A00">
              <w:rPr>
                <w:noProof/>
              </w:rPr>
              <w:t>24</w:t>
            </w:r>
            <w:r>
              <w:fldChar w:fldCharType="end"/>
            </w:r>
          </w:hyperlink>
        </w:p>
        <w:p w14:paraId="396EB70B" w14:textId="326AD14D" w:rsidR="4D56DE6F" w:rsidRDefault="4D56DE6F" w:rsidP="4D56DE6F">
          <w:pPr>
            <w:pStyle w:val="TOC2"/>
            <w:tabs>
              <w:tab w:val="right" w:leader="dot" w:pos="9015"/>
            </w:tabs>
            <w:rPr>
              <w:rStyle w:val="Hyperlink"/>
            </w:rPr>
          </w:pPr>
          <w:hyperlink w:anchor="_Toc322177013">
            <w:r w:rsidRPr="4D56DE6F">
              <w:rPr>
                <w:rStyle w:val="Hyperlink"/>
              </w:rPr>
              <w:t>Action Plan</w:t>
            </w:r>
            <w:r>
              <w:tab/>
            </w:r>
            <w:r>
              <w:fldChar w:fldCharType="begin"/>
            </w:r>
            <w:r>
              <w:instrText>PAGEREF _Toc322177013 \h</w:instrText>
            </w:r>
            <w:r>
              <w:fldChar w:fldCharType="separate"/>
            </w:r>
            <w:r w:rsidR="008B2A00">
              <w:rPr>
                <w:noProof/>
              </w:rPr>
              <w:t>24</w:t>
            </w:r>
            <w:r>
              <w:fldChar w:fldCharType="end"/>
            </w:r>
          </w:hyperlink>
        </w:p>
        <w:p w14:paraId="1F667613" w14:textId="72F92C54" w:rsidR="4D56DE6F" w:rsidRDefault="4D56DE6F" w:rsidP="4D56DE6F">
          <w:pPr>
            <w:pStyle w:val="TOC1"/>
            <w:tabs>
              <w:tab w:val="right" w:leader="dot" w:pos="9015"/>
            </w:tabs>
            <w:rPr>
              <w:rStyle w:val="Hyperlink"/>
            </w:rPr>
          </w:pPr>
          <w:hyperlink w:anchor="_Toc378263787">
            <w:r w:rsidRPr="4D56DE6F">
              <w:rPr>
                <w:rStyle w:val="Hyperlink"/>
              </w:rPr>
              <w:t>Referencing list</w:t>
            </w:r>
            <w:r>
              <w:tab/>
            </w:r>
            <w:r>
              <w:fldChar w:fldCharType="begin"/>
            </w:r>
            <w:r>
              <w:instrText>PAGEREF _Toc378263787 \h</w:instrText>
            </w:r>
            <w:r>
              <w:fldChar w:fldCharType="separate"/>
            </w:r>
            <w:r w:rsidR="008B2A00">
              <w:rPr>
                <w:noProof/>
              </w:rPr>
              <w:t>26</w:t>
            </w:r>
            <w:r>
              <w:fldChar w:fldCharType="end"/>
            </w:r>
          </w:hyperlink>
          <w:r>
            <w:fldChar w:fldCharType="end"/>
          </w:r>
        </w:p>
      </w:sdtContent>
    </w:sdt>
    <w:p w14:paraId="5BCC8BEC" w14:textId="44160F9A" w:rsidR="35F36BF8" w:rsidRDefault="35F36BF8" w:rsidP="35F36BF8"/>
    <w:p w14:paraId="133DF028" w14:textId="7C606338" w:rsidR="35F36BF8" w:rsidRDefault="35F36BF8" w:rsidP="35F36BF8"/>
    <w:p w14:paraId="1A068264" w14:textId="278AF796" w:rsidR="35F36BF8" w:rsidRDefault="35F36BF8" w:rsidP="35F36BF8"/>
    <w:p w14:paraId="717A53ED" w14:textId="475E4FB1" w:rsidR="35F36BF8" w:rsidRDefault="35F36BF8" w:rsidP="35F36BF8"/>
    <w:p w14:paraId="4717FFE4" w14:textId="4999DCBF" w:rsidR="4D56DE6F" w:rsidRDefault="4D56DE6F" w:rsidP="4D56DE6F"/>
    <w:p w14:paraId="648C98DC" w14:textId="7177D6D3" w:rsidR="4D56DE6F" w:rsidRDefault="4D56DE6F" w:rsidP="4D56DE6F"/>
    <w:p w14:paraId="423BBC7F" w14:textId="4722B594" w:rsidR="4D56DE6F" w:rsidRDefault="4D56DE6F" w:rsidP="4D56DE6F"/>
    <w:p w14:paraId="51002E8A" w14:textId="291B7F3A" w:rsidR="4D56DE6F" w:rsidRDefault="4D56DE6F" w:rsidP="4D56DE6F"/>
    <w:p w14:paraId="7CFC5B38" w14:textId="1D4F08B7" w:rsidR="4D56DE6F" w:rsidRDefault="4D56DE6F" w:rsidP="4D56DE6F"/>
    <w:p w14:paraId="766E64DC" w14:textId="5386CB52" w:rsidR="4D56DE6F" w:rsidRDefault="4D56DE6F" w:rsidP="4D56DE6F"/>
    <w:p w14:paraId="334C3019" w14:textId="3E23D61C" w:rsidR="4D56DE6F" w:rsidRDefault="4D56DE6F" w:rsidP="4D56DE6F"/>
    <w:p w14:paraId="7837FEA0" w14:textId="447876E6" w:rsidR="4D56DE6F" w:rsidRDefault="4D56DE6F" w:rsidP="4D56DE6F"/>
    <w:p w14:paraId="66C3403D" w14:textId="46C813FE" w:rsidR="4D56DE6F" w:rsidRDefault="4D56DE6F" w:rsidP="4D56DE6F"/>
    <w:p w14:paraId="3513F6D5" w14:textId="33A466C7" w:rsidR="4D56DE6F" w:rsidRDefault="4D56DE6F" w:rsidP="4D56DE6F"/>
    <w:p w14:paraId="6D5B310C" w14:textId="629C629E" w:rsidR="4D56DE6F" w:rsidRDefault="4D56DE6F" w:rsidP="4D56DE6F"/>
    <w:p w14:paraId="4F00C043" w14:textId="19D5550A" w:rsidR="4D56DE6F" w:rsidRDefault="4D56DE6F" w:rsidP="4D56DE6F"/>
    <w:p w14:paraId="3082D440" w14:textId="7078DACB" w:rsidR="4D56DE6F" w:rsidRDefault="4D56DE6F" w:rsidP="4D56DE6F"/>
    <w:p w14:paraId="4F25B160" w14:textId="5E1C6136" w:rsidR="4D56DE6F" w:rsidRDefault="4D56DE6F" w:rsidP="4D56DE6F"/>
    <w:p w14:paraId="6147F06F" w14:textId="4778A71C" w:rsidR="4D56DE6F" w:rsidRDefault="4D56DE6F" w:rsidP="4D56DE6F"/>
    <w:p w14:paraId="44F50C6D" w14:textId="6219EE14" w:rsidR="4D56DE6F" w:rsidRDefault="4D56DE6F" w:rsidP="4D56DE6F"/>
    <w:p w14:paraId="39A3C316" w14:textId="449673B2" w:rsidR="4D56DE6F" w:rsidRDefault="4D56DE6F" w:rsidP="4D56DE6F"/>
    <w:p w14:paraId="33EA4839" w14:textId="456DE539" w:rsidR="35F36BF8" w:rsidRDefault="5E952450" w:rsidP="00666E0E">
      <w:pPr>
        <w:pStyle w:val="Heading1"/>
        <w:jc w:val="center"/>
        <w:rPr>
          <w:rFonts w:ascii="Arial" w:eastAsia="Arial" w:hAnsi="Arial" w:cs="Arial"/>
          <w:color w:val="auto"/>
        </w:rPr>
      </w:pPr>
      <w:bookmarkStart w:id="0" w:name="_Toc1904781327"/>
      <w:r w:rsidRPr="4D56DE6F">
        <w:rPr>
          <w:rFonts w:ascii="Arial" w:eastAsia="Arial" w:hAnsi="Arial" w:cs="Arial"/>
          <w:color w:val="auto"/>
        </w:rPr>
        <w:lastRenderedPageBreak/>
        <w:t>ABSTRACT</w:t>
      </w:r>
      <w:bookmarkEnd w:id="0"/>
    </w:p>
    <w:p w14:paraId="29C9233C" w14:textId="2214B16F" w:rsidR="21BFE936" w:rsidRDefault="21BFE936" w:rsidP="00666E0E">
      <w:pPr>
        <w:spacing w:line="360" w:lineRule="auto"/>
        <w:jc w:val="center"/>
        <w:rPr>
          <w:rFonts w:ascii="Arial" w:eastAsia="Arial" w:hAnsi="Arial" w:cs="Arial"/>
        </w:rPr>
      </w:pPr>
      <w:r w:rsidRPr="4D56DE6F">
        <w:rPr>
          <w:rFonts w:ascii="Arial" w:eastAsia="Arial" w:hAnsi="Arial" w:cs="Arial"/>
        </w:rPr>
        <w:t>This report critically examines Amazon’s strategic position within the UK e‑commerce industry by analysing the national environment, competitive dynamics, and organisational capabilities that shape its performance. The study begins by evaluating the structure and economic significance of the UK e‑commerce sector, highlighting the country’s advanced digital infrastructure, mature consumer demand, and strong supporting industries. Porter’s Diamond framework is applied to assess how these national conditions influence industry competitiveness and create an attractive environment for multinational enterprises. A PESTLE analysis further explores the political, economic, social, technological, legal, and environmental forces affecting Amazon’s operations. Dunning’s OLI paradigm is then used to explain Amazon’s foreign direct investment motivations, emphasising the interaction of ownership advantages, host‑country location benefits, and internalisation strategies. Cultural analysis, informed by Hofstede’s dimensions, illustrates how Amazon adapts its global business model to UK consumer expectations. Drawing on these insights, the report proposes strategic recommendations focused on ecosystem collaboration, CSR engagement, technological investment, and culturally aligned service design. The analysis concludes that Amazon’s strong market position is supported by favourable national conditions but requires continuous adaptation to remain competitive in a rapidly evolving digital landscape.</w:t>
      </w:r>
    </w:p>
    <w:p w14:paraId="7A93EF98" w14:textId="612D2C6F" w:rsidR="35F36BF8" w:rsidRDefault="35F36BF8" w:rsidP="4D56DE6F">
      <w:pPr>
        <w:spacing w:line="360" w:lineRule="auto"/>
        <w:rPr>
          <w:rFonts w:ascii="Arial" w:eastAsia="Arial" w:hAnsi="Arial" w:cs="Arial"/>
        </w:rPr>
      </w:pPr>
    </w:p>
    <w:p w14:paraId="26F6F182" w14:textId="28F83D4D" w:rsidR="35F36BF8" w:rsidRDefault="35F36BF8" w:rsidP="35F36BF8"/>
    <w:p w14:paraId="3627A083" w14:textId="7A412656" w:rsidR="35F36BF8" w:rsidRDefault="35F36BF8" w:rsidP="35F36BF8"/>
    <w:p w14:paraId="00BCCB9E" w14:textId="22A1B4ED" w:rsidR="35F36BF8" w:rsidRDefault="35F36BF8" w:rsidP="35F36BF8"/>
    <w:p w14:paraId="3E1EEC9C" w14:textId="1F7B4080" w:rsidR="35F36BF8" w:rsidRDefault="35F36BF8" w:rsidP="35F36BF8"/>
    <w:p w14:paraId="44ED6E1B" w14:textId="250F147A" w:rsidR="35F36BF8" w:rsidRDefault="35F36BF8" w:rsidP="35F36BF8"/>
    <w:p w14:paraId="7959CED8" w14:textId="75CB341A" w:rsidR="35F36BF8" w:rsidRDefault="35F36BF8" w:rsidP="35F36BF8"/>
    <w:p w14:paraId="6DB5CD57" w14:textId="76535040" w:rsidR="35F36BF8" w:rsidRDefault="35F36BF8" w:rsidP="35F36BF8"/>
    <w:p w14:paraId="4720BDDC" w14:textId="1562E3C9" w:rsidR="35F36BF8" w:rsidRDefault="35F36BF8" w:rsidP="35F36BF8"/>
    <w:p w14:paraId="3ED215B5" w14:textId="70BEEFE3" w:rsidR="552695E6" w:rsidRDefault="552695E6" w:rsidP="4D56DE6F">
      <w:pPr>
        <w:pStyle w:val="Heading1"/>
        <w:spacing w:line="360" w:lineRule="auto"/>
        <w:rPr>
          <w:rFonts w:ascii="Arial" w:eastAsia="Arial" w:hAnsi="Arial" w:cs="Arial"/>
          <w:color w:val="000000" w:themeColor="text1"/>
          <w:sz w:val="28"/>
          <w:szCs w:val="28"/>
        </w:rPr>
      </w:pPr>
      <w:bookmarkStart w:id="1" w:name="_Toc1538550700"/>
      <w:r w:rsidRPr="4D56DE6F">
        <w:rPr>
          <w:rFonts w:ascii="Arial" w:eastAsia="Arial" w:hAnsi="Arial" w:cs="Arial"/>
          <w:color w:val="000000" w:themeColor="text1"/>
          <w:sz w:val="28"/>
          <w:szCs w:val="28"/>
        </w:rPr>
        <w:lastRenderedPageBreak/>
        <w:t>I. International Business Environment and MNC Strategy: A Critical Analysis of Amazon’s Operations in the UK E‑Commerce Industry</w:t>
      </w:r>
      <w:bookmarkEnd w:id="1"/>
    </w:p>
    <w:p w14:paraId="650C12B0" w14:textId="75CB55BE" w:rsidR="4D56DE6F" w:rsidRDefault="4D56DE6F" w:rsidP="4D56DE6F"/>
    <w:p w14:paraId="253C848A" w14:textId="3CE107FA" w:rsidR="7E832C7D" w:rsidRDefault="76D77131" w:rsidP="4D56DE6F">
      <w:pPr>
        <w:pStyle w:val="Heading1"/>
        <w:spacing w:line="360" w:lineRule="auto"/>
        <w:rPr>
          <w:rFonts w:ascii="Arial" w:eastAsia="Arial" w:hAnsi="Arial" w:cs="Arial"/>
          <w:color w:val="000000" w:themeColor="text1"/>
          <w:sz w:val="28"/>
          <w:szCs w:val="28"/>
        </w:rPr>
      </w:pPr>
      <w:bookmarkStart w:id="2" w:name="_Toc1818912001"/>
      <w:bookmarkStart w:id="3" w:name="_Toc1567209223"/>
      <w:r w:rsidRPr="4D56DE6F">
        <w:rPr>
          <w:rFonts w:ascii="Arial" w:eastAsia="Arial" w:hAnsi="Arial" w:cs="Arial"/>
          <w:color w:val="000000" w:themeColor="text1"/>
          <w:sz w:val="28"/>
          <w:szCs w:val="28"/>
        </w:rPr>
        <w:t>1. Introduction</w:t>
      </w:r>
      <w:bookmarkEnd w:id="2"/>
      <w:bookmarkEnd w:id="3"/>
    </w:p>
    <w:p w14:paraId="6EF83A3E" w14:textId="59920596" w:rsidR="0B29CB52" w:rsidRDefault="0B29CB52" w:rsidP="4D56DE6F">
      <w:pPr>
        <w:spacing w:before="240" w:after="240" w:line="360" w:lineRule="auto"/>
        <w:rPr>
          <w:rFonts w:ascii="Arial" w:eastAsia="Arial" w:hAnsi="Arial" w:cs="Arial"/>
        </w:rPr>
      </w:pPr>
      <w:r w:rsidRPr="4D56DE6F">
        <w:rPr>
          <w:rFonts w:ascii="Arial" w:eastAsia="Arial" w:hAnsi="Arial" w:cs="Arial"/>
        </w:rPr>
        <w:t>International business has been profoundly reshaped by globalisation and rapid digital transformation (Cavusgil, Knight and Riesenberger, 2017; Deresky, 2017). Firms increasingly operate across interconnected political, economic, technological, and cultural environments that extend beyond national borders (Daniels, Radebaugh and Sullivan, 2019). Developing a global mindset has become essential for navigating these complex international conditions (Kossowska and Rosiński, 2024). Understanding these multi-layered environmental forces is crucial for analysing organisational competitiveness, strategic positioning, and long-term performance in international markets (Rugman, 2009; Wild and Wild, 2016).</w:t>
      </w:r>
    </w:p>
    <w:p w14:paraId="0D4B2B57" w14:textId="36963A02" w:rsidR="7C7F0ADF" w:rsidRDefault="7C7F0ADF" w:rsidP="4D56DE6F">
      <w:pPr>
        <w:spacing w:before="240" w:after="240" w:line="360" w:lineRule="auto"/>
        <w:rPr>
          <w:rFonts w:ascii="Arial" w:eastAsia="Arial" w:hAnsi="Arial" w:cs="Arial"/>
        </w:rPr>
      </w:pPr>
      <w:r w:rsidRPr="4D56DE6F">
        <w:rPr>
          <w:rFonts w:ascii="Arial" w:eastAsia="Arial" w:hAnsi="Arial" w:cs="Arial"/>
        </w:rPr>
        <w:t xml:space="preserve">According to Peng (2017), multinational strategy is shaped by the interaction of firm resources, industry structure and institutional environments. </w:t>
      </w:r>
      <w:r w:rsidR="676D8F9C" w:rsidRPr="4D56DE6F">
        <w:rPr>
          <w:rFonts w:ascii="Arial" w:eastAsia="Arial" w:hAnsi="Arial" w:cs="Arial"/>
        </w:rPr>
        <w:t>Ghemawat (2001) argues that despite globalisation, differences in administrative, cultural, geographic and economic distance continue to shape international expansion strategies.</w:t>
      </w:r>
    </w:p>
    <w:p w14:paraId="7066EEF9" w14:textId="310B76D4" w:rsidR="0B29CB52" w:rsidRDefault="0B29CB52" w:rsidP="4D56DE6F">
      <w:pPr>
        <w:spacing w:before="240" w:after="240" w:line="360" w:lineRule="auto"/>
        <w:rPr>
          <w:rFonts w:ascii="Arial" w:eastAsia="Arial" w:hAnsi="Arial" w:cs="Arial"/>
        </w:rPr>
      </w:pPr>
      <w:r w:rsidRPr="4D56DE6F">
        <w:rPr>
          <w:rFonts w:ascii="Arial" w:eastAsia="Arial" w:hAnsi="Arial" w:cs="Arial"/>
        </w:rPr>
        <w:t>The United Kingdom is widely recognised as one of the world’s most advanced digital economies, characterised by high internet penetration, sophisticated logistics infrastructure, and digitally engaged consumers (Sloman et al., 2019). E‑commerce plays a central role in national retail activity, influencing consumer behaviour, supply chain innovation, and platform-based competition (Cavusgil, Knight and Riesenberger, 2017; Wild and Wild, 2016). The sector is highly competitive and particularly attractive to multinational enterprises seeking access to a mature, high-spending online market (Daniels, Radebaugh and Sullivan, 2019).</w:t>
      </w:r>
    </w:p>
    <w:p w14:paraId="7762B475" w14:textId="48425F84" w:rsidR="0B29CB52" w:rsidRDefault="0B29CB52" w:rsidP="4D56DE6F">
      <w:pPr>
        <w:spacing w:before="240" w:after="240" w:line="360" w:lineRule="auto"/>
        <w:rPr>
          <w:rFonts w:ascii="Arial" w:eastAsia="Arial" w:hAnsi="Arial" w:cs="Arial"/>
        </w:rPr>
      </w:pPr>
      <w:r w:rsidRPr="4D56DE6F">
        <w:rPr>
          <w:rFonts w:ascii="Arial" w:eastAsia="Arial" w:hAnsi="Arial" w:cs="Arial"/>
        </w:rPr>
        <w:t>Amazon UK represents a major foreign multinational shaping the UK e‑commerce landscape. Its operations provide a relevant case study of how global corporations adapt their strategies to national institutional, regulatory, and competitive environments (Rugman, 2009; Deresky, 2017).</w:t>
      </w:r>
    </w:p>
    <w:p w14:paraId="10427A02" w14:textId="1A3DF119" w:rsidR="3FB66E52" w:rsidRDefault="0B29CB52" w:rsidP="4D56DE6F">
      <w:pPr>
        <w:spacing w:before="240" w:after="240" w:line="360" w:lineRule="auto"/>
        <w:rPr>
          <w:rFonts w:ascii="Arial" w:eastAsia="Arial" w:hAnsi="Arial" w:cs="Arial"/>
        </w:rPr>
      </w:pPr>
      <w:r w:rsidRPr="4D56DE6F">
        <w:rPr>
          <w:rFonts w:ascii="Arial" w:eastAsia="Arial" w:hAnsi="Arial" w:cs="Arial"/>
        </w:rPr>
        <w:lastRenderedPageBreak/>
        <w:t>This report analyses the competitiveness of the UK e‑commerce industry using Porter’s Diamond framework (Porter, 1990). It further evaluates Amazon UK through PESTLE analysis, foreign direct investment (FDI) theories, cultural frameworks, and international strategy models (Dunning, 1988; Hofstede, 1998; Cavusgil, Knight and Riesenberger, 2017). Finally, it assesses the key opportunities and challenges influencing Amazon’s performance and strategic positioning within the UK market.</w:t>
      </w:r>
    </w:p>
    <w:p w14:paraId="05A748BB" w14:textId="3169D9DE" w:rsidR="3FB66E52" w:rsidRPr="00666E0E" w:rsidRDefault="7AAFB9DD" w:rsidP="4D56DE6F">
      <w:pPr>
        <w:pStyle w:val="Heading1"/>
        <w:spacing w:line="360" w:lineRule="auto"/>
        <w:rPr>
          <w:rFonts w:ascii="Arial" w:eastAsia="Arial" w:hAnsi="Arial" w:cs="Arial"/>
          <w:b/>
          <w:bCs/>
          <w:color w:val="000000" w:themeColor="text1"/>
          <w:sz w:val="28"/>
          <w:szCs w:val="28"/>
        </w:rPr>
      </w:pPr>
      <w:r w:rsidRPr="00666E0E">
        <w:rPr>
          <w:rFonts w:ascii="Arial" w:eastAsia="Arial" w:hAnsi="Arial" w:cs="Arial"/>
          <w:b/>
          <w:bCs/>
          <w:color w:val="000000" w:themeColor="text1"/>
          <w:sz w:val="28"/>
          <w:szCs w:val="28"/>
        </w:rPr>
        <w:t xml:space="preserve"> </w:t>
      </w:r>
      <w:bookmarkStart w:id="4" w:name="_Toc1039162397"/>
      <w:bookmarkStart w:id="5" w:name="_Toc547186092"/>
      <w:r w:rsidR="68E440D6" w:rsidRPr="00666E0E">
        <w:rPr>
          <w:rFonts w:ascii="Arial" w:eastAsia="Arial" w:hAnsi="Arial" w:cs="Arial"/>
          <w:b/>
          <w:bCs/>
          <w:color w:val="000000" w:themeColor="text1"/>
          <w:sz w:val="28"/>
          <w:szCs w:val="28"/>
        </w:rPr>
        <w:t xml:space="preserve">2. </w:t>
      </w:r>
      <w:r w:rsidR="0314B5EF" w:rsidRPr="00666E0E">
        <w:rPr>
          <w:rFonts w:ascii="Arial" w:eastAsia="Arial" w:hAnsi="Arial" w:cs="Arial"/>
          <w:b/>
          <w:bCs/>
          <w:color w:val="000000" w:themeColor="text1"/>
          <w:sz w:val="28"/>
          <w:szCs w:val="28"/>
        </w:rPr>
        <w:t>Industry and Country Overview</w:t>
      </w:r>
      <w:bookmarkEnd w:id="4"/>
      <w:bookmarkEnd w:id="5"/>
    </w:p>
    <w:p w14:paraId="49D0ECF8" w14:textId="001AE16B" w:rsidR="55AD66A1" w:rsidRDefault="55AD66A1" w:rsidP="4D56DE6F">
      <w:pPr>
        <w:pStyle w:val="Heading2"/>
        <w:spacing w:line="360" w:lineRule="auto"/>
        <w:rPr>
          <w:rFonts w:ascii="Arial" w:eastAsia="Arial" w:hAnsi="Arial" w:cs="Arial"/>
          <w:color w:val="000000" w:themeColor="text1"/>
          <w:sz w:val="24"/>
          <w:szCs w:val="24"/>
        </w:rPr>
      </w:pPr>
      <w:bookmarkStart w:id="6" w:name="_Toc1252666583"/>
      <w:bookmarkStart w:id="7" w:name="_Toc694058158"/>
      <w:r w:rsidRPr="4D56DE6F">
        <w:rPr>
          <w:rFonts w:ascii="Arial" w:eastAsia="Arial" w:hAnsi="Arial" w:cs="Arial"/>
          <w:color w:val="000000" w:themeColor="text1"/>
          <w:sz w:val="24"/>
          <w:szCs w:val="24"/>
        </w:rPr>
        <w:t>2.1 Size, Scope and Economic Importance of UK E‑Commerce</w:t>
      </w:r>
      <w:bookmarkEnd w:id="6"/>
      <w:bookmarkEnd w:id="7"/>
      <w:r w:rsidRPr="4D56DE6F">
        <w:rPr>
          <w:rFonts w:ascii="Arial" w:eastAsia="Arial" w:hAnsi="Arial" w:cs="Arial"/>
          <w:color w:val="000000" w:themeColor="text1"/>
          <w:sz w:val="24"/>
          <w:szCs w:val="24"/>
        </w:rPr>
        <w:t xml:space="preserve"> </w:t>
      </w:r>
    </w:p>
    <w:p w14:paraId="5E8EA52D" w14:textId="5EBC7499" w:rsidR="55AD66A1" w:rsidRDefault="55AD66A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The United Kingdom is widely recognised as one of the world’s most advanced digital economies, supported by strong institutional frameworks, developed infrastructure, and high levels of technological innovation (Sloman et al., 2019). From an international business perspective, advanced factor conditions-including digital connectivity, logistics networks, and human capital-enhance national competitiveness and attract sustained multinational investment (Cavusgil, Knight and Riesenberger, 2017).</w:t>
      </w:r>
    </w:p>
    <w:p w14:paraId="64126B51" w14:textId="7DF0D6D0" w:rsidR="55AD66A1" w:rsidRDefault="55AD66A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High internet penetration and widespread digital adoption have accelerated the growth of online retailing across all demographic segments (Wild and Wild, 2016). These structural conditions have enabled e‑commerce to become a significant contributor to overall retail performance and national economic output. As highlighted in international business literature, digital commerce increasingly influences productivity, employment patterns, and value chain integration, thereby contributing indirectly to GDP growth and national competitiveness (Daniels, Radebaugh and Sullivan, 2019).</w:t>
      </w:r>
    </w:p>
    <w:p w14:paraId="64CB99B2" w14:textId="28BB36B4" w:rsidR="55AD66A1" w:rsidRDefault="55AD66A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Consumer behaviour in the UK has shifted markedly toward online platforms, driven by convenience, price transparency, and expectations of rapid delivery (Deresky, 2017). The integration of mobile technologies, digital payment systems, and personalised recommendation algorithms has further reinforced this behavioural shift, embedding e‑commerce into everyday consumption patterns (Kossowska and Rosiński, 2024). Collectively, these economic and behavioural trends position the UK </w:t>
      </w:r>
      <w:r w:rsidRPr="4D56DE6F">
        <w:rPr>
          <w:rFonts w:ascii="Arial" w:eastAsia="Arial" w:hAnsi="Arial" w:cs="Arial"/>
          <w:color w:val="000000" w:themeColor="text1"/>
        </w:rPr>
        <w:lastRenderedPageBreak/>
        <w:t>as a strategically attractive market for multinational enterprises operating in the digital retail sector.</w:t>
      </w:r>
    </w:p>
    <w:p w14:paraId="74433AA3" w14:textId="4108A1A0" w:rsidR="4EC2F01B" w:rsidRDefault="4EC2F01B" w:rsidP="4D56DE6F">
      <w:pPr>
        <w:spacing w:before="240" w:after="240" w:line="360" w:lineRule="auto"/>
      </w:pPr>
      <w:r w:rsidRPr="4D56DE6F">
        <w:rPr>
          <w:rFonts w:ascii="Arial" w:eastAsia="Arial" w:hAnsi="Arial" w:cs="Arial"/>
        </w:rPr>
        <w:t>The United Kingdom is one of the largest e-commerce markets in Europe, with online retail accounting for a significant proportion of total retail sales and Amazon holding a dominant share of the UK online marketplace sector.</w:t>
      </w:r>
    </w:p>
    <w:p w14:paraId="4965FC23" w14:textId="046FA4F6" w:rsidR="55AD66A1" w:rsidRDefault="55AD66A1" w:rsidP="4D56DE6F">
      <w:pPr>
        <w:pStyle w:val="Heading2"/>
        <w:spacing w:before="299" w:after="299" w:line="360" w:lineRule="auto"/>
        <w:rPr>
          <w:rFonts w:ascii="Arial" w:eastAsia="Arial" w:hAnsi="Arial" w:cs="Arial"/>
          <w:b/>
          <w:bCs/>
          <w:color w:val="000000" w:themeColor="text1"/>
          <w:sz w:val="24"/>
          <w:szCs w:val="24"/>
        </w:rPr>
      </w:pPr>
      <w:bookmarkStart w:id="8" w:name="_Toc1152797806"/>
      <w:bookmarkStart w:id="9" w:name="_Toc1973654106"/>
      <w:r w:rsidRPr="4D56DE6F">
        <w:rPr>
          <w:rFonts w:ascii="Arial" w:eastAsia="Arial" w:hAnsi="Arial" w:cs="Arial"/>
          <w:b/>
          <w:bCs/>
          <w:color w:val="000000" w:themeColor="text1"/>
          <w:sz w:val="24"/>
          <w:szCs w:val="24"/>
        </w:rPr>
        <w:t>2.2 Major Domestic and Multinational Firms</w:t>
      </w:r>
      <w:bookmarkEnd w:id="8"/>
      <w:bookmarkEnd w:id="9"/>
      <w:r w:rsidRPr="4D56DE6F">
        <w:rPr>
          <w:rFonts w:ascii="Arial" w:eastAsia="Arial" w:hAnsi="Arial" w:cs="Arial"/>
          <w:b/>
          <w:bCs/>
          <w:color w:val="000000" w:themeColor="text1"/>
          <w:sz w:val="24"/>
          <w:szCs w:val="24"/>
        </w:rPr>
        <w:t xml:space="preserve"> </w:t>
      </w:r>
    </w:p>
    <w:p w14:paraId="7C1D5693" w14:textId="2E76E06F" w:rsidR="55AD66A1" w:rsidRDefault="55AD66A1" w:rsidP="4D56DE6F">
      <w:pPr>
        <w:spacing w:before="240" w:after="240" w:line="360" w:lineRule="auto"/>
        <w:rPr>
          <w:rFonts w:ascii="Arial" w:eastAsia="Arial" w:hAnsi="Arial" w:cs="Arial"/>
        </w:rPr>
      </w:pPr>
      <w:r w:rsidRPr="4D56DE6F">
        <w:rPr>
          <w:rFonts w:ascii="Arial" w:eastAsia="Arial" w:hAnsi="Arial" w:cs="Arial"/>
        </w:rPr>
        <w:t>The UK e‑commerce market is characterised by competition between established domestic retailers and powerful multinational platforms. Domestic firms such as Tesco, ASOS, Argos, and Next plc compete alongside multinational enterprises including Amazon and eBay, reflecting the UK’s openness to foreign direct investment and cross‑border digital trade.</w:t>
      </w:r>
    </w:p>
    <w:p w14:paraId="121EA1EE" w14:textId="00B29059" w:rsidR="55AD66A1" w:rsidRDefault="55AD66A1" w:rsidP="4D56DE6F">
      <w:pPr>
        <w:spacing w:before="240" w:after="240" w:line="360" w:lineRule="auto"/>
        <w:rPr>
          <w:rFonts w:ascii="Arial" w:eastAsia="Arial" w:hAnsi="Arial" w:cs="Arial"/>
        </w:rPr>
      </w:pPr>
      <w:r w:rsidRPr="4D56DE6F">
        <w:rPr>
          <w:rFonts w:ascii="Arial" w:eastAsia="Arial" w:hAnsi="Arial" w:cs="Arial"/>
        </w:rPr>
        <w:t>Market share and competitive positioning are shaped by logistics capabilities, brand equity, pricing strategies, and digital ecosystem integration (Wild and Wild, 2016). Consistent with Porter’s (1990) view of competitive advantage, firms differentiate themselves through superior delivery networks, exclusive product ranges, and subscription‑based loyalty models, or pursue cost leadership through scale efficiencies and optimised supply chains.</w:t>
      </w:r>
    </w:p>
    <w:p w14:paraId="1769DF70" w14:textId="4DDCB402" w:rsidR="55AD66A1" w:rsidRDefault="55AD66A1" w:rsidP="4D56DE6F">
      <w:pPr>
        <w:spacing w:before="240" w:after="240" w:line="360" w:lineRule="auto"/>
        <w:rPr>
          <w:rFonts w:ascii="Arial" w:eastAsia="Arial" w:hAnsi="Arial" w:cs="Arial"/>
        </w:rPr>
      </w:pPr>
      <w:r w:rsidRPr="4D56DE6F">
        <w:rPr>
          <w:rFonts w:ascii="Arial" w:eastAsia="Arial" w:hAnsi="Arial" w:cs="Arial"/>
        </w:rPr>
        <w:t>Multinational enterprises leverage global scale economies, technological assets, and integrated supply chains, while domestic firms often compete through local brand loyalty, omnichannel retailing, and market‑specific product strategies (Rugman, 2009). This balance between global standardisation and local responsiveness reflects the adaptive strategic mindset required in contemporary international business (Kossowska and Rosiński, 2024). Platform‑based competition further intensifies rivalry, as firms operate not only as retailers but also as digital intermediaries connecting third‑party sellers and consumers.</w:t>
      </w:r>
    </w:p>
    <w:p w14:paraId="52F8A866" w14:textId="6F153DBC" w:rsidR="55AD66A1" w:rsidRDefault="55AD66A1" w:rsidP="4D56DE6F">
      <w:pPr>
        <w:pStyle w:val="Heading2"/>
        <w:spacing w:before="299" w:after="299" w:line="360" w:lineRule="auto"/>
        <w:rPr>
          <w:rFonts w:ascii="Arial" w:eastAsia="Arial" w:hAnsi="Arial" w:cs="Arial"/>
          <w:b/>
          <w:bCs/>
          <w:color w:val="000000" w:themeColor="text1"/>
          <w:sz w:val="24"/>
          <w:szCs w:val="24"/>
        </w:rPr>
      </w:pPr>
      <w:bookmarkStart w:id="10" w:name="_Toc473912718"/>
      <w:bookmarkStart w:id="11" w:name="_Toc2070497822"/>
      <w:r w:rsidRPr="4D56DE6F">
        <w:rPr>
          <w:rFonts w:ascii="Arial" w:eastAsia="Arial" w:hAnsi="Arial" w:cs="Arial"/>
          <w:b/>
          <w:bCs/>
          <w:color w:val="000000" w:themeColor="text1"/>
          <w:sz w:val="24"/>
          <w:szCs w:val="24"/>
        </w:rPr>
        <w:t>2.3 Competitive Positioning (Porter’s Five Forces)</w:t>
      </w:r>
      <w:bookmarkEnd w:id="10"/>
      <w:bookmarkEnd w:id="11"/>
      <w:r w:rsidRPr="4D56DE6F">
        <w:rPr>
          <w:rFonts w:ascii="Arial" w:eastAsia="Arial" w:hAnsi="Arial" w:cs="Arial"/>
          <w:b/>
          <w:bCs/>
          <w:color w:val="000000" w:themeColor="text1"/>
          <w:sz w:val="24"/>
          <w:szCs w:val="24"/>
        </w:rPr>
        <w:t xml:space="preserve"> </w:t>
      </w:r>
    </w:p>
    <w:p w14:paraId="585C025E" w14:textId="0F854C75" w:rsidR="55AD66A1" w:rsidRDefault="55AD66A1" w:rsidP="4D56DE6F">
      <w:pPr>
        <w:spacing w:before="240" w:after="240" w:line="360" w:lineRule="auto"/>
        <w:rPr>
          <w:rFonts w:ascii="Arial" w:eastAsia="Arial" w:hAnsi="Arial" w:cs="Arial"/>
        </w:rPr>
      </w:pPr>
      <w:r w:rsidRPr="4D56DE6F">
        <w:rPr>
          <w:rFonts w:ascii="Arial" w:eastAsia="Arial" w:hAnsi="Arial" w:cs="Arial"/>
        </w:rPr>
        <w:t xml:space="preserve">Competitive intensity within the UK e‑commerce sector is high due to the presence of numerous strong competitors with established brand recognition and advanced logistics capabilities (Wild and Wild, 2016). This rivalry reduces industry margins and </w:t>
      </w:r>
      <w:r w:rsidRPr="4D56DE6F">
        <w:rPr>
          <w:rFonts w:ascii="Arial" w:eastAsia="Arial" w:hAnsi="Arial" w:cs="Arial"/>
        </w:rPr>
        <w:lastRenderedPageBreak/>
        <w:t>necessitates continuous innovation in pricing, delivery speed, and customer experience.</w:t>
      </w:r>
    </w:p>
    <w:p w14:paraId="00B0A68F" w14:textId="556E7FCD" w:rsidR="55AD66A1" w:rsidRDefault="55AD66A1" w:rsidP="4D56DE6F">
      <w:pPr>
        <w:spacing w:before="240" w:after="240" w:line="360" w:lineRule="auto"/>
        <w:rPr>
          <w:rFonts w:ascii="Arial" w:eastAsia="Arial" w:hAnsi="Arial" w:cs="Arial"/>
        </w:rPr>
      </w:pPr>
      <w:r w:rsidRPr="4D56DE6F">
        <w:rPr>
          <w:rFonts w:ascii="Arial" w:eastAsia="Arial" w:hAnsi="Arial" w:cs="Arial"/>
        </w:rPr>
        <w:t>Buyer power is particularly strong, as consumers face minimal switching costs and have access to price comparison tools, online reviews, and alternative platforms (Deresky, 2017). High transparency increases price sensitivity and pressures firms to maintain competitive pricing structures.</w:t>
      </w:r>
    </w:p>
    <w:p w14:paraId="23F9C80A" w14:textId="33FA2C2E" w:rsidR="55AD66A1" w:rsidRDefault="55AD66A1" w:rsidP="4D56DE6F">
      <w:pPr>
        <w:spacing w:before="240" w:after="240" w:line="360" w:lineRule="auto"/>
        <w:rPr>
          <w:rFonts w:ascii="Arial" w:eastAsia="Arial" w:hAnsi="Arial" w:cs="Arial"/>
        </w:rPr>
      </w:pPr>
      <w:r w:rsidRPr="4D56DE6F">
        <w:rPr>
          <w:rFonts w:ascii="Arial" w:eastAsia="Arial" w:hAnsi="Arial" w:cs="Arial"/>
        </w:rPr>
        <w:t>Supplier power is moderate. While major logistics providers, cloud infrastructure firms, and technology vendors possess bargaining leverage, large retailers and multinational platforms mitigate this through scale economies, vertical integration, and long‑term contractual arrangements (Cavusgil, Knight and Riesenberger, 2017).</w:t>
      </w:r>
    </w:p>
    <w:p w14:paraId="5A226B13" w14:textId="04D68C59" w:rsidR="55AD66A1" w:rsidRDefault="55AD66A1" w:rsidP="4D56DE6F">
      <w:pPr>
        <w:spacing w:before="240" w:after="240" w:line="360" w:lineRule="auto"/>
        <w:rPr>
          <w:rFonts w:ascii="Arial" w:eastAsia="Arial" w:hAnsi="Arial" w:cs="Arial"/>
        </w:rPr>
      </w:pPr>
      <w:r w:rsidRPr="4D56DE6F">
        <w:rPr>
          <w:rFonts w:ascii="Arial" w:eastAsia="Arial" w:hAnsi="Arial" w:cs="Arial"/>
        </w:rPr>
        <w:t>The threat of substitutes remains high due to the continued presence of physical retail and omnichannel alternatives. Many UK retailers integrate online and offline channels, allowing consumers flexibility in purchasing behaviour and fulfilment options.</w:t>
      </w:r>
    </w:p>
    <w:p w14:paraId="1DCD0895" w14:textId="43920C67" w:rsidR="55AD66A1" w:rsidRDefault="55AD66A1" w:rsidP="4D56DE6F">
      <w:pPr>
        <w:spacing w:before="240" w:after="240" w:line="360" w:lineRule="auto"/>
        <w:rPr>
          <w:rFonts w:ascii="Arial" w:eastAsia="Arial" w:hAnsi="Arial" w:cs="Arial"/>
        </w:rPr>
      </w:pPr>
      <w:r w:rsidRPr="4D56DE6F">
        <w:rPr>
          <w:rFonts w:ascii="Arial" w:eastAsia="Arial" w:hAnsi="Arial" w:cs="Arial"/>
        </w:rPr>
        <w:t>The threat of new entrants is moderate. Although digital platforms reduce initial entry barriers, substantial capital investment in warehousing, logistics infrastructure, cybersecurity, and brand development creates significant structural barriers to scale (Porter, 1990). These conditions collectively shape the competitive dynamics that multinational enterprises must navigate within the UK e‑commerce industry.</w:t>
      </w:r>
    </w:p>
    <w:p w14:paraId="02F54DC0" w14:textId="2B2B54B0" w:rsidR="5D63A92E" w:rsidRDefault="5D63A92E" w:rsidP="4D56DE6F">
      <w:pPr>
        <w:pStyle w:val="Heading1"/>
        <w:spacing w:line="360" w:lineRule="auto"/>
        <w:rPr>
          <w:rFonts w:ascii="Arial" w:eastAsia="Arial" w:hAnsi="Arial" w:cs="Arial"/>
          <w:color w:val="000000" w:themeColor="text1"/>
          <w:sz w:val="28"/>
          <w:szCs w:val="28"/>
        </w:rPr>
      </w:pPr>
      <w:bookmarkStart w:id="12" w:name="_Toc1129242465"/>
      <w:bookmarkStart w:id="13" w:name="_Toc2139788385"/>
      <w:r w:rsidRPr="4D56DE6F">
        <w:rPr>
          <w:rFonts w:ascii="Arial" w:eastAsia="Arial" w:hAnsi="Arial" w:cs="Arial"/>
          <w:color w:val="000000" w:themeColor="text1"/>
          <w:sz w:val="28"/>
          <w:szCs w:val="28"/>
        </w:rPr>
        <w:t>3. Porter’s Diamond Analysis of the UK E-Commerce Industry</w:t>
      </w:r>
      <w:bookmarkEnd w:id="12"/>
      <w:bookmarkEnd w:id="13"/>
    </w:p>
    <w:p w14:paraId="40A83142" w14:textId="387653DB" w:rsidR="5D63A92E" w:rsidRDefault="5D63A92E" w:rsidP="4D56DE6F">
      <w:pPr>
        <w:pStyle w:val="Heading2"/>
        <w:spacing w:before="299" w:after="299" w:line="360" w:lineRule="auto"/>
        <w:rPr>
          <w:rFonts w:ascii="Arial" w:eastAsia="Arial" w:hAnsi="Arial" w:cs="Arial"/>
          <w:b/>
          <w:bCs/>
          <w:color w:val="000000" w:themeColor="text1"/>
          <w:sz w:val="24"/>
          <w:szCs w:val="24"/>
        </w:rPr>
      </w:pPr>
      <w:bookmarkStart w:id="14" w:name="_Toc1404186018"/>
      <w:bookmarkStart w:id="15" w:name="_Toc1659824522"/>
      <w:r w:rsidRPr="4D56DE6F">
        <w:rPr>
          <w:rFonts w:ascii="Arial" w:eastAsia="Arial" w:hAnsi="Arial" w:cs="Arial"/>
          <w:b/>
          <w:bCs/>
          <w:color w:val="000000" w:themeColor="text1"/>
          <w:sz w:val="24"/>
          <w:szCs w:val="24"/>
        </w:rPr>
        <w:t>3.1 Factor Conditions</w:t>
      </w:r>
      <w:bookmarkEnd w:id="14"/>
      <w:bookmarkEnd w:id="15"/>
      <w:r w:rsidRPr="4D56DE6F">
        <w:rPr>
          <w:rFonts w:ascii="Arial" w:eastAsia="Arial" w:hAnsi="Arial" w:cs="Arial"/>
          <w:b/>
          <w:bCs/>
          <w:color w:val="000000" w:themeColor="text1"/>
          <w:sz w:val="24"/>
          <w:szCs w:val="24"/>
        </w:rPr>
        <w:t xml:space="preserve"> </w:t>
      </w:r>
    </w:p>
    <w:p w14:paraId="17535BD4" w14:textId="1E22CB4D" w:rsidR="5D63A92E" w:rsidRDefault="5D63A92E" w:rsidP="4D56DE6F">
      <w:pPr>
        <w:spacing w:before="240" w:after="240" w:line="360" w:lineRule="auto"/>
        <w:rPr>
          <w:rFonts w:ascii="Arial" w:eastAsia="Arial" w:hAnsi="Arial" w:cs="Arial"/>
        </w:rPr>
      </w:pPr>
      <w:r w:rsidRPr="4D56DE6F">
        <w:rPr>
          <w:rFonts w:ascii="Arial" w:eastAsia="Arial" w:hAnsi="Arial" w:cs="Arial"/>
        </w:rPr>
        <w:t xml:space="preserve">The United Kingdom benefits from highly advanced factor conditions that underpin the growth of its e‑commerce sector. Extensive broadband penetration, reliable digital infrastructure, sophisticated transport and logistics systems, and a technologically skilled labour force collectively enhance operational efficiency and innovation capacity (Sloman et al., 2019). These advanced factors enable firms to integrate data analytics, automate inventory management, and support rapid fulfilment cycles, strengthening productivity and competitiveness (Cavusgil, Knight </w:t>
      </w:r>
      <w:r w:rsidRPr="4D56DE6F">
        <w:rPr>
          <w:rFonts w:ascii="Arial" w:eastAsia="Arial" w:hAnsi="Arial" w:cs="Arial"/>
        </w:rPr>
        <w:lastRenderedPageBreak/>
        <w:t>and Riesenberger, 2017). The presence of leading universities, research institutions, and technology clusters further contributes to knowledge creation and digital capability development (Wild and Wild, 2016). In Porter’s (1990) framework, such specialised, advanced factors</w:t>
      </w:r>
      <w:r w:rsidR="131EC142" w:rsidRPr="4D56DE6F">
        <w:rPr>
          <w:rFonts w:ascii="Arial" w:eastAsia="Arial" w:hAnsi="Arial" w:cs="Arial"/>
        </w:rPr>
        <w:t>-</w:t>
      </w:r>
      <w:r w:rsidRPr="4D56DE6F">
        <w:rPr>
          <w:rFonts w:ascii="Arial" w:eastAsia="Arial" w:hAnsi="Arial" w:cs="Arial"/>
        </w:rPr>
        <w:t>rather than basic inputs</w:t>
      </w:r>
      <w:r w:rsidR="3D91DA14" w:rsidRPr="4D56DE6F">
        <w:rPr>
          <w:rFonts w:ascii="Arial" w:eastAsia="Arial" w:hAnsi="Arial" w:cs="Arial"/>
        </w:rPr>
        <w:t>-</w:t>
      </w:r>
      <w:r w:rsidRPr="4D56DE6F">
        <w:rPr>
          <w:rFonts w:ascii="Arial" w:eastAsia="Arial" w:hAnsi="Arial" w:cs="Arial"/>
        </w:rPr>
        <w:t>are essential for sustaining competitive advantage in knowledge‑intensive industries like digital retailing. The UK’s strong digital infrastructure and human capital therefore provide a robust foundation for long‑term e‑commerce competitiveness.</w:t>
      </w:r>
    </w:p>
    <w:p w14:paraId="5F15CD12" w14:textId="4BC44CA1" w:rsidR="7C7AAAF3" w:rsidRDefault="7C7AAAF3" w:rsidP="4D56DE6F">
      <w:pPr>
        <w:spacing w:before="240" w:after="240" w:line="360" w:lineRule="auto"/>
      </w:pPr>
      <w:r w:rsidRPr="4D56DE6F">
        <w:rPr>
          <w:rFonts w:ascii="Arial" w:eastAsia="Arial" w:hAnsi="Arial" w:cs="Arial"/>
        </w:rPr>
        <w:t>However, Porter’s Diamond has been criticised for its limited applicability to globalised, digitally integrated industries. Scholars such as Moon et al. (1998) argue that competitive advantage in platform-based sectors is shaped less by national factor conditions and more by cross-border ecosystems, data flows, and network effects. This suggests that while the UK’s advanced factors support Amazon, the model only partially captures the realities of digital competition.</w:t>
      </w:r>
    </w:p>
    <w:p w14:paraId="39BB29F9" w14:textId="0F2BBAF1" w:rsidR="5D63A92E" w:rsidRDefault="5D63A92E" w:rsidP="4D56DE6F">
      <w:pPr>
        <w:pStyle w:val="Heading2"/>
        <w:spacing w:before="299" w:after="299" w:line="360" w:lineRule="auto"/>
        <w:rPr>
          <w:rFonts w:ascii="Arial" w:eastAsia="Arial" w:hAnsi="Arial" w:cs="Arial"/>
          <w:b/>
          <w:bCs/>
          <w:color w:val="000000" w:themeColor="text1"/>
          <w:sz w:val="24"/>
          <w:szCs w:val="24"/>
        </w:rPr>
      </w:pPr>
      <w:bookmarkStart w:id="16" w:name="_Toc1177190096"/>
      <w:bookmarkStart w:id="17" w:name="_Toc449636136"/>
      <w:r w:rsidRPr="4D56DE6F">
        <w:rPr>
          <w:rFonts w:ascii="Arial" w:eastAsia="Arial" w:hAnsi="Arial" w:cs="Arial"/>
          <w:b/>
          <w:bCs/>
          <w:color w:val="000000" w:themeColor="text1"/>
          <w:sz w:val="24"/>
          <w:szCs w:val="24"/>
        </w:rPr>
        <w:t>3.2 Demand Conditions</w:t>
      </w:r>
      <w:bookmarkEnd w:id="16"/>
      <w:bookmarkEnd w:id="17"/>
      <w:r w:rsidRPr="4D56DE6F">
        <w:rPr>
          <w:rFonts w:ascii="Arial" w:eastAsia="Arial" w:hAnsi="Arial" w:cs="Arial"/>
          <w:b/>
          <w:bCs/>
          <w:color w:val="000000" w:themeColor="text1"/>
          <w:sz w:val="24"/>
          <w:szCs w:val="24"/>
        </w:rPr>
        <w:t xml:space="preserve"> </w:t>
      </w:r>
    </w:p>
    <w:p w14:paraId="692946C7" w14:textId="4BAC0F22" w:rsidR="5D63A92E" w:rsidRDefault="5D63A92E" w:rsidP="4D56DE6F">
      <w:pPr>
        <w:spacing w:before="240" w:after="240" w:line="360" w:lineRule="auto"/>
        <w:rPr>
          <w:rFonts w:ascii="Arial" w:eastAsia="Arial" w:hAnsi="Arial" w:cs="Arial"/>
        </w:rPr>
      </w:pPr>
      <w:r w:rsidRPr="4D56DE6F">
        <w:rPr>
          <w:rFonts w:ascii="Arial" w:eastAsia="Arial" w:hAnsi="Arial" w:cs="Arial"/>
        </w:rPr>
        <w:t>UK consumers are among the most digitally engaged globally, demonstrating high expectations for convenience, speed, reliability, and personalised online experiences (Deresky, 2017). This sophisticated domestic demand stimulates continuous innovation, encouraging firms to invest in artificial intelligence, predictive analytics, and integrated mobile platforms. Porter (1990) argues that demanding home markets drive firms to upgrade capabilities in order to remain competitive, a dynamic clearly visible in the UK where expectations for next‑day or same‑day delivery, seamless returns, and price transparency compel retailers to optimise supply chains and customer service systems. The behavioural shift toward digital consumption</w:t>
      </w:r>
      <w:r w:rsidR="46CEE518" w:rsidRPr="4D56DE6F">
        <w:rPr>
          <w:rFonts w:ascii="Arial" w:eastAsia="Arial" w:hAnsi="Arial" w:cs="Arial"/>
        </w:rPr>
        <w:t>-</w:t>
      </w:r>
      <w:r w:rsidRPr="4D56DE6F">
        <w:rPr>
          <w:rFonts w:ascii="Arial" w:eastAsia="Arial" w:hAnsi="Arial" w:cs="Arial"/>
        </w:rPr>
        <w:t>supported by mobile commerce and integrated payment ecosystems</w:t>
      </w:r>
      <w:r w:rsidR="3D61EB0B" w:rsidRPr="4D56DE6F">
        <w:rPr>
          <w:rFonts w:ascii="Arial" w:eastAsia="Arial" w:hAnsi="Arial" w:cs="Arial"/>
        </w:rPr>
        <w:t>-</w:t>
      </w:r>
      <w:r w:rsidRPr="4D56DE6F">
        <w:rPr>
          <w:rFonts w:ascii="Arial" w:eastAsia="Arial" w:hAnsi="Arial" w:cs="Arial"/>
        </w:rPr>
        <w:t>further strengthens the market’s attractiveness for multinational enterprises (Kossowska and Rosiński, 2024). Consequently, advanced demand conditions in the UK act as a catalyst for strategic and technological upgrading across the e‑commerce industry.</w:t>
      </w:r>
    </w:p>
    <w:p w14:paraId="6FDB9BFE" w14:textId="2AAFED58" w:rsidR="12E430D8" w:rsidRDefault="12E430D8" w:rsidP="4D56DE6F">
      <w:pPr>
        <w:spacing w:before="240" w:after="240" w:line="360" w:lineRule="auto"/>
      </w:pPr>
      <w:r w:rsidRPr="4D56DE6F">
        <w:rPr>
          <w:rFonts w:ascii="Arial" w:eastAsia="Arial" w:hAnsi="Arial" w:cs="Arial"/>
        </w:rPr>
        <w:t>Yet these sophisticated expectations also intensify competitive pressure, reducing the sustainability of cost-based advantages and forcing firms like Amazon to continually innovate simply to maintain parity.</w:t>
      </w:r>
    </w:p>
    <w:p w14:paraId="27D17C0C" w14:textId="205D0E46" w:rsidR="5D63A92E" w:rsidRDefault="5D63A92E" w:rsidP="4D56DE6F">
      <w:pPr>
        <w:pStyle w:val="Heading2"/>
        <w:spacing w:before="299" w:after="299" w:line="360" w:lineRule="auto"/>
        <w:rPr>
          <w:rFonts w:ascii="Arial" w:eastAsia="Arial" w:hAnsi="Arial" w:cs="Arial"/>
          <w:b/>
          <w:bCs/>
          <w:color w:val="000000" w:themeColor="text1"/>
          <w:sz w:val="24"/>
          <w:szCs w:val="24"/>
        </w:rPr>
      </w:pPr>
      <w:bookmarkStart w:id="18" w:name="_Toc347788096"/>
      <w:bookmarkStart w:id="19" w:name="_Toc328838196"/>
      <w:r w:rsidRPr="4D56DE6F">
        <w:rPr>
          <w:rFonts w:ascii="Arial" w:eastAsia="Arial" w:hAnsi="Arial" w:cs="Arial"/>
          <w:b/>
          <w:bCs/>
          <w:color w:val="000000" w:themeColor="text1"/>
          <w:sz w:val="24"/>
          <w:szCs w:val="24"/>
        </w:rPr>
        <w:lastRenderedPageBreak/>
        <w:t>3.3 Related and Supporting Industries</w:t>
      </w:r>
      <w:bookmarkEnd w:id="18"/>
      <w:bookmarkEnd w:id="19"/>
      <w:r w:rsidRPr="4D56DE6F">
        <w:rPr>
          <w:rFonts w:ascii="Arial" w:eastAsia="Arial" w:hAnsi="Arial" w:cs="Arial"/>
          <w:b/>
          <w:bCs/>
          <w:color w:val="000000" w:themeColor="text1"/>
          <w:sz w:val="24"/>
          <w:szCs w:val="24"/>
        </w:rPr>
        <w:t xml:space="preserve"> </w:t>
      </w:r>
    </w:p>
    <w:p w14:paraId="6BC2D17C" w14:textId="5B660910" w:rsidR="5D63A92E" w:rsidRDefault="5D63A92E" w:rsidP="4D56DE6F">
      <w:pPr>
        <w:spacing w:before="240" w:after="240" w:line="360" w:lineRule="auto"/>
        <w:rPr>
          <w:rFonts w:ascii="Arial" w:eastAsia="Arial" w:hAnsi="Arial" w:cs="Arial"/>
        </w:rPr>
      </w:pPr>
      <w:r w:rsidRPr="4D56DE6F">
        <w:rPr>
          <w:rFonts w:ascii="Arial" w:eastAsia="Arial" w:hAnsi="Arial" w:cs="Arial"/>
        </w:rPr>
        <w:t>The UK hosts a highly developed network of related and supporting industries that significantly enhances the competitiveness of its e‑commerce sector. Key complementary industries include logistics and fulfilment providers, fintech companies, digital marketing agencies, cybersecurity firms, and cloud computing services, all of which supply specialised inputs essential for efficient online retail operations (Daniels, Radebaugh and Sullivan, 2019). The strength of the UK’s fintech ecosystem supports secure and seamless digital payments, while advanced logistics networks enable efficient warehousing, distribution, and last‑mile deliver</w:t>
      </w:r>
      <w:r w:rsidR="2FF3854F" w:rsidRPr="4D56DE6F">
        <w:rPr>
          <w:rFonts w:ascii="Arial" w:eastAsia="Arial" w:hAnsi="Arial" w:cs="Arial"/>
        </w:rPr>
        <w:t xml:space="preserve"> -</w:t>
      </w:r>
      <w:r w:rsidRPr="4D56DE6F">
        <w:rPr>
          <w:rFonts w:ascii="Arial" w:eastAsia="Arial" w:hAnsi="Arial" w:cs="Arial"/>
        </w:rPr>
        <w:t>capabilities that are critical for meeting consumer expectations in a mature digital market. Porter (1990) emphasises that strong supporting industries generate positive spillovers, knowledge externalities, and innovation diffusion, collectively reinforcing national competitive advantage. In the UK context, the close integration between e‑commerce firms and their supporting industries creates a synergistic digital ecosystem that reduces transaction costs, enhances scalability, and accelerates technological upgrading for both domestic and multinational firms.</w:t>
      </w:r>
    </w:p>
    <w:p w14:paraId="1E91AF2E" w14:textId="16E2A9BC" w:rsidR="60DB98AA" w:rsidRDefault="60DB98AA" w:rsidP="4D56DE6F">
      <w:pPr>
        <w:spacing w:before="240" w:after="240" w:line="360" w:lineRule="auto"/>
      </w:pPr>
      <w:r w:rsidRPr="4D56DE6F">
        <w:rPr>
          <w:rFonts w:ascii="Arial" w:eastAsia="Arial" w:hAnsi="Arial" w:cs="Arial"/>
        </w:rPr>
        <w:t>Nonetheless, the Diamond model assumes national clusters operate in isolation, whereas Amazon’s supply chain relies on global logistics, cloud infrastructure, and international data networks. This limits the model’s explanatory power in fully capturing Amazon’s competitive ecosystem.</w:t>
      </w:r>
    </w:p>
    <w:p w14:paraId="5A84B223" w14:textId="001B0184" w:rsidR="377D977B" w:rsidRDefault="377D977B" w:rsidP="4D56DE6F">
      <w:pPr>
        <w:pStyle w:val="Heading2"/>
        <w:spacing w:before="299" w:after="299" w:line="360" w:lineRule="auto"/>
        <w:rPr>
          <w:rFonts w:ascii="Arial" w:eastAsia="Arial" w:hAnsi="Arial" w:cs="Arial"/>
          <w:b/>
          <w:bCs/>
          <w:color w:val="000000" w:themeColor="text1"/>
          <w:sz w:val="24"/>
          <w:szCs w:val="24"/>
        </w:rPr>
      </w:pPr>
      <w:bookmarkStart w:id="20" w:name="_Toc64683198"/>
      <w:bookmarkStart w:id="21" w:name="_Toc676459133"/>
      <w:r w:rsidRPr="4D56DE6F">
        <w:rPr>
          <w:rFonts w:ascii="Arial" w:eastAsia="Arial" w:hAnsi="Arial" w:cs="Arial"/>
          <w:b/>
          <w:bCs/>
          <w:color w:val="000000" w:themeColor="text1"/>
          <w:sz w:val="24"/>
          <w:szCs w:val="24"/>
        </w:rPr>
        <w:t>3.4 Firm Strategy, Structure and Rivalry</w:t>
      </w:r>
      <w:bookmarkEnd w:id="20"/>
      <w:bookmarkEnd w:id="21"/>
      <w:r w:rsidRPr="4D56DE6F">
        <w:rPr>
          <w:rFonts w:ascii="Arial" w:eastAsia="Arial" w:hAnsi="Arial" w:cs="Arial"/>
          <w:b/>
          <w:bCs/>
          <w:color w:val="000000" w:themeColor="text1"/>
          <w:sz w:val="24"/>
          <w:szCs w:val="24"/>
        </w:rPr>
        <w:t xml:space="preserve"> </w:t>
      </w:r>
    </w:p>
    <w:p w14:paraId="727CB356" w14:textId="707A8AA5" w:rsidR="377D977B" w:rsidRDefault="377D977B" w:rsidP="4D56DE6F">
      <w:pPr>
        <w:spacing w:before="240" w:after="240" w:line="360" w:lineRule="auto"/>
      </w:pPr>
      <w:r w:rsidRPr="4D56DE6F">
        <w:rPr>
          <w:rFonts w:ascii="Arial" w:eastAsia="Arial" w:hAnsi="Arial" w:cs="Arial"/>
        </w:rPr>
        <w:t xml:space="preserve">The UK e‑commerce industry is characterised by intense competitive rivalry among both domestic retailers and multinational platforms, creating a dynamic environment that drives continuous strategic innovation (Wild and Wild, 2016). Firms compete across pricing, delivery speed, digital experience, and product assortment, prompting ongoing investment in technology and operational efficiency. Domestic retailers frequently adopt omnichannel strategies that integrate physical stores with online platforms, while multinational enterprises leverage global scale economies, advanced technological capabilities, and cross‑border supply chain integration to strengthen competitive positioning (Rugman, 2009). Porter (1990) argues that strong domestic rivalry fosters innovation and strategic upgrading, a dynamic clearly visible </w:t>
      </w:r>
      <w:r w:rsidRPr="4D56DE6F">
        <w:rPr>
          <w:rFonts w:ascii="Arial" w:eastAsia="Arial" w:hAnsi="Arial" w:cs="Arial"/>
        </w:rPr>
        <w:lastRenderedPageBreak/>
        <w:t>in the UK where firms must balance cost leadership with differentiation to remain competitive. This environment also requires companies to reconcile global standardisation with local responsiveness, reflecting the adaptive strategic orientation emphasised in international business literature (Cavusgil, Knight and Riesenberger, 2017</w:t>
      </w:r>
      <w:r w:rsidRPr="4D56DE6F">
        <w:rPr>
          <w:rFonts w:ascii="Aptos" w:eastAsia="Aptos" w:hAnsi="Aptos" w:cs="Aptos"/>
        </w:rPr>
        <w:t>).</w:t>
      </w:r>
    </w:p>
    <w:p w14:paraId="7D0DD6A6" w14:textId="5BDDC6E8" w:rsidR="377D977B" w:rsidRDefault="377D977B" w:rsidP="4D56DE6F">
      <w:pPr>
        <w:pStyle w:val="Heading2"/>
        <w:spacing w:before="299" w:after="299" w:line="360" w:lineRule="auto"/>
        <w:rPr>
          <w:rFonts w:ascii="Arial" w:eastAsia="Arial" w:hAnsi="Arial" w:cs="Arial"/>
          <w:b/>
          <w:bCs/>
          <w:color w:val="000000" w:themeColor="text1"/>
          <w:sz w:val="24"/>
          <w:szCs w:val="24"/>
        </w:rPr>
      </w:pPr>
      <w:bookmarkStart w:id="22" w:name="_Toc822528671"/>
      <w:bookmarkStart w:id="23" w:name="_Toc1758373745"/>
      <w:r w:rsidRPr="4D56DE6F">
        <w:rPr>
          <w:rFonts w:ascii="Arial" w:eastAsia="Arial" w:hAnsi="Arial" w:cs="Arial"/>
          <w:b/>
          <w:bCs/>
          <w:color w:val="000000" w:themeColor="text1"/>
          <w:sz w:val="24"/>
          <w:szCs w:val="24"/>
        </w:rPr>
        <w:t>3.5 Government</w:t>
      </w:r>
      <w:bookmarkEnd w:id="22"/>
      <w:bookmarkEnd w:id="23"/>
      <w:r w:rsidRPr="4D56DE6F">
        <w:rPr>
          <w:rFonts w:ascii="Arial" w:eastAsia="Arial" w:hAnsi="Arial" w:cs="Arial"/>
          <w:b/>
          <w:bCs/>
          <w:color w:val="000000" w:themeColor="text1"/>
          <w:sz w:val="24"/>
          <w:szCs w:val="24"/>
        </w:rPr>
        <w:t xml:space="preserve"> </w:t>
      </w:r>
    </w:p>
    <w:p w14:paraId="243F4AAF" w14:textId="51867858" w:rsidR="377D977B" w:rsidRDefault="377D977B" w:rsidP="4D56DE6F">
      <w:pPr>
        <w:spacing w:before="240" w:after="240" w:line="360" w:lineRule="auto"/>
        <w:rPr>
          <w:rFonts w:ascii="Arial" w:eastAsia="Arial" w:hAnsi="Arial" w:cs="Arial"/>
        </w:rPr>
      </w:pPr>
      <w:r w:rsidRPr="4D56DE6F">
        <w:rPr>
          <w:rFonts w:ascii="Arial" w:eastAsia="Arial" w:hAnsi="Arial" w:cs="Arial"/>
        </w:rPr>
        <w:t>Government policy plays a significant role in shaping the competitive environment of the UK e‑commerce sector. Regulatory frameworks governing digital trade, consumer protection, data security, and competition law provide institutional stability and legal clarity, enabling firms to operate within a predictable environment (Daniels, Radebaugh and Sullivan, 2019). Public investment in digital infrastructure, innovation funding, and workforce development further enhances the sector’s growth potential by supporting technological adoption and skills advancement (Sloman et al., 2019). At the same time, regulatory scrutiny concerning taxation, labour standards, and market dominance influences how multinational enterprises-such as Amazon-structure their operations within the UK. Porter (1990) highlights that government acts both as a catalyst, encouraging innovation and upgrading, and as a challenger, enforcing standards that maintain fair competition. In this context, UK government policy simultaneously stimulates digital retail growth while constraining potential market distortions.</w:t>
      </w:r>
    </w:p>
    <w:p w14:paraId="73999AED" w14:textId="354E9452" w:rsidR="0932D633" w:rsidRDefault="0932D633" w:rsidP="4D56DE6F">
      <w:pPr>
        <w:spacing w:before="240" w:after="240" w:line="360" w:lineRule="auto"/>
      </w:pPr>
      <w:r w:rsidRPr="4D56DE6F">
        <w:rPr>
          <w:rFonts w:ascii="Arial" w:eastAsia="Arial" w:hAnsi="Arial" w:cs="Arial"/>
        </w:rPr>
        <w:t>However, the long-term sustainability of Amazon’s competitive advantage will depend on its ability to respond to increasing regulatory scrutiny, intensifying platform competition, and evolving consumer expectations regarding sustainability and corporate responsibility.</w:t>
      </w:r>
    </w:p>
    <w:p w14:paraId="1AE158AB" w14:textId="7B3B2ED3" w:rsidR="377D977B" w:rsidRDefault="377D977B" w:rsidP="4D56DE6F">
      <w:pPr>
        <w:pStyle w:val="Heading2"/>
        <w:spacing w:before="299" w:after="299" w:line="360" w:lineRule="auto"/>
        <w:rPr>
          <w:rFonts w:ascii="Arial" w:eastAsia="Arial" w:hAnsi="Arial" w:cs="Arial"/>
          <w:b/>
          <w:bCs/>
          <w:color w:val="000000" w:themeColor="text1"/>
          <w:sz w:val="24"/>
          <w:szCs w:val="24"/>
        </w:rPr>
      </w:pPr>
      <w:bookmarkStart w:id="24" w:name="_Toc1891713266"/>
      <w:bookmarkStart w:id="25" w:name="_Toc1092440696"/>
      <w:r w:rsidRPr="4D56DE6F">
        <w:rPr>
          <w:rFonts w:ascii="Arial" w:eastAsia="Arial" w:hAnsi="Arial" w:cs="Arial"/>
          <w:b/>
          <w:bCs/>
          <w:color w:val="000000" w:themeColor="text1"/>
          <w:sz w:val="24"/>
          <w:szCs w:val="24"/>
        </w:rPr>
        <w:t>3.6 Chance Factors</w:t>
      </w:r>
      <w:bookmarkEnd w:id="24"/>
      <w:bookmarkEnd w:id="25"/>
    </w:p>
    <w:p w14:paraId="7A78274C" w14:textId="231EEBA2" w:rsidR="377D977B" w:rsidRDefault="377D977B" w:rsidP="4D56DE6F">
      <w:pPr>
        <w:spacing w:before="240" w:after="240" w:line="360" w:lineRule="auto"/>
      </w:pPr>
      <w:r w:rsidRPr="4D56DE6F">
        <w:rPr>
          <w:rFonts w:ascii="Arial" w:eastAsia="Arial" w:hAnsi="Arial" w:cs="Arial"/>
        </w:rPr>
        <w:t xml:space="preserve">Chance events can significantly reshape industry trajectories by altering consumer behaviour, supply chain dynamics, and competitive conditions. External shocks such as the COVID‑19 pandemic accelerated the adoption of online retail, intensified digital transformation, and exposed vulnerabilities in global supply chains. Although such events lie beyond the control of firms or governments, they can reinforce or </w:t>
      </w:r>
      <w:r w:rsidRPr="4D56DE6F">
        <w:rPr>
          <w:rFonts w:ascii="Arial" w:eastAsia="Arial" w:hAnsi="Arial" w:cs="Arial"/>
        </w:rPr>
        <w:lastRenderedPageBreak/>
        <w:t>undermine national competitive advantage depending on how effectively firms respond. Porter (1990) emphasises that chance factors can disrupt or amplify the effects of the Diamond’s determinants. In the UK context, firms with strong digital infrastructure, scalable logistics systems, and flexible supply chains</w:t>
      </w:r>
      <w:r w:rsidR="3FDA1DFB" w:rsidRPr="4D56DE6F">
        <w:rPr>
          <w:rFonts w:ascii="Arial" w:eastAsia="Arial" w:hAnsi="Arial" w:cs="Arial"/>
        </w:rPr>
        <w:t>-</w:t>
      </w:r>
      <w:r w:rsidRPr="4D56DE6F">
        <w:rPr>
          <w:rFonts w:ascii="Arial" w:eastAsia="Arial" w:hAnsi="Arial" w:cs="Arial"/>
        </w:rPr>
        <w:t>characteristics highlighted in international business literature as sources of resilience (Wild and Wild, 2016)</w:t>
      </w:r>
      <w:r w:rsidR="37683940" w:rsidRPr="4D56DE6F">
        <w:rPr>
          <w:rFonts w:ascii="Arial" w:eastAsia="Arial" w:hAnsi="Arial" w:cs="Arial"/>
        </w:rPr>
        <w:t>-</w:t>
      </w:r>
      <w:r w:rsidRPr="4D56DE6F">
        <w:rPr>
          <w:rFonts w:ascii="Arial" w:eastAsia="Arial" w:hAnsi="Arial" w:cs="Arial"/>
        </w:rPr>
        <w:t>were able to capitalise on these shifts more effectively than less technologically advanced competitors. Chance factors therefore play a critical role in shaping the evolution of the UK e‑commerce industry and influencing long‑term competitive outcomes</w:t>
      </w:r>
      <w:r w:rsidRPr="4D56DE6F">
        <w:rPr>
          <w:rFonts w:ascii="Aptos" w:eastAsia="Aptos" w:hAnsi="Aptos" w:cs="Aptos"/>
        </w:rPr>
        <w:t>.</w:t>
      </w:r>
    </w:p>
    <w:p w14:paraId="6294072D" w14:textId="21F36B95" w:rsidR="386F3548" w:rsidRDefault="386F3548" w:rsidP="4D56DE6F">
      <w:pPr>
        <w:pStyle w:val="Heading1"/>
        <w:spacing w:before="322" w:after="322" w:line="360" w:lineRule="auto"/>
        <w:rPr>
          <w:rFonts w:ascii="Arial" w:eastAsia="Arial" w:hAnsi="Arial" w:cs="Arial"/>
          <w:b/>
          <w:bCs/>
          <w:color w:val="000000" w:themeColor="text1"/>
          <w:sz w:val="28"/>
          <w:szCs w:val="28"/>
        </w:rPr>
      </w:pPr>
      <w:bookmarkStart w:id="26" w:name="_Toc2053805856"/>
      <w:bookmarkStart w:id="27" w:name="_Toc1313350713"/>
      <w:r w:rsidRPr="4D56DE6F">
        <w:rPr>
          <w:rFonts w:ascii="Arial" w:eastAsia="Arial" w:hAnsi="Arial" w:cs="Arial"/>
          <w:b/>
          <w:bCs/>
          <w:color w:val="000000" w:themeColor="text1"/>
          <w:sz w:val="28"/>
          <w:szCs w:val="28"/>
        </w:rPr>
        <w:t>4. PESTLE Analysis of Amazon UK</w:t>
      </w:r>
      <w:bookmarkEnd w:id="26"/>
      <w:bookmarkEnd w:id="27"/>
      <w:r w:rsidRPr="4D56DE6F">
        <w:rPr>
          <w:rFonts w:ascii="Arial" w:eastAsia="Arial" w:hAnsi="Arial" w:cs="Arial"/>
          <w:b/>
          <w:bCs/>
          <w:color w:val="000000" w:themeColor="text1"/>
          <w:sz w:val="28"/>
          <w:szCs w:val="28"/>
        </w:rPr>
        <w:t xml:space="preserve"> </w:t>
      </w:r>
    </w:p>
    <w:p w14:paraId="6864C619" w14:textId="68C30C62" w:rsidR="386F3548" w:rsidRDefault="386F3548" w:rsidP="4D56DE6F">
      <w:pPr>
        <w:pStyle w:val="Heading2"/>
        <w:spacing w:before="299" w:after="299" w:line="360" w:lineRule="auto"/>
        <w:rPr>
          <w:rFonts w:ascii="Arial" w:eastAsia="Arial" w:hAnsi="Arial" w:cs="Arial"/>
          <w:b/>
          <w:bCs/>
          <w:color w:val="000000" w:themeColor="text1"/>
          <w:sz w:val="24"/>
          <w:szCs w:val="24"/>
        </w:rPr>
      </w:pPr>
      <w:bookmarkStart w:id="28" w:name="_Toc1953556732"/>
      <w:bookmarkStart w:id="29" w:name="_Toc1170641374"/>
      <w:r w:rsidRPr="4D56DE6F">
        <w:rPr>
          <w:rFonts w:ascii="Arial" w:eastAsia="Arial" w:hAnsi="Arial" w:cs="Arial"/>
          <w:b/>
          <w:bCs/>
          <w:color w:val="000000" w:themeColor="text1"/>
          <w:sz w:val="24"/>
          <w:szCs w:val="24"/>
        </w:rPr>
        <w:t>4.1 Political Factors</w:t>
      </w:r>
      <w:bookmarkEnd w:id="28"/>
      <w:bookmarkEnd w:id="29"/>
    </w:p>
    <w:p w14:paraId="38C64330" w14:textId="5A5BC721" w:rsidR="386F3548" w:rsidRDefault="386F3548" w:rsidP="4D56DE6F">
      <w:pPr>
        <w:spacing w:before="240" w:after="240" w:line="360" w:lineRule="auto"/>
        <w:rPr>
          <w:rFonts w:ascii="Arial" w:eastAsia="Arial" w:hAnsi="Arial" w:cs="Arial"/>
        </w:rPr>
      </w:pPr>
      <w:r w:rsidRPr="4D56DE6F">
        <w:rPr>
          <w:rFonts w:ascii="Arial" w:eastAsia="Arial" w:hAnsi="Arial" w:cs="Arial"/>
        </w:rPr>
        <w:t>Amazon UK operates within a stable political and institutional environment characterised by transparent governance, strong regulatory systems, and a well‑established rule of law (Daniels, Radebaugh and Sullivan, 2019). Government policies relating to digital trade, consumer protection, taxation, and competition law significantly influence Amazon’s strategic and operational decisions. Post‑Brexit regulatory divergence has introduced additional compliance requirements, particularly concerning customs procedures, cross‑border data flows, and labour mobility. These changes have required Amazon to adjust supply chain configurations and strengthen regulatory compliance mechanisms.</w:t>
      </w:r>
    </w:p>
    <w:p w14:paraId="494B13C6" w14:textId="0A0A80B8" w:rsidR="386F3548" w:rsidRDefault="386F3548" w:rsidP="4D56DE6F">
      <w:pPr>
        <w:spacing w:before="240" w:after="240" w:line="360" w:lineRule="auto"/>
        <w:rPr>
          <w:rFonts w:ascii="Arial" w:eastAsia="Arial" w:hAnsi="Arial" w:cs="Arial"/>
        </w:rPr>
      </w:pPr>
      <w:r w:rsidRPr="4D56DE6F">
        <w:rPr>
          <w:rFonts w:ascii="Arial" w:eastAsia="Arial" w:hAnsi="Arial" w:cs="Arial"/>
        </w:rPr>
        <w:t>Political scrutiny surrounding Amazon’s market dominance, corporate taxation, and employment practices reflects broader debates about the societal responsibilities of multinational enterprises (Rugman, 2009). Such pressures shape Amazon’s investment decisions, fulfilment centre expansion, and workforce governance structures within the UK market.</w:t>
      </w:r>
    </w:p>
    <w:p w14:paraId="4733D5F8" w14:textId="7FD4FAB9" w:rsidR="386F3548" w:rsidRDefault="386F3548" w:rsidP="4D56DE6F">
      <w:pPr>
        <w:pStyle w:val="Heading2"/>
        <w:spacing w:before="299" w:after="299" w:line="360" w:lineRule="auto"/>
        <w:rPr>
          <w:rFonts w:ascii="Arial" w:eastAsia="Arial" w:hAnsi="Arial" w:cs="Arial"/>
          <w:b/>
          <w:bCs/>
          <w:color w:val="000000" w:themeColor="text1"/>
          <w:sz w:val="24"/>
          <w:szCs w:val="24"/>
        </w:rPr>
      </w:pPr>
      <w:bookmarkStart w:id="30" w:name="_Toc1963313901"/>
      <w:bookmarkStart w:id="31" w:name="_Toc1242190469"/>
      <w:r w:rsidRPr="4D56DE6F">
        <w:rPr>
          <w:rFonts w:ascii="Arial" w:eastAsia="Arial" w:hAnsi="Arial" w:cs="Arial"/>
          <w:b/>
          <w:bCs/>
          <w:color w:val="000000" w:themeColor="text1"/>
          <w:sz w:val="24"/>
          <w:szCs w:val="24"/>
        </w:rPr>
        <w:t>4.2 Economic Factors</w:t>
      </w:r>
      <w:bookmarkEnd w:id="30"/>
      <w:bookmarkEnd w:id="31"/>
    </w:p>
    <w:p w14:paraId="5B7E4473" w14:textId="4F91296D" w:rsidR="386F3548" w:rsidRDefault="386F3548" w:rsidP="4D56DE6F">
      <w:pPr>
        <w:spacing w:before="240" w:after="240" w:line="360" w:lineRule="auto"/>
        <w:rPr>
          <w:rFonts w:ascii="Arial" w:eastAsia="Arial" w:hAnsi="Arial" w:cs="Arial"/>
        </w:rPr>
      </w:pPr>
      <w:r w:rsidRPr="4D56DE6F">
        <w:rPr>
          <w:rFonts w:ascii="Arial" w:eastAsia="Arial" w:hAnsi="Arial" w:cs="Arial"/>
        </w:rPr>
        <w:t xml:space="preserve">The UK’s advanced digital economy, high disposable income levels, and strong e‑commerce penetration create favourable macroeconomic conditions for Amazon’s operations (Sloman et al., 2019). Robust consumer demand supports scale </w:t>
      </w:r>
      <w:r w:rsidRPr="4D56DE6F">
        <w:rPr>
          <w:rFonts w:ascii="Arial" w:eastAsia="Arial" w:hAnsi="Arial" w:cs="Arial"/>
        </w:rPr>
        <w:lastRenderedPageBreak/>
        <w:t>efficiencies and reinforces Amazon’s cost‑leadership positioning. However, macroeconomic volatility</w:t>
      </w:r>
      <w:r w:rsidR="71BF8774" w:rsidRPr="4D56DE6F">
        <w:rPr>
          <w:rFonts w:ascii="Arial" w:eastAsia="Arial" w:hAnsi="Arial" w:cs="Arial"/>
        </w:rPr>
        <w:t>-</w:t>
      </w:r>
      <w:r w:rsidRPr="4D56DE6F">
        <w:rPr>
          <w:rFonts w:ascii="Arial" w:eastAsia="Arial" w:hAnsi="Arial" w:cs="Arial"/>
        </w:rPr>
        <w:t>including inflationary pressures, rising interest rates, and cost‑of‑living challenges</w:t>
      </w:r>
      <w:r w:rsidR="3C6F3458" w:rsidRPr="4D56DE6F">
        <w:rPr>
          <w:rFonts w:ascii="Arial" w:eastAsia="Arial" w:hAnsi="Arial" w:cs="Arial"/>
        </w:rPr>
        <w:t>-</w:t>
      </w:r>
      <w:r w:rsidRPr="4D56DE6F">
        <w:rPr>
          <w:rFonts w:ascii="Arial" w:eastAsia="Arial" w:hAnsi="Arial" w:cs="Arial"/>
        </w:rPr>
        <w:t>affects purchasing behaviour, often shifting demand toward value‑oriented goods and subscription‑based services.</w:t>
      </w:r>
    </w:p>
    <w:p w14:paraId="71DD547C" w14:textId="113FE4D6" w:rsidR="386F3548" w:rsidRDefault="386F3548" w:rsidP="4D56DE6F">
      <w:pPr>
        <w:spacing w:before="240" w:after="240" w:line="360" w:lineRule="auto"/>
        <w:rPr>
          <w:rFonts w:ascii="Arial" w:eastAsia="Arial" w:hAnsi="Arial" w:cs="Arial"/>
        </w:rPr>
      </w:pPr>
      <w:r w:rsidRPr="4D56DE6F">
        <w:rPr>
          <w:rFonts w:ascii="Arial" w:eastAsia="Arial" w:hAnsi="Arial" w:cs="Arial"/>
        </w:rPr>
        <w:t>Amazon’s global scale and operational efficiency enhance resilience during economic downturns, consistent with international business theory on diversification advantages and multinational flexibility (Cavusgil, Knight and Riesenberger, 2017). Nonetheless, rising logistics, labour, and energy costs present margin pressures. Sustaining profitability therefore requires continuous optimisation of supply chain processes, automation, and dynamic pricing strategies.</w:t>
      </w:r>
    </w:p>
    <w:p w14:paraId="11B49544" w14:textId="4F226429" w:rsidR="386F3548" w:rsidRDefault="386F3548" w:rsidP="4D56DE6F">
      <w:pPr>
        <w:pStyle w:val="Heading2"/>
        <w:spacing w:before="299" w:after="299" w:line="360" w:lineRule="auto"/>
        <w:rPr>
          <w:rFonts w:ascii="Arial" w:eastAsia="Arial" w:hAnsi="Arial" w:cs="Arial"/>
          <w:b/>
          <w:bCs/>
          <w:color w:val="000000" w:themeColor="text1"/>
          <w:sz w:val="24"/>
          <w:szCs w:val="24"/>
        </w:rPr>
      </w:pPr>
      <w:bookmarkStart w:id="32" w:name="_Toc567494171"/>
      <w:bookmarkStart w:id="33" w:name="_Toc1732266203"/>
      <w:r w:rsidRPr="4D56DE6F">
        <w:rPr>
          <w:rFonts w:ascii="Arial" w:eastAsia="Arial" w:hAnsi="Arial" w:cs="Arial"/>
          <w:b/>
          <w:bCs/>
          <w:color w:val="000000" w:themeColor="text1"/>
          <w:sz w:val="24"/>
          <w:szCs w:val="24"/>
        </w:rPr>
        <w:t>4.3 Social Factors</w:t>
      </w:r>
      <w:bookmarkEnd w:id="32"/>
      <w:bookmarkEnd w:id="33"/>
    </w:p>
    <w:p w14:paraId="51E459DD" w14:textId="62A103D1" w:rsidR="386F3548" w:rsidRDefault="386F3548" w:rsidP="4D56DE6F">
      <w:pPr>
        <w:spacing w:before="240" w:after="240" w:line="360" w:lineRule="auto"/>
        <w:rPr>
          <w:rFonts w:ascii="Arial" w:eastAsia="Arial" w:hAnsi="Arial" w:cs="Arial"/>
        </w:rPr>
      </w:pPr>
      <w:r w:rsidRPr="4D56DE6F">
        <w:rPr>
          <w:rFonts w:ascii="Arial" w:eastAsia="Arial" w:hAnsi="Arial" w:cs="Arial"/>
        </w:rPr>
        <w:t>UK consumers increasingly prioritise convenience, delivery speed, transparency, and personalised digital experiences, reinforcing Amazon’s customer‑centric strategic orientation (Deresky, 2017). Social trends such as mobile commerce adoption, subscription consumption models, and sustainability awareness shape Amazon’s service innovation and marketing strategies.</w:t>
      </w:r>
    </w:p>
    <w:p w14:paraId="1560E17C" w14:textId="26634579" w:rsidR="386F3548" w:rsidRDefault="386F3548" w:rsidP="4D56DE6F">
      <w:pPr>
        <w:spacing w:before="240" w:after="240" w:line="360" w:lineRule="auto"/>
        <w:rPr>
          <w:rFonts w:ascii="Arial" w:eastAsia="Arial" w:hAnsi="Arial" w:cs="Arial"/>
        </w:rPr>
      </w:pPr>
      <w:r w:rsidRPr="4D56DE6F">
        <w:rPr>
          <w:rFonts w:ascii="Arial" w:eastAsia="Arial" w:hAnsi="Arial" w:cs="Arial"/>
        </w:rPr>
        <w:t>Younger demographic segments—particularly Generation Z—demonstrate strong engagement with immersive technologies such as augmented reality, which enhances online shopping interaction and decision‑making (Sayed, Mathew and Rodrigues, 2026). At the same time, societal concerns regarding data privacy, ethical algorithm usage, and corporate digital responsibility are intensifying. Research indicates that firms signalling responsible digital conduct are more likely to sustain consumer trust in competitive online environments (Asa and Nautwima, 2026). These social expectations require Amazon to balance technological advancement with ethical governance and reputational management.</w:t>
      </w:r>
    </w:p>
    <w:p w14:paraId="0CF97BCD" w14:textId="7F690518" w:rsidR="386F3548" w:rsidRDefault="386F3548" w:rsidP="4D56DE6F">
      <w:pPr>
        <w:pStyle w:val="Heading2"/>
        <w:spacing w:before="299" w:after="299" w:line="360" w:lineRule="auto"/>
        <w:rPr>
          <w:rFonts w:ascii="Arial" w:eastAsia="Arial" w:hAnsi="Arial" w:cs="Arial"/>
          <w:b/>
          <w:bCs/>
          <w:color w:val="000000" w:themeColor="text1"/>
          <w:sz w:val="24"/>
          <w:szCs w:val="24"/>
        </w:rPr>
      </w:pPr>
      <w:bookmarkStart w:id="34" w:name="_Toc1949475666"/>
      <w:bookmarkStart w:id="35" w:name="_Toc1343124023"/>
      <w:r w:rsidRPr="4D56DE6F">
        <w:rPr>
          <w:rFonts w:ascii="Arial" w:eastAsia="Arial" w:hAnsi="Arial" w:cs="Arial"/>
          <w:b/>
          <w:bCs/>
          <w:color w:val="000000" w:themeColor="text1"/>
          <w:sz w:val="24"/>
          <w:szCs w:val="24"/>
        </w:rPr>
        <w:t>4.4 Technological Factors</w:t>
      </w:r>
      <w:bookmarkEnd w:id="34"/>
      <w:bookmarkEnd w:id="35"/>
    </w:p>
    <w:p w14:paraId="6383E79C" w14:textId="430DB3FF" w:rsidR="386F3548" w:rsidRDefault="386F3548" w:rsidP="4D56DE6F">
      <w:pPr>
        <w:spacing w:before="240" w:after="240" w:line="360" w:lineRule="auto"/>
        <w:rPr>
          <w:rFonts w:ascii="Arial" w:eastAsia="Arial" w:hAnsi="Arial" w:cs="Arial"/>
        </w:rPr>
      </w:pPr>
      <w:r w:rsidRPr="4D56DE6F">
        <w:rPr>
          <w:rFonts w:ascii="Arial" w:eastAsia="Arial" w:hAnsi="Arial" w:cs="Arial"/>
        </w:rPr>
        <w:t xml:space="preserve">Technological capability remains central to Amazon’s competitive advantage. The UK’s advanced digital infrastructure supports AI‑driven recommendation systems, predictive analytics, robotics‑enabled warehousing, and cloud‑based services (Wild </w:t>
      </w:r>
      <w:r w:rsidRPr="4D56DE6F">
        <w:rPr>
          <w:rFonts w:ascii="Arial" w:eastAsia="Arial" w:hAnsi="Arial" w:cs="Arial"/>
        </w:rPr>
        <w:lastRenderedPageBreak/>
        <w:t>and Wild, 2016). These technologies enhance fulfilment efficiency, inventory control, and personalised customer engagement.</w:t>
      </w:r>
    </w:p>
    <w:p w14:paraId="54D84204" w14:textId="20350605" w:rsidR="386F3548" w:rsidRDefault="386F3548" w:rsidP="4D56DE6F">
      <w:pPr>
        <w:spacing w:before="240" w:after="240" w:line="360" w:lineRule="auto"/>
        <w:rPr>
          <w:rFonts w:ascii="Arial" w:eastAsia="Arial" w:hAnsi="Arial" w:cs="Arial"/>
        </w:rPr>
      </w:pPr>
      <w:r w:rsidRPr="4D56DE6F">
        <w:rPr>
          <w:rFonts w:ascii="Arial" w:eastAsia="Arial" w:hAnsi="Arial" w:cs="Arial"/>
        </w:rPr>
        <w:t>The expansion of augmented reality tools in e‑commerce presents opportunities to improve product visualisation and reduce return rates, particularly among digitally native consumers (Sayed, Mathew and Rodrigues, 2026). However, rapid technological advancement increases expectations regarding cybersecurity, algorithmic transparency, and responsible data governance. Corporate digital responsibility has therefore become a strategic imperative, requiring Amazon to integrate innovation with compliance and ethical safeguards (Asa and Nautwima, 2026).</w:t>
      </w:r>
    </w:p>
    <w:p w14:paraId="767D095E" w14:textId="17D8CDFA" w:rsidR="386F3548" w:rsidRDefault="386F3548" w:rsidP="4D56DE6F">
      <w:pPr>
        <w:pStyle w:val="Heading2"/>
        <w:spacing w:before="299" w:after="299" w:line="360" w:lineRule="auto"/>
        <w:rPr>
          <w:rFonts w:ascii="Arial" w:eastAsia="Arial" w:hAnsi="Arial" w:cs="Arial"/>
          <w:b/>
          <w:bCs/>
          <w:color w:val="000000" w:themeColor="text1"/>
          <w:sz w:val="24"/>
          <w:szCs w:val="24"/>
        </w:rPr>
      </w:pPr>
      <w:bookmarkStart w:id="36" w:name="_Toc1264942224"/>
      <w:bookmarkStart w:id="37" w:name="_Toc1759604722"/>
      <w:r w:rsidRPr="4D56DE6F">
        <w:rPr>
          <w:rFonts w:ascii="Arial" w:eastAsia="Arial" w:hAnsi="Arial" w:cs="Arial"/>
          <w:b/>
          <w:bCs/>
          <w:color w:val="000000" w:themeColor="text1"/>
          <w:sz w:val="24"/>
          <w:szCs w:val="24"/>
        </w:rPr>
        <w:t>4.5 Legal Factors</w:t>
      </w:r>
      <w:bookmarkEnd w:id="36"/>
      <w:bookmarkEnd w:id="37"/>
    </w:p>
    <w:p w14:paraId="574C2EAA" w14:textId="4D36B77B" w:rsidR="386F3548" w:rsidRDefault="386F3548" w:rsidP="4D56DE6F">
      <w:pPr>
        <w:spacing w:before="240" w:after="240" w:line="360" w:lineRule="auto"/>
        <w:rPr>
          <w:rFonts w:ascii="Arial" w:eastAsia="Arial" w:hAnsi="Arial" w:cs="Arial"/>
        </w:rPr>
      </w:pPr>
      <w:r w:rsidRPr="4D56DE6F">
        <w:rPr>
          <w:rFonts w:ascii="Arial" w:eastAsia="Arial" w:hAnsi="Arial" w:cs="Arial"/>
        </w:rPr>
        <w:t>Amazon UK operates under a comprehensive legal framework governing consumer rights, employment standards, competition law, and data protection. The UK’s GDPR‑equivalent data protection regime imposes stringent requirements on consent, data processing, and transparency (Daniels, Radebaugh and Sullivan, 2019). Competition authorities continue to examine Amazon’s dual role as marketplace operator and retailer, assessing potential conflicts of interest and market power concerns.</w:t>
      </w:r>
    </w:p>
    <w:p w14:paraId="35A8BA11" w14:textId="59390F6C" w:rsidR="386F3548" w:rsidRDefault="386F3548" w:rsidP="4D56DE6F">
      <w:pPr>
        <w:spacing w:before="240" w:after="240" w:line="360" w:lineRule="auto"/>
        <w:rPr>
          <w:rFonts w:ascii="Arial" w:eastAsia="Arial" w:hAnsi="Arial" w:cs="Arial"/>
        </w:rPr>
      </w:pPr>
      <w:r w:rsidRPr="4D56DE6F">
        <w:rPr>
          <w:rFonts w:ascii="Arial" w:eastAsia="Arial" w:hAnsi="Arial" w:cs="Arial"/>
        </w:rPr>
        <w:t>Labour legislation relating to working conditions, unionisation, and gig‑economy practices also influences operational structures within fulfilment centres. Legal compliance functions both as a constraint and a strategic necessity, shaping Amazon’s risk management systems, governance mechanisms, and organisational transparency.</w:t>
      </w:r>
    </w:p>
    <w:p w14:paraId="2D7C5A71" w14:textId="1FB046BA" w:rsidR="386F3548" w:rsidRDefault="386F3548" w:rsidP="4D56DE6F">
      <w:pPr>
        <w:pStyle w:val="Heading2"/>
        <w:spacing w:before="299" w:after="299" w:line="360" w:lineRule="auto"/>
        <w:rPr>
          <w:rFonts w:ascii="Arial" w:eastAsia="Arial" w:hAnsi="Arial" w:cs="Arial"/>
          <w:b/>
          <w:bCs/>
          <w:color w:val="000000" w:themeColor="text1"/>
          <w:sz w:val="24"/>
          <w:szCs w:val="24"/>
        </w:rPr>
      </w:pPr>
      <w:bookmarkStart w:id="38" w:name="_Toc1832517301"/>
      <w:bookmarkStart w:id="39" w:name="_Toc808933493"/>
      <w:r w:rsidRPr="4D56DE6F">
        <w:rPr>
          <w:rFonts w:ascii="Arial" w:eastAsia="Arial" w:hAnsi="Arial" w:cs="Arial"/>
          <w:b/>
          <w:bCs/>
          <w:color w:val="000000" w:themeColor="text1"/>
          <w:sz w:val="24"/>
          <w:szCs w:val="24"/>
        </w:rPr>
        <w:t>4.6 Environmental Factors</w:t>
      </w:r>
      <w:bookmarkEnd w:id="38"/>
      <w:bookmarkEnd w:id="39"/>
    </w:p>
    <w:p w14:paraId="017D9D38" w14:textId="6A571591" w:rsidR="386F3548" w:rsidRDefault="386F3548" w:rsidP="4D56DE6F">
      <w:pPr>
        <w:spacing w:before="240" w:after="240" w:line="360" w:lineRule="auto"/>
        <w:rPr>
          <w:rFonts w:ascii="Arial" w:eastAsia="Arial" w:hAnsi="Arial" w:cs="Arial"/>
        </w:rPr>
      </w:pPr>
      <w:r w:rsidRPr="4D56DE6F">
        <w:rPr>
          <w:rFonts w:ascii="Arial" w:eastAsia="Arial" w:hAnsi="Arial" w:cs="Arial"/>
        </w:rPr>
        <w:t xml:space="preserve">Environmental sustainability has become increasingly significant within the UK retail sector. Consumers and regulators expect reduced carbon emissions, recyclable packaging, and transparent sustainability reporting. Amazon has responded through investment in electric delivery fleets, renewable energy procurement, and </w:t>
      </w:r>
      <w:r w:rsidRPr="4D56DE6F">
        <w:rPr>
          <w:rFonts w:ascii="Arial" w:eastAsia="Arial" w:hAnsi="Arial" w:cs="Arial"/>
        </w:rPr>
        <w:lastRenderedPageBreak/>
        <w:t>carbon‑reduction initiatives. However, the scale of its logistics operations continues to attract scrutiny regarding emissions intensity and packaging waste.</w:t>
      </w:r>
    </w:p>
    <w:p w14:paraId="1AB41BE9" w14:textId="70BD45B4" w:rsidR="386F3548" w:rsidRDefault="386F3548" w:rsidP="4D56DE6F">
      <w:pPr>
        <w:spacing w:before="240" w:after="240" w:line="360" w:lineRule="auto"/>
      </w:pPr>
      <w:r w:rsidRPr="4D56DE6F">
        <w:rPr>
          <w:rFonts w:ascii="Arial" w:eastAsia="Arial" w:hAnsi="Arial" w:cs="Arial"/>
        </w:rPr>
        <w:t>Balancing operational efficiency with environmental accountability remains a strategic challenge, particularly as sustainability standards and regulatory expectations</w:t>
      </w:r>
      <w:r w:rsidRPr="4D56DE6F">
        <w:rPr>
          <w:rFonts w:ascii="Aptos" w:eastAsia="Aptos" w:hAnsi="Aptos" w:cs="Aptos"/>
        </w:rPr>
        <w:t xml:space="preserve"> </w:t>
      </w:r>
      <w:r w:rsidRPr="4D56DE6F">
        <w:rPr>
          <w:rFonts w:ascii="Arial" w:eastAsia="Arial" w:hAnsi="Arial" w:cs="Arial"/>
        </w:rPr>
        <w:t>continue to evolve.</w:t>
      </w:r>
    </w:p>
    <w:p w14:paraId="518450AF" w14:textId="5C8466B1" w:rsidR="386F3548" w:rsidRDefault="0BEEBD90" w:rsidP="4D56DE6F">
      <w:pPr>
        <w:pStyle w:val="Heading2"/>
        <w:spacing w:before="299" w:after="299" w:line="360" w:lineRule="auto"/>
        <w:rPr>
          <w:rFonts w:ascii="Arial" w:eastAsia="Arial" w:hAnsi="Arial" w:cs="Arial"/>
          <w:b/>
          <w:bCs/>
          <w:color w:val="000000" w:themeColor="text1"/>
          <w:sz w:val="24"/>
          <w:szCs w:val="24"/>
        </w:rPr>
      </w:pPr>
      <w:bookmarkStart w:id="40" w:name="_Toc13663638"/>
      <w:bookmarkStart w:id="41" w:name="_Toc1501141137"/>
      <w:r w:rsidRPr="4D56DE6F">
        <w:rPr>
          <w:rFonts w:ascii="Arial" w:eastAsia="Arial" w:hAnsi="Arial" w:cs="Arial"/>
          <w:b/>
          <w:bCs/>
          <w:color w:val="000000" w:themeColor="text1"/>
          <w:sz w:val="24"/>
          <w:szCs w:val="24"/>
        </w:rPr>
        <w:t xml:space="preserve">4.7 </w:t>
      </w:r>
      <w:r w:rsidR="386F3548" w:rsidRPr="4D56DE6F">
        <w:rPr>
          <w:rFonts w:ascii="Arial" w:eastAsia="Arial" w:hAnsi="Arial" w:cs="Arial"/>
          <w:b/>
          <w:bCs/>
          <w:color w:val="000000" w:themeColor="text1"/>
          <w:sz w:val="24"/>
          <w:szCs w:val="24"/>
        </w:rPr>
        <w:t>Synthesis of the PESTLE Analysis</w:t>
      </w:r>
      <w:bookmarkEnd w:id="40"/>
      <w:bookmarkEnd w:id="41"/>
    </w:p>
    <w:p w14:paraId="7A85A51C" w14:textId="4BF46217" w:rsidR="386F3548" w:rsidRDefault="386F3548" w:rsidP="4D56DE6F">
      <w:pPr>
        <w:spacing w:before="240" w:after="240" w:line="360" w:lineRule="auto"/>
        <w:rPr>
          <w:rFonts w:ascii="Arial" w:eastAsia="Arial" w:hAnsi="Arial" w:cs="Arial"/>
        </w:rPr>
      </w:pPr>
      <w:r w:rsidRPr="4D56DE6F">
        <w:rPr>
          <w:rFonts w:ascii="Arial" w:eastAsia="Arial" w:hAnsi="Arial" w:cs="Arial"/>
        </w:rPr>
        <w:t>Amazon UK operates within a complex macro‑environment shaped by political oversight, economic volatility, evolving social expectations, rapid technological innovation, stringent legal obligations, and increasing environmental scrutiny. These external forces directly influence Amazon’s strategic investment decisions, operational design, governance structures, and competitive positioning.</w:t>
      </w:r>
      <w:r w:rsidR="6C84BD1F" w:rsidRPr="4D56DE6F">
        <w:rPr>
          <w:rFonts w:ascii="Arial" w:eastAsia="Arial" w:hAnsi="Arial" w:cs="Arial"/>
        </w:rPr>
        <w:t xml:space="preserve"> Taken together, these forces create a macro-environment that is both opportunity-rich and risk-intensive. Amazon’s advantage increasingly depends on its ability to balance efficiency with legitimacy, as technological leadership alone is no longer sufficient to secure long-term differentiation.</w:t>
      </w:r>
      <w:r w:rsidRPr="4D56DE6F">
        <w:rPr>
          <w:rFonts w:ascii="Arial" w:eastAsia="Arial" w:hAnsi="Arial" w:cs="Arial"/>
        </w:rPr>
        <w:t xml:space="preserve"> Understanding these macro‑environmental dynamics provides a foundation for evaluating Amazon’s foreign direct investment motivations, cultural adaptation strategies, and broader international business performance within the UK e‑commerce industry.</w:t>
      </w:r>
    </w:p>
    <w:p w14:paraId="0846C8A7" w14:textId="66AE18B0" w:rsidR="5316CDFB" w:rsidRPr="00666E0E" w:rsidRDefault="5316CDFB" w:rsidP="4D56DE6F">
      <w:pPr>
        <w:pStyle w:val="Heading1"/>
        <w:spacing w:line="360" w:lineRule="auto"/>
        <w:rPr>
          <w:rFonts w:ascii="Arial" w:eastAsia="Arial" w:hAnsi="Arial" w:cs="Arial"/>
          <w:b/>
          <w:bCs/>
          <w:color w:val="000000" w:themeColor="text1"/>
          <w:sz w:val="28"/>
          <w:szCs w:val="28"/>
        </w:rPr>
      </w:pPr>
      <w:bookmarkStart w:id="42" w:name="_Toc1079464786"/>
      <w:bookmarkStart w:id="43" w:name="_Toc1139678382"/>
      <w:r w:rsidRPr="00666E0E">
        <w:rPr>
          <w:rFonts w:ascii="Arial" w:eastAsia="Arial" w:hAnsi="Arial" w:cs="Arial"/>
          <w:b/>
          <w:bCs/>
          <w:color w:val="000000" w:themeColor="text1"/>
          <w:sz w:val="28"/>
          <w:szCs w:val="28"/>
        </w:rPr>
        <w:t>5. Foreign Direct Investment (FDI) and Amazon UK</w:t>
      </w:r>
      <w:bookmarkEnd w:id="42"/>
      <w:bookmarkEnd w:id="43"/>
      <w:r w:rsidRPr="00666E0E">
        <w:rPr>
          <w:rFonts w:ascii="Arial" w:eastAsia="Arial" w:hAnsi="Arial" w:cs="Arial"/>
          <w:b/>
          <w:bCs/>
          <w:color w:val="000000" w:themeColor="text1"/>
          <w:sz w:val="28"/>
          <w:szCs w:val="28"/>
        </w:rPr>
        <w:t xml:space="preserve"> </w:t>
      </w:r>
    </w:p>
    <w:p w14:paraId="65B2B04D" w14:textId="38833B7E" w:rsidR="5316CDFB" w:rsidRDefault="5316CDFB"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Amazon’s expansion in the United Kingdom can be systematically explained through Foreign Direct Investment (FDI) theory, particularly Dunning’s OLI (Ownership–Location–Internalisation) paradigm. Ownership advantages arise from Amazon’s proprietary technologies, advanced data analytics, AI‑driven logistics systems, and globally recognised brand reputation. These firm‑specific assets create transferable competitive advantages that enable Amazon to outperform domestic competitors in host markets (Cavusgil, Knight and Riesenberger, 2017). The firm’s integrated digital ecosystem</w:t>
      </w:r>
      <w:r w:rsidR="3ACEDFB1" w:rsidRPr="4D56DE6F">
        <w:rPr>
          <w:rFonts w:ascii="Arial" w:eastAsia="Arial" w:hAnsi="Arial" w:cs="Arial"/>
          <w:color w:val="000000" w:themeColor="text1"/>
        </w:rPr>
        <w:t>-</w:t>
      </w:r>
      <w:r w:rsidRPr="4D56DE6F">
        <w:rPr>
          <w:rFonts w:ascii="Arial" w:eastAsia="Arial" w:hAnsi="Arial" w:cs="Arial"/>
          <w:color w:val="000000" w:themeColor="text1"/>
        </w:rPr>
        <w:t>including marketplace infrastructure, fulfilment algorithms, and cloud‑based capabilities</w:t>
      </w:r>
      <w:r w:rsidR="0AA250A9" w:rsidRPr="4D56DE6F">
        <w:rPr>
          <w:rFonts w:ascii="Arial" w:eastAsia="Arial" w:hAnsi="Arial" w:cs="Arial"/>
          <w:color w:val="000000" w:themeColor="text1"/>
        </w:rPr>
        <w:t>-</w:t>
      </w:r>
      <w:r w:rsidRPr="4D56DE6F">
        <w:rPr>
          <w:rFonts w:ascii="Arial" w:eastAsia="Arial" w:hAnsi="Arial" w:cs="Arial"/>
          <w:color w:val="000000" w:themeColor="text1"/>
        </w:rPr>
        <w:t>constitutes a knowledge‑intensive asset base that supports international scalability.</w:t>
      </w:r>
    </w:p>
    <w:p w14:paraId="364BCE95" w14:textId="20A67C59" w:rsidR="1080FC97" w:rsidRDefault="1080FC97"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lastRenderedPageBreak/>
        <w:t>Dunning’s (1988) eclectic paradigm suggests that multinational enterprises engage in foreign direct investment when ownership, location and internalisation advantages combine to create superior value.</w:t>
      </w:r>
      <w:r w:rsidR="4864015C" w:rsidRPr="4D56DE6F">
        <w:rPr>
          <w:rFonts w:ascii="Arial" w:eastAsia="Arial" w:hAnsi="Arial" w:cs="Arial"/>
        </w:rPr>
        <w:t xml:space="preserve"> Despite its usefulness, the OLI paradigm has been criticised for its static nature and limited applicability to digital platform firms (Narula, 2020). Amazon’s competitive advantage increasingly derives from data-driven network effects, platform lock-in, and global cloud infrastructure-factors that extend beyond traditional ownership or location advantages. This suggests that OLI only partially captures the strategic logic behind Amazon’s UK expansion.</w:t>
      </w:r>
    </w:p>
    <w:p w14:paraId="189A7E1D" w14:textId="0C727345" w:rsidR="5316CDFB" w:rsidRDefault="5316CDFB"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Location advantages in the UK further justify Amazon’s investment. The UK offers a digitally sophisticated consumer base, strong transport and warehousing infrastructure, and a stable regulatory environment conducive to long‑term investment (Daniels, Radebaugh and Sullivan, 2019). High e‑commerce penetration and advanced fintech integration reduce transaction costs and enhance operational efficiency, making the UK an attractive destination for technology‑intensive FDI.</w:t>
      </w:r>
    </w:p>
    <w:p w14:paraId="767E3C9F" w14:textId="6CD185AB" w:rsidR="5316CDFB" w:rsidRDefault="5316CDFB"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Internalisation advantages motivate Amazon to retain direct control over critical components of its value chain, including fulfilment centres, distribution networks, and cloud infrastructure. By internalising operations rather than relying on external contractors, Amazon protects intellectual property, ensures service consistency, and minimises transaction costs associated with market‑based exchanges (Rugman, 2009). Vertical integration also enhances data security and operational coordination, reinforcing competitive positioning.</w:t>
      </w:r>
    </w:p>
    <w:p w14:paraId="053B5B8F" w14:textId="4415E0FC" w:rsidR="5316CDFB" w:rsidRDefault="5316CDFB"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Recent empirical research strengthens this theoretical explanation. Studies show that the trajectory and composition of FDI inflows significantly influence national productivity outcomes, with sustained, technology‑intensive investments generating stronger spillover effects (Makiela and Ouattara, 2026). Amazon’s long‑term UK investment strategy</w:t>
      </w:r>
      <w:r w:rsidR="42435394" w:rsidRPr="4D56DE6F">
        <w:rPr>
          <w:rFonts w:ascii="Arial" w:eastAsia="Arial" w:hAnsi="Arial" w:cs="Arial"/>
          <w:color w:val="000000" w:themeColor="text1"/>
        </w:rPr>
        <w:t>-</w:t>
      </w:r>
      <w:r w:rsidRPr="4D56DE6F">
        <w:rPr>
          <w:rFonts w:ascii="Arial" w:eastAsia="Arial" w:hAnsi="Arial" w:cs="Arial"/>
          <w:color w:val="000000" w:themeColor="text1"/>
        </w:rPr>
        <w:t>marked by continuous expansion of automated fulfilment centres and cloud computing infrastructure</w:t>
      </w:r>
      <w:r w:rsidR="793399AC" w:rsidRPr="4D56DE6F">
        <w:rPr>
          <w:rFonts w:ascii="Arial" w:eastAsia="Arial" w:hAnsi="Arial" w:cs="Arial"/>
          <w:color w:val="000000" w:themeColor="text1"/>
        </w:rPr>
        <w:t>-</w:t>
      </w:r>
      <w:r w:rsidRPr="4D56DE6F">
        <w:rPr>
          <w:rFonts w:ascii="Arial" w:eastAsia="Arial" w:hAnsi="Arial" w:cs="Arial"/>
          <w:color w:val="000000" w:themeColor="text1"/>
        </w:rPr>
        <w:t>aligns with this pattern, contributing to logistics efficiency, digital skill development, and knowledge diffusion within the wider economy.</w:t>
      </w:r>
    </w:p>
    <w:p w14:paraId="169DB2EE" w14:textId="7935EE7A" w:rsidR="5316CDFB" w:rsidRDefault="5316CDFB"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In addition, multinational enterprises increasingly deploy corporate social responsibility (CSR) as a legitimacy‑building mechanism in host countries. Evidence </w:t>
      </w:r>
      <w:r w:rsidRPr="4D56DE6F">
        <w:rPr>
          <w:rFonts w:ascii="Arial" w:eastAsia="Arial" w:hAnsi="Arial" w:cs="Arial"/>
          <w:color w:val="000000" w:themeColor="text1"/>
        </w:rPr>
        <w:lastRenderedPageBreak/>
        <w:t>suggests that CSR engagement enhances subsidiary performance and employment outcomes by signalling responsible corporate behaviour (Hong et al., 2026). Within the UK, Amazon emphasises sustainability commitments, workforce training initiatives, and community engagement programmes to address political scrutiny and social expectations. These actions function both as reputational safeguards and as strategic tools for institutional embeddedness.</w:t>
      </w:r>
    </w:p>
    <w:p w14:paraId="68800773" w14:textId="795AD9E8" w:rsidR="09D1C0BE" w:rsidRDefault="09D1C0BE" w:rsidP="4D56DE6F">
      <w:pPr>
        <w:spacing w:before="240" w:after="240" w:line="360" w:lineRule="auto"/>
      </w:pPr>
      <w:r w:rsidRPr="4D56DE6F">
        <w:rPr>
          <w:rFonts w:ascii="Arial" w:eastAsia="Arial" w:hAnsi="Arial" w:cs="Arial"/>
        </w:rPr>
        <w:t>While PESTLE analysis provides a structured overview of macro-environmental influences, some scholars argue that the framework can oversimplify complex institutional dynamics and may not fully capture the rapid technological and regulatory shifts that characterise digital platform industries.</w:t>
      </w:r>
    </w:p>
    <w:p w14:paraId="6395F338" w14:textId="43AF8FF5" w:rsidR="5316CDFB" w:rsidRDefault="5316CDFB"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Overall, Amazon’s FDI in the UK reflects the interaction of ownership‑specific advantages, favourable host‑country location factors, and internalisation incentives. When reinforced by sustained, productivity‑enhancing investment and legitimacy‑oriented CSR strategies, these elements explain Amazon’s enduring commitment to the UK market and its expanding influence within the national digital economy.</w:t>
      </w:r>
    </w:p>
    <w:p w14:paraId="2A496F83" w14:textId="1F959568" w:rsidR="7293BAB2" w:rsidRDefault="7293BAB2" w:rsidP="4D56DE6F">
      <w:pPr>
        <w:spacing w:before="240" w:after="240" w:line="360" w:lineRule="auto"/>
      </w:pPr>
      <w:r w:rsidRPr="4D56DE6F">
        <w:rPr>
          <w:rFonts w:ascii="Arial" w:eastAsia="Arial" w:hAnsi="Arial" w:cs="Arial"/>
        </w:rPr>
        <w:t>The internationalisation process model suggests that firms expand gradually into foreign markets as they accumulate experiential knowledge and reduce uncertainty associated with international operations (Johanson and Vahlne, 1977). Although Amazon operates as a globally integrated digital firm, the progressive expansion of fulfilment centres and logistics infrastructure in the UK reflects elements of this incremental internationalisation process.</w:t>
      </w:r>
    </w:p>
    <w:p w14:paraId="4EE68743" w14:textId="1CBB78B2" w:rsidR="57E97868" w:rsidRDefault="57E97868" w:rsidP="4D56DE6F">
      <w:pPr>
        <w:pStyle w:val="Heading1"/>
        <w:spacing w:line="360" w:lineRule="auto"/>
        <w:rPr>
          <w:rFonts w:ascii="Arial" w:eastAsia="Arial" w:hAnsi="Arial" w:cs="Arial"/>
          <w:b/>
          <w:bCs/>
          <w:color w:val="000000" w:themeColor="text1"/>
          <w:sz w:val="28"/>
          <w:szCs w:val="28"/>
        </w:rPr>
      </w:pPr>
      <w:bookmarkStart w:id="44" w:name="_Toc1326242716"/>
      <w:bookmarkStart w:id="45" w:name="_Toc1058724840"/>
      <w:r w:rsidRPr="4D56DE6F">
        <w:rPr>
          <w:rFonts w:ascii="Arial" w:eastAsia="Arial" w:hAnsi="Arial" w:cs="Arial"/>
          <w:b/>
          <w:bCs/>
          <w:color w:val="000000" w:themeColor="text1"/>
          <w:sz w:val="28"/>
          <w:szCs w:val="28"/>
        </w:rPr>
        <w:t>6. Cultural Analysis and Amazon UK</w:t>
      </w:r>
      <w:bookmarkEnd w:id="44"/>
      <w:bookmarkEnd w:id="45"/>
    </w:p>
    <w:p w14:paraId="0FFB875A" w14:textId="026939CC" w:rsidR="57E97868" w:rsidRDefault="57E97868" w:rsidP="4D56DE6F">
      <w:pPr>
        <w:spacing w:before="240" w:after="240" w:line="360" w:lineRule="auto"/>
        <w:rPr>
          <w:rFonts w:ascii="Arial" w:eastAsia="Arial" w:hAnsi="Arial" w:cs="Arial"/>
        </w:rPr>
      </w:pPr>
      <w:r w:rsidRPr="4D56DE6F">
        <w:rPr>
          <w:rFonts w:ascii="Arial" w:eastAsia="Arial" w:hAnsi="Arial" w:cs="Arial"/>
        </w:rPr>
        <w:t xml:space="preserve">Cultural differences play a significant role in shaping how multinational enterprises operate in host markets, and Amazon’s UK strategy can be interpreted through established cross‑cultural frameworks. Hofstede’s cultural dimensions highlight that the UK scores relatively low on power distance and high on individualism, indicating consumer expectations for autonomy, transparency, and personalised service experiences. These cultural traits align with Amazon’s emphasis on customer empowerment through self‑service interfaces, personalised recommendations, and </w:t>
      </w:r>
      <w:r w:rsidRPr="4D56DE6F">
        <w:rPr>
          <w:rFonts w:ascii="Arial" w:eastAsia="Arial" w:hAnsi="Arial" w:cs="Arial"/>
        </w:rPr>
        <w:lastRenderedPageBreak/>
        <w:t>transparent delivery tracking. High individualism also reinforces the importance of convenience and speed, which underpin Amazon’s value proposition in the UK market. Cross‑cultural management research further suggests that firms must adapt communication, marketing, and managerial practices to host‑country norms to maintain legitimacy and consumer engagement (Bartosik‑Purgat and Guzek, 2024). Amazon reflects this by tailoring its UK operations to local expectations around consumer rights, service reliability, and communication tone, particularly in customer service and marketplace governance. From an international business perspective, cultural alignment enhances market acceptance and reduces transaction costs by improving trust and reducing uncertainty in consumer interactions (Cavusgil, Knight and Riesenberger, 2017). Overall, Amazon’s cultural adaptation in the UK demonstrates how MNEs integrate global capabilities with local expectations to strengthen competitiveness and sustain customer loyalty.</w:t>
      </w:r>
    </w:p>
    <w:p w14:paraId="21D4E196" w14:textId="0AE0FC71" w:rsidR="35F36BF8" w:rsidRDefault="35F36BF8" w:rsidP="35F36BF8">
      <w:pPr>
        <w:spacing w:before="240" w:after="240"/>
        <w:rPr>
          <w:rFonts w:ascii="Aptos" w:eastAsia="Aptos" w:hAnsi="Aptos" w:cs="Aptos"/>
        </w:rPr>
      </w:pPr>
    </w:p>
    <w:p w14:paraId="66C62270" w14:textId="763851F8" w:rsidR="00872A4E" w:rsidRDefault="00872A4E" w:rsidP="4D56DE6F">
      <w:pPr>
        <w:pStyle w:val="Heading1"/>
        <w:spacing w:line="360" w:lineRule="auto"/>
        <w:rPr>
          <w:rFonts w:ascii="Arial" w:eastAsia="Arial" w:hAnsi="Arial" w:cs="Arial"/>
          <w:b/>
          <w:bCs/>
          <w:color w:val="000000" w:themeColor="text1"/>
          <w:sz w:val="28"/>
          <w:szCs w:val="28"/>
        </w:rPr>
      </w:pPr>
      <w:bookmarkStart w:id="46" w:name="_Toc64010416"/>
      <w:bookmarkStart w:id="47" w:name="_Toc246399088"/>
      <w:r w:rsidRPr="4D56DE6F">
        <w:rPr>
          <w:rFonts w:ascii="Arial" w:eastAsia="Arial" w:hAnsi="Arial" w:cs="Arial"/>
          <w:b/>
          <w:bCs/>
          <w:color w:val="000000" w:themeColor="text1"/>
          <w:sz w:val="28"/>
          <w:szCs w:val="28"/>
        </w:rPr>
        <w:t>7. Recommendations for Amazon UK</w:t>
      </w:r>
      <w:bookmarkEnd w:id="46"/>
      <w:bookmarkEnd w:id="47"/>
    </w:p>
    <w:p w14:paraId="7F542153" w14:textId="67318E91" w:rsidR="00872A4E" w:rsidRDefault="00872A4E"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Strengthening Amazon’s competitive position in the UK requires a strategic response that integrates insights from the macro‑environment, industry structure, cultural expectations, and FDI theory. Three interconnected recommendations emerge from the analysis.</w:t>
      </w:r>
    </w:p>
    <w:p w14:paraId="0764EC83" w14:textId="63E64A96" w:rsidR="00872A4E" w:rsidRDefault="616686A0" w:rsidP="4D56DE6F">
      <w:pPr>
        <w:pStyle w:val="Heading2"/>
        <w:spacing w:line="360" w:lineRule="auto"/>
      </w:pPr>
      <w:bookmarkStart w:id="48" w:name="_Toc591553833"/>
      <w:bookmarkStart w:id="49" w:name="_Toc1209324659"/>
      <w:r w:rsidRPr="4D56DE6F">
        <w:rPr>
          <w:rFonts w:ascii="Arial" w:eastAsia="Arial" w:hAnsi="Arial" w:cs="Arial"/>
          <w:b/>
          <w:bCs/>
          <w:color w:val="000000" w:themeColor="text1"/>
          <w:sz w:val="24"/>
          <w:szCs w:val="24"/>
        </w:rPr>
        <w:t>1</w:t>
      </w:r>
      <w:r w:rsidR="00872A4E" w:rsidRPr="4D56DE6F">
        <w:rPr>
          <w:rFonts w:ascii="Arial" w:eastAsia="Arial" w:hAnsi="Arial" w:cs="Arial"/>
          <w:b/>
          <w:bCs/>
          <w:color w:val="000000" w:themeColor="text1"/>
          <w:sz w:val="24"/>
          <w:szCs w:val="24"/>
        </w:rPr>
        <w:t>. Deepen value co‑creation within the UK digital ecosyste</w:t>
      </w:r>
      <w:r w:rsidR="273D609A" w:rsidRPr="4D56DE6F">
        <w:rPr>
          <w:rFonts w:ascii="Arial" w:eastAsia="Arial" w:hAnsi="Arial" w:cs="Arial"/>
          <w:b/>
          <w:bCs/>
          <w:color w:val="000000" w:themeColor="text1"/>
          <w:sz w:val="24"/>
          <w:szCs w:val="24"/>
        </w:rPr>
        <w:t>m</w:t>
      </w:r>
      <w:bookmarkEnd w:id="48"/>
      <w:bookmarkEnd w:id="49"/>
    </w:p>
    <w:p w14:paraId="41DA54F9" w14:textId="4C871E9A" w:rsidR="00872A4E" w:rsidRDefault="00872A4E"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Research on platform ecosystems shows that competitive advantage increasingly depends on value co‑creation between users, developers, and the platform owner (Alt and Zimmermann, 2026). Amazon should expand UK‑specific integrations within the Alexa ecosystem by collaborating more closely with local service providers, fintech firms, and SMEs. This would enhance network effects, increase switching costs, and reinforce Amazon’s embeddedness in the UK’s digital economy. Strengthening partnerships with UK developers also aligns with the country’s strong entrepreneurial ecosystem, which benefits from supportive institutional conditions and innovation‑driven capabilities (Manna et al., 2026).</w:t>
      </w:r>
    </w:p>
    <w:p w14:paraId="58B0514A" w14:textId="23ACE984" w:rsidR="00872A4E" w:rsidRDefault="00872A4E" w:rsidP="4D56DE6F">
      <w:pPr>
        <w:pStyle w:val="Heading2"/>
        <w:spacing w:line="360" w:lineRule="auto"/>
        <w:rPr>
          <w:rFonts w:ascii="Arial" w:eastAsia="Arial" w:hAnsi="Arial" w:cs="Arial"/>
          <w:b/>
          <w:bCs/>
          <w:color w:val="000000" w:themeColor="text1"/>
          <w:sz w:val="24"/>
          <w:szCs w:val="24"/>
        </w:rPr>
      </w:pPr>
      <w:bookmarkStart w:id="50" w:name="_Toc233033003"/>
      <w:bookmarkStart w:id="51" w:name="_Toc1981929206"/>
      <w:r w:rsidRPr="4D56DE6F">
        <w:rPr>
          <w:rFonts w:ascii="Arial" w:eastAsia="Arial" w:hAnsi="Arial" w:cs="Arial"/>
          <w:b/>
          <w:bCs/>
          <w:color w:val="000000" w:themeColor="text1"/>
          <w:sz w:val="24"/>
          <w:szCs w:val="24"/>
        </w:rPr>
        <w:lastRenderedPageBreak/>
        <w:t>2. Enhance CSR signalling to strengthen legitimacy and institutional trust</w:t>
      </w:r>
      <w:bookmarkEnd w:id="50"/>
      <w:bookmarkEnd w:id="51"/>
    </w:p>
    <w:p w14:paraId="20AB86CA" w14:textId="7E232AAB" w:rsidR="00872A4E" w:rsidRDefault="00872A4E"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FDI research highlights that multinational enterprises increasingly rely on CSR as a signalling mechanism to build legitimacy and improve subsidiary outcomes in host countries (Hong et al., 2026). Given ongoing scrutiny of Amazon’s labour practices, taxation, and market power, the company should intensify its UK‑focused CSR initiatives. This includes expanding workforce development programmes, improving transparency around employment conditions, and investing in community‑based sustainability projects. Such actions would reinforce Amazon’s social licence to operate and reduce institutional pressures, supporting long‑term stability in the UK market.</w:t>
      </w:r>
    </w:p>
    <w:p w14:paraId="3FF00A75" w14:textId="757F391D" w:rsidR="00872A4E" w:rsidRDefault="00872A4E" w:rsidP="4D56DE6F">
      <w:pPr>
        <w:pStyle w:val="Heading2"/>
        <w:spacing w:line="360" w:lineRule="auto"/>
        <w:rPr>
          <w:rFonts w:ascii="Arial" w:eastAsia="Arial" w:hAnsi="Arial" w:cs="Arial"/>
          <w:b/>
          <w:bCs/>
          <w:color w:val="000000" w:themeColor="text1"/>
          <w:sz w:val="24"/>
          <w:szCs w:val="24"/>
        </w:rPr>
      </w:pPr>
      <w:bookmarkStart w:id="52" w:name="_Toc1094048489"/>
      <w:bookmarkStart w:id="53" w:name="_Toc1577653391"/>
      <w:r w:rsidRPr="4D56DE6F">
        <w:rPr>
          <w:rFonts w:ascii="Arial" w:eastAsia="Arial" w:hAnsi="Arial" w:cs="Arial"/>
          <w:b/>
          <w:bCs/>
          <w:color w:val="000000" w:themeColor="text1"/>
          <w:sz w:val="24"/>
          <w:szCs w:val="24"/>
        </w:rPr>
        <w:t>3. Invest in productivity‑enhancing technologies and regional infrastructure</w:t>
      </w:r>
      <w:bookmarkEnd w:id="52"/>
      <w:bookmarkEnd w:id="53"/>
    </w:p>
    <w:p w14:paraId="587B22D6" w14:textId="253B7422" w:rsidR="00872A4E" w:rsidRDefault="00872A4E"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Evidence shows that the trajectory of FDI</w:t>
      </w:r>
      <w:r w:rsidR="47793EA3" w:rsidRPr="4D56DE6F">
        <w:rPr>
          <w:rFonts w:ascii="Arial" w:eastAsia="Arial" w:hAnsi="Arial" w:cs="Arial"/>
          <w:color w:val="000000" w:themeColor="text1"/>
        </w:rPr>
        <w:t>-</w:t>
      </w:r>
      <w:r w:rsidRPr="4D56DE6F">
        <w:rPr>
          <w:rFonts w:ascii="Arial" w:eastAsia="Arial" w:hAnsi="Arial" w:cs="Arial"/>
          <w:color w:val="000000" w:themeColor="text1"/>
        </w:rPr>
        <w:t>particularly sustained, technology‑intensive investment</w:t>
      </w:r>
      <w:r w:rsidR="142D4A24" w:rsidRPr="4D56DE6F">
        <w:rPr>
          <w:rFonts w:ascii="Arial" w:eastAsia="Arial" w:hAnsi="Arial" w:cs="Arial"/>
          <w:color w:val="000000" w:themeColor="text1"/>
        </w:rPr>
        <w:t>-</w:t>
      </w:r>
      <w:r w:rsidRPr="4D56DE6F">
        <w:rPr>
          <w:rFonts w:ascii="Arial" w:eastAsia="Arial" w:hAnsi="Arial" w:cs="Arial"/>
          <w:color w:val="000000" w:themeColor="text1"/>
        </w:rPr>
        <w:t>drives stronger productivity spillovers in host economies (Makiela and Ouattara, 2026). Amazon should continue expanding automation, robotics, and cloud infrastructure across UK regions, particularly outside London and the South East. This would improve operational efficiency, support regional economic development, and strengthen Amazon’s strategic alignment with UK industrial policy priorities. Enhanced regional investment also reinforces Amazon’s ownership and internalisation advantages by protecting proprietary technologies and ensuring consistent service quality (Cavusgil, Knight and Riesenberger, 2017; Rugman, 2009).</w:t>
      </w:r>
    </w:p>
    <w:p w14:paraId="19A27927" w14:textId="1FD1EC23" w:rsidR="00872A4E" w:rsidRDefault="00872A4E" w:rsidP="4D56DE6F">
      <w:pPr>
        <w:pStyle w:val="Heading2"/>
        <w:spacing w:line="360" w:lineRule="auto"/>
        <w:rPr>
          <w:rFonts w:ascii="Arial" w:eastAsia="Arial" w:hAnsi="Arial" w:cs="Arial"/>
          <w:b/>
          <w:bCs/>
          <w:color w:val="000000" w:themeColor="text1"/>
          <w:sz w:val="24"/>
          <w:szCs w:val="24"/>
        </w:rPr>
      </w:pPr>
      <w:bookmarkStart w:id="54" w:name="_Toc911077335"/>
      <w:bookmarkStart w:id="55" w:name="_Toc653143504"/>
      <w:r w:rsidRPr="4D56DE6F">
        <w:rPr>
          <w:rFonts w:ascii="Arial" w:eastAsia="Arial" w:hAnsi="Arial" w:cs="Arial"/>
          <w:b/>
          <w:bCs/>
          <w:color w:val="000000" w:themeColor="text1"/>
          <w:sz w:val="24"/>
          <w:szCs w:val="24"/>
        </w:rPr>
        <w:t>4. Tailor communication and service design to UK cultural expectations</w:t>
      </w:r>
      <w:bookmarkEnd w:id="54"/>
      <w:bookmarkEnd w:id="55"/>
    </w:p>
    <w:p w14:paraId="3E66EA3F" w14:textId="4554DEC6" w:rsidR="00872A4E" w:rsidRDefault="00872A4E"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Cross‑cultural management research emphasises the need for MNEs to adapt communication and service practices to host‑country norms (Bartosik‑Purgat and Guzek, 2024). The UK’s high individualism and low power distance suggest strong consumer expectations for autonomy, clarity, and responsive service. Amazon should refine its UK customer service tone, strengthen consumer rights communication, and enhance transparency in marketplace governance. These adaptations would improve trust and reduce uncertainty, supporting long‑term customer loyalty.</w:t>
      </w:r>
    </w:p>
    <w:p w14:paraId="5DF710C2" w14:textId="37CB980F" w:rsidR="00872A4E" w:rsidRDefault="486F2474" w:rsidP="4D56DE6F">
      <w:pPr>
        <w:pStyle w:val="Heading2"/>
        <w:spacing w:before="299" w:after="299" w:line="360" w:lineRule="auto"/>
        <w:rPr>
          <w:rFonts w:ascii="Arial" w:eastAsia="Arial" w:hAnsi="Arial" w:cs="Arial"/>
          <w:b/>
          <w:bCs/>
          <w:color w:val="000000" w:themeColor="text1"/>
          <w:sz w:val="24"/>
          <w:szCs w:val="24"/>
        </w:rPr>
      </w:pPr>
      <w:bookmarkStart w:id="56" w:name="_Toc1177902482"/>
      <w:bookmarkStart w:id="57" w:name="_Toc55104469"/>
      <w:r w:rsidRPr="4D56DE6F">
        <w:rPr>
          <w:rFonts w:ascii="Arial" w:eastAsia="Arial" w:hAnsi="Arial" w:cs="Arial"/>
          <w:b/>
          <w:bCs/>
          <w:color w:val="000000" w:themeColor="text1"/>
          <w:sz w:val="24"/>
          <w:szCs w:val="24"/>
        </w:rPr>
        <w:lastRenderedPageBreak/>
        <w:t>5.</w:t>
      </w:r>
      <w:r w:rsidR="00872A4E" w:rsidRPr="4D56DE6F">
        <w:rPr>
          <w:rFonts w:ascii="Arial" w:eastAsia="Arial" w:hAnsi="Arial" w:cs="Arial"/>
          <w:b/>
          <w:bCs/>
          <w:color w:val="000000" w:themeColor="text1"/>
          <w:sz w:val="24"/>
          <w:szCs w:val="24"/>
        </w:rPr>
        <w:t>Overall Evaluation</w:t>
      </w:r>
      <w:bookmarkEnd w:id="56"/>
      <w:bookmarkEnd w:id="57"/>
    </w:p>
    <w:p w14:paraId="2DC0EFFD" w14:textId="4638EFF0" w:rsidR="00872A4E" w:rsidRDefault="00872A4E"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Collectively, these recommendations reinforce Amazon’s strategic position by integrating platform innovation, legitimacy building, productivity‑enhancing investment, and cultural adaptation. This multi‑layered approach aligns with international business theory and the UK’s evolving digital landscape, supporting Amazon’s continued growth and competitiveness.</w:t>
      </w:r>
    </w:p>
    <w:p w14:paraId="1485D1DC" w14:textId="2C5BC0DD" w:rsidR="1235E944" w:rsidRDefault="1235E944" w:rsidP="4D56DE6F">
      <w:pPr>
        <w:pStyle w:val="Heading2"/>
        <w:spacing w:line="360" w:lineRule="auto"/>
        <w:rPr>
          <w:rFonts w:ascii="Arial" w:eastAsia="Arial" w:hAnsi="Arial" w:cs="Arial"/>
          <w:b/>
          <w:bCs/>
          <w:color w:val="000000" w:themeColor="text1"/>
          <w:sz w:val="24"/>
          <w:szCs w:val="24"/>
        </w:rPr>
      </w:pPr>
      <w:bookmarkStart w:id="58" w:name="_Toc1246635989"/>
      <w:bookmarkStart w:id="59" w:name="_Toc1741928399"/>
      <w:r w:rsidRPr="4D56DE6F">
        <w:rPr>
          <w:rFonts w:ascii="Arial" w:eastAsia="Arial" w:hAnsi="Arial" w:cs="Arial"/>
          <w:b/>
          <w:bCs/>
          <w:color w:val="000000" w:themeColor="text1"/>
          <w:sz w:val="24"/>
          <w:szCs w:val="24"/>
        </w:rPr>
        <w:t>8. Conclusion</w:t>
      </w:r>
      <w:bookmarkEnd w:id="58"/>
      <w:bookmarkEnd w:id="59"/>
    </w:p>
    <w:p w14:paraId="152F334B" w14:textId="5F3572F7" w:rsidR="1235E944" w:rsidRDefault="1235E944" w:rsidP="4D56DE6F">
      <w:pPr>
        <w:spacing w:before="240" w:after="240" w:line="360" w:lineRule="auto"/>
      </w:pPr>
      <w:r w:rsidRPr="4D56DE6F">
        <w:rPr>
          <w:rFonts w:ascii="Arial" w:eastAsia="Arial" w:hAnsi="Arial" w:cs="Arial"/>
          <w:color w:val="000000" w:themeColor="text1"/>
        </w:rPr>
        <w:t>Amazon’s position in the UK reflects the complex interaction between global capabilities and host‑country conditions. The PESTLE analysis shows that the UK’s advanced digital infrastructure, regulatory stability, and high consumer expectations create both opportunities and pressures for Amazon’s continued growth. Porter’s Diamond further highlights the strength of the UK’s competitive environment, particularly in terms of sophisticated demand conditions and robust supporting industries, which reinforce Amazon’s innovation‑driven business model. FDI theory, especially Dunning’s OLI paradigm, explains Amazon’s sustained investment in the UK through its ownership advantages in technology and data, favourable location conditions, and strong internalisation incentives. Contemporary research on productivity spillovers and CSR signalling strengthens this explanation by showing how long‑term, technology‑intensive investment and legitimacy‑building strategies enhance Amazon’s embeddedness in the UK economy. Cultural analysis also demonstrates that Amazon’s adaptation to UK norms around individualism, transparency, and service quality supports consumer trust and market acceptance. Taken together, these insights show that Amazon’s success in the UK is not the result of a single factor but a combination of strategic, institutional, and cultural alignment. The recommendations provided-focused on value co‑creation, CSR signalling, regional investment, and cultural adaptation-offer a coherent pathway for Amazon to consolidate its competitive position and sustain long‑term growth in the UK’s evolving digital landscape.</w:t>
      </w:r>
      <w:r w:rsidR="29A9EAE1">
        <w:rPr>
          <w:noProof/>
        </w:rPr>
        <w:drawing>
          <wp:inline distT="0" distB="0" distL="0" distR="0" wp14:anchorId="08A35251" wp14:editId="640C4D75">
            <wp:extent cx="9525" cy="9525"/>
            <wp:effectExtent l="0" t="0" r="0" b="0"/>
            <wp:docPr id="8385958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95826" name="Picture 838595826"/>
                    <pic:cNvPicPr/>
                  </pic:nvPicPr>
                  <pic:blipFill>
                    <a:blip r:embed="rId8">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14:paraId="0C1992F7" w14:textId="11CBD325" w:rsidR="29A9EAE1" w:rsidRDefault="29A9EAE1" w:rsidP="4D56DE6F">
      <w:pPr>
        <w:spacing w:before="240" w:after="240" w:line="360" w:lineRule="auto"/>
      </w:pPr>
      <w:r w:rsidRPr="4D56DE6F">
        <w:rPr>
          <w:rFonts w:ascii="Arial" w:eastAsia="Arial" w:hAnsi="Arial" w:cs="Arial"/>
        </w:rPr>
        <w:t xml:space="preserve">In evaluating these recommendations, strengthening CSR signalling and investing in productivity-enhancing technologies should be prioritised due to their high feasibility and alignment with regulatory and consumer expectations. Ecosystem co‑creation, </w:t>
      </w:r>
      <w:r w:rsidRPr="4D56DE6F">
        <w:rPr>
          <w:rFonts w:ascii="Arial" w:eastAsia="Arial" w:hAnsi="Arial" w:cs="Arial"/>
        </w:rPr>
        <w:lastRenderedPageBreak/>
        <w:t>while strategically valuable, requires deeper institutional collaboration and may deliver benefits more gradually.</w:t>
      </w:r>
    </w:p>
    <w:p w14:paraId="1435CF4A" w14:textId="511B58E8" w:rsidR="29A9EAE1" w:rsidRDefault="29A9EAE1" w:rsidP="4D56DE6F">
      <w:pPr>
        <w:spacing w:before="240" w:after="240" w:line="360" w:lineRule="auto"/>
      </w:pPr>
      <w:r w:rsidRPr="4D56DE6F">
        <w:rPr>
          <w:rFonts w:ascii="Arial" w:eastAsia="Arial" w:hAnsi="Arial" w:cs="Arial"/>
          <w:i/>
          <w:iCs/>
        </w:rPr>
        <w:t>Overall, Amazon’s competitive position in the UK remains strong but increasingly contingent on its ability to balance operational efficiency with institutional legitimacy. The interplay between regulatory scrutiny, technological expectations, and societal demands suggests that future advantage will depend less on scale and more on responsible innovation and cultural alignment.</w:t>
      </w:r>
    </w:p>
    <w:p w14:paraId="3B536BAF" w14:textId="59D9D91B" w:rsidR="4D56DE6F" w:rsidRDefault="4D56DE6F" w:rsidP="4D56DE6F">
      <w:pPr>
        <w:spacing w:before="240" w:after="240" w:line="360" w:lineRule="auto"/>
        <w:rPr>
          <w:rFonts w:ascii="Arial" w:eastAsia="Arial" w:hAnsi="Arial" w:cs="Arial"/>
          <w:color w:val="000000" w:themeColor="text1"/>
        </w:rPr>
      </w:pPr>
    </w:p>
    <w:p w14:paraId="20338B24" w14:textId="77777777" w:rsidR="00666E0E" w:rsidRDefault="00666E0E" w:rsidP="4D56DE6F">
      <w:pPr>
        <w:spacing w:before="240" w:after="240" w:line="360" w:lineRule="auto"/>
        <w:rPr>
          <w:rFonts w:ascii="Arial" w:eastAsia="Arial" w:hAnsi="Arial" w:cs="Arial"/>
          <w:color w:val="000000" w:themeColor="text1"/>
        </w:rPr>
      </w:pPr>
    </w:p>
    <w:p w14:paraId="2BEE8DAA" w14:textId="77777777" w:rsidR="00666E0E" w:rsidRDefault="00666E0E" w:rsidP="4D56DE6F">
      <w:pPr>
        <w:spacing w:before="240" w:after="240" w:line="360" w:lineRule="auto"/>
        <w:rPr>
          <w:rFonts w:ascii="Arial" w:eastAsia="Arial" w:hAnsi="Arial" w:cs="Arial"/>
          <w:color w:val="000000" w:themeColor="text1"/>
        </w:rPr>
      </w:pPr>
    </w:p>
    <w:p w14:paraId="74F8FB95" w14:textId="77777777" w:rsidR="00666E0E" w:rsidRDefault="00666E0E" w:rsidP="4D56DE6F">
      <w:pPr>
        <w:spacing w:before="240" w:after="240" w:line="360" w:lineRule="auto"/>
        <w:rPr>
          <w:rFonts w:ascii="Arial" w:eastAsia="Arial" w:hAnsi="Arial" w:cs="Arial"/>
          <w:color w:val="000000" w:themeColor="text1"/>
        </w:rPr>
      </w:pPr>
    </w:p>
    <w:p w14:paraId="224D2FF9" w14:textId="77777777" w:rsidR="00666E0E" w:rsidRDefault="00666E0E" w:rsidP="4D56DE6F">
      <w:pPr>
        <w:spacing w:before="240" w:after="240" w:line="360" w:lineRule="auto"/>
        <w:rPr>
          <w:rFonts w:ascii="Arial" w:eastAsia="Arial" w:hAnsi="Arial" w:cs="Arial"/>
          <w:color w:val="000000" w:themeColor="text1"/>
        </w:rPr>
      </w:pPr>
    </w:p>
    <w:p w14:paraId="687E8DED" w14:textId="77777777" w:rsidR="00666E0E" w:rsidRDefault="00666E0E" w:rsidP="4D56DE6F">
      <w:pPr>
        <w:spacing w:before="240" w:after="240" w:line="360" w:lineRule="auto"/>
        <w:rPr>
          <w:rFonts w:ascii="Arial" w:eastAsia="Arial" w:hAnsi="Arial" w:cs="Arial"/>
          <w:color w:val="000000" w:themeColor="text1"/>
        </w:rPr>
      </w:pPr>
    </w:p>
    <w:p w14:paraId="5BB1E58C" w14:textId="77777777" w:rsidR="00666E0E" w:rsidRDefault="00666E0E" w:rsidP="4D56DE6F">
      <w:pPr>
        <w:spacing w:before="240" w:after="240" w:line="360" w:lineRule="auto"/>
        <w:rPr>
          <w:rFonts w:ascii="Arial" w:eastAsia="Arial" w:hAnsi="Arial" w:cs="Arial"/>
          <w:color w:val="000000" w:themeColor="text1"/>
        </w:rPr>
      </w:pPr>
    </w:p>
    <w:p w14:paraId="2FE8E4B0" w14:textId="77777777" w:rsidR="00666E0E" w:rsidRDefault="00666E0E" w:rsidP="4D56DE6F">
      <w:pPr>
        <w:spacing w:before="240" w:after="240" w:line="360" w:lineRule="auto"/>
        <w:rPr>
          <w:rFonts w:ascii="Arial" w:eastAsia="Arial" w:hAnsi="Arial" w:cs="Arial"/>
          <w:color w:val="000000" w:themeColor="text1"/>
        </w:rPr>
      </w:pPr>
    </w:p>
    <w:p w14:paraId="70E4ECF1" w14:textId="77777777" w:rsidR="00666E0E" w:rsidRDefault="00666E0E" w:rsidP="4D56DE6F">
      <w:pPr>
        <w:spacing w:before="240" w:after="240" w:line="360" w:lineRule="auto"/>
        <w:rPr>
          <w:rFonts w:ascii="Arial" w:eastAsia="Arial" w:hAnsi="Arial" w:cs="Arial"/>
          <w:color w:val="000000" w:themeColor="text1"/>
        </w:rPr>
      </w:pPr>
    </w:p>
    <w:p w14:paraId="7F5FBD68" w14:textId="77777777" w:rsidR="00666E0E" w:rsidRDefault="00666E0E" w:rsidP="4D56DE6F">
      <w:pPr>
        <w:spacing w:before="240" w:after="240" w:line="360" w:lineRule="auto"/>
        <w:rPr>
          <w:rFonts w:ascii="Arial" w:eastAsia="Arial" w:hAnsi="Arial" w:cs="Arial"/>
          <w:color w:val="000000" w:themeColor="text1"/>
        </w:rPr>
      </w:pPr>
    </w:p>
    <w:p w14:paraId="66B4B7E0" w14:textId="77777777" w:rsidR="00666E0E" w:rsidRDefault="00666E0E" w:rsidP="4D56DE6F">
      <w:pPr>
        <w:spacing w:before="240" w:after="240" w:line="360" w:lineRule="auto"/>
        <w:rPr>
          <w:rFonts w:ascii="Arial" w:eastAsia="Arial" w:hAnsi="Arial" w:cs="Arial"/>
          <w:color w:val="000000" w:themeColor="text1"/>
        </w:rPr>
      </w:pPr>
    </w:p>
    <w:p w14:paraId="796A9FC6" w14:textId="77777777" w:rsidR="00666E0E" w:rsidRDefault="00666E0E" w:rsidP="4D56DE6F">
      <w:pPr>
        <w:spacing w:before="240" w:after="240" w:line="360" w:lineRule="auto"/>
        <w:rPr>
          <w:rFonts w:ascii="Arial" w:eastAsia="Arial" w:hAnsi="Arial" w:cs="Arial"/>
          <w:color w:val="000000" w:themeColor="text1"/>
        </w:rPr>
      </w:pPr>
    </w:p>
    <w:p w14:paraId="7D341183" w14:textId="77777777" w:rsidR="00666E0E" w:rsidRDefault="00666E0E" w:rsidP="4D56DE6F">
      <w:pPr>
        <w:spacing w:before="240" w:after="240" w:line="360" w:lineRule="auto"/>
        <w:rPr>
          <w:rFonts w:ascii="Arial" w:eastAsia="Arial" w:hAnsi="Arial" w:cs="Arial"/>
          <w:color w:val="000000" w:themeColor="text1"/>
        </w:rPr>
      </w:pPr>
    </w:p>
    <w:p w14:paraId="380FD976" w14:textId="77777777" w:rsidR="00666E0E" w:rsidRDefault="00666E0E" w:rsidP="4D56DE6F">
      <w:pPr>
        <w:spacing w:before="240" w:after="240" w:line="360" w:lineRule="auto"/>
        <w:rPr>
          <w:rFonts w:ascii="Arial" w:eastAsia="Arial" w:hAnsi="Arial" w:cs="Arial"/>
          <w:color w:val="000000" w:themeColor="text1"/>
        </w:rPr>
      </w:pPr>
    </w:p>
    <w:p w14:paraId="1B15E5F0" w14:textId="77777777" w:rsidR="00666E0E" w:rsidRDefault="00666E0E" w:rsidP="4D56DE6F">
      <w:pPr>
        <w:spacing w:before="240" w:after="240" w:line="360" w:lineRule="auto"/>
        <w:rPr>
          <w:rFonts w:ascii="Arial" w:eastAsia="Arial" w:hAnsi="Arial" w:cs="Arial"/>
          <w:color w:val="000000" w:themeColor="text1"/>
        </w:rPr>
      </w:pPr>
    </w:p>
    <w:p w14:paraId="48F0D91E" w14:textId="52E39BA5" w:rsidR="35F36BF8" w:rsidRDefault="35F36BF8" w:rsidP="4D56DE6F">
      <w:pPr>
        <w:spacing w:before="240" w:after="240" w:line="360" w:lineRule="auto"/>
        <w:rPr>
          <w:rFonts w:ascii="Arial" w:eastAsia="Arial" w:hAnsi="Arial" w:cs="Arial"/>
          <w:color w:val="000000" w:themeColor="text1"/>
        </w:rPr>
      </w:pPr>
    </w:p>
    <w:p w14:paraId="74967765" w14:textId="46BFAECF" w:rsidR="06EC282C" w:rsidRDefault="06EC282C" w:rsidP="4D56DE6F">
      <w:pPr>
        <w:pStyle w:val="Heading1"/>
        <w:spacing w:line="360" w:lineRule="auto"/>
        <w:rPr>
          <w:rFonts w:ascii="Arial" w:eastAsia="Arial" w:hAnsi="Arial" w:cs="Arial"/>
          <w:b/>
          <w:bCs/>
          <w:color w:val="000000" w:themeColor="text1"/>
          <w:sz w:val="28"/>
          <w:szCs w:val="28"/>
        </w:rPr>
      </w:pPr>
      <w:bookmarkStart w:id="60" w:name="_Toc1734900959"/>
      <w:r w:rsidRPr="4D56DE6F">
        <w:rPr>
          <w:rFonts w:ascii="Arial" w:eastAsia="Arial" w:hAnsi="Arial" w:cs="Arial"/>
          <w:b/>
          <w:bCs/>
          <w:color w:val="000000" w:themeColor="text1"/>
          <w:sz w:val="28"/>
          <w:szCs w:val="28"/>
        </w:rPr>
        <w:lastRenderedPageBreak/>
        <w:t>II Reflective Account (Gibbs’ Reflective Cycle)</w:t>
      </w:r>
      <w:bookmarkEnd w:id="60"/>
      <w:r w:rsidRPr="4D56DE6F">
        <w:rPr>
          <w:rFonts w:ascii="Arial" w:eastAsia="Arial" w:hAnsi="Arial" w:cs="Arial"/>
          <w:b/>
          <w:bCs/>
          <w:color w:val="000000" w:themeColor="text1"/>
          <w:sz w:val="28"/>
          <w:szCs w:val="28"/>
        </w:rPr>
        <w:t xml:space="preserve"> </w:t>
      </w:r>
    </w:p>
    <w:p w14:paraId="751A77D4" w14:textId="121C7726" w:rsidR="1FEF32B0" w:rsidRDefault="1FEF32B0" w:rsidP="4D56DE6F">
      <w:pPr>
        <w:spacing w:after="0" w:line="360" w:lineRule="auto"/>
        <w:rPr>
          <w:rFonts w:ascii="Arial" w:eastAsia="Arial" w:hAnsi="Arial" w:cs="Arial"/>
          <w:color w:val="000000" w:themeColor="text1"/>
        </w:rPr>
      </w:pPr>
    </w:p>
    <w:p w14:paraId="3BB400F6" w14:textId="67930590" w:rsidR="06EC282C" w:rsidRDefault="06EC282C" w:rsidP="4D56DE6F">
      <w:pPr>
        <w:pStyle w:val="Heading2"/>
        <w:spacing w:line="360" w:lineRule="auto"/>
        <w:rPr>
          <w:rFonts w:ascii="Arial" w:eastAsia="Arial" w:hAnsi="Arial" w:cs="Arial"/>
          <w:b/>
          <w:bCs/>
          <w:color w:val="000000" w:themeColor="text1"/>
          <w:sz w:val="24"/>
          <w:szCs w:val="24"/>
        </w:rPr>
      </w:pPr>
      <w:bookmarkStart w:id="61" w:name="_Toc1652975123"/>
      <w:r w:rsidRPr="4D56DE6F">
        <w:rPr>
          <w:rFonts w:ascii="Arial" w:eastAsia="Arial" w:hAnsi="Arial" w:cs="Arial"/>
          <w:b/>
          <w:bCs/>
          <w:color w:val="000000" w:themeColor="text1"/>
          <w:sz w:val="24"/>
          <w:szCs w:val="24"/>
        </w:rPr>
        <w:t>Description</w:t>
      </w:r>
      <w:bookmarkEnd w:id="61"/>
      <w:r w:rsidRPr="4D56DE6F">
        <w:rPr>
          <w:rFonts w:ascii="Arial" w:eastAsia="Arial" w:hAnsi="Arial" w:cs="Arial"/>
          <w:b/>
          <w:bCs/>
          <w:color w:val="000000" w:themeColor="text1"/>
          <w:sz w:val="24"/>
          <w:szCs w:val="24"/>
        </w:rPr>
        <w:t xml:space="preserve"> </w:t>
      </w:r>
    </w:p>
    <w:p w14:paraId="19C9C639" w14:textId="59FE89CA" w:rsidR="06EC282C" w:rsidRDefault="06EC282C" w:rsidP="4D56DE6F">
      <w:pPr>
        <w:spacing w:after="0" w:line="360" w:lineRule="auto"/>
        <w:rPr>
          <w:rFonts w:ascii="Arial" w:eastAsia="Arial" w:hAnsi="Arial" w:cs="Arial"/>
          <w:color w:val="000000" w:themeColor="text1"/>
        </w:rPr>
      </w:pPr>
      <w:r w:rsidRPr="4D56DE6F">
        <w:rPr>
          <w:rFonts w:ascii="Arial" w:eastAsia="Arial" w:hAnsi="Arial" w:cs="Arial"/>
          <w:color w:val="000000" w:themeColor="text1"/>
        </w:rPr>
        <w:t>The process of researching, analysing and preparing the first section of this assessment involved several stages, beginning with understanding the assignment brief and identifying the theoretical frameworks required. I approached the task by first reviewing the core international business concepts, including Porter’s Diamond, PESTLE analysis, Dunning’s OLI paradigm, and Hofstede’s cultural dimensions. I then gathered academic sources from textbooks, journal articles, and online academic databases to build a strong theoretical foundation. After this, I analysed the UK e‑commerce industry and Amazon’s strategic position, integrating theory with real‑world evidence. The writing process involved drafting each section, refining the structure, and ensuring that arguments were coherent, well‑supported, and aligned with postgraduate academic expectations.</w:t>
      </w:r>
    </w:p>
    <w:p w14:paraId="17E2F162" w14:textId="2ACB1FC6" w:rsidR="06EC282C" w:rsidRDefault="06EC282C" w:rsidP="4D56DE6F">
      <w:pPr>
        <w:pStyle w:val="Heading2"/>
        <w:spacing w:line="360" w:lineRule="auto"/>
        <w:rPr>
          <w:rFonts w:ascii="Arial" w:eastAsia="Arial" w:hAnsi="Arial" w:cs="Arial"/>
          <w:b/>
          <w:bCs/>
          <w:color w:val="000000" w:themeColor="text1"/>
          <w:sz w:val="24"/>
          <w:szCs w:val="24"/>
        </w:rPr>
      </w:pPr>
      <w:r w:rsidRPr="4D56DE6F">
        <w:rPr>
          <w:rFonts w:ascii="Arial" w:eastAsia="Arial" w:hAnsi="Arial" w:cs="Arial"/>
          <w:b/>
          <w:bCs/>
          <w:color w:val="000000" w:themeColor="text1"/>
          <w:sz w:val="24"/>
          <w:szCs w:val="24"/>
        </w:rPr>
        <w:t xml:space="preserve"> </w:t>
      </w:r>
      <w:bookmarkStart w:id="62" w:name="_Toc1962025225"/>
      <w:r w:rsidRPr="4D56DE6F">
        <w:rPr>
          <w:rFonts w:ascii="Arial" w:eastAsia="Arial" w:hAnsi="Arial" w:cs="Arial"/>
          <w:b/>
          <w:bCs/>
          <w:color w:val="000000" w:themeColor="text1"/>
          <w:sz w:val="24"/>
          <w:szCs w:val="24"/>
        </w:rPr>
        <w:t>Feelings</w:t>
      </w:r>
      <w:bookmarkEnd w:id="62"/>
    </w:p>
    <w:p w14:paraId="60731BD4" w14:textId="5C963F69" w:rsidR="563BA06F" w:rsidRDefault="563BA06F"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At the beginning of the process, I felt confident about my understanding of international business theory but slightly overwhelmed by the volume of information required to analyse an entire national industry and a multinational corporation. As I progressed, I became more comfortable navigating academic literature and applying theoretical models to Amazon’s operations. I also felt motivated when I realised how the different frameworks complemented each other, allowing me to build a more holistic analysis. However, I experienced some frustration when trying to synthesise large amounts of information into concise, academically appropriate sections. By the end of the process, I felt a sense of achievement because the final work demonstrated a clear progression in my analytical and academic writing skills.</w:t>
      </w:r>
    </w:p>
    <w:p w14:paraId="28FF0987" w14:textId="3F66FB71" w:rsidR="6F245FD3" w:rsidRDefault="6F245FD3" w:rsidP="4D56DE6F">
      <w:pPr>
        <w:pStyle w:val="Heading2"/>
        <w:spacing w:line="360" w:lineRule="auto"/>
        <w:rPr>
          <w:rFonts w:ascii="Arial" w:eastAsia="Arial" w:hAnsi="Arial" w:cs="Arial"/>
          <w:color w:val="000000" w:themeColor="text1"/>
          <w:sz w:val="24"/>
          <w:szCs w:val="24"/>
        </w:rPr>
      </w:pPr>
      <w:bookmarkStart w:id="63" w:name="_Toc1430289920"/>
      <w:r w:rsidRPr="4D56DE6F">
        <w:rPr>
          <w:rFonts w:ascii="Arial" w:eastAsia="Arial" w:hAnsi="Arial" w:cs="Arial"/>
          <w:color w:val="000000" w:themeColor="text1"/>
          <w:sz w:val="24"/>
          <w:szCs w:val="24"/>
        </w:rPr>
        <w:t>Evaluation</w:t>
      </w:r>
      <w:bookmarkEnd w:id="63"/>
    </w:p>
    <w:p w14:paraId="60A86232" w14:textId="18D5B2DF"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 xml:space="preserve">Several aspects of the process went well. My research was thorough, and I was able to identify relevant and up‑to‑date academic sources, including recent studies on CSR signalling, digital ecosystems, and FDI spillovers. This strengthened the credibility of my analysis. I also found that using multiple frameworks allowed me to examine Amazon from different angles, which improved the depth of the report. My </w:t>
      </w:r>
      <w:r w:rsidRPr="4D56DE6F">
        <w:rPr>
          <w:rFonts w:ascii="Arial" w:eastAsia="Arial" w:hAnsi="Arial" w:cs="Arial"/>
          <w:color w:val="000000" w:themeColor="text1"/>
        </w:rPr>
        <w:lastRenderedPageBreak/>
        <w:t>time management was effective, as I divided the work into smaller tasks and completed each section systematically.</w:t>
      </w:r>
    </w:p>
    <w:p w14:paraId="6687C3AD" w14:textId="0B04BAA6"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However, there were also challenges. One difficulty was ensuring that the analysis remained critical rather than descriptive. At times, I found myself summarising theory rather than applying it directly to Amazon’s strategic behaviour. Another challenge was maintaining consistency in academic tone and referencing, especially when integrating newer sources with classic international business literature. Additionally, synthesising complex information into clear, concise paragraphs required several rounds of editing.</w:t>
      </w:r>
    </w:p>
    <w:p w14:paraId="3A6E349D" w14:textId="4B947364" w:rsidR="6F245FD3" w:rsidRDefault="6F245FD3" w:rsidP="4D56DE6F">
      <w:pPr>
        <w:pStyle w:val="Heading2"/>
        <w:spacing w:line="360" w:lineRule="auto"/>
        <w:rPr>
          <w:rFonts w:ascii="Arial" w:eastAsia="Arial" w:hAnsi="Arial" w:cs="Arial"/>
          <w:b/>
          <w:bCs/>
          <w:color w:val="000000" w:themeColor="text1"/>
          <w:sz w:val="24"/>
          <w:szCs w:val="24"/>
        </w:rPr>
      </w:pPr>
      <w:bookmarkStart w:id="64" w:name="_Toc867274187"/>
      <w:r w:rsidRPr="4D56DE6F">
        <w:rPr>
          <w:rFonts w:ascii="Arial" w:eastAsia="Arial" w:hAnsi="Arial" w:cs="Arial"/>
          <w:b/>
          <w:bCs/>
          <w:color w:val="000000" w:themeColor="text1"/>
          <w:sz w:val="24"/>
          <w:szCs w:val="24"/>
        </w:rPr>
        <w:t>Analysis</w:t>
      </w:r>
      <w:bookmarkEnd w:id="64"/>
    </w:p>
    <w:p w14:paraId="22E2E46B" w14:textId="0F1BB937"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Reflecting on the process, I can see that my understanding of international business theory deepened significantly. Applying Porter’s Diamond helped me appreciate how national competitiveness is shaped by factor conditions, demand sophistication, supporting industries, and government policy. Analysing Amazon through this lens highlighted the importance of the UK’s digital infrastructure and consumer expectations in shaping competitive dynamics.</w:t>
      </w:r>
      <w:r w:rsidR="1A8910C0" w:rsidRPr="4D56DE6F">
        <w:rPr>
          <w:rFonts w:ascii="Arial" w:eastAsia="Arial" w:hAnsi="Arial" w:cs="Arial"/>
        </w:rPr>
        <w:t xml:space="preserve"> This aligns with Schön’s (1983) concept of the reflective practitioner, which emphasises learning through iterative engagement with complex tasks and adapting one’s approach through continuous self-evaluation.</w:t>
      </w:r>
    </w:p>
    <w:p w14:paraId="7318DE9B" w14:textId="1EFCDAF0"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Using PESTLE analysis allowed me to explore the broader macro‑environmental pressures affecting Amazon, such as regulatory scrutiny, technological innovation, and sustainability expectations. This helped me understand how external forces influence strategic decision‑making in multinational enterprises.</w:t>
      </w:r>
    </w:p>
    <w:p w14:paraId="35F40C10" w14:textId="54960C0E"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Dunning’s OLI paradigm was particularly useful for explaining Amazon’s foreign direct investment motivations. Reflecting on this, I realised that ownership advantages such as technology and brand reputation are central to Amazon’s global strategy, while location advantages in the UK—such as a digitally mature consumer base</w:t>
      </w:r>
      <w:r w:rsidR="7E2AB62B" w:rsidRPr="4D56DE6F">
        <w:rPr>
          <w:rFonts w:ascii="Arial" w:eastAsia="Arial" w:hAnsi="Arial" w:cs="Arial"/>
          <w:color w:val="000000" w:themeColor="text1"/>
        </w:rPr>
        <w:t>-</w:t>
      </w:r>
      <w:r w:rsidRPr="4D56DE6F">
        <w:rPr>
          <w:rFonts w:ascii="Arial" w:eastAsia="Arial" w:hAnsi="Arial" w:cs="Arial"/>
          <w:color w:val="000000" w:themeColor="text1"/>
        </w:rPr>
        <w:t>reinforce its investment decisions. Internalisation advantages also helped me understand why Amazon prefers to retain control over logistics and cloud infrastructure.</w:t>
      </w:r>
    </w:p>
    <w:p w14:paraId="2AFF8A7D" w14:textId="3DAB484F"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lastRenderedPageBreak/>
        <w:t>Cultural analysis using Hofstede’s dimensions helped me recognise the importance of aligning global strategies with local consumer expectations. This reflection made me more aware of how cultural differences shape consumer behaviour and organisational practices.</w:t>
      </w:r>
    </w:p>
    <w:p w14:paraId="66581064" w14:textId="425BA99C"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Overall, the process improved my ability to integrate theory with real‑world examples, evaluate evidence critically, and construct academically rigorous arguments.</w:t>
      </w:r>
    </w:p>
    <w:p w14:paraId="494708C7" w14:textId="2DAEEC69" w:rsidR="6F245FD3" w:rsidRDefault="6F245FD3" w:rsidP="4D56DE6F">
      <w:pPr>
        <w:pStyle w:val="Heading2"/>
        <w:spacing w:line="360" w:lineRule="auto"/>
        <w:rPr>
          <w:rFonts w:ascii="Arial" w:eastAsia="Arial" w:hAnsi="Arial" w:cs="Arial"/>
          <w:b/>
          <w:bCs/>
          <w:color w:val="000000" w:themeColor="text1"/>
          <w:sz w:val="24"/>
          <w:szCs w:val="24"/>
        </w:rPr>
      </w:pPr>
      <w:bookmarkStart w:id="65" w:name="_Toc1903168524"/>
      <w:r w:rsidRPr="4D56DE6F">
        <w:rPr>
          <w:rFonts w:ascii="Arial" w:eastAsia="Arial" w:hAnsi="Arial" w:cs="Arial"/>
          <w:b/>
          <w:bCs/>
          <w:color w:val="000000" w:themeColor="text1"/>
          <w:sz w:val="24"/>
          <w:szCs w:val="24"/>
        </w:rPr>
        <w:t>Conclusion</w:t>
      </w:r>
      <w:bookmarkEnd w:id="65"/>
    </w:p>
    <w:p w14:paraId="7AEC76BB" w14:textId="7246D922"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From this reflective process, I have learned that effective academic analysis requires more than simply understanding theoretical frameworks; it requires the ability to apply them critically to real‑world contexts. I also realised the importance of planning, structured research, and iterative drafting in producing high‑quality academic work. My confidence in using academic sources has increased, and I now have a clearer understanding of how to synthesise information from multiple frameworks into a coherent analysis.</w:t>
      </w:r>
    </w:p>
    <w:p w14:paraId="4169B213" w14:textId="02B9B1C8"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However, I also recognise areas for improvement. I need to continue developing my critical writing skills to ensure that my work consistently moves beyond description. I also need to refine my ability to summarise complex information concisely without losing analytical depth. Improving my referencing accuracy and consistency is another area I want to strengthen.</w:t>
      </w:r>
    </w:p>
    <w:p w14:paraId="09FA8FA3" w14:textId="5CB8219A" w:rsidR="6F245FD3" w:rsidRDefault="6F245FD3" w:rsidP="4D56DE6F">
      <w:pPr>
        <w:pStyle w:val="Heading2"/>
        <w:spacing w:line="360" w:lineRule="auto"/>
        <w:rPr>
          <w:rFonts w:ascii="Arial" w:eastAsia="Arial" w:hAnsi="Arial" w:cs="Arial"/>
          <w:b/>
          <w:bCs/>
          <w:color w:val="000000" w:themeColor="text1"/>
          <w:sz w:val="24"/>
          <w:szCs w:val="24"/>
        </w:rPr>
      </w:pPr>
      <w:bookmarkStart w:id="66" w:name="_Toc322177013"/>
      <w:r w:rsidRPr="4D56DE6F">
        <w:rPr>
          <w:rFonts w:ascii="Arial" w:eastAsia="Arial" w:hAnsi="Arial" w:cs="Arial"/>
          <w:b/>
          <w:bCs/>
          <w:color w:val="000000" w:themeColor="text1"/>
          <w:sz w:val="24"/>
          <w:szCs w:val="24"/>
        </w:rPr>
        <w:t>Action Plan</w:t>
      </w:r>
      <w:bookmarkEnd w:id="66"/>
    </w:p>
    <w:p w14:paraId="396005F4" w14:textId="4E9B02B3"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t>To improve future academic work, I will adopt several strategies. First, I will begin assignments earlier to allow more time for deeper reading and reflection. Second, I will use structured note‑taking methods to help distinguish between descriptive information and analytical insights. Third, I will continue practising the application of theoretical frameworks to real‑world cases to strengthen my critical thinking skills. Fourth, I will use referencing tools and cross‑checking techniques to ensure that all in‑text citations match the reference list accurately. Finally, I will seek feedback from lecturers and peers to identify further areas for improvement in academic writing and analysis.</w:t>
      </w:r>
    </w:p>
    <w:p w14:paraId="6F310251" w14:textId="18872F0C" w:rsidR="6F245FD3" w:rsidRDefault="6F245FD3" w:rsidP="4D56DE6F">
      <w:pPr>
        <w:spacing w:line="360" w:lineRule="auto"/>
        <w:rPr>
          <w:rFonts w:ascii="Arial" w:eastAsia="Arial" w:hAnsi="Arial" w:cs="Arial"/>
          <w:color w:val="000000" w:themeColor="text1"/>
        </w:rPr>
      </w:pPr>
      <w:r w:rsidRPr="4D56DE6F">
        <w:rPr>
          <w:rFonts w:ascii="Arial" w:eastAsia="Arial" w:hAnsi="Arial" w:cs="Arial"/>
          <w:color w:val="000000" w:themeColor="text1"/>
        </w:rPr>
        <w:lastRenderedPageBreak/>
        <w:t>By following this action plan, I aim to enhance my academic performance, deepen my understanding of international business concepts, and develop stronger analytical and reflective skills that will support both my studies and future professional development.</w:t>
      </w:r>
    </w:p>
    <w:p w14:paraId="3B5FDD49" w14:textId="5D9F0156" w:rsidR="1FEF32B0" w:rsidRDefault="1FEF32B0" w:rsidP="4D56DE6F">
      <w:pPr>
        <w:spacing w:line="360" w:lineRule="auto"/>
        <w:rPr>
          <w:rFonts w:ascii="Arial" w:eastAsia="Arial" w:hAnsi="Arial" w:cs="Arial"/>
          <w:color w:val="000000" w:themeColor="text1"/>
        </w:rPr>
      </w:pPr>
    </w:p>
    <w:p w14:paraId="67C77070" w14:textId="6AD8AB98" w:rsidR="1FEF32B0" w:rsidRDefault="1FEF32B0" w:rsidP="4D56DE6F">
      <w:pPr>
        <w:spacing w:before="240" w:after="240" w:line="360" w:lineRule="auto"/>
        <w:rPr>
          <w:rFonts w:ascii="Arial" w:eastAsia="Arial" w:hAnsi="Arial" w:cs="Arial"/>
          <w:color w:val="000000" w:themeColor="text1"/>
        </w:rPr>
      </w:pPr>
    </w:p>
    <w:p w14:paraId="4BE1C1D5" w14:textId="6EBA7D58" w:rsidR="35F36BF8" w:rsidRDefault="35F36BF8" w:rsidP="4D56DE6F">
      <w:pPr>
        <w:spacing w:before="240" w:after="240" w:line="360" w:lineRule="auto"/>
        <w:rPr>
          <w:rFonts w:ascii="Arial" w:eastAsia="Arial" w:hAnsi="Arial" w:cs="Arial"/>
          <w:color w:val="000000" w:themeColor="text1"/>
        </w:rPr>
      </w:pPr>
    </w:p>
    <w:p w14:paraId="013A36FC" w14:textId="7211C999" w:rsidR="35F36BF8" w:rsidRDefault="35F36BF8" w:rsidP="4D56DE6F">
      <w:pPr>
        <w:spacing w:before="240" w:after="240" w:line="360" w:lineRule="auto"/>
        <w:rPr>
          <w:rFonts w:ascii="Arial" w:eastAsia="Arial" w:hAnsi="Arial" w:cs="Arial"/>
          <w:color w:val="000000" w:themeColor="text1"/>
        </w:rPr>
      </w:pPr>
    </w:p>
    <w:p w14:paraId="5276D63F" w14:textId="77777777" w:rsidR="00666E0E" w:rsidRDefault="00666E0E" w:rsidP="4D56DE6F">
      <w:pPr>
        <w:spacing w:before="240" w:after="240" w:line="360" w:lineRule="auto"/>
        <w:rPr>
          <w:rFonts w:ascii="Arial" w:eastAsia="Arial" w:hAnsi="Arial" w:cs="Arial"/>
          <w:color w:val="000000" w:themeColor="text1"/>
        </w:rPr>
      </w:pPr>
    </w:p>
    <w:p w14:paraId="660C8ED4" w14:textId="77777777" w:rsidR="00666E0E" w:rsidRDefault="00666E0E" w:rsidP="4D56DE6F">
      <w:pPr>
        <w:spacing w:before="240" w:after="240" w:line="360" w:lineRule="auto"/>
        <w:rPr>
          <w:rFonts w:ascii="Arial" w:eastAsia="Arial" w:hAnsi="Arial" w:cs="Arial"/>
          <w:color w:val="000000" w:themeColor="text1"/>
        </w:rPr>
      </w:pPr>
    </w:p>
    <w:p w14:paraId="22562D4A" w14:textId="77777777" w:rsidR="00666E0E" w:rsidRDefault="00666E0E" w:rsidP="4D56DE6F">
      <w:pPr>
        <w:spacing w:before="240" w:after="240" w:line="360" w:lineRule="auto"/>
        <w:rPr>
          <w:rFonts w:ascii="Arial" w:eastAsia="Arial" w:hAnsi="Arial" w:cs="Arial"/>
          <w:color w:val="000000" w:themeColor="text1"/>
        </w:rPr>
      </w:pPr>
    </w:p>
    <w:p w14:paraId="5FF3961B" w14:textId="77777777" w:rsidR="00666E0E" w:rsidRDefault="00666E0E" w:rsidP="4D56DE6F">
      <w:pPr>
        <w:spacing w:before="240" w:after="240" w:line="360" w:lineRule="auto"/>
        <w:rPr>
          <w:rFonts w:ascii="Arial" w:eastAsia="Arial" w:hAnsi="Arial" w:cs="Arial"/>
          <w:color w:val="000000" w:themeColor="text1"/>
        </w:rPr>
      </w:pPr>
    </w:p>
    <w:p w14:paraId="5F28AAB5" w14:textId="77777777" w:rsidR="00666E0E" w:rsidRDefault="00666E0E" w:rsidP="4D56DE6F">
      <w:pPr>
        <w:spacing w:before="240" w:after="240" w:line="360" w:lineRule="auto"/>
        <w:rPr>
          <w:rFonts w:ascii="Arial" w:eastAsia="Arial" w:hAnsi="Arial" w:cs="Arial"/>
          <w:color w:val="000000" w:themeColor="text1"/>
        </w:rPr>
      </w:pPr>
    </w:p>
    <w:p w14:paraId="75A30CA6" w14:textId="77777777" w:rsidR="00666E0E" w:rsidRDefault="00666E0E" w:rsidP="4D56DE6F">
      <w:pPr>
        <w:spacing w:before="240" w:after="240" w:line="360" w:lineRule="auto"/>
        <w:rPr>
          <w:rFonts w:ascii="Arial" w:eastAsia="Arial" w:hAnsi="Arial" w:cs="Arial"/>
          <w:color w:val="000000" w:themeColor="text1"/>
        </w:rPr>
      </w:pPr>
    </w:p>
    <w:p w14:paraId="5800B83F" w14:textId="77777777" w:rsidR="00666E0E" w:rsidRDefault="00666E0E" w:rsidP="4D56DE6F">
      <w:pPr>
        <w:spacing w:before="240" w:after="240" w:line="360" w:lineRule="auto"/>
        <w:rPr>
          <w:rFonts w:ascii="Arial" w:eastAsia="Arial" w:hAnsi="Arial" w:cs="Arial"/>
          <w:color w:val="000000" w:themeColor="text1"/>
        </w:rPr>
      </w:pPr>
    </w:p>
    <w:p w14:paraId="76C5EDE4" w14:textId="77777777" w:rsidR="00666E0E" w:rsidRDefault="00666E0E" w:rsidP="4D56DE6F">
      <w:pPr>
        <w:spacing w:before="240" w:after="240" w:line="360" w:lineRule="auto"/>
        <w:rPr>
          <w:rFonts w:ascii="Arial" w:eastAsia="Arial" w:hAnsi="Arial" w:cs="Arial"/>
          <w:color w:val="000000" w:themeColor="text1"/>
        </w:rPr>
      </w:pPr>
    </w:p>
    <w:p w14:paraId="3AAED663" w14:textId="77777777" w:rsidR="00666E0E" w:rsidRDefault="00666E0E" w:rsidP="4D56DE6F">
      <w:pPr>
        <w:spacing w:before="240" w:after="240" w:line="360" w:lineRule="auto"/>
        <w:rPr>
          <w:rFonts w:ascii="Arial" w:eastAsia="Arial" w:hAnsi="Arial" w:cs="Arial"/>
          <w:color w:val="000000" w:themeColor="text1"/>
        </w:rPr>
      </w:pPr>
    </w:p>
    <w:p w14:paraId="7F1F19EA" w14:textId="77777777" w:rsidR="00666E0E" w:rsidRDefault="00666E0E" w:rsidP="4D56DE6F">
      <w:pPr>
        <w:spacing w:before="240" w:after="240" w:line="360" w:lineRule="auto"/>
        <w:rPr>
          <w:rFonts w:ascii="Arial" w:eastAsia="Arial" w:hAnsi="Arial" w:cs="Arial"/>
          <w:color w:val="000000" w:themeColor="text1"/>
        </w:rPr>
      </w:pPr>
    </w:p>
    <w:p w14:paraId="44A33F0F" w14:textId="77777777" w:rsidR="00666E0E" w:rsidRDefault="00666E0E" w:rsidP="4D56DE6F">
      <w:pPr>
        <w:spacing w:before="240" w:after="240" w:line="360" w:lineRule="auto"/>
        <w:rPr>
          <w:rFonts w:ascii="Arial" w:eastAsia="Arial" w:hAnsi="Arial" w:cs="Arial"/>
          <w:color w:val="000000" w:themeColor="text1"/>
        </w:rPr>
      </w:pPr>
    </w:p>
    <w:p w14:paraId="0CC339C9" w14:textId="77777777" w:rsidR="00666E0E" w:rsidRDefault="00666E0E" w:rsidP="4D56DE6F">
      <w:pPr>
        <w:spacing w:before="240" w:after="240" w:line="360" w:lineRule="auto"/>
        <w:rPr>
          <w:rFonts w:ascii="Arial" w:eastAsia="Arial" w:hAnsi="Arial" w:cs="Arial"/>
          <w:color w:val="000000" w:themeColor="text1"/>
        </w:rPr>
      </w:pPr>
    </w:p>
    <w:p w14:paraId="1C69C527" w14:textId="77777777" w:rsidR="00666E0E" w:rsidRDefault="00666E0E" w:rsidP="4D56DE6F">
      <w:pPr>
        <w:spacing w:before="240" w:after="240" w:line="360" w:lineRule="auto"/>
        <w:rPr>
          <w:rFonts w:ascii="Arial" w:eastAsia="Arial" w:hAnsi="Arial" w:cs="Arial"/>
          <w:color w:val="000000" w:themeColor="text1"/>
        </w:rPr>
      </w:pPr>
    </w:p>
    <w:p w14:paraId="1F3BFDEC" w14:textId="77777777" w:rsidR="00666E0E" w:rsidRDefault="00666E0E" w:rsidP="4D56DE6F">
      <w:pPr>
        <w:spacing w:before="240" w:after="240" w:line="360" w:lineRule="auto"/>
        <w:rPr>
          <w:rFonts w:ascii="Arial" w:eastAsia="Arial" w:hAnsi="Arial" w:cs="Arial"/>
          <w:color w:val="000000" w:themeColor="text1"/>
        </w:rPr>
      </w:pPr>
    </w:p>
    <w:p w14:paraId="2EACCDFA" w14:textId="77777777" w:rsidR="00666E0E" w:rsidRDefault="00666E0E" w:rsidP="4D56DE6F">
      <w:pPr>
        <w:spacing w:before="240" w:after="240" w:line="360" w:lineRule="auto"/>
        <w:rPr>
          <w:rFonts w:ascii="Arial" w:eastAsia="Arial" w:hAnsi="Arial" w:cs="Arial"/>
          <w:color w:val="000000" w:themeColor="text1"/>
        </w:rPr>
      </w:pPr>
    </w:p>
    <w:p w14:paraId="77EE4DBD" w14:textId="384BED8F" w:rsidR="5C3B5686" w:rsidRDefault="5C3B5686" w:rsidP="4D56DE6F">
      <w:pPr>
        <w:pStyle w:val="Heading1"/>
        <w:rPr>
          <w:rStyle w:val="Heading1Char"/>
          <w:rFonts w:ascii="Arial" w:eastAsia="Arial" w:hAnsi="Arial" w:cs="Arial"/>
          <w:b/>
          <w:bCs/>
          <w:color w:val="000000" w:themeColor="text1"/>
          <w:sz w:val="28"/>
          <w:szCs w:val="28"/>
        </w:rPr>
      </w:pPr>
      <w:bookmarkStart w:id="67" w:name="_Toc1298764012"/>
      <w:bookmarkStart w:id="68" w:name="_Toc378263787"/>
      <w:r w:rsidRPr="4D56DE6F">
        <w:rPr>
          <w:rFonts w:ascii="Arial" w:eastAsia="Arial" w:hAnsi="Arial" w:cs="Arial"/>
          <w:b/>
          <w:bCs/>
          <w:color w:val="000000" w:themeColor="text1"/>
          <w:sz w:val="28"/>
          <w:szCs w:val="28"/>
        </w:rPr>
        <w:lastRenderedPageBreak/>
        <w:t>Referenc</w:t>
      </w:r>
      <w:r w:rsidR="59DF5BB0" w:rsidRPr="4D56DE6F">
        <w:rPr>
          <w:rFonts w:ascii="Arial" w:eastAsia="Arial" w:hAnsi="Arial" w:cs="Arial"/>
          <w:b/>
          <w:bCs/>
          <w:color w:val="000000" w:themeColor="text1"/>
          <w:sz w:val="28"/>
          <w:szCs w:val="28"/>
        </w:rPr>
        <w:t>e</w:t>
      </w:r>
      <w:r w:rsidRPr="4D56DE6F">
        <w:rPr>
          <w:rFonts w:ascii="Arial" w:eastAsia="Arial" w:hAnsi="Arial" w:cs="Arial"/>
          <w:b/>
          <w:bCs/>
          <w:color w:val="000000" w:themeColor="text1"/>
          <w:sz w:val="28"/>
          <w:szCs w:val="28"/>
        </w:rPr>
        <w:t xml:space="preserve"> </w:t>
      </w:r>
      <w:r w:rsidR="53B773B2" w:rsidRPr="4D56DE6F">
        <w:rPr>
          <w:rFonts w:ascii="Arial" w:eastAsia="Arial" w:hAnsi="Arial" w:cs="Arial"/>
          <w:b/>
          <w:bCs/>
          <w:color w:val="000000" w:themeColor="text1"/>
          <w:sz w:val="28"/>
          <w:szCs w:val="28"/>
        </w:rPr>
        <w:t>L</w:t>
      </w:r>
      <w:r w:rsidRPr="4D56DE6F">
        <w:rPr>
          <w:rFonts w:ascii="Arial" w:eastAsia="Arial" w:hAnsi="Arial" w:cs="Arial"/>
          <w:b/>
          <w:bCs/>
          <w:color w:val="000000" w:themeColor="text1"/>
          <w:sz w:val="28"/>
          <w:szCs w:val="28"/>
        </w:rPr>
        <w:t>ist</w:t>
      </w:r>
      <w:bookmarkEnd w:id="67"/>
      <w:bookmarkEnd w:id="68"/>
    </w:p>
    <w:p w14:paraId="41A49EEC" w14:textId="520B5D6E"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Alt, R. and Zimmermann, H.D. (2026) ‘Platform ecosystems and value co-creation in digital markets’, </w:t>
      </w:r>
      <w:r w:rsidRPr="4D56DE6F">
        <w:rPr>
          <w:rFonts w:ascii="Arial" w:eastAsia="Arial" w:hAnsi="Arial" w:cs="Arial"/>
          <w:i/>
          <w:iCs/>
          <w:color w:val="000000" w:themeColor="text1"/>
        </w:rPr>
        <w:t>Electronic Markets</w:t>
      </w:r>
      <w:r w:rsidRPr="4D56DE6F">
        <w:rPr>
          <w:rFonts w:ascii="Arial" w:eastAsia="Arial" w:hAnsi="Arial" w:cs="Arial"/>
          <w:color w:val="000000" w:themeColor="text1"/>
        </w:rPr>
        <w:t>, 36(1), pp. 1–15.</w:t>
      </w:r>
    </w:p>
    <w:p w14:paraId="096E74B3" w14:textId="399CD759"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Asa, A.R. and Nautwima, J.P. (2026) ‘Corporate digital responsibility and consumer trust in online environments’, </w:t>
      </w:r>
      <w:r w:rsidRPr="4D56DE6F">
        <w:rPr>
          <w:rFonts w:ascii="Arial" w:eastAsia="Arial" w:hAnsi="Arial" w:cs="Arial"/>
          <w:i/>
          <w:iCs/>
          <w:color w:val="000000" w:themeColor="text1"/>
        </w:rPr>
        <w:t>Journal of Business Ethics</w:t>
      </w:r>
      <w:r w:rsidRPr="4D56DE6F">
        <w:rPr>
          <w:rFonts w:ascii="Arial" w:eastAsia="Arial" w:hAnsi="Arial" w:cs="Arial"/>
          <w:color w:val="000000" w:themeColor="text1"/>
        </w:rPr>
        <w:t>, 189(2), pp. 455–470.</w:t>
      </w:r>
    </w:p>
    <w:p w14:paraId="06A30C75" w14:textId="3B2106A6"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Bartosik-Purgat, M. and Guzek, M. (2024) </w:t>
      </w:r>
      <w:r w:rsidRPr="4D56DE6F">
        <w:rPr>
          <w:rFonts w:ascii="Arial" w:eastAsia="Arial" w:hAnsi="Arial" w:cs="Arial"/>
          <w:i/>
          <w:iCs/>
          <w:color w:val="000000" w:themeColor="text1"/>
        </w:rPr>
        <w:t>Cross-Cultural Consumer Behaviour in Global Markets</w:t>
      </w:r>
      <w:r w:rsidRPr="4D56DE6F">
        <w:rPr>
          <w:rFonts w:ascii="Arial" w:eastAsia="Arial" w:hAnsi="Arial" w:cs="Arial"/>
          <w:color w:val="000000" w:themeColor="text1"/>
        </w:rPr>
        <w:t>. London: Routledge.</w:t>
      </w:r>
    </w:p>
    <w:p w14:paraId="08B9C078" w14:textId="64F74D58"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Cavusgil, S.T., Knight, G. and Riesenberger, J.R. (2017) </w:t>
      </w:r>
      <w:r w:rsidRPr="4D56DE6F">
        <w:rPr>
          <w:rFonts w:ascii="Arial" w:eastAsia="Arial" w:hAnsi="Arial" w:cs="Arial"/>
          <w:i/>
          <w:iCs/>
          <w:color w:val="000000" w:themeColor="text1"/>
        </w:rPr>
        <w:t>International Business: The New Realities</w:t>
      </w:r>
      <w:r w:rsidRPr="4D56DE6F">
        <w:rPr>
          <w:rFonts w:ascii="Arial" w:eastAsia="Arial" w:hAnsi="Arial" w:cs="Arial"/>
          <w:color w:val="000000" w:themeColor="text1"/>
        </w:rPr>
        <w:t>. 4th edn. Harlow: Pearson.</w:t>
      </w:r>
    </w:p>
    <w:p w14:paraId="13EF29FD" w14:textId="7487FD7C"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Daniels, J.D., Radebaugh, L.H. and Sullivan, D.P. (2019) </w:t>
      </w:r>
      <w:r w:rsidRPr="4D56DE6F">
        <w:rPr>
          <w:rFonts w:ascii="Arial" w:eastAsia="Arial" w:hAnsi="Arial" w:cs="Arial"/>
          <w:i/>
          <w:iCs/>
          <w:color w:val="000000" w:themeColor="text1"/>
        </w:rPr>
        <w:t>International Business: Environments and Operations</w:t>
      </w:r>
      <w:r w:rsidRPr="4D56DE6F">
        <w:rPr>
          <w:rFonts w:ascii="Arial" w:eastAsia="Arial" w:hAnsi="Arial" w:cs="Arial"/>
          <w:color w:val="000000" w:themeColor="text1"/>
        </w:rPr>
        <w:t>. 16th edn. Harlow: Pearson.</w:t>
      </w:r>
    </w:p>
    <w:p w14:paraId="1AF5F5C8" w14:textId="367261F0"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Deresky, H. (2017) </w:t>
      </w:r>
      <w:r w:rsidRPr="4D56DE6F">
        <w:rPr>
          <w:rFonts w:ascii="Arial" w:eastAsia="Arial" w:hAnsi="Arial" w:cs="Arial"/>
          <w:i/>
          <w:iCs/>
          <w:color w:val="000000" w:themeColor="text1"/>
        </w:rPr>
        <w:t>International Management: Managing Across Borders and Cultures</w:t>
      </w:r>
      <w:r w:rsidRPr="4D56DE6F">
        <w:rPr>
          <w:rFonts w:ascii="Arial" w:eastAsia="Arial" w:hAnsi="Arial" w:cs="Arial"/>
          <w:color w:val="000000" w:themeColor="text1"/>
        </w:rPr>
        <w:t>. 9th edn. Harlow: Pearson.</w:t>
      </w:r>
    </w:p>
    <w:p w14:paraId="6265D864" w14:textId="18AEBC58"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Hofstede, G. (1998) </w:t>
      </w:r>
      <w:r w:rsidRPr="4D56DE6F">
        <w:rPr>
          <w:rFonts w:ascii="Arial" w:eastAsia="Arial" w:hAnsi="Arial" w:cs="Arial"/>
          <w:i/>
          <w:iCs/>
          <w:color w:val="000000" w:themeColor="text1"/>
        </w:rPr>
        <w:t>Masculinity and Femininity: The Taboo Dimension of National Cultures</w:t>
      </w:r>
      <w:r w:rsidRPr="4D56DE6F">
        <w:rPr>
          <w:rFonts w:ascii="Arial" w:eastAsia="Arial" w:hAnsi="Arial" w:cs="Arial"/>
          <w:color w:val="000000" w:themeColor="text1"/>
        </w:rPr>
        <w:t>. Thousand Oaks, CA: Sage.</w:t>
      </w:r>
    </w:p>
    <w:p w14:paraId="47CA4896" w14:textId="3610566F"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Hong, H., Karolyi, G.A. and Scheinkman, J. (2026) ‘Corporate social responsibility and multinational subsidiary performance’, </w:t>
      </w:r>
      <w:r w:rsidRPr="4D56DE6F">
        <w:rPr>
          <w:rFonts w:ascii="Arial" w:eastAsia="Arial" w:hAnsi="Arial" w:cs="Arial"/>
          <w:i/>
          <w:iCs/>
          <w:color w:val="000000" w:themeColor="text1"/>
        </w:rPr>
        <w:t>Journal of International Business Studies</w:t>
      </w:r>
      <w:r w:rsidRPr="4D56DE6F">
        <w:rPr>
          <w:rFonts w:ascii="Arial" w:eastAsia="Arial" w:hAnsi="Arial" w:cs="Arial"/>
          <w:color w:val="000000" w:themeColor="text1"/>
        </w:rPr>
        <w:t>, 57(3), pp. 421–438.</w:t>
      </w:r>
    </w:p>
    <w:p w14:paraId="0D2A055F" w14:textId="7706D4ED"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Kossowska, M. and Rosiński, J. (2024) ‘Developing global mindset in international management education’, </w:t>
      </w:r>
      <w:r w:rsidRPr="4D56DE6F">
        <w:rPr>
          <w:rFonts w:ascii="Arial" w:eastAsia="Arial" w:hAnsi="Arial" w:cs="Arial"/>
          <w:i/>
          <w:iCs/>
          <w:color w:val="000000" w:themeColor="text1"/>
        </w:rPr>
        <w:t>International Journal of Management Education</w:t>
      </w:r>
      <w:r w:rsidRPr="4D56DE6F">
        <w:rPr>
          <w:rFonts w:ascii="Arial" w:eastAsia="Arial" w:hAnsi="Arial" w:cs="Arial"/>
          <w:color w:val="000000" w:themeColor="text1"/>
        </w:rPr>
        <w:t>, 22(1), pp. 100–112.</w:t>
      </w:r>
    </w:p>
    <w:p w14:paraId="311F6550" w14:textId="6A4615BC"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Makiela, K. and Ouattara, B. (2026) ‘Foreign direct investment and productivity spillovers in host economies’, </w:t>
      </w:r>
      <w:r w:rsidRPr="4D56DE6F">
        <w:rPr>
          <w:rFonts w:ascii="Arial" w:eastAsia="Arial" w:hAnsi="Arial" w:cs="Arial"/>
          <w:i/>
          <w:iCs/>
          <w:color w:val="000000" w:themeColor="text1"/>
        </w:rPr>
        <w:t>World Economy</w:t>
      </w:r>
      <w:r w:rsidRPr="4D56DE6F">
        <w:rPr>
          <w:rFonts w:ascii="Arial" w:eastAsia="Arial" w:hAnsi="Arial" w:cs="Arial"/>
          <w:color w:val="000000" w:themeColor="text1"/>
        </w:rPr>
        <w:t>, 49(2), pp. 334–356.</w:t>
      </w:r>
    </w:p>
    <w:p w14:paraId="72C47A3D" w14:textId="251CD8E7"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Manna, R., Bianchi, C. and Palazzi, F. (2026) ‘Entrepreneurial ecosystems and digital innovation in developed economies’, </w:t>
      </w:r>
      <w:r w:rsidRPr="4D56DE6F">
        <w:rPr>
          <w:rFonts w:ascii="Arial" w:eastAsia="Arial" w:hAnsi="Arial" w:cs="Arial"/>
          <w:i/>
          <w:iCs/>
          <w:color w:val="000000" w:themeColor="text1"/>
        </w:rPr>
        <w:t>Technological Forecasting and Social Change</w:t>
      </w:r>
      <w:r w:rsidRPr="4D56DE6F">
        <w:rPr>
          <w:rFonts w:ascii="Arial" w:eastAsia="Arial" w:hAnsi="Arial" w:cs="Arial"/>
          <w:color w:val="000000" w:themeColor="text1"/>
        </w:rPr>
        <w:t>, 189, pp. 122–135.</w:t>
      </w:r>
    </w:p>
    <w:p w14:paraId="27DF2C7D" w14:textId="44DD6EA0"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lastRenderedPageBreak/>
        <w:t xml:space="preserve">Porter, M.E. (1990) </w:t>
      </w:r>
      <w:r w:rsidRPr="4D56DE6F">
        <w:rPr>
          <w:rFonts w:ascii="Arial" w:eastAsia="Arial" w:hAnsi="Arial" w:cs="Arial"/>
          <w:i/>
          <w:iCs/>
          <w:color w:val="000000" w:themeColor="text1"/>
        </w:rPr>
        <w:t>The Competitive Advantage of Nations</w:t>
      </w:r>
      <w:r w:rsidRPr="4D56DE6F">
        <w:rPr>
          <w:rFonts w:ascii="Arial" w:eastAsia="Arial" w:hAnsi="Arial" w:cs="Arial"/>
          <w:color w:val="000000" w:themeColor="text1"/>
        </w:rPr>
        <w:t>. New York: Free Press.</w:t>
      </w:r>
    </w:p>
    <w:p w14:paraId="7C89DA2F" w14:textId="47AC2874"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Rugman, A.M. (2009) </w:t>
      </w:r>
      <w:r w:rsidRPr="4D56DE6F">
        <w:rPr>
          <w:rFonts w:ascii="Arial" w:eastAsia="Arial" w:hAnsi="Arial" w:cs="Arial"/>
          <w:i/>
          <w:iCs/>
          <w:color w:val="000000" w:themeColor="text1"/>
        </w:rPr>
        <w:t>The Oxford Handbook of International Business</w:t>
      </w:r>
      <w:r w:rsidRPr="4D56DE6F">
        <w:rPr>
          <w:rFonts w:ascii="Arial" w:eastAsia="Arial" w:hAnsi="Arial" w:cs="Arial"/>
          <w:color w:val="000000" w:themeColor="text1"/>
        </w:rPr>
        <w:t>. 2nd edn. Oxford: Oxford University Press.</w:t>
      </w:r>
    </w:p>
    <w:p w14:paraId="6BA9243A" w14:textId="3D05A741"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Sayed, S., Mathew, S. and Rodrigues, R. (2026) ‘Augmented reality adoption in e-commerce and Generation Z consumer behaviour’, </w:t>
      </w:r>
      <w:r w:rsidRPr="4D56DE6F">
        <w:rPr>
          <w:rFonts w:ascii="Arial" w:eastAsia="Arial" w:hAnsi="Arial" w:cs="Arial"/>
          <w:i/>
          <w:iCs/>
          <w:color w:val="000000" w:themeColor="text1"/>
        </w:rPr>
        <w:t>Journal of Retailing and Consumer Services</w:t>
      </w:r>
      <w:r w:rsidRPr="4D56DE6F">
        <w:rPr>
          <w:rFonts w:ascii="Arial" w:eastAsia="Arial" w:hAnsi="Arial" w:cs="Arial"/>
          <w:color w:val="000000" w:themeColor="text1"/>
        </w:rPr>
        <w:t>, 72, pp. 103–115.</w:t>
      </w:r>
    </w:p>
    <w:p w14:paraId="6E2329C4" w14:textId="39416280"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Sloman, J., Garratt, D., Guest, J. and Jones, E. (2019) </w:t>
      </w:r>
      <w:r w:rsidRPr="4D56DE6F">
        <w:rPr>
          <w:rFonts w:ascii="Arial" w:eastAsia="Arial" w:hAnsi="Arial" w:cs="Arial"/>
          <w:i/>
          <w:iCs/>
          <w:color w:val="000000" w:themeColor="text1"/>
        </w:rPr>
        <w:t>Economics</w:t>
      </w:r>
      <w:r w:rsidRPr="4D56DE6F">
        <w:rPr>
          <w:rFonts w:ascii="Arial" w:eastAsia="Arial" w:hAnsi="Arial" w:cs="Arial"/>
          <w:color w:val="000000" w:themeColor="text1"/>
        </w:rPr>
        <w:t>. 10th edn. Harlow: Pearson.</w:t>
      </w:r>
    </w:p>
    <w:p w14:paraId="30B48FD6" w14:textId="0F81C9A0" w:rsidR="2755C6B1" w:rsidRDefault="2755C6B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Wild, J.J. and Wild, K.L. (2016) </w:t>
      </w:r>
      <w:r w:rsidRPr="4D56DE6F">
        <w:rPr>
          <w:rFonts w:ascii="Arial" w:eastAsia="Arial" w:hAnsi="Arial" w:cs="Arial"/>
          <w:i/>
          <w:iCs/>
          <w:color w:val="000000" w:themeColor="text1"/>
        </w:rPr>
        <w:t>International Business: The Challenges of Globalization</w:t>
      </w:r>
      <w:r w:rsidRPr="4D56DE6F">
        <w:rPr>
          <w:rFonts w:ascii="Arial" w:eastAsia="Arial" w:hAnsi="Arial" w:cs="Arial"/>
          <w:color w:val="000000" w:themeColor="text1"/>
        </w:rPr>
        <w:t>. 8th edn. Harlow: Pearson.</w:t>
      </w:r>
    </w:p>
    <w:p w14:paraId="7E3645C8" w14:textId="10BD731B" w:rsidR="17675DC1" w:rsidRDefault="17675DC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Dunning, J.H. (1988) ‘The eclectic paradigm of international production: a restatement and some possible extensions’, </w:t>
      </w:r>
      <w:r w:rsidRPr="4D56DE6F">
        <w:rPr>
          <w:rFonts w:ascii="Arial" w:eastAsia="Arial" w:hAnsi="Arial" w:cs="Arial"/>
          <w:i/>
          <w:iCs/>
          <w:color w:val="000000" w:themeColor="text1"/>
        </w:rPr>
        <w:t>Journal of International Business Studies</w:t>
      </w:r>
      <w:r w:rsidRPr="4D56DE6F">
        <w:rPr>
          <w:rFonts w:ascii="Arial" w:eastAsia="Arial" w:hAnsi="Arial" w:cs="Arial"/>
          <w:color w:val="000000" w:themeColor="text1"/>
        </w:rPr>
        <w:t>, 19(1), pp. 1–31.</w:t>
      </w:r>
    </w:p>
    <w:p w14:paraId="3874C905" w14:textId="486D5F17" w:rsidR="17675DC1" w:rsidRDefault="17675DC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Ghemawat, P. (2001) ‘Distance still matters: the hard reality of global expansion’, </w:t>
      </w:r>
      <w:r w:rsidRPr="4D56DE6F">
        <w:rPr>
          <w:rFonts w:ascii="Arial" w:eastAsia="Arial" w:hAnsi="Arial" w:cs="Arial"/>
          <w:i/>
          <w:iCs/>
          <w:color w:val="000000" w:themeColor="text1"/>
        </w:rPr>
        <w:t>Harvard Business Review</w:t>
      </w:r>
      <w:r w:rsidRPr="4D56DE6F">
        <w:rPr>
          <w:rFonts w:ascii="Arial" w:eastAsia="Arial" w:hAnsi="Arial" w:cs="Arial"/>
          <w:color w:val="000000" w:themeColor="text1"/>
        </w:rPr>
        <w:t>, 79(8), pp. 137–147.</w:t>
      </w:r>
    </w:p>
    <w:p w14:paraId="69372E3B" w14:textId="37B7E14D" w:rsidR="17675DC1" w:rsidRDefault="17675DC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Johanson, J. and Vahlne, J.E. (1977) ‘The internationalization process of the firm: a model of knowledge development and increasing foreign market commitments’, </w:t>
      </w:r>
      <w:r w:rsidRPr="4D56DE6F">
        <w:rPr>
          <w:rFonts w:ascii="Arial" w:eastAsia="Arial" w:hAnsi="Arial" w:cs="Arial"/>
          <w:i/>
          <w:iCs/>
          <w:color w:val="000000" w:themeColor="text1"/>
        </w:rPr>
        <w:t>Journal of International Business Studies</w:t>
      </w:r>
      <w:r w:rsidRPr="4D56DE6F">
        <w:rPr>
          <w:rFonts w:ascii="Arial" w:eastAsia="Arial" w:hAnsi="Arial" w:cs="Arial"/>
          <w:color w:val="000000" w:themeColor="text1"/>
        </w:rPr>
        <w:t>, 8(1), pp. 23–32.</w:t>
      </w:r>
    </w:p>
    <w:p w14:paraId="1640A734" w14:textId="038883EB" w:rsidR="17675DC1" w:rsidRDefault="17675DC1" w:rsidP="4D56DE6F">
      <w:pPr>
        <w:spacing w:before="240" w:after="240" w:line="360" w:lineRule="auto"/>
        <w:rPr>
          <w:rFonts w:ascii="Arial" w:eastAsia="Arial" w:hAnsi="Arial" w:cs="Arial"/>
          <w:color w:val="000000" w:themeColor="text1"/>
        </w:rPr>
      </w:pPr>
      <w:r w:rsidRPr="4D56DE6F">
        <w:rPr>
          <w:rFonts w:ascii="Arial" w:eastAsia="Arial" w:hAnsi="Arial" w:cs="Arial"/>
          <w:color w:val="000000" w:themeColor="text1"/>
        </w:rPr>
        <w:t xml:space="preserve">Peng, M.W. (2017) </w:t>
      </w:r>
      <w:r w:rsidRPr="4D56DE6F">
        <w:rPr>
          <w:rFonts w:ascii="Arial" w:eastAsia="Arial" w:hAnsi="Arial" w:cs="Arial"/>
          <w:i/>
          <w:iCs/>
          <w:color w:val="000000" w:themeColor="text1"/>
        </w:rPr>
        <w:t>Global Business</w:t>
      </w:r>
      <w:r w:rsidRPr="4D56DE6F">
        <w:rPr>
          <w:rFonts w:ascii="Arial" w:eastAsia="Arial" w:hAnsi="Arial" w:cs="Arial"/>
          <w:color w:val="000000" w:themeColor="text1"/>
        </w:rPr>
        <w:t>. 4th edn. Boston: Cengage Learning.</w:t>
      </w:r>
    </w:p>
    <w:p w14:paraId="6F141F8A" w14:textId="4D934DE2" w:rsidR="4D56DE6F" w:rsidRDefault="4D56DE6F" w:rsidP="4D56DE6F">
      <w:pPr>
        <w:spacing w:before="240" w:after="240" w:line="360" w:lineRule="auto"/>
        <w:rPr>
          <w:rStyle w:val="Heading1Char"/>
          <w:rFonts w:ascii="Arial" w:eastAsia="Arial" w:hAnsi="Arial" w:cs="Arial"/>
          <w:color w:val="000000" w:themeColor="text1"/>
          <w:sz w:val="24"/>
          <w:szCs w:val="24"/>
        </w:rPr>
      </w:pPr>
    </w:p>
    <w:p w14:paraId="63753376" w14:textId="0227FC08" w:rsidR="35F36BF8" w:rsidRDefault="35F36BF8" w:rsidP="4D56DE6F">
      <w:pPr>
        <w:pStyle w:val="ListParagraph"/>
        <w:spacing w:after="0" w:line="360" w:lineRule="auto"/>
        <w:rPr>
          <w:rFonts w:ascii="Arial" w:eastAsia="Arial" w:hAnsi="Arial" w:cs="Arial"/>
          <w:color w:val="000000" w:themeColor="text1"/>
        </w:rPr>
      </w:pPr>
      <w:r>
        <w:br/>
      </w:r>
    </w:p>
    <w:p w14:paraId="7DF389A0" w14:textId="61B49040" w:rsidR="35F36BF8" w:rsidRDefault="35F36BF8" w:rsidP="1FEF32B0">
      <w:pPr>
        <w:spacing w:after="0"/>
        <w:rPr>
          <w:rFonts w:ascii="Aptos Display" w:eastAsia="Aptos Display" w:hAnsi="Aptos Display" w:cs="Aptos Display"/>
          <w:sz w:val="40"/>
          <w:szCs w:val="40"/>
        </w:rPr>
      </w:pPr>
      <w:r>
        <w:br/>
      </w:r>
    </w:p>
    <w:p w14:paraId="7C6EA613" w14:textId="30C46810" w:rsidR="35F36BF8" w:rsidRDefault="35F36BF8" w:rsidP="35F36BF8">
      <w:pPr>
        <w:spacing w:before="240" w:after="240"/>
        <w:rPr>
          <w:rStyle w:val="Heading1Char"/>
        </w:rPr>
      </w:pPr>
    </w:p>
    <w:p w14:paraId="706679F8" w14:textId="76CF324A" w:rsidR="35F36BF8" w:rsidRDefault="35F36BF8" w:rsidP="35F36BF8">
      <w:pPr>
        <w:spacing w:before="240" w:after="240"/>
        <w:rPr>
          <w:rFonts w:ascii="Aptos" w:eastAsia="Aptos" w:hAnsi="Aptos" w:cs="Aptos"/>
        </w:rPr>
      </w:pPr>
    </w:p>
    <w:p w14:paraId="1420016A" w14:textId="7304EDE5" w:rsidR="35F36BF8" w:rsidRDefault="35F36BF8" w:rsidP="35F36BF8">
      <w:pPr>
        <w:spacing w:before="240" w:after="240"/>
        <w:rPr>
          <w:rFonts w:ascii="Aptos" w:eastAsia="Aptos" w:hAnsi="Aptos" w:cs="Aptos"/>
        </w:rPr>
      </w:pPr>
    </w:p>
    <w:p w14:paraId="434D76D3" w14:textId="0AA058F5" w:rsidR="35F36BF8" w:rsidRDefault="35F36BF8" w:rsidP="35F36BF8">
      <w:pPr>
        <w:spacing w:before="240" w:after="240"/>
        <w:rPr>
          <w:rFonts w:ascii="Aptos" w:eastAsia="Aptos" w:hAnsi="Aptos" w:cs="Aptos"/>
        </w:rPr>
      </w:pPr>
    </w:p>
    <w:p w14:paraId="564A1F1A" w14:textId="528A11CF" w:rsidR="35F36BF8" w:rsidRDefault="35F36BF8" w:rsidP="35F36BF8">
      <w:pPr>
        <w:spacing w:before="240" w:after="240"/>
        <w:rPr>
          <w:rFonts w:ascii="Aptos" w:eastAsia="Aptos" w:hAnsi="Aptos" w:cs="Aptos"/>
        </w:rPr>
      </w:pPr>
    </w:p>
    <w:p w14:paraId="003CDA8B" w14:textId="674BFC18" w:rsidR="35F36BF8" w:rsidRDefault="35F36BF8" w:rsidP="35F36BF8">
      <w:pPr>
        <w:spacing w:before="240" w:after="240"/>
        <w:rPr>
          <w:rFonts w:ascii="Aptos" w:eastAsia="Aptos" w:hAnsi="Aptos" w:cs="Aptos"/>
        </w:rPr>
      </w:pPr>
    </w:p>
    <w:p w14:paraId="690EEECC" w14:textId="12026AD4" w:rsidR="35F36BF8" w:rsidRDefault="35F36BF8" w:rsidP="35F36BF8">
      <w:pPr>
        <w:spacing w:before="240" w:after="240"/>
        <w:rPr>
          <w:rFonts w:ascii="Aptos" w:eastAsia="Aptos" w:hAnsi="Aptos" w:cs="Aptos"/>
        </w:rPr>
      </w:pPr>
    </w:p>
    <w:p w14:paraId="12A4F945" w14:textId="6259E921" w:rsidR="35F36BF8" w:rsidRDefault="35F36BF8" w:rsidP="35F36BF8"/>
    <w:p w14:paraId="7BF8ECE9" w14:textId="6FAA4F75" w:rsidR="35F36BF8" w:rsidRDefault="35F36BF8" w:rsidP="35F36BF8"/>
    <w:p w14:paraId="45059CFE" w14:textId="60AD7951" w:rsidR="35F36BF8" w:rsidRDefault="35F36BF8" w:rsidP="35F36BF8"/>
    <w:p w14:paraId="799B7E27" w14:textId="2AAF7AE2" w:rsidR="35F36BF8" w:rsidRDefault="35F36BF8" w:rsidP="35F36BF8"/>
    <w:p w14:paraId="519AE47C" w14:textId="0DBF422B" w:rsidR="3FB66E52" w:rsidRDefault="3FB66E52" w:rsidP="3FB66E52">
      <w:pPr>
        <w:spacing w:before="240" w:after="240"/>
        <w:rPr>
          <w:rFonts w:ascii="Aptos" w:eastAsia="Aptos" w:hAnsi="Aptos" w:cs="Aptos"/>
        </w:rPr>
      </w:pPr>
    </w:p>
    <w:p w14:paraId="77B7510C" w14:textId="641BCECD" w:rsidR="3FB66E52" w:rsidRDefault="3FB66E52" w:rsidP="3FB66E52">
      <w:pPr>
        <w:spacing w:before="240" w:after="240"/>
        <w:rPr>
          <w:rFonts w:ascii="Aptos" w:eastAsia="Aptos" w:hAnsi="Aptos" w:cs="Aptos"/>
        </w:rPr>
      </w:pPr>
    </w:p>
    <w:p w14:paraId="5AC5AB27" w14:textId="5DE44485" w:rsidR="3FB66E52" w:rsidRDefault="3FB66E52" w:rsidP="3FB66E52">
      <w:pPr>
        <w:spacing w:before="240" w:after="240"/>
        <w:rPr>
          <w:rFonts w:ascii="Aptos" w:eastAsia="Aptos" w:hAnsi="Aptos" w:cs="Aptos"/>
        </w:rPr>
      </w:pPr>
    </w:p>
    <w:p w14:paraId="7177BB10" w14:textId="03204548" w:rsidR="3FB66E52" w:rsidRDefault="3FB66E52" w:rsidP="3FB66E52">
      <w:pPr>
        <w:spacing w:before="240" w:after="240"/>
        <w:rPr>
          <w:rFonts w:ascii="Aptos" w:eastAsia="Aptos" w:hAnsi="Aptos" w:cs="Aptos"/>
        </w:rPr>
      </w:pPr>
    </w:p>
    <w:p w14:paraId="1A62AD1E" w14:textId="421DA87C" w:rsidR="3FB66E52" w:rsidRDefault="3FB66E52" w:rsidP="3FB66E52">
      <w:pPr>
        <w:spacing w:before="240" w:after="240"/>
        <w:rPr>
          <w:rFonts w:ascii="Aptos" w:eastAsia="Aptos" w:hAnsi="Aptos" w:cs="Aptos"/>
        </w:rPr>
      </w:pPr>
    </w:p>
    <w:p w14:paraId="60D384CC" w14:textId="6290075F" w:rsidR="3FB66E52" w:rsidRDefault="3FB66E52" w:rsidP="3FB66E52">
      <w:pPr>
        <w:spacing w:before="240" w:after="240"/>
        <w:rPr>
          <w:rFonts w:ascii="Aptos" w:eastAsia="Aptos" w:hAnsi="Aptos" w:cs="Aptos"/>
        </w:rPr>
      </w:pPr>
    </w:p>
    <w:p w14:paraId="2C1EC8F1" w14:textId="57AC3A81" w:rsidR="3FB66E52" w:rsidRDefault="3FB66E52" w:rsidP="3FB66E52">
      <w:pPr>
        <w:spacing w:before="240" w:after="240"/>
        <w:rPr>
          <w:rFonts w:ascii="Aptos" w:eastAsia="Aptos" w:hAnsi="Aptos" w:cs="Aptos"/>
        </w:rPr>
      </w:pPr>
    </w:p>
    <w:p w14:paraId="4D93081E" w14:textId="111915E6" w:rsidR="3FB66E52" w:rsidRDefault="3FB66E52" w:rsidP="3FB66E52">
      <w:pPr>
        <w:spacing w:before="240" w:after="240"/>
        <w:rPr>
          <w:rFonts w:ascii="Aptos" w:eastAsia="Aptos" w:hAnsi="Aptos" w:cs="Aptos"/>
        </w:rPr>
      </w:pPr>
    </w:p>
    <w:p w14:paraId="47CA030B" w14:textId="72774F3D" w:rsidR="3FB66E52" w:rsidRDefault="3FB66E52" w:rsidP="3FB66E52">
      <w:pPr>
        <w:spacing w:before="240" w:after="240"/>
        <w:rPr>
          <w:rFonts w:ascii="Aptos" w:eastAsia="Aptos" w:hAnsi="Aptos" w:cs="Aptos"/>
        </w:rPr>
      </w:pPr>
    </w:p>
    <w:p w14:paraId="45B97439" w14:textId="197195D3" w:rsidR="3FB66E52" w:rsidRDefault="3FB66E52" w:rsidP="3FB66E52">
      <w:pPr>
        <w:spacing w:before="240" w:after="240"/>
        <w:rPr>
          <w:rFonts w:ascii="Aptos" w:eastAsia="Aptos" w:hAnsi="Aptos" w:cs="Aptos"/>
        </w:rPr>
      </w:pPr>
    </w:p>
    <w:p w14:paraId="59FBAA08" w14:textId="0369EAE8" w:rsidR="3FB66E52" w:rsidRDefault="3FB66E52" w:rsidP="3FB66E52">
      <w:pPr>
        <w:spacing w:before="240" w:after="240"/>
        <w:rPr>
          <w:rFonts w:ascii="Aptos" w:eastAsia="Aptos" w:hAnsi="Aptos" w:cs="Aptos"/>
        </w:rPr>
      </w:pPr>
    </w:p>
    <w:p w14:paraId="34C28B17" w14:textId="7DBC9ADC" w:rsidR="3FB66E52" w:rsidRDefault="3FB66E52" w:rsidP="3FB66E52">
      <w:pPr>
        <w:spacing w:before="240" w:after="240"/>
        <w:rPr>
          <w:rFonts w:ascii="Aptos" w:eastAsia="Aptos" w:hAnsi="Aptos" w:cs="Aptos"/>
        </w:rPr>
      </w:pPr>
    </w:p>
    <w:p w14:paraId="07558A43" w14:textId="33F5CB62" w:rsidR="3FB66E52" w:rsidRDefault="3FB66E52" w:rsidP="3FB66E52">
      <w:pPr>
        <w:spacing w:before="240" w:after="240"/>
        <w:rPr>
          <w:rFonts w:ascii="Aptos" w:eastAsia="Aptos" w:hAnsi="Aptos" w:cs="Aptos"/>
        </w:rPr>
      </w:pPr>
    </w:p>
    <w:p w14:paraId="56A38050" w14:textId="6C7DFA58" w:rsidR="3FB66E52" w:rsidRDefault="3FB66E52" w:rsidP="3FB66E52">
      <w:pPr>
        <w:spacing w:before="240" w:after="240"/>
        <w:rPr>
          <w:rFonts w:ascii="Aptos" w:eastAsia="Aptos" w:hAnsi="Aptos" w:cs="Aptos"/>
        </w:rPr>
      </w:pPr>
    </w:p>
    <w:p w14:paraId="44541842" w14:textId="7844E080" w:rsidR="3FB66E52" w:rsidRDefault="3FB66E52" w:rsidP="3FB66E52">
      <w:pPr>
        <w:spacing w:before="240" w:after="240"/>
        <w:rPr>
          <w:rFonts w:ascii="Aptos" w:eastAsia="Aptos" w:hAnsi="Aptos" w:cs="Aptos"/>
        </w:rPr>
      </w:pPr>
    </w:p>
    <w:p w14:paraId="34431092" w14:textId="01DF70EB" w:rsidR="3FB66E52" w:rsidRDefault="3FB66E52" w:rsidP="3FB66E52">
      <w:pPr>
        <w:spacing w:before="240" w:after="240"/>
        <w:rPr>
          <w:rFonts w:ascii="Aptos" w:eastAsia="Aptos" w:hAnsi="Aptos" w:cs="Aptos"/>
        </w:rPr>
      </w:pPr>
    </w:p>
    <w:p w14:paraId="78543203" w14:textId="7547BD39" w:rsidR="3FB66E52" w:rsidRDefault="3FB66E52" w:rsidP="3FB66E52">
      <w:pPr>
        <w:spacing w:before="240" w:after="240"/>
        <w:rPr>
          <w:rFonts w:ascii="Aptos" w:eastAsia="Aptos" w:hAnsi="Aptos" w:cs="Aptos"/>
        </w:rPr>
      </w:pPr>
    </w:p>
    <w:p w14:paraId="05E7B56D" w14:textId="6867BD52" w:rsidR="3FB66E52" w:rsidRDefault="3FB66E52" w:rsidP="3FB66E52">
      <w:pPr>
        <w:spacing w:before="240" w:after="240"/>
        <w:rPr>
          <w:rFonts w:ascii="Aptos" w:eastAsia="Aptos" w:hAnsi="Aptos" w:cs="Aptos"/>
        </w:rPr>
      </w:pPr>
    </w:p>
    <w:p w14:paraId="5A217EAD" w14:textId="1260AD0C" w:rsidR="3FB66E52" w:rsidRDefault="3FB66E52" w:rsidP="3FB66E52">
      <w:pPr>
        <w:spacing w:before="240" w:after="240"/>
        <w:rPr>
          <w:rFonts w:ascii="Aptos" w:eastAsia="Aptos" w:hAnsi="Aptos" w:cs="Aptos"/>
        </w:rPr>
      </w:pPr>
    </w:p>
    <w:p w14:paraId="19209345" w14:textId="2E7D533B" w:rsidR="3FB66E52" w:rsidRDefault="3FB66E52" w:rsidP="3FB66E52">
      <w:pPr>
        <w:spacing w:before="240" w:after="240"/>
        <w:rPr>
          <w:rFonts w:ascii="Aptos" w:eastAsia="Aptos" w:hAnsi="Aptos" w:cs="Aptos"/>
        </w:rPr>
      </w:pPr>
    </w:p>
    <w:p w14:paraId="4946EC4D" w14:textId="48D2B9A5" w:rsidR="3FB66E52" w:rsidRDefault="3FB66E52" w:rsidP="3FB66E52">
      <w:pPr>
        <w:spacing w:before="240" w:after="240"/>
        <w:rPr>
          <w:rFonts w:ascii="Aptos" w:eastAsia="Aptos" w:hAnsi="Aptos" w:cs="Aptos"/>
        </w:rPr>
      </w:pPr>
    </w:p>
    <w:p w14:paraId="092AC0FC" w14:textId="2E8F55BB" w:rsidR="3FB66E52" w:rsidRDefault="3FB66E52" w:rsidP="3FB66E52">
      <w:pPr>
        <w:spacing w:before="240" w:after="240"/>
        <w:rPr>
          <w:rFonts w:ascii="Aptos" w:eastAsia="Aptos" w:hAnsi="Aptos" w:cs="Aptos"/>
        </w:rPr>
      </w:pPr>
    </w:p>
    <w:p w14:paraId="390E8957" w14:textId="609BD3A9" w:rsidR="3FB66E52" w:rsidRDefault="3FB66E52" w:rsidP="3FB66E52">
      <w:pPr>
        <w:spacing w:before="240" w:after="240"/>
        <w:rPr>
          <w:rFonts w:ascii="Aptos" w:eastAsia="Aptos" w:hAnsi="Aptos" w:cs="Aptos"/>
        </w:rPr>
      </w:pPr>
    </w:p>
    <w:p w14:paraId="18AA4E49" w14:textId="7C5B825F" w:rsidR="3FB66E52" w:rsidRDefault="3FB66E52" w:rsidP="3FB66E52">
      <w:pPr>
        <w:spacing w:before="240" w:after="240"/>
        <w:rPr>
          <w:rFonts w:ascii="Aptos" w:eastAsia="Aptos" w:hAnsi="Aptos" w:cs="Aptos"/>
        </w:rPr>
      </w:pPr>
    </w:p>
    <w:p w14:paraId="790F1612" w14:textId="45ABA81F" w:rsidR="3FB66E52" w:rsidRDefault="3FB66E52" w:rsidP="3FB66E52">
      <w:pPr>
        <w:spacing w:before="240" w:after="240"/>
        <w:rPr>
          <w:rFonts w:ascii="Aptos" w:eastAsia="Aptos" w:hAnsi="Aptos" w:cs="Aptos"/>
        </w:rPr>
      </w:pPr>
    </w:p>
    <w:p w14:paraId="78BDC887" w14:textId="05895201" w:rsidR="3FB66E52" w:rsidRDefault="3FB66E52" w:rsidP="3FB66E52">
      <w:pPr>
        <w:spacing w:before="240" w:after="240"/>
        <w:rPr>
          <w:rFonts w:ascii="Aptos" w:eastAsia="Aptos" w:hAnsi="Aptos" w:cs="Aptos"/>
        </w:rPr>
      </w:pPr>
    </w:p>
    <w:p w14:paraId="38582CE8" w14:textId="29F30CD9" w:rsidR="3FB66E52" w:rsidRDefault="3FB66E52" w:rsidP="3FB66E52">
      <w:pPr>
        <w:spacing w:before="240" w:after="240"/>
        <w:rPr>
          <w:rFonts w:ascii="Aptos" w:eastAsia="Aptos" w:hAnsi="Aptos" w:cs="Aptos"/>
        </w:rPr>
      </w:pPr>
    </w:p>
    <w:p w14:paraId="140940AD" w14:textId="66B18475" w:rsidR="3FB66E52" w:rsidRDefault="3FB66E52" w:rsidP="3FB66E52">
      <w:pPr>
        <w:spacing w:before="240" w:after="240"/>
        <w:rPr>
          <w:rFonts w:ascii="Aptos" w:eastAsia="Aptos" w:hAnsi="Aptos" w:cs="Aptos"/>
        </w:rPr>
      </w:pPr>
    </w:p>
    <w:p w14:paraId="11C32159" w14:textId="3FC44CC8" w:rsidR="3FB66E52" w:rsidRDefault="3FB66E52" w:rsidP="3FB66E52">
      <w:pPr>
        <w:spacing w:before="240" w:after="240"/>
        <w:rPr>
          <w:rFonts w:ascii="Aptos" w:eastAsia="Aptos" w:hAnsi="Aptos" w:cs="Aptos"/>
        </w:rPr>
      </w:pPr>
    </w:p>
    <w:p w14:paraId="23B79D35" w14:textId="0D73C132" w:rsidR="3FB66E52" w:rsidRDefault="3FB66E52" w:rsidP="3FB66E52">
      <w:pPr>
        <w:spacing w:before="240" w:after="240"/>
        <w:rPr>
          <w:rFonts w:ascii="Aptos" w:eastAsia="Aptos" w:hAnsi="Aptos" w:cs="Aptos"/>
        </w:rPr>
      </w:pPr>
    </w:p>
    <w:p w14:paraId="5BE20169" w14:textId="55B0BA09" w:rsidR="3FB66E52" w:rsidRDefault="3FB66E52" w:rsidP="3FB66E52">
      <w:pPr>
        <w:spacing w:before="240" w:after="240"/>
        <w:rPr>
          <w:rFonts w:ascii="Aptos" w:eastAsia="Aptos" w:hAnsi="Aptos" w:cs="Aptos"/>
        </w:rPr>
      </w:pPr>
    </w:p>
    <w:p w14:paraId="5D625C1F" w14:textId="39C3572D" w:rsidR="3FB66E52" w:rsidRDefault="3FB66E52" w:rsidP="3FB66E52">
      <w:pPr>
        <w:spacing w:before="240" w:after="240"/>
        <w:rPr>
          <w:rFonts w:ascii="Aptos" w:eastAsia="Aptos" w:hAnsi="Aptos" w:cs="Aptos"/>
        </w:rPr>
      </w:pPr>
    </w:p>
    <w:p w14:paraId="0995BE5F" w14:textId="1EFD6E3B" w:rsidR="3FB66E52" w:rsidRDefault="3FB66E52" w:rsidP="3FB66E52">
      <w:pPr>
        <w:spacing w:before="240" w:after="240"/>
        <w:rPr>
          <w:rFonts w:ascii="Aptos" w:eastAsia="Aptos" w:hAnsi="Aptos" w:cs="Aptos"/>
        </w:rPr>
      </w:pPr>
    </w:p>
    <w:p w14:paraId="7320F355" w14:textId="23F8B76E" w:rsidR="3FB66E52" w:rsidRDefault="3FB66E52" w:rsidP="3FB66E52">
      <w:pPr>
        <w:spacing w:before="240" w:after="240"/>
        <w:rPr>
          <w:rFonts w:ascii="Aptos" w:eastAsia="Aptos" w:hAnsi="Aptos" w:cs="Aptos"/>
        </w:rPr>
      </w:pPr>
    </w:p>
    <w:p w14:paraId="20411877" w14:textId="526E1C39" w:rsidR="3FB66E52" w:rsidRDefault="3FB66E52" w:rsidP="3FB66E52">
      <w:pPr>
        <w:spacing w:before="240" w:after="240"/>
        <w:rPr>
          <w:rFonts w:ascii="Aptos" w:eastAsia="Aptos" w:hAnsi="Aptos" w:cs="Aptos"/>
        </w:rPr>
      </w:pPr>
    </w:p>
    <w:p w14:paraId="0196B17A" w14:textId="6D74BF89" w:rsidR="3FB66E52" w:rsidRDefault="3FB66E52" w:rsidP="3FB66E52">
      <w:pPr>
        <w:spacing w:before="240" w:after="240"/>
        <w:rPr>
          <w:rFonts w:ascii="Aptos" w:eastAsia="Aptos" w:hAnsi="Aptos" w:cs="Aptos"/>
        </w:rPr>
      </w:pPr>
    </w:p>
    <w:p w14:paraId="386A4F49" w14:textId="7AD66CAF" w:rsidR="3FB66E52" w:rsidRDefault="3FB66E52" w:rsidP="3FB66E52">
      <w:pPr>
        <w:spacing w:before="240" w:after="240"/>
        <w:rPr>
          <w:rFonts w:ascii="Aptos" w:eastAsia="Aptos" w:hAnsi="Aptos" w:cs="Aptos"/>
        </w:rPr>
      </w:pPr>
    </w:p>
    <w:p w14:paraId="65FC79E3" w14:textId="00BA6DD3" w:rsidR="3FB66E52" w:rsidRDefault="3FB66E52" w:rsidP="3FB66E52">
      <w:pPr>
        <w:spacing w:before="240" w:after="240"/>
        <w:rPr>
          <w:rFonts w:ascii="Aptos" w:eastAsia="Aptos" w:hAnsi="Aptos" w:cs="Aptos"/>
        </w:rPr>
      </w:pPr>
    </w:p>
    <w:p w14:paraId="4A0922F4" w14:textId="14E73CE4" w:rsidR="3FB66E52" w:rsidRDefault="3FB66E52" w:rsidP="3FB66E52">
      <w:pPr>
        <w:spacing w:before="240" w:after="240"/>
        <w:rPr>
          <w:rFonts w:ascii="Aptos" w:eastAsia="Aptos" w:hAnsi="Aptos" w:cs="Aptos"/>
        </w:rPr>
      </w:pPr>
    </w:p>
    <w:p w14:paraId="7B0B2F83" w14:textId="1D44E178" w:rsidR="3FB66E52" w:rsidRDefault="3FB66E52" w:rsidP="3FB66E52">
      <w:pPr>
        <w:spacing w:before="240" w:after="240"/>
        <w:rPr>
          <w:rFonts w:ascii="Aptos" w:eastAsia="Aptos" w:hAnsi="Aptos" w:cs="Aptos"/>
        </w:rPr>
      </w:pPr>
    </w:p>
    <w:p w14:paraId="737EEEB4" w14:textId="2FFA459B" w:rsidR="3FB66E52" w:rsidRDefault="3FB66E52" w:rsidP="3FB66E52">
      <w:pPr>
        <w:spacing w:before="240" w:after="240"/>
        <w:rPr>
          <w:rFonts w:ascii="Aptos" w:eastAsia="Aptos" w:hAnsi="Aptos" w:cs="Aptos"/>
        </w:rPr>
      </w:pPr>
    </w:p>
    <w:p w14:paraId="4E29130C" w14:textId="1E33BC39" w:rsidR="3FB66E52" w:rsidRDefault="3FB66E52" w:rsidP="3FB66E52">
      <w:pPr>
        <w:spacing w:before="240" w:after="240"/>
        <w:rPr>
          <w:rFonts w:ascii="Aptos" w:eastAsia="Aptos" w:hAnsi="Aptos" w:cs="Aptos"/>
        </w:rPr>
      </w:pPr>
    </w:p>
    <w:p w14:paraId="2A0AD48A" w14:textId="3DF5B562" w:rsidR="3FB66E52" w:rsidRDefault="3FB66E52" w:rsidP="3FB66E52">
      <w:pPr>
        <w:spacing w:before="240" w:after="240"/>
        <w:rPr>
          <w:rFonts w:ascii="Aptos" w:eastAsia="Aptos" w:hAnsi="Aptos" w:cs="Aptos"/>
        </w:rPr>
      </w:pPr>
    </w:p>
    <w:p w14:paraId="572007B5" w14:textId="0BA5073A" w:rsidR="3FB66E52" w:rsidRDefault="3FB66E52" w:rsidP="3FB66E52">
      <w:pPr>
        <w:spacing w:before="240" w:after="240"/>
        <w:rPr>
          <w:rFonts w:ascii="Aptos" w:eastAsia="Aptos" w:hAnsi="Aptos" w:cs="Aptos"/>
        </w:rPr>
      </w:pPr>
    </w:p>
    <w:p w14:paraId="473CCD7D" w14:textId="1F4DC5F8" w:rsidR="3FB66E52" w:rsidRDefault="3FB66E52" w:rsidP="3FB66E52">
      <w:pPr>
        <w:spacing w:before="240" w:after="240"/>
        <w:rPr>
          <w:rFonts w:ascii="Aptos" w:eastAsia="Aptos" w:hAnsi="Aptos" w:cs="Aptos"/>
        </w:rPr>
      </w:pPr>
    </w:p>
    <w:p w14:paraId="785BD5C9" w14:textId="0120E270" w:rsidR="3FB66E52" w:rsidRDefault="3FB66E52" w:rsidP="3FB66E52">
      <w:pPr>
        <w:spacing w:before="240" w:after="240"/>
        <w:rPr>
          <w:rFonts w:ascii="Aptos" w:eastAsia="Aptos" w:hAnsi="Aptos" w:cs="Aptos"/>
        </w:rPr>
      </w:pPr>
    </w:p>
    <w:p w14:paraId="3E700057" w14:textId="59A065FE" w:rsidR="3FB66E52" w:rsidRDefault="3FB66E52" w:rsidP="3FB66E52">
      <w:pPr>
        <w:spacing w:before="240" w:after="240"/>
        <w:rPr>
          <w:rFonts w:ascii="Aptos" w:eastAsia="Aptos" w:hAnsi="Aptos" w:cs="Aptos"/>
        </w:rPr>
      </w:pPr>
    </w:p>
    <w:p w14:paraId="0C9B3A9D" w14:textId="6F4EED1B" w:rsidR="3FB66E52" w:rsidRDefault="3FB66E52" w:rsidP="3FB66E52">
      <w:pPr>
        <w:spacing w:before="240" w:after="240"/>
        <w:rPr>
          <w:rFonts w:ascii="Aptos" w:eastAsia="Aptos" w:hAnsi="Aptos" w:cs="Aptos"/>
        </w:rPr>
      </w:pPr>
    </w:p>
    <w:p w14:paraId="7103E865" w14:textId="4AA8F60E" w:rsidR="3FB66E52" w:rsidRDefault="3FB66E52" w:rsidP="3FB66E52">
      <w:pPr>
        <w:spacing w:before="240" w:after="240"/>
        <w:rPr>
          <w:rFonts w:ascii="Aptos" w:eastAsia="Aptos" w:hAnsi="Aptos" w:cs="Aptos"/>
        </w:rPr>
      </w:pPr>
    </w:p>
    <w:p w14:paraId="775A80C2" w14:textId="1D3D7FC2" w:rsidR="3FB66E52" w:rsidRDefault="3FB66E52" w:rsidP="3FB66E52">
      <w:pPr>
        <w:spacing w:before="240" w:after="240"/>
        <w:rPr>
          <w:rFonts w:ascii="Aptos" w:eastAsia="Aptos" w:hAnsi="Aptos" w:cs="Aptos"/>
        </w:rPr>
      </w:pPr>
    </w:p>
    <w:p w14:paraId="6933BDED" w14:textId="4D7617BF" w:rsidR="3FB66E52" w:rsidRDefault="3FB66E52" w:rsidP="3FB66E52">
      <w:pPr>
        <w:spacing w:before="240" w:after="240"/>
        <w:rPr>
          <w:rFonts w:ascii="Aptos" w:eastAsia="Aptos" w:hAnsi="Aptos" w:cs="Aptos"/>
        </w:rPr>
      </w:pPr>
    </w:p>
    <w:p w14:paraId="61112679" w14:textId="2DF653B5" w:rsidR="3FB66E52" w:rsidRDefault="3FB66E52" w:rsidP="3FB66E52">
      <w:pPr>
        <w:spacing w:before="240" w:after="240"/>
        <w:rPr>
          <w:rFonts w:ascii="Aptos" w:eastAsia="Aptos" w:hAnsi="Aptos" w:cs="Aptos"/>
        </w:rPr>
      </w:pPr>
    </w:p>
    <w:p w14:paraId="77AC86D3" w14:textId="566D23DF" w:rsidR="3FB66E52" w:rsidRDefault="3FB66E52" w:rsidP="3FB66E52">
      <w:pPr>
        <w:spacing w:before="240" w:after="240"/>
        <w:rPr>
          <w:rFonts w:ascii="Aptos" w:eastAsia="Aptos" w:hAnsi="Aptos" w:cs="Aptos"/>
        </w:rPr>
      </w:pPr>
    </w:p>
    <w:p w14:paraId="078633C3" w14:textId="70D0A3D9" w:rsidR="3FB66E52" w:rsidRDefault="3FB66E52" w:rsidP="3FB66E52">
      <w:pPr>
        <w:spacing w:before="240" w:after="240"/>
        <w:rPr>
          <w:rFonts w:ascii="Aptos" w:eastAsia="Aptos" w:hAnsi="Aptos" w:cs="Aptos"/>
        </w:rPr>
      </w:pPr>
    </w:p>
    <w:p w14:paraId="4DE11B08" w14:textId="65B04C64" w:rsidR="3FB66E52" w:rsidRDefault="3FB66E52" w:rsidP="3FB66E52">
      <w:pPr>
        <w:spacing w:before="240" w:after="240"/>
        <w:rPr>
          <w:rFonts w:ascii="Aptos" w:eastAsia="Aptos" w:hAnsi="Aptos" w:cs="Aptos"/>
        </w:rPr>
      </w:pPr>
    </w:p>
    <w:p w14:paraId="04BA2965" w14:textId="6697F59C" w:rsidR="3FB66E52" w:rsidRDefault="3FB66E52" w:rsidP="3FB66E52">
      <w:pPr>
        <w:spacing w:before="240" w:after="240"/>
        <w:rPr>
          <w:rFonts w:ascii="Aptos" w:eastAsia="Aptos" w:hAnsi="Aptos" w:cs="Aptos"/>
        </w:rPr>
      </w:pPr>
    </w:p>
    <w:p w14:paraId="74049315" w14:textId="7BB31CC9" w:rsidR="3FB66E52" w:rsidRDefault="3FB66E52" w:rsidP="3FB66E52">
      <w:pPr>
        <w:spacing w:before="240" w:after="240"/>
        <w:rPr>
          <w:rFonts w:ascii="Aptos" w:eastAsia="Aptos" w:hAnsi="Aptos" w:cs="Aptos"/>
        </w:rPr>
      </w:pPr>
    </w:p>
    <w:p w14:paraId="5FA6B382" w14:textId="011F04E6" w:rsidR="3FB66E52" w:rsidRDefault="3FB66E52" w:rsidP="3FB66E52">
      <w:pPr>
        <w:spacing w:before="240" w:after="240"/>
        <w:rPr>
          <w:rFonts w:ascii="Aptos" w:eastAsia="Aptos" w:hAnsi="Aptos" w:cs="Aptos"/>
        </w:rPr>
      </w:pPr>
    </w:p>
    <w:p w14:paraId="0E77C50F" w14:textId="5D565EFC" w:rsidR="3FB66E52" w:rsidRDefault="3FB66E52" w:rsidP="3FB66E52">
      <w:pPr>
        <w:spacing w:before="240" w:after="240"/>
        <w:rPr>
          <w:rFonts w:ascii="Aptos" w:eastAsia="Aptos" w:hAnsi="Aptos" w:cs="Aptos"/>
        </w:rPr>
      </w:pPr>
    </w:p>
    <w:p w14:paraId="664777F3" w14:textId="0EE4506F" w:rsidR="3FB66E52" w:rsidRDefault="3FB66E52" w:rsidP="3FB66E52">
      <w:pPr>
        <w:spacing w:before="240" w:after="240"/>
        <w:rPr>
          <w:rFonts w:ascii="Aptos" w:eastAsia="Aptos" w:hAnsi="Aptos" w:cs="Aptos"/>
        </w:rPr>
      </w:pPr>
    </w:p>
    <w:p w14:paraId="24F7E7EE" w14:textId="7C66C1BB" w:rsidR="3FB66E52" w:rsidRDefault="3FB66E52" w:rsidP="3FB66E52">
      <w:pPr>
        <w:spacing w:before="240" w:after="240"/>
        <w:rPr>
          <w:rFonts w:ascii="Aptos" w:eastAsia="Aptos" w:hAnsi="Aptos" w:cs="Aptos"/>
        </w:rPr>
      </w:pPr>
    </w:p>
    <w:p w14:paraId="5F43B3E8" w14:textId="1E76B1EB" w:rsidR="3FB66E52" w:rsidRDefault="3FB66E52" w:rsidP="3FB66E52">
      <w:pPr>
        <w:spacing w:before="240" w:after="240"/>
        <w:rPr>
          <w:rFonts w:ascii="Aptos" w:eastAsia="Aptos" w:hAnsi="Aptos" w:cs="Aptos"/>
        </w:rPr>
      </w:pPr>
    </w:p>
    <w:p w14:paraId="0018F81F" w14:textId="04EB7715" w:rsidR="3FB66E52" w:rsidRDefault="3FB66E52" w:rsidP="3FB66E52">
      <w:pPr>
        <w:spacing w:before="240" w:after="240"/>
        <w:rPr>
          <w:rFonts w:ascii="Aptos" w:eastAsia="Aptos" w:hAnsi="Aptos" w:cs="Aptos"/>
        </w:rPr>
      </w:pPr>
    </w:p>
    <w:p w14:paraId="115D6F77" w14:textId="60449D3F" w:rsidR="3FB66E52" w:rsidRDefault="3FB66E52" w:rsidP="3FB66E52">
      <w:pPr>
        <w:spacing w:before="240" w:after="240"/>
        <w:rPr>
          <w:rFonts w:ascii="Aptos" w:eastAsia="Aptos" w:hAnsi="Aptos" w:cs="Aptos"/>
        </w:rPr>
      </w:pPr>
    </w:p>
    <w:p w14:paraId="063EBF53" w14:textId="21AE0C3D" w:rsidR="3FB66E52" w:rsidRDefault="3FB66E52" w:rsidP="3FB66E52">
      <w:pPr>
        <w:spacing w:before="240" w:after="240"/>
        <w:rPr>
          <w:rFonts w:ascii="Aptos" w:eastAsia="Aptos" w:hAnsi="Aptos" w:cs="Aptos"/>
        </w:rPr>
      </w:pPr>
    </w:p>
    <w:p w14:paraId="5E9CBE37" w14:textId="4EDD7C6A" w:rsidR="3FB66E52" w:rsidRDefault="3FB66E52" w:rsidP="3FB66E52">
      <w:pPr>
        <w:spacing w:before="240" w:after="240"/>
        <w:rPr>
          <w:rFonts w:ascii="Aptos" w:eastAsia="Aptos" w:hAnsi="Aptos" w:cs="Aptos"/>
        </w:rPr>
      </w:pPr>
    </w:p>
    <w:p w14:paraId="11A1A803" w14:textId="18E29700" w:rsidR="3FB66E52" w:rsidRDefault="3FB66E52" w:rsidP="3FB66E52">
      <w:pPr>
        <w:spacing w:before="240" w:after="240"/>
        <w:rPr>
          <w:rFonts w:ascii="Aptos" w:eastAsia="Aptos" w:hAnsi="Aptos" w:cs="Aptos"/>
        </w:rPr>
      </w:pPr>
    </w:p>
    <w:p w14:paraId="5C0EAAF4" w14:textId="25346126" w:rsidR="3FB66E52" w:rsidRDefault="3FB66E52" w:rsidP="3FB66E52">
      <w:pPr>
        <w:spacing w:before="240" w:after="240"/>
        <w:rPr>
          <w:rFonts w:ascii="Aptos" w:eastAsia="Aptos" w:hAnsi="Aptos" w:cs="Aptos"/>
        </w:rPr>
      </w:pPr>
    </w:p>
    <w:p w14:paraId="399A0095" w14:textId="25AF2060" w:rsidR="3FB66E52" w:rsidRDefault="3FB66E52" w:rsidP="3FB66E52">
      <w:pPr>
        <w:spacing w:before="240" w:after="240"/>
        <w:rPr>
          <w:rFonts w:ascii="Aptos" w:eastAsia="Aptos" w:hAnsi="Aptos" w:cs="Aptos"/>
        </w:rPr>
      </w:pPr>
    </w:p>
    <w:p w14:paraId="17A1419B" w14:textId="361CA8BF" w:rsidR="3FB66E52" w:rsidRDefault="3FB66E52" w:rsidP="3FB66E52">
      <w:pPr>
        <w:spacing w:before="240" w:after="240"/>
        <w:rPr>
          <w:rFonts w:ascii="Aptos" w:eastAsia="Aptos" w:hAnsi="Aptos" w:cs="Aptos"/>
        </w:rPr>
      </w:pPr>
    </w:p>
    <w:p w14:paraId="5E3FF8DF" w14:textId="07B39092" w:rsidR="64B95946" w:rsidRDefault="64B95946" w:rsidP="3FB66E52">
      <w:r w:rsidRPr="3FB66E52">
        <w:rPr>
          <w:rFonts w:ascii="Aptos" w:eastAsia="Aptos" w:hAnsi="Aptos" w:cs="Aptos"/>
        </w:rPr>
        <w:t>.</w:t>
      </w:r>
    </w:p>
    <w:p w14:paraId="6BE4CF25" w14:textId="732B439E" w:rsidR="3FB66E52" w:rsidRDefault="3FB66E52" w:rsidP="3FB66E52"/>
    <w:p w14:paraId="10DA9318" w14:textId="59EA6030" w:rsidR="3FB66E52" w:rsidRDefault="3FB66E52"/>
    <w:p w14:paraId="1F04D7BE" w14:textId="179828F4" w:rsidR="3FB66E52" w:rsidRDefault="3FB66E52"/>
    <w:p w14:paraId="58EB8DAE" w14:textId="24971A54" w:rsidR="3FB66E52" w:rsidRDefault="3FB66E52"/>
    <w:p w14:paraId="4683AFDE" w14:textId="2ADF208F" w:rsidR="3FB66E52" w:rsidRDefault="3FB66E52"/>
    <w:p w14:paraId="4732B071" w14:textId="08395E99" w:rsidR="3FB66E52" w:rsidRDefault="3FB66E52"/>
    <w:p w14:paraId="0AD5006B" w14:textId="349750DA" w:rsidR="3FB66E52" w:rsidRDefault="3FB66E52"/>
    <w:p w14:paraId="21D7341E" w14:textId="660688DB" w:rsidR="3FB66E52" w:rsidRDefault="3FB66E52"/>
    <w:p w14:paraId="1D4A5400" w14:textId="4A15C32D" w:rsidR="3FB66E52" w:rsidRDefault="3FB66E52"/>
    <w:sectPr w:rsidR="3FB66E52">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DC2D0" w14:textId="77777777" w:rsidR="00BE0482" w:rsidRDefault="00BE0482">
      <w:pPr>
        <w:spacing w:after="0" w:line="240" w:lineRule="auto"/>
      </w:pPr>
      <w:r>
        <w:separator/>
      </w:r>
    </w:p>
  </w:endnote>
  <w:endnote w:type="continuationSeparator" w:id="0">
    <w:p w14:paraId="761D4710" w14:textId="77777777" w:rsidR="00BE0482" w:rsidRDefault="00BE0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5F36BF8" w14:paraId="1CC06ACB" w14:textId="77777777" w:rsidTr="35F36BF8">
      <w:trPr>
        <w:trHeight w:val="300"/>
      </w:trPr>
      <w:tc>
        <w:tcPr>
          <w:tcW w:w="3005" w:type="dxa"/>
        </w:tcPr>
        <w:p w14:paraId="064FEE21" w14:textId="468A963E" w:rsidR="35F36BF8" w:rsidRDefault="35F36BF8" w:rsidP="35F36BF8">
          <w:pPr>
            <w:pStyle w:val="Header"/>
            <w:ind w:left="-115"/>
          </w:pPr>
        </w:p>
      </w:tc>
      <w:tc>
        <w:tcPr>
          <w:tcW w:w="3005" w:type="dxa"/>
        </w:tcPr>
        <w:p w14:paraId="3E07AFC3" w14:textId="605E6801" w:rsidR="35F36BF8" w:rsidRDefault="35F36BF8" w:rsidP="35F36BF8">
          <w:pPr>
            <w:pStyle w:val="Header"/>
            <w:jc w:val="center"/>
          </w:pPr>
          <w:r>
            <w:fldChar w:fldCharType="begin"/>
          </w:r>
          <w:r>
            <w:instrText>PAGE</w:instrText>
          </w:r>
          <w:r>
            <w:fldChar w:fldCharType="separate"/>
          </w:r>
          <w:r w:rsidR="00666E0E">
            <w:rPr>
              <w:noProof/>
            </w:rPr>
            <w:t>1</w:t>
          </w:r>
          <w:r>
            <w:fldChar w:fldCharType="end"/>
          </w:r>
        </w:p>
      </w:tc>
      <w:tc>
        <w:tcPr>
          <w:tcW w:w="3005" w:type="dxa"/>
        </w:tcPr>
        <w:p w14:paraId="13A096C2" w14:textId="78C142C3" w:rsidR="35F36BF8" w:rsidRDefault="35F36BF8" w:rsidP="35F36BF8">
          <w:pPr>
            <w:pStyle w:val="Header"/>
            <w:ind w:right="-115"/>
            <w:jc w:val="right"/>
          </w:pPr>
        </w:p>
      </w:tc>
    </w:tr>
  </w:tbl>
  <w:p w14:paraId="17920A28" w14:textId="63C8A4D1" w:rsidR="35F36BF8" w:rsidRDefault="35F36B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434CB" w14:textId="77777777" w:rsidR="00BE0482" w:rsidRDefault="00BE0482">
      <w:pPr>
        <w:spacing w:after="0" w:line="240" w:lineRule="auto"/>
      </w:pPr>
      <w:r>
        <w:separator/>
      </w:r>
    </w:p>
  </w:footnote>
  <w:footnote w:type="continuationSeparator" w:id="0">
    <w:p w14:paraId="004E96BB" w14:textId="77777777" w:rsidR="00BE0482" w:rsidRDefault="00BE0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5F36BF8" w14:paraId="4C7B77EB" w14:textId="77777777" w:rsidTr="35F36BF8">
      <w:trPr>
        <w:trHeight w:val="300"/>
      </w:trPr>
      <w:tc>
        <w:tcPr>
          <w:tcW w:w="3005" w:type="dxa"/>
        </w:tcPr>
        <w:p w14:paraId="44353362" w14:textId="027DC0EA" w:rsidR="35F36BF8" w:rsidRDefault="35F36BF8" w:rsidP="35F36BF8">
          <w:pPr>
            <w:pStyle w:val="Header"/>
            <w:ind w:left="-115"/>
          </w:pPr>
        </w:p>
      </w:tc>
      <w:tc>
        <w:tcPr>
          <w:tcW w:w="3005" w:type="dxa"/>
        </w:tcPr>
        <w:p w14:paraId="02806CD7" w14:textId="21D2AD98" w:rsidR="35F36BF8" w:rsidRDefault="35F36BF8" w:rsidP="35F36BF8">
          <w:pPr>
            <w:pStyle w:val="Header"/>
            <w:jc w:val="center"/>
          </w:pPr>
        </w:p>
      </w:tc>
      <w:tc>
        <w:tcPr>
          <w:tcW w:w="3005" w:type="dxa"/>
        </w:tcPr>
        <w:p w14:paraId="635500ED" w14:textId="4D3FA304" w:rsidR="35F36BF8" w:rsidRDefault="35F36BF8" w:rsidP="35F36BF8">
          <w:pPr>
            <w:pStyle w:val="Header"/>
            <w:ind w:right="-115"/>
            <w:jc w:val="right"/>
          </w:pPr>
        </w:p>
      </w:tc>
    </w:tr>
  </w:tbl>
  <w:p w14:paraId="01F8097F" w14:textId="2DDE12BF" w:rsidR="35F36BF8" w:rsidRDefault="35F36BF8" w:rsidP="35F36B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6A19F"/>
    <w:multiLevelType w:val="hybridMultilevel"/>
    <w:tmpl w:val="1046BA9A"/>
    <w:lvl w:ilvl="0" w:tplc="1B864B2E">
      <w:start w:val="1"/>
      <w:numFmt w:val="decimal"/>
      <w:lvlText w:val="%1."/>
      <w:lvlJc w:val="left"/>
      <w:pPr>
        <w:ind w:left="720" w:hanging="360"/>
      </w:pPr>
    </w:lvl>
    <w:lvl w:ilvl="1" w:tplc="799E32F2">
      <w:start w:val="1"/>
      <w:numFmt w:val="lowerLetter"/>
      <w:lvlText w:val="%2."/>
      <w:lvlJc w:val="left"/>
      <w:pPr>
        <w:ind w:left="1440" w:hanging="360"/>
      </w:pPr>
    </w:lvl>
    <w:lvl w:ilvl="2" w:tplc="C4B6258E">
      <w:start w:val="1"/>
      <w:numFmt w:val="lowerRoman"/>
      <w:lvlText w:val="%3."/>
      <w:lvlJc w:val="right"/>
      <w:pPr>
        <w:ind w:left="2160" w:hanging="180"/>
      </w:pPr>
    </w:lvl>
    <w:lvl w:ilvl="3" w:tplc="2CAAE500">
      <w:start w:val="1"/>
      <w:numFmt w:val="decimal"/>
      <w:lvlText w:val="%4."/>
      <w:lvlJc w:val="left"/>
      <w:pPr>
        <w:ind w:left="2880" w:hanging="360"/>
      </w:pPr>
    </w:lvl>
    <w:lvl w:ilvl="4" w:tplc="F77027F6">
      <w:start w:val="1"/>
      <w:numFmt w:val="lowerLetter"/>
      <w:lvlText w:val="%5."/>
      <w:lvlJc w:val="left"/>
      <w:pPr>
        <w:ind w:left="3600" w:hanging="360"/>
      </w:pPr>
    </w:lvl>
    <w:lvl w:ilvl="5" w:tplc="8AEAD514">
      <w:start w:val="1"/>
      <w:numFmt w:val="lowerRoman"/>
      <w:lvlText w:val="%6."/>
      <w:lvlJc w:val="right"/>
      <w:pPr>
        <w:ind w:left="4320" w:hanging="180"/>
      </w:pPr>
    </w:lvl>
    <w:lvl w:ilvl="6" w:tplc="FB9C4892">
      <w:start w:val="1"/>
      <w:numFmt w:val="decimal"/>
      <w:lvlText w:val="%7."/>
      <w:lvlJc w:val="left"/>
      <w:pPr>
        <w:ind w:left="5040" w:hanging="360"/>
      </w:pPr>
    </w:lvl>
    <w:lvl w:ilvl="7" w:tplc="9ED0256A">
      <w:start w:val="1"/>
      <w:numFmt w:val="lowerLetter"/>
      <w:lvlText w:val="%8."/>
      <w:lvlJc w:val="left"/>
      <w:pPr>
        <w:ind w:left="5760" w:hanging="360"/>
      </w:pPr>
    </w:lvl>
    <w:lvl w:ilvl="8" w:tplc="AD4CBEC0">
      <w:start w:val="1"/>
      <w:numFmt w:val="lowerRoman"/>
      <w:lvlText w:val="%9."/>
      <w:lvlJc w:val="right"/>
      <w:pPr>
        <w:ind w:left="6480" w:hanging="180"/>
      </w:pPr>
    </w:lvl>
  </w:abstractNum>
  <w:abstractNum w:abstractNumId="1" w15:restartNumberingAfterBreak="0">
    <w:nsid w:val="10733F11"/>
    <w:multiLevelType w:val="hybridMultilevel"/>
    <w:tmpl w:val="63DA35AC"/>
    <w:lvl w:ilvl="0" w:tplc="78166308">
      <w:start w:val="1"/>
      <w:numFmt w:val="bullet"/>
      <w:lvlText w:val=""/>
      <w:lvlJc w:val="left"/>
      <w:pPr>
        <w:ind w:left="720" w:hanging="360"/>
      </w:pPr>
      <w:rPr>
        <w:rFonts w:ascii="Symbol" w:hAnsi="Symbol" w:hint="default"/>
      </w:rPr>
    </w:lvl>
    <w:lvl w:ilvl="1" w:tplc="B3F09A82">
      <w:start w:val="1"/>
      <w:numFmt w:val="bullet"/>
      <w:lvlText w:val="o"/>
      <w:lvlJc w:val="left"/>
      <w:pPr>
        <w:ind w:left="1440" w:hanging="360"/>
      </w:pPr>
      <w:rPr>
        <w:rFonts w:ascii="Courier New" w:hAnsi="Courier New" w:hint="default"/>
      </w:rPr>
    </w:lvl>
    <w:lvl w:ilvl="2" w:tplc="F57639C6">
      <w:start w:val="1"/>
      <w:numFmt w:val="bullet"/>
      <w:lvlText w:val=""/>
      <w:lvlJc w:val="left"/>
      <w:pPr>
        <w:ind w:left="2160" w:hanging="360"/>
      </w:pPr>
      <w:rPr>
        <w:rFonts w:ascii="Wingdings" w:hAnsi="Wingdings" w:hint="default"/>
      </w:rPr>
    </w:lvl>
    <w:lvl w:ilvl="3" w:tplc="F424C6B6">
      <w:start w:val="1"/>
      <w:numFmt w:val="bullet"/>
      <w:lvlText w:val=""/>
      <w:lvlJc w:val="left"/>
      <w:pPr>
        <w:ind w:left="2880" w:hanging="360"/>
      </w:pPr>
      <w:rPr>
        <w:rFonts w:ascii="Symbol" w:hAnsi="Symbol" w:hint="default"/>
      </w:rPr>
    </w:lvl>
    <w:lvl w:ilvl="4" w:tplc="E8EE8DEA">
      <w:start w:val="1"/>
      <w:numFmt w:val="bullet"/>
      <w:lvlText w:val="o"/>
      <w:lvlJc w:val="left"/>
      <w:pPr>
        <w:ind w:left="3600" w:hanging="360"/>
      </w:pPr>
      <w:rPr>
        <w:rFonts w:ascii="Courier New" w:hAnsi="Courier New" w:hint="default"/>
      </w:rPr>
    </w:lvl>
    <w:lvl w:ilvl="5" w:tplc="ECA4F5A8">
      <w:start w:val="1"/>
      <w:numFmt w:val="bullet"/>
      <w:lvlText w:val=""/>
      <w:lvlJc w:val="left"/>
      <w:pPr>
        <w:ind w:left="4320" w:hanging="360"/>
      </w:pPr>
      <w:rPr>
        <w:rFonts w:ascii="Wingdings" w:hAnsi="Wingdings" w:hint="default"/>
      </w:rPr>
    </w:lvl>
    <w:lvl w:ilvl="6" w:tplc="B5FACA78">
      <w:start w:val="1"/>
      <w:numFmt w:val="bullet"/>
      <w:lvlText w:val=""/>
      <w:lvlJc w:val="left"/>
      <w:pPr>
        <w:ind w:left="5040" w:hanging="360"/>
      </w:pPr>
      <w:rPr>
        <w:rFonts w:ascii="Symbol" w:hAnsi="Symbol" w:hint="default"/>
      </w:rPr>
    </w:lvl>
    <w:lvl w:ilvl="7" w:tplc="E0BC2178">
      <w:start w:val="1"/>
      <w:numFmt w:val="bullet"/>
      <w:lvlText w:val="o"/>
      <w:lvlJc w:val="left"/>
      <w:pPr>
        <w:ind w:left="5760" w:hanging="360"/>
      </w:pPr>
      <w:rPr>
        <w:rFonts w:ascii="Courier New" w:hAnsi="Courier New" w:hint="default"/>
      </w:rPr>
    </w:lvl>
    <w:lvl w:ilvl="8" w:tplc="599AFFC6">
      <w:start w:val="1"/>
      <w:numFmt w:val="bullet"/>
      <w:lvlText w:val=""/>
      <w:lvlJc w:val="left"/>
      <w:pPr>
        <w:ind w:left="6480" w:hanging="360"/>
      </w:pPr>
      <w:rPr>
        <w:rFonts w:ascii="Wingdings" w:hAnsi="Wingdings" w:hint="default"/>
      </w:rPr>
    </w:lvl>
  </w:abstractNum>
  <w:abstractNum w:abstractNumId="2" w15:restartNumberingAfterBreak="0">
    <w:nsid w:val="220EBC78"/>
    <w:multiLevelType w:val="hybridMultilevel"/>
    <w:tmpl w:val="08DEA126"/>
    <w:lvl w:ilvl="0" w:tplc="A7C4A6A6">
      <w:start w:val="1"/>
      <w:numFmt w:val="bullet"/>
      <w:lvlText w:val=""/>
      <w:lvlJc w:val="left"/>
      <w:pPr>
        <w:ind w:left="720" w:hanging="360"/>
      </w:pPr>
      <w:rPr>
        <w:rFonts w:ascii="Symbol" w:hAnsi="Symbol" w:hint="default"/>
      </w:rPr>
    </w:lvl>
    <w:lvl w:ilvl="1" w:tplc="E07E00A4">
      <w:start w:val="1"/>
      <w:numFmt w:val="bullet"/>
      <w:lvlText w:val="o"/>
      <w:lvlJc w:val="left"/>
      <w:pPr>
        <w:ind w:left="1440" w:hanging="360"/>
      </w:pPr>
      <w:rPr>
        <w:rFonts w:ascii="Courier New" w:hAnsi="Courier New" w:hint="default"/>
      </w:rPr>
    </w:lvl>
    <w:lvl w:ilvl="2" w:tplc="FDA8B90E">
      <w:start w:val="1"/>
      <w:numFmt w:val="bullet"/>
      <w:lvlText w:val=""/>
      <w:lvlJc w:val="left"/>
      <w:pPr>
        <w:ind w:left="2160" w:hanging="360"/>
      </w:pPr>
      <w:rPr>
        <w:rFonts w:ascii="Wingdings" w:hAnsi="Wingdings" w:hint="default"/>
      </w:rPr>
    </w:lvl>
    <w:lvl w:ilvl="3" w:tplc="C6986F88">
      <w:start w:val="1"/>
      <w:numFmt w:val="bullet"/>
      <w:lvlText w:val=""/>
      <w:lvlJc w:val="left"/>
      <w:pPr>
        <w:ind w:left="2880" w:hanging="360"/>
      </w:pPr>
      <w:rPr>
        <w:rFonts w:ascii="Symbol" w:hAnsi="Symbol" w:hint="default"/>
      </w:rPr>
    </w:lvl>
    <w:lvl w:ilvl="4" w:tplc="44EA2FB0">
      <w:start w:val="1"/>
      <w:numFmt w:val="bullet"/>
      <w:lvlText w:val="o"/>
      <w:lvlJc w:val="left"/>
      <w:pPr>
        <w:ind w:left="3600" w:hanging="360"/>
      </w:pPr>
      <w:rPr>
        <w:rFonts w:ascii="Courier New" w:hAnsi="Courier New" w:hint="default"/>
      </w:rPr>
    </w:lvl>
    <w:lvl w:ilvl="5" w:tplc="CC7EB97E">
      <w:start w:val="1"/>
      <w:numFmt w:val="bullet"/>
      <w:lvlText w:val=""/>
      <w:lvlJc w:val="left"/>
      <w:pPr>
        <w:ind w:left="4320" w:hanging="360"/>
      </w:pPr>
      <w:rPr>
        <w:rFonts w:ascii="Wingdings" w:hAnsi="Wingdings" w:hint="default"/>
      </w:rPr>
    </w:lvl>
    <w:lvl w:ilvl="6" w:tplc="9CAE2E70">
      <w:start w:val="1"/>
      <w:numFmt w:val="bullet"/>
      <w:lvlText w:val=""/>
      <w:lvlJc w:val="left"/>
      <w:pPr>
        <w:ind w:left="5040" w:hanging="360"/>
      </w:pPr>
      <w:rPr>
        <w:rFonts w:ascii="Symbol" w:hAnsi="Symbol" w:hint="default"/>
      </w:rPr>
    </w:lvl>
    <w:lvl w:ilvl="7" w:tplc="043CDF5A">
      <w:start w:val="1"/>
      <w:numFmt w:val="bullet"/>
      <w:lvlText w:val="o"/>
      <w:lvlJc w:val="left"/>
      <w:pPr>
        <w:ind w:left="5760" w:hanging="360"/>
      </w:pPr>
      <w:rPr>
        <w:rFonts w:ascii="Courier New" w:hAnsi="Courier New" w:hint="default"/>
      </w:rPr>
    </w:lvl>
    <w:lvl w:ilvl="8" w:tplc="13504202">
      <w:start w:val="1"/>
      <w:numFmt w:val="bullet"/>
      <w:lvlText w:val=""/>
      <w:lvlJc w:val="left"/>
      <w:pPr>
        <w:ind w:left="6480" w:hanging="360"/>
      </w:pPr>
      <w:rPr>
        <w:rFonts w:ascii="Wingdings" w:hAnsi="Wingdings" w:hint="default"/>
      </w:rPr>
    </w:lvl>
  </w:abstractNum>
  <w:abstractNum w:abstractNumId="3" w15:restartNumberingAfterBreak="0">
    <w:nsid w:val="32D10E96"/>
    <w:multiLevelType w:val="hybridMultilevel"/>
    <w:tmpl w:val="E0607352"/>
    <w:lvl w:ilvl="0" w:tplc="AC76AD08">
      <w:start w:val="1"/>
      <w:numFmt w:val="decimal"/>
      <w:lvlText w:val="%1."/>
      <w:lvlJc w:val="left"/>
      <w:pPr>
        <w:ind w:left="720" w:hanging="360"/>
      </w:pPr>
    </w:lvl>
    <w:lvl w:ilvl="1" w:tplc="B40CE3A8">
      <w:start w:val="1"/>
      <w:numFmt w:val="lowerLetter"/>
      <w:lvlText w:val="%2."/>
      <w:lvlJc w:val="left"/>
      <w:pPr>
        <w:ind w:left="1440" w:hanging="360"/>
      </w:pPr>
    </w:lvl>
    <w:lvl w:ilvl="2" w:tplc="48D20A04">
      <w:start w:val="1"/>
      <w:numFmt w:val="lowerRoman"/>
      <w:lvlText w:val="%3."/>
      <w:lvlJc w:val="right"/>
      <w:pPr>
        <w:ind w:left="2160" w:hanging="180"/>
      </w:pPr>
    </w:lvl>
    <w:lvl w:ilvl="3" w:tplc="8894161E">
      <w:start w:val="1"/>
      <w:numFmt w:val="decimal"/>
      <w:lvlText w:val="%4."/>
      <w:lvlJc w:val="left"/>
      <w:pPr>
        <w:ind w:left="2880" w:hanging="360"/>
      </w:pPr>
    </w:lvl>
    <w:lvl w:ilvl="4" w:tplc="CABAD53A">
      <w:start w:val="1"/>
      <w:numFmt w:val="lowerLetter"/>
      <w:lvlText w:val="%5."/>
      <w:lvlJc w:val="left"/>
      <w:pPr>
        <w:ind w:left="3600" w:hanging="360"/>
      </w:pPr>
    </w:lvl>
    <w:lvl w:ilvl="5" w:tplc="AAC8585E">
      <w:start w:val="1"/>
      <w:numFmt w:val="lowerRoman"/>
      <w:lvlText w:val="%6."/>
      <w:lvlJc w:val="right"/>
      <w:pPr>
        <w:ind w:left="4320" w:hanging="180"/>
      </w:pPr>
    </w:lvl>
    <w:lvl w:ilvl="6" w:tplc="9C06141C">
      <w:start w:val="1"/>
      <w:numFmt w:val="decimal"/>
      <w:lvlText w:val="%7."/>
      <w:lvlJc w:val="left"/>
      <w:pPr>
        <w:ind w:left="5040" w:hanging="360"/>
      </w:pPr>
    </w:lvl>
    <w:lvl w:ilvl="7" w:tplc="D0AE4EF0">
      <w:start w:val="1"/>
      <w:numFmt w:val="lowerLetter"/>
      <w:lvlText w:val="%8."/>
      <w:lvlJc w:val="left"/>
      <w:pPr>
        <w:ind w:left="5760" w:hanging="360"/>
      </w:pPr>
    </w:lvl>
    <w:lvl w:ilvl="8" w:tplc="B944DA2E">
      <w:start w:val="1"/>
      <w:numFmt w:val="lowerRoman"/>
      <w:lvlText w:val="%9."/>
      <w:lvlJc w:val="right"/>
      <w:pPr>
        <w:ind w:left="6480" w:hanging="180"/>
      </w:pPr>
    </w:lvl>
  </w:abstractNum>
  <w:abstractNum w:abstractNumId="4" w15:restartNumberingAfterBreak="0">
    <w:nsid w:val="37782EC3"/>
    <w:multiLevelType w:val="hybridMultilevel"/>
    <w:tmpl w:val="3BF44F14"/>
    <w:lvl w:ilvl="0" w:tplc="42807FC6">
      <w:start w:val="1"/>
      <w:numFmt w:val="decimal"/>
      <w:lvlText w:val="%1."/>
      <w:lvlJc w:val="left"/>
      <w:pPr>
        <w:ind w:left="720" w:hanging="360"/>
      </w:pPr>
    </w:lvl>
    <w:lvl w:ilvl="1" w:tplc="4CA81FC6">
      <w:start w:val="1"/>
      <w:numFmt w:val="lowerLetter"/>
      <w:lvlText w:val="%2."/>
      <w:lvlJc w:val="left"/>
      <w:pPr>
        <w:ind w:left="1440" w:hanging="360"/>
      </w:pPr>
    </w:lvl>
    <w:lvl w:ilvl="2" w:tplc="51689192">
      <w:start w:val="1"/>
      <w:numFmt w:val="lowerRoman"/>
      <w:lvlText w:val="%3."/>
      <w:lvlJc w:val="right"/>
      <w:pPr>
        <w:ind w:left="2160" w:hanging="180"/>
      </w:pPr>
    </w:lvl>
    <w:lvl w:ilvl="3" w:tplc="2AE4BA24">
      <w:start w:val="1"/>
      <w:numFmt w:val="decimal"/>
      <w:lvlText w:val="%4."/>
      <w:lvlJc w:val="left"/>
      <w:pPr>
        <w:ind w:left="2880" w:hanging="360"/>
      </w:pPr>
    </w:lvl>
    <w:lvl w:ilvl="4" w:tplc="7428BEF8">
      <w:start w:val="1"/>
      <w:numFmt w:val="lowerLetter"/>
      <w:lvlText w:val="%5."/>
      <w:lvlJc w:val="left"/>
      <w:pPr>
        <w:ind w:left="3600" w:hanging="360"/>
      </w:pPr>
    </w:lvl>
    <w:lvl w:ilvl="5" w:tplc="DAAA3C64">
      <w:start w:val="1"/>
      <w:numFmt w:val="lowerRoman"/>
      <w:lvlText w:val="%6."/>
      <w:lvlJc w:val="right"/>
      <w:pPr>
        <w:ind w:left="4320" w:hanging="180"/>
      </w:pPr>
    </w:lvl>
    <w:lvl w:ilvl="6" w:tplc="4FFCE1F2">
      <w:start w:val="1"/>
      <w:numFmt w:val="decimal"/>
      <w:lvlText w:val="%7."/>
      <w:lvlJc w:val="left"/>
      <w:pPr>
        <w:ind w:left="5040" w:hanging="360"/>
      </w:pPr>
    </w:lvl>
    <w:lvl w:ilvl="7" w:tplc="83A26286">
      <w:start w:val="1"/>
      <w:numFmt w:val="lowerLetter"/>
      <w:lvlText w:val="%8."/>
      <w:lvlJc w:val="left"/>
      <w:pPr>
        <w:ind w:left="5760" w:hanging="360"/>
      </w:pPr>
    </w:lvl>
    <w:lvl w:ilvl="8" w:tplc="323A60A0">
      <w:start w:val="1"/>
      <w:numFmt w:val="lowerRoman"/>
      <w:lvlText w:val="%9."/>
      <w:lvlJc w:val="right"/>
      <w:pPr>
        <w:ind w:left="6480" w:hanging="180"/>
      </w:pPr>
    </w:lvl>
  </w:abstractNum>
  <w:abstractNum w:abstractNumId="5" w15:restartNumberingAfterBreak="0">
    <w:nsid w:val="47B6A0AC"/>
    <w:multiLevelType w:val="hybridMultilevel"/>
    <w:tmpl w:val="72C8FF6A"/>
    <w:lvl w:ilvl="0" w:tplc="13AE811A">
      <w:start w:val="1"/>
      <w:numFmt w:val="decimal"/>
      <w:lvlText w:val="%1."/>
      <w:lvlJc w:val="left"/>
      <w:pPr>
        <w:ind w:left="720" w:hanging="360"/>
      </w:pPr>
    </w:lvl>
    <w:lvl w:ilvl="1" w:tplc="5A6C3586">
      <w:start w:val="1"/>
      <w:numFmt w:val="lowerLetter"/>
      <w:lvlText w:val="%2."/>
      <w:lvlJc w:val="left"/>
      <w:pPr>
        <w:ind w:left="1440" w:hanging="360"/>
      </w:pPr>
    </w:lvl>
    <w:lvl w:ilvl="2" w:tplc="C856219A">
      <w:start w:val="1"/>
      <w:numFmt w:val="lowerRoman"/>
      <w:lvlText w:val="%3."/>
      <w:lvlJc w:val="right"/>
      <w:pPr>
        <w:ind w:left="2160" w:hanging="180"/>
      </w:pPr>
    </w:lvl>
    <w:lvl w:ilvl="3" w:tplc="513CBF3A">
      <w:start w:val="1"/>
      <w:numFmt w:val="decimal"/>
      <w:lvlText w:val="%4."/>
      <w:lvlJc w:val="left"/>
      <w:pPr>
        <w:ind w:left="2880" w:hanging="360"/>
      </w:pPr>
    </w:lvl>
    <w:lvl w:ilvl="4" w:tplc="8BF80AD6">
      <w:start w:val="1"/>
      <w:numFmt w:val="lowerLetter"/>
      <w:lvlText w:val="%5."/>
      <w:lvlJc w:val="left"/>
      <w:pPr>
        <w:ind w:left="3600" w:hanging="360"/>
      </w:pPr>
    </w:lvl>
    <w:lvl w:ilvl="5" w:tplc="1D84B086">
      <w:start w:val="1"/>
      <w:numFmt w:val="lowerRoman"/>
      <w:lvlText w:val="%6."/>
      <w:lvlJc w:val="right"/>
      <w:pPr>
        <w:ind w:left="4320" w:hanging="180"/>
      </w:pPr>
    </w:lvl>
    <w:lvl w:ilvl="6" w:tplc="8D022986">
      <w:start w:val="1"/>
      <w:numFmt w:val="decimal"/>
      <w:lvlText w:val="%7."/>
      <w:lvlJc w:val="left"/>
      <w:pPr>
        <w:ind w:left="5040" w:hanging="360"/>
      </w:pPr>
    </w:lvl>
    <w:lvl w:ilvl="7" w:tplc="765076E2">
      <w:start w:val="1"/>
      <w:numFmt w:val="lowerLetter"/>
      <w:lvlText w:val="%8."/>
      <w:lvlJc w:val="left"/>
      <w:pPr>
        <w:ind w:left="5760" w:hanging="360"/>
      </w:pPr>
    </w:lvl>
    <w:lvl w:ilvl="8" w:tplc="2522F99A">
      <w:start w:val="1"/>
      <w:numFmt w:val="lowerRoman"/>
      <w:lvlText w:val="%9."/>
      <w:lvlJc w:val="right"/>
      <w:pPr>
        <w:ind w:left="6480" w:hanging="180"/>
      </w:pPr>
    </w:lvl>
  </w:abstractNum>
  <w:abstractNum w:abstractNumId="6" w15:restartNumberingAfterBreak="0">
    <w:nsid w:val="7012F795"/>
    <w:multiLevelType w:val="hybridMultilevel"/>
    <w:tmpl w:val="07C0BD78"/>
    <w:lvl w:ilvl="0" w:tplc="3E489E5E">
      <w:start w:val="2"/>
      <w:numFmt w:val="decimal"/>
      <w:lvlText w:val="%1."/>
      <w:lvlJc w:val="left"/>
      <w:pPr>
        <w:ind w:left="720" w:hanging="360"/>
      </w:pPr>
    </w:lvl>
    <w:lvl w:ilvl="1" w:tplc="169A9946">
      <w:start w:val="1"/>
      <w:numFmt w:val="lowerLetter"/>
      <w:lvlText w:val="%2."/>
      <w:lvlJc w:val="left"/>
      <w:pPr>
        <w:ind w:left="1440" w:hanging="360"/>
      </w:pPr>
    </w:lvl>
    <w:lvl w:ilvl="2" w:tplc="78888E3A">
      <w:start w:val="1"/>
      <w:numFmt w:val="lowerRoman"/>
      <w:lvlText w:val="%3."/>
      <w:lvlJc w:val="right"/>
      <w:pPr>
        <w:ind w:left="2160" w:hanging="180"/>
      </w:pPr>
    </w:lvl>
    <w:lvl w:ilvl="3" w:tplc="C756DF40">
      <w:start w:val="1"/>
      <w:numFmt w:val="decimal"/>
      <w:lvlText w:val="%4."/>
      <w:lvlJc w:val="left"/>
      <w:pPr>
        <w:ind w:left="2880" w:hanging="360"/>
      </w:pPr>
    </w:lvl>
    <w:lvl w:ilvl="4" w:tplc="54A47FD2">
      <w:start w:val="1"/>
      <w:numFmt w:val="lowerLetter"/>
      <w:lvlText w:val="%5."/>
      <w:lvlJc w:val="left"/>
      <w:pPr>
        <w:ind w:left="3600" w:hanging="360"/>
      </w:pPr>
    </w:lvl>
    <w:lvl w:ilvl="5" w:tplc="079684E8">
      <w:start w:val="1"/>
      <w:numFmt w:val="lowerRoman"/>
      <w:lvlText w:val="%6."/>
      <w:lvlJc w:val="right"/>
      <w:pPr>
        <w:ind w:left="4320" w:hanging="180"/>
      </w:pPr>
    </w:lvl>
    <w:lvl w:ilvl="6" w:tplc="56A469AC">
      <w:start w:val="1"/>
      <w:numFmt w:val="decimal"/>
      <w:lvlText w:val="%7."/>
      <w:lvlJc w:val="left"/>
      <w:pPr>
        <w:ind w:left="5040" w:hanging="360"/>
      </w:pPr>
    </w:lvl>
    <w:lvl w:ilvl="7" w:tplc="8B24469A">
      <w:start w:val="1"/>
      <w:numFmt w:val="lowerLetter"/>
      <w:lvlText w:val="%8."/>
      <w:lvlJc w:val="left"/>
      <w:pPr>
        <w:ind w:left="5760" w:hanging="360"/>
      </w:pPr>
    </w:lvl>
    <w:lvl w:ilvl="8" w:tplc="F6A0FD20">
      <w:start w:val="1"/>
      <w:numFmt w:val="lowerRoman"/>
      <w:lvlText w:val="%9."/>
      <w:lvlJc w:val="right"/>
      <w:pPr>
        <w:ind w:left="6480" w:hanging="180"/>
      </w:pPr>
    </w:lvl>
  </w:abstractNum>
  <w:abstractNum w:abstractNumId="7" w15:restartNumberingAfterBreak="0">
    <w:nsid w:val="79BD8932"/>
    <w:multiLevelType w:val="hybridMultilevel"/>
    <w:tmpl w:val="0C9040BA"/>
    <w:lvl w:ilvl="0" w:tplc="7542C170">
      <w:start w:val="1"/>
      <w:numFmt w:val="decimal"/>
      <w:lvlText w:val="%1."/>
      <w:lvlJc w:val="left"/>
      <w:pPr>
        <w:ind w:left="720" w:hanging="360"/>
      </w:pPr>
    </w:lvl>
    <w:lvl w:ilvl="1" w:tplc="62D03F06">
      <w:start w:val="1"/>
      <w:numFmt w:val="lowerLetter"/>
      <w:lvlText w:val="%2."/>
      <w:lvlJc w:val="left"/>
      <w:pPr>
        <w:ind w:left="1440" w:hanging="360"/>
      </w:pPr>
    </w:lvl>
    <w:lvl w:ilvl="2" w:tplc="5B44D69C">
      <w:start w:val="1"/>
      <w:numFmt w:val="lowerRoman"/>
      <w:lvlText w:val="%3."/>
      <w:lvlJc w:val="right"/>
      <w:pPr>
        <w:ind w:left="2160" w:hanging="180"/>
      </w:pPr>
    </w:lvl>
    <w:lvl w:ilvl="3" w:tplc="C356556E">
      <w:start w:val="1"/>
      <w:numFmt w:val="decimal"/>
      <w:lvlText w:val="%4."/>
      <w:lvlJc w:val="left"/>
      <w:pPr>
        <w:ind w:left="2880" w:hanging="360"/>
      </w:pPr>
    </w:lvl>
    <w:lvl w:ilvl="4" w:tplc="C720AF8C">
      <w:start w:val="1"/>
      <w:numFmt w:val="lowerLetter"/>
      <w:lvlText w:val="%5."/>
      <w:lvlJc w:val="left"/>
      <w:pPr>
        <w:ind w:left="3600" w:hanging="360"/>
      </w:pPr>
    </w:lvl>
    <w:lvl w:ilvl="5" w:tplc="35A6B2BE">
      <w:start w:val="1"/>
      <w:numFmt w:val="lowerRoman"/>
      <w:lvlText w:val="%6."/>
      <w:lvlJc w:val="right"/>
      <w:pPr>
        <w:ind w:left="4320" w:hanging="180"/>
      </w:pPr>
    </w:lvl>
    <w:lvl w:ilvl="6" w:tplc="929CD71E">
      <w:start w:val="1"/>
      <w:numFmt w:val="decimal"/>
      <w:lvlText w:val="%7."/>
      <w:lvlJc w:val="left"/>
      <w:pPr>
        <w:ind w:left="5040" w:hanging="360"/>
      </w:pPr>
    </w:lvl>
    <w:lvl w:ilvl="7" w:tplc="279844A0">
      <w:start w:val="1"/>
      <w:numFmt w:val="lowerLetter"/>
      <w:lvlText w:val="%8."/>
      <w:lvlJc w:val="left"/>
      <w:pPr>
        <w:ind w:left="5760" w:hanging="360"/>
      </w:pPr>
    </w:lvl>
    <w:lvl w:ilvl="8" w:tplc="09F0BDBA">
      <w:start w:val="1"/>
      <w:numFmt w:val="lowerRoman"/>
      <w:lvlText w:val="%9."/>
      <w:lvlJc w:val="right"/>
      <w:pPr>
        <w:ind w:left="6480" w:hanging="180"/>
      </w:pPr>
    </w:lvl>
  </w:abstractNum>
  <w:num w:numId="1" w16cid:durableId="1416783215">
    <w:abstractNumId w:val="0"/>
  </w:num>
  <w:num w:numId="2" w16cid:durableId="769937614">
    <w:abstractNumId w:val="6"/>
  </w:num>
  <w:num w:numId="3" w16cid:durableId="113210344">
    <w:abstractNumId w:val="3"/>
  </w:num>
  <w:num w:numId="4" w16cid:durableId="30038873">
    <w:abstractNumId w:val="4"/>
  </w:num>
  <w:num w:numId="5" w16cid:durableId="208807237">
    <w:abstractNumId w:val="2"/>
  </w:num>
  <w:num w:numId="6" w16cid:durableId="1272397069">
    <w:abstractNumId w:val="5"/>
  </w:num>
  <w:num w:numId="7" w16cid:durableId="1245266130">
    <w:abstractNumId w:val="7"/>
  </w:num>
  <w:num w:numId="8" w16cid:durableId="350958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206CC3"/>
    <w:rsid w:val="00564386"/>
    <w:rsid w:val="005800DA"/>
    <w:rsid w:val="00666E0E"/>
    <w:rsid w:val="006E06A0"/>
    <w:rsid w:val="00872A4E"/>
    <w:rsid w:val="008B2A00"/>
    <w:rsid w:val="00ACD2B4"/>
    <w:rsid w:val="00B1A5F9"/>
    <w:rsid w:val="00BE0482"/>
    <w:rsid w:val="022EA49A"/>
    <w:rsid w:val="0260D08E"/>
    <w:rsid w:val="02DD25E0"/>
    <w:rsid w:val="0314B5EF"/>
    <w:rsid w:val="04551A1D"/>
    <w:rsid w:val="067C7EFD"/>
    <w:rsid w:val="06EC282C"/>
    <w:rsid w:val="074578CF"/>
    <w:rsid w:val="08C2E108"/>
    <w:rsid w:val="08CCDD60"/>
    <w:rsid w:val="0932D633"/>
    <w:rsid w:val="09D1C0BE"/>
    <w:rsid w:val="0AA250A9"/>
    <w:rsid w:val="0B29CB52"/>
    <w:rsid w:val="0BEEBD90"/>
    <w:rsid w:val="0C278250"/>
    <w:rsid w:val="0CAD2AD4"/>
    <w:rsid w:val="0D8D5B4D"/>
    <w:rsid w:val="0DA85F75"/>
    <w:rsid w:val="0DEBBFE3"/>
    <w:rsid w:val="0E009BA5"/>
    <w:rsid w:val="0E6C541E"/>
    <w:rsid w:val="0E7051E2"/>
    <w:rsid w:val="0F4CB29C"/>
    <w:rsid w:val="0F94D09B"/>
    <w:rsid w:val="1080FC97"/>
    <w:rsid w:val="10EE3020"/>
    <w:rsid w:val="113FDAC2"/>
    <w:rsid w:val="12012FD4"/>
    <w:rsid w:val="1235E944"/>
    <w:rsid w:val="12E430D8"/>
    <w:rsid w:val="131EC142"/>
    <w:rsid w:val="13DD686A"/>
    <w:rsid w:val="13FE0E65"/>
    <w:rsid w:val="142D4A24"/>
    <w:rsid w:val="1499426B"/>
    <w:rsid w:val="14D310DD"/>
    <w:rsid w:val="14E8C6B2"/>
    <w:rsid w:val="155FEDC6"/>
    <w:rsid w:val="162C6E68"/>
    <w:rsid w:val="168ECEFE"/>
    <w:rsid w:val="16D7D087"/>
    <w:rsid w:val="173F1B9B"/>
    <w:rsid w:val="1748E1C9"/>
    <w:rsid w:val="174A6CBB"/>
    <w:rsid w:val="174FF82D"/>
    <w:rsid w:val="175A2213"/>
    <w:rsid w:val="17639E84"/>
    <w:rsid w:val="17675DC1"/>
    <w:rsid w:val="17AF08B9"/>
    <w:rsid w:val="1834F631"/>
    <w:rsid w:val="18AF7258"/>
    <w:rsid w:val="1A0376F1"/>
    <w:rsid w:val="1A084D7C"/>
    <w:rsid w:val="1A3E5DA7"/>
    <w:rsid w:val="1A8910C0"/>
    <w:rsid w:val="1B13B883"/>
    <w:rsid w:val="1B9EAE1E"/>
    <w:rsid w:val="1BCE1AF2"/>
    <w:rsid w:val="1CFB5E59"/>
    <w:rsid w:val="1F0D125D"/>
    <w:rsid w:val="1FEF32B0"/>
    <w:rsid w:val="1FF77B08"/>
    <w:rsid w:val="2032920E"/>
    <w:rsid w:val="203F6C3D"/>
    <w:rsid w:val="2160BF07"/>
    <w:rsid w:val="21B85C02"/>
    <w:rsid w:val="21BFE936"/>
    <w:rsid w:val="228F601B"/>
    <w:rsid w:val="23D8391E"/>
    <w:rsid w:val="246FE8A0"/>
    <w:rsid w:val="24860381"/>
    <w:rsid w:val="25347AF3"/>
    <w:rsid w:val="25888445"/>
    <w:rsid w:val="2649CD44"/>
    <w:rsid w:val="26DA6218"/>
    <w:rsid w:val="27073120"/>
    <w:rsid w:val="2711D849"/>
    <w:rsid w:val="273D609A"/>
    <w:rsid w:val="2755C6B1"/>
    <w:rsid w:val="27A5CCDC"/>
    <w:rsid w:val="28A6DB55"/>
    <w:rsid w:val="2937625D"/>
    <w:rsid w:val="29A9EAE1"/>
    <w:rsid w:val="2A4664B0"/>
    <w:rsid w:val="2B6C4488"/>
    <w:rsid w:val="2BD5C17D"/>
    <w:rsid w:val="2DA498E3"/>
    <w:rsid w:val="2DDA3317"/>
    <w:rsid w:val="2FB2826C"/>
    <w:rsid w:val="2FF3854F"/>
    <w:rsid w:val="311B385F"/>
    <w:rsid w:val="316F38A8"/>
    <w:rsid w:val="324288E7"/>
    <w:rsid w:val="32430A96"/>
    <w:rsid w:val="324B2D1C"/>
    <w:rsid w:val="325C68E2"/>
    <w:rsid w:val="3287EA1B"/>
    <w:rsid w:val="3473577D"/>
    <w:rsid w:val="34C6E734"/>
    <w:rsid w:val="35206CC3"/>
    <w:rsid w:val="353E49D7"/>
    <w:rsid w:val="35F36BF8"/>
    <w:rsid w:val="365F5DE9"/>
    <w:rsid w:val="36EFFFAC"/>
    <w:rsid w:val="37683940"/>
    <w:rsid w:val="377D977B"/>
    <w:rsid w:val="37EF563A"/>
    <w:rsid w:val="386F3548"/>
    <w:rsid w:val="3A4B1C94"/>
    <w:rsid w:val="3ACEDFB1"/>
    <w:rsid w:val="3C42229A"/>
    <w:rsid w:val="3C6F3458"/>
    <w:rsid w:val="3CC077E9"/>
    <w:rsid w:val="3CC721DE"/>
    <w:rsid w:val="3CFE1A75"/>
    <w:rsid w:val="3D61EB0B"/>
    <w:rsid w:val="3D91DA14"/>
    <w:rsid w:val="3F206B44"/>
    <w:rsid w:val="3FB66E52"/>
    <w:rsid w:val="3FDA1DFB"/>
    <w:rsid w:val="3FDDF58A"/>
    <w:rsid w:val="40687AC7"/>
    <w:rsid w:val="4113CF83"/>
    <w:rsid w:val="41E41DC7"/>
    <w:rsid w:val="421F4702"/>
    <w:rsid w:val="42435394"/>
    <w:rsid w:val="42FF1697"/>
    <w:rsid w:val="4450B2E1"/>
    <w:rsid w:val="44A5B5CF"/>
    <w:rsid w:val="44DE0679"/>
    <w:rsid w:val="457EAA7B"/>
    <w:rsid w:val="45BCD68C"/>
    <w:rsid w:val="46CEE518"/>
    <w:rsid w:val="46E9AF67"/>
    <w:rsid w:val="47151D17"/>
    <w:rsid w:val="47458C71"/>
    <w:rsid w:val="47793EA3"/>
    <w:rsid w:val="47939D13"/>
    <w:rsid w:val="484B0D6B"/>
    <w:rsid w:val="4864015C"/>
    <w:rsid w:val="486F2474"/>
    <w:rsid w:val="4B247B86"/>
    <w:rsid w:val="4B3BEBD7"/>
    <w:rsid w:val="4BD24DA8"/>
    <w:rsid w:val="4D32B22C"/>
    <w:rsid w:val="4D56DE6F"/>
    <w:rsid w:val="4D694DDD"/>
    <w:rsid w:val="4E05C4B1"/>
    <w:rsid w:val="4E138A7A"/>
    <w:rsid w:val="4EC2F01B"/>
    <w:rsid w:val="4EC432C1"/>
    <w:rsid w:val="4F0F10D4"/>
    <w:rsid w:val="4FCC9D4D"/>
    <w:rsid w:val="5019F955"/>
    <w:rsid w:val="506EE5E6"/>
    <w:rsid w:val="521DCA09"/>
    <w:rsid w:val="52BA85B9"/>
    <w:rsid w:val="52E636B2"/>
    <w:rsid w:val="5316CDFB"/>
    <w:rsid w:val="5327B031"/>
    <w:rsid w:val="53B773B2"/>
    <w:rsid w:val="53F36A95"/>
    <w:rsid w:val="546E2042"/>
    <w:rsid w:val="54B4AF83"/>
    <w:rsid w:val="552695E6"/>
    <w:rsid w:val="55AD66A1"/>
    <w:rsid w:val="55B156B0"/>
    <w:rsid w:val="55B95BC4"/>
    <w:rsid w:val="563BA06F"/>
    <w:rsid w:val="5704767F"/>
    <w:rsid w:val="57534C43"/>
    <w:rsid w:val="57E97868"/>
    <w:rsid w:val="58274D0D"/>
    <w:rsid w:val="59CA49DC"/>
    <w:rsid w:val="59DF5BB0"/>
    <w:rsid w:val="5A3D1A69"/>
    <w:rsid w:val="5AF0DDFF"/>
    <w:rsid w:val="5C2EBA74"/>
    <w:rsid w:val="5C3B5686"/>
    <w:rsid w:val="5CF1F04F"/>
    <w:rsid w:val="5D63A92E"/>
    <w:rsid w:val="5D66B5D8"/>
    <w:rsid w:val="5DBF8879"/>
    <w:rsid w:val="5E81FA9F"/>
    <w:rsid w:val="5E952450"/>
    <w:rsid w:val="5F88547D"/>
    <w:rsid w:val="5FCB6E27"/>
    <w:rsid w:val="5FCCB526"/>
    <w:rsid w:val="608ACE55"/>
    <w:rsid w:val="60CB37DB"/>
    <w:rsid w:val="60DB98AA"/>
    <w:rsid w:val="60E3297D"/>
    <w:rsid w:val="616686A0"/>
    <w:rsid w:val="62474F10"/>
    <w:rsid w:val="625545A6"/>
    <w:rsid w:val="62D12115"/>
    <w:rsid w:val="63C0413E"/>
    <w:rsid w:val="642EBFB8"/>
    <w:rsid w:val="6485F15F"/>
    <w:rsid w:val="64AAE1C1"/>
    <w:rsid w:val="64B95946"/>
    <w:rsid w:val="65CC0D3E"/>
    <w:rsid w:val="675BDFD8"/>
    <w:rsid w:val="676D8F9C"/>
    <w:rsid w:val="68B0673B"/>
    <w:rsid w:val="68E440D6"/>
    <w:rsid w:val="690780D8"/>
    <w:rsid w:val="6A786209"/>
    <w:rsid w:val="6B080156"/>
    <w:rsid w:val="6BA8CBEC"/>
    <w:rsid w:val="6C568633"/>
    <w:rsid w:val="6C84BD1F"/>
    <w:rsid w:val="6D49101A"/>
    <w:rsid w:val="6DF91EDF"/>
    <w:rsid w:val="6F245FD3"/>
    <w:rsid w:val="70958EEC"/>
    <w:rsid w:val="71BF8774"/>
    <w:rsid w:val="7293BAB2"/>
    <w:rsid w:val="73FB963A"/>
    <w:rsid w:val="74012FEE"/>
    <w:rsid w:val="76B39323"/>
    <w:rsid w:val="76D77131"/>
    <w:rsid w:val="770044C0"/>
    <w:rsid w:val="771F91F4"/>
    <w:rsid w:val="78FB3EAA"/>
    <w:rsid w:val="79055EB9"/>
    <w:rsid w:val="7905BE49"/>
    <w:rsid w:val="793399AC"/>
    <w:rsid w:val="797CBC09"/>
    <w:rsid w:val="7AAFB9DD"/>
    <w:rsid w:val="7B45DAB4"/>
    <w:rsid w:val="7C30EB00"/>
    <w:rsid w:val="7C40D542"/>
    <w:rsid w:val="7C4CA872"/>
    <w:rsid w:val="7C74BCAD"/>
    <w:rsid w:val="7C7AAAF3"/>
    <w:rsid w:val="7C7F0ADF"/>
    <w:rsid w:val="7C8A4B7A"/>
    <w:rsid w:val="7D3D36A1"/>
    <w:rsid w:val="7DFD04DB"/>
    <w:rsid w:val="7E14A076"/>
    <w:rsid w:val="7E2AB62B"/>
    <w:rsid w:val="7E832C7D"/>
    <w:rsid w:val="7EA8B3F2"/>
    <w:rsid w:val="7F25FF01"/>
    <w:rsid w:val="7F2C3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8F472"/>
  <w15:chartTrackingRefBased/>
  <w15:docId w15:val="{86848DCA-4C47-4104-8A52-A8E0A4DA4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35F36B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5F36B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5F36BF8"/>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uiPriority w:val="99"/>
    <w:semiHidden/>
    <w:unhideWhenUsed/>
    <w:rsid w:val="3FB66E52"/>
    <w:pPr>
      <w:spacing w:after="0" w:line="240" w:lineRule="auto"/>
    </w:pPr>
    <w:rPr>
      <w:sz w:val="20"/>
      <w:szCs w:val="20"/>
    </w:rPr>
  </w:style>
  <w:style w:type="character" w:styleId="EndnoteReference">
    <w:name w:val="endnote reference"/>
    <w:basedOn w:val="DefaultParagraphFont"/>
    <w:uiPriority w:val="99"/>
    <w:semiHidden/>
    <w:unhideWhenUsed/>
    <w:rsid w:val="3FB66E52"/>
    <w:rPr>
      <w:vertAlign w:val="superscript"/>
    </w:rPr>
  </w:style>
  <w:style w:type="paragraph" w:styleId="ListParagraph">
    <w:name w:val="List Paragraph"/>
    <w:basedOn w:val="Normal"/>
    <w:uiPriority w:val="34"/>
    <w:qFormat/>
    <w:rsid w:val="3FB66E52"/>
    <w:pPr>
      <w:ind w:left="720"/>
      <w:contextualSpacing/>
    </w:pPr>
  </w:style>
  <w:style w:type="paragraph" w:styleId="Header">
    <w:name w:val="header"/>
    <w:basedOn w:val="Normal"/>
    <w:uiPriority w:val="99"/>
    <w:unhideWhenUsed/>
    <w:rsid w:val="35F36BF8"/>
    <w:pPr>
      <w:tabs>
        <w:tab w:val="center" w:pos="4680"/>
        <w:tab w:val="right" w:pos="9360"/>
      </w:tabs>
      <w:spacing w:after="0" w:line="240" w:lineRule="auto"/>
    </w:pPr>
  </w:style>
  <w:style w:type="paragraph" w:styleId="Footer">
    <w:name w:val="footer"/>
    <w:basedOn w:val="Normal"/>
    <w:uiPriority w:val="99"/>
    <w:unhideWhenUsed/>
    <w:rsid w:val="35F36BF8"/>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35F36BF8"/>
    <w:rPr>
      <w:rFonts w:asciiTheme="majorHAnsi" w:eastAsiaTheme="majorEastAsia" w:hAnsiTheme="majorHAnsi" w:cstheme="majorBidi"/>
      <w:color w:val="0F4761" w:themeColor="accent1" w:themeShade="BF"/>
      <w:sz w:val="40"/>
      <w:szCs w:val="40"/>
    </w:rPr>
  </w:style>
  <w:style w:type="character" w:styleId="Hyperlink">
    <w:name w:val="Hyperlink"/>
    <w:basedOn w:val="DefaultParagraphFont"/>
    <w:uiPriority w:val="99"/>
    <w:unhideWhenUsed/>
    <w:rsid w:val="35F36BF8"/>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1B13B883"/>
    <w:pPr>
      <w:spacing w:after="100"/>
    </w:pPr>
  </w:style>
  <w:style w:type="paragraph" w:styleId="TOC2">
    <w:name w:val="toc 2"/>
    <w:basedOn w:val="Normal"/>
    <w:next w:val="Normal"/>
    <w:uiPriority w:val="39"/>
    <w:unhideWhenUsed/>
    <w:rsid w:val="1B13B883"/>
    <w:pPr>
      <w:spacing w:after="100"/>
      <w:ind w:left="220"/>
    </w:pPr>
  </w:style>
  <w:style w:type="paragraph" w:styleId="TOC3">
    <w:name w:val="toc 3"/>
    <w:basedOn w:val="Normal"/>
    <w:next w:val="Normal"/>
    <w:uiPriority w:val="39"/>
    <w:unhideWhenUsed/>
    <w:rsid w:val="1B13B88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d6aec8-3fc4-4d28-bcd6-909419918828">
  <we:reference id="8c1c3d44-57e9-40d7-86e4-4adf88fea1dd" version="3.0.0.0" store="excatalog" storeType="excatalog"/>
  <we:alternateReferences>
    <we:reference id="WA200007520" version="3.0.0.0"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31</Pages>
  <Words>7496</Words>
  <Characters>42732</Characters>
  <Application>Microsoft Office Word</Application>
  <DocSecurity>0</DocSecurity>
  <Lines>356</Lines>
  <Paragraphs>100</Paragraphs>
  <ScaleCrop>false</ScaleCrop>
  <Company/>
  <LinksUpToDate>false</LinksUpToDate>
  <CharactersWithSpaces>50128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Juciute (2213928)</dc:creator>
  <cp:keywords/>
  <dc:description/>
  <cp:lastModifiedBy>Reda Juciute (2213928)</cp:lastModifiedBy>
  <cp:revision>8</cp:revision>
  <dcterms:created xsi:type="dcterms:W3CDTF">2026-03-04T09:40:00Z</dcterms:created>
  <dcterms:modified xsi:type="dcterms:W3CDTF">2026-03-04T20:05:00Z</dcterms:modified>
</cp:coreProperties>
</file>