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lang w:val="en-GB"/>
          <w14:ligatures w14:val="standardContextual"/>
        </w:rPr>
        <w:id w:val="848531189"/>
        <w:docPartObj>
          <w:docPartGallery w:val="Cover Pages"/>
          <w:docPartUnique/>
        </w:docPartObj>
      </w:sdtPr>
      <w:sdtEndPr>
        <w:rPr>
          <w:color w:val="auto"/>
        </w:rPr>
      </w:sdtEndPr>
      <w:sdtContent>
        <w:p w14:paraId="71C6BA08" w14:textId="0F10F9C0" w:rsidR="00E3244B" w:rsidRDefault="00E3244B">
          <w:pPr>
            <w:pStyle w:val="NoSpacing"/>
            <w:spacing w:before="1540" w:after="240"/>
            <w:jc w:val="center"/>
            <w:rPr>
              <w:color w:val="4472C4" w:themeColor="accent1"/>
            </w:rPr>
          </w:pPr>
          <w:r>
            <w:rPr>
              <w:noProof/>
              <w:color w:val="4472C4" w:themeColor="accent1"/>
            </w:rPr>
            <w:drawing>
              <wp:inline distT="0" distB="0" distL="0" distR="0" wp14:anchorId="0E0ED0C1" wp14:editId="696B414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E228989" w14:textId="5F3F8DA2" w:rsidR="00E3244B" w:rsidRPr="005E7101" w:rsidRDefault="00153B6A" w:rsidP="005E710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sidRPr="00153B6A">
            <w:rPr>
              <w:rFonts w:asciiTheme="majorHAnsi" w:eastAsiaTheme="majorEastAsia" w:hAnsiTheme="majorHAnsi" w:cstheme="majorBidi"/>
              <w:caps/>
              <w:color w:val="4472C4" w:themeColor="accent1"/>
              <w:sz w:val="48"/>
              <w:szCs w:val="48"/>
              <w:lang w:val="en-GB"/>
            </w:rPr>
            <w:t>An assessment of staff shortages and employee retention in front office roles at Coldra Court Hotel, Newport: the role of pay and working conditions</w:t>
          </w:r>
        </w:p>
        <w:p w14:paraId="6E03422E" w14:textId="77777777" w:rsidR="00E3244B" w:rsidRDefault="00E3244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2B3E701" wp14:editId="5AB203A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26B9D" w14:textId="64F62C59" w:rsidR="00E3244B" w:rsidRPr="00433B75" w:rsidRDefault="00E3244B" w:rsidP="00433B75">
                                <w:pPr>
                                  <w:pStyle w:val="NoSpacing"/>
                                  <w:rPr>
                                    <w:color w:val="4472C4"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B3E70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2C26B9D" w14:textId="64F62C59" w:rsidR="00E3244B" w:rsidRPr="00433B75" w:rsidRDefault="00E3244B" w:rsidP="00433B75">
                          <w:pPr>
                            <w:pStyle w:val="NoSpacing"/>
                            <w:rPr>
                              <w:color w:val="4472C4" w:themeColor="accent1"/>
                              <w:lang w:val="en-GB"/>
                            </w:rPr>
                          </w:pPr>
                        </w:p>
                      </w:txbxContent>
                    </v:textbox>
                    <w10:wrap anchorx="margin" anchory="page"/>
                  </v:shape>
                </w:pict>
              </mc:Fallback>
            </mc:AlternateContent>
          </w:r>
          <w:r>
            <w:rPr>
              <w:noProof/>
              <w:color w:val="4472C4" w:themeColor="accent1"/>
            </w:rPr>
            <w:drawing>
              <wp:inline distT="0" distB="0" distL="0" distR="0" wp14:anchorId="7A421166" wp14:editId="53A2750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1D3743" w14:textId="643AE652" w:rsidR="00433B75" w:rsidRDefault="00433B75" w:rsidP="00433B75">
          <w:r w:rsidRPr="00433B75">
            <w:rPr>
              <w:rFonts w:ascii="Arial" w:hAnsi="Arial" w:cs="Arial"/>
              <w:b/>
              <w:bCs/>
              <w:noProof/>
              <w:sz w:val="24"/>
              <w:szCs w:val="24"/>
            </w:rPr>
            <mc:AlternateContent>
              <mc:Choice Requires="wps">
                <w:drawing>
                  <wp:anchor distT="45720" distB="45720" distL="114300" distR="114300" simplePos="0" relativeHeight="251663360" behindDoc="0" locked="0" layoutInCell="1" allowOverlap="1" wp14:anchorId="681956B4" wp14:editId="10836337">
                    <wp:simplePos x="0" y="0"/>
                    <wp:positionH relativeFrom="margin">
                      <wp:posOffset>407670</wp:posOffset>
                    </wp:positionH>
                    <wp:positionV relativeFrom="paragraph">
                      <wp:posOffset>3398520</wp:posOffset>
                    </wp:positionV>
                    <wp:extent cx="4987925" cy="1404620"/>
                    <wp:effectExtent l="0" t="0" r="22225" b="27305"/>
                    <wp:wrapSquare wrapText="bothSides"/>
                    <wp:docPr id="968167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7925" cy="1404620"/>
                            </a:xfrm>
                            <a:prstGeom prst="rect">
                              <a:avLst/>
                            </a:prstGeom>
                            <a:solidFill>
                              <a:srgbClr val="FFFFFF"/>
                            </a:solidFill>
                            <a:ln w="9525">
                              <a:solidFill>
                                <a:srgbClr val="000000"/>
                              </a:solidFill>
                              <a:miter lim="800000"/>
                              <a:headEnd/>
                              <a:tailEnd/>
                            </a:ln>
                          </wps:spPr>
                          <wps:txbx>
                            <w:txbxContent>
                              <w:p w14:paraId="79550CA2" w14:textId="23989A1E" w:rsidR="00433B75" w:rsidRDefault="00433B75">
                                <w:r w:rsidRPr="00433B75">
                                  <w:t xml:space="preserve">I confirm that I used Grammarly on </w:t>
                                </w:r>
                                <w:r>
                                  <w:t>22</w:t>
                                </w:r>
                                <w:r w:rsidRPr="00433B75">
                                  <w:t xml:space="preserve"> February 2026 solely for proofreading</w:t>
                                </w:r>
                                <w:r>
                                  <w:t>,</w:t>
                                </w:r>
                                <w:r w:rsidR="00BF1F64">
                                  <w:t xml:space="preserve"> </w:t>
                                </w:r>
                                <w:r w:rsidRPr="00433B75">
                                  <w:t>spelling and grammar. No AI-generated text has been submitted as my own work. I have retained drafts and notes and can provide them if required.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1956B4" id="Text Box 2" o:spid="_x0000_s1027" type="#_x0000_t202" style="position:absolute;margin-left:32.1pt;margin-top:267.6pt;width:392.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0CEEwIAACcEAAAOAAAAZHJzL2Uyb0RvYy54bWysk99v2yAQx98n7X9AvC92IqdtrDhVly7T&#10;pO6H1O0POGMco2GOAYmd/fU7SJpG3bSHaTwgjoMvd587lrdjr9leOq/QVHw6yTmTRmCjzLbi375u&#10;3txw5gOYBjQaWfGD9Px29frVcrClnGGHupGOkYjx5WAr3oVgyyzzopM9+AlaacjZoushkOm2WeNg&#10;IPVeZ7M8v8oGdI11KKT3tHt/dPJV0m9bKcLntvUyMF1xii2k2aW5jnO2WkK5dWA7JU5hwD9E0YMy&#10;9OhZ6h4CsJ1Tv0n1Sjj02IaJwD7DtlVCphwom2n+IpvHDqxMuRAcb8+Y/P+TFZ/2j/aLY2F8iyMV&#10;MCXh7QOK754ZXHdgtvLOORw6CQ09PI3IssH68nQ1ovaljyL18BEbKjLsAiahsXV9pEJ5MlKnAhzO&#10;0OUYmKDNYnFzvZjNORPkmxZ5cTVLZcmgfLpunQ/vJfYsLiruqKpJHvYPPsRwoHw6El/zqFWzUVon&#10;w23rtXZsD9QBmzRSBi+OacOGii/mFMjfJfI0/iTRq0CtrFVf8ZvzISgjt3emSY0WQOnjmkLW5gQy&#10;sjtSDGM9MtWcKEeuNTYHIuvw2Ln002jRofvJ2UBdW3H/YwdOcqY/GKrOYloUsc2TUcyvCSVzl576&#10;0gNGkFTFA2fH5Tqkr5EI2Duq4kYlvs+RnEKmbkzYTz8ntvulnU49/+/VLwAAAP//AwBQSwMEFAAG&#10;AAgAAAAhABsbw3LfAAAACgEAAA8AAABkcnMvZG93bnJldi54bWxMj8FOwzAMhu9IvENkJC4TS9ma&#10;bpSmE0zaidPKuGeNaSsapzTZ1r095gQ3W/71+fuLzeR6ccYxdJ40PM4TEEi1tx01Gg7vu4c1iBAN&#10;WdN7Qg1XDLApb28Kk1t/oT2eq9gIhlDIjYY2xiGXMtQtOhPmfkDi26cfnYm8jo20o7kw3PVykSSZ&#10;dKYj/tCaAbct1l/VyWnIvqvl7O3Dzmh/3b2OtVN2e1Ba399NL88gIk7xLwy/+qwOJTsd/YlsED0z&#10;0gUnNail4oED6/RpBeKoYaWyFGRZyP8Vyh8AAAD//wMAUEsBAi0AFAAGAAgAAAAhALaDOJL+AAAA&#10;4QEAABMAAAAAAAAAAAAAAAAAAAAAAFtDb250ZW50X1R5cGVzXS54bWxQSwECLQAUAAYACAAAACEA&#10;OP0h/9YAAACUAQAACwAAAAAAAAAAAAAAAAAvAQAAX3JlbHMvLnJlbHNQSwECLQAUAAYACAAAACEA&#10;E5tAhBMCAAAnBAAADgAAAAAAAAAAAAAAAAAuAgAAZHJzL2Uyb0RvYy54bWxQSwECLQAUAAYACAAA&#10;ACEAGxvDct8AAAAKAQAADwAAAAAAAAAAAAAAAABtBAAAZHJzL2Rvd25yZXYueG1sUEsFBgAAAAAE&#10;AAQA8wAAAHkFAAAAAA==&#10;">
                    <v:textbox style="mso-fit-shape-to-text:t">
                      <w:txbxContent>
                        <w:p w14:paraId="79550CA2" w14:textId="23989A1E" w:rsidR="00433B75" w:rsidRDefault="00433B75">
                          <w:r w:rsidRPr="00433B75">
                            <w:t xml:space="preserve">I confirm that I used Grammarly on </w:t>
                          </w:r>
                          <w:r>
                            <w:t>22</w:t>
                          </w:r>
                          <w:r w:rsidRPr="00433B75">
                            <w:t xml:space="preserve"> February 2026 solely for proofreading</w:t>
                          </w:r>
                          <w:r>
                            <w:t>,</w:t>
                          </w:r>
                          <w:r w:rsidR="00BF1F64">
                            <w:t xml:space="preserve"> </w:t>
                          </w:r>
                          <w:r w:rsidRPr="00433B75">
                            <w:t>spelling and grammar. No AI-generated text has been submitted as my own work. I have retained drafts and notes and can provide them if required.</w:t>
                          </w:r>
                        </w:p>
                      </w:txbxContent>
                    </v:textbox>
                    <w10:wrap type="square" anchorx="margin"/>
                  </v:shape>
                </w:pict>
              </mc:Fallback>
            </mc:AlternateContent>
          </w:r>
          <w:r w:rsidR="005E7101">
            <w:rPr>
              <w:noProof/>
            </w:rPr>
            <mc:AlternateContent>
              <mc:Choice Requires="wps">
                <w:drawing>
                  <wp:anchor distT="45720" distB="45720" distL="114300" distR="114300" simplePos="0" relativeHeight="251661312" behindDoc="0" locked="0" layoutInCell="1" allowOverlap="1" wp14:anchorId="52338A6D" wp14:editId="444B042C">
                    <wp:simplePos x="0" y="0"/>
                    <wp:positionH relativeFrom="margin">
                      <wp:align>center</wp:align>
                    </wp:positionH>
                    <wp:positionV relativeFrom="paragraph">
                      <wp:posOffset>214902</wp:posOffset>
                    </wp:positionV>
                    <wp:extent cx="2906395" cy="1779270"/>
                    <wp:effectExtent l="0" t="0" r="2730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1779270"/>
                            </a:xfrm>
                            <a:prstGeom prst="rect">
                              <a:avLst/>
                            </a:prstGeom>
                            <a:solidFill>
                              <a:srgbClr val="FFFFFF"/>
                            </a:solidFill>
                            <a:ln w="9525">
                              <a:solidFill>
                                <a:srgbClr val="000000"/>
                              </a:solidFill>
                              <a:miter lim="800000"/>
                              <a:headEnd/>
                              <a:tailEnd/>
                            </a:ln>
                          </wps:spPr>
                          <wps:txbx>
                            <w:txbxContent>
                              <w:p w14:paraId="395B8D35" w14:textId="1C5BEF22" w:rsidR="008700E4" w:rsidRDefault="008700E4" w:rsidP="008700E4">
                                <w:r>
                                  <w:t xml:space="preserve">Module: </w:t>
                                </w:r>
                                <w:r w:rsidR="00200BF4" w:rsidRPr="00200BF4">
                                  <w:t xml:space="preserve">Hotel Placement Research Project </w:t>
                                </w:r>
                              </w:p>
                              <w:p w14:paraId="0844EE5E" w14:textId="61C3B8AB" w:rsidR="008700E4" w:rsidRPr="00200BF4" w:rsidRDefault="008700E4" w:rsidP="008700E4">
                                <w:r w:rsidRPr="00200BF4">
                                  <w:t>Module code: BMIH600</w:t>
                                </w:r>
                                <w:r w:rsidR="00200BF4">
                                  <w:t>8</w:t>
                                </w:r>
                              </w:p>
                              <w:p w14:paraId="577943E5" w14:textId="0DFECA5D" w:rsidR="008700E4" w:rsidRPr="0046698D" w:rsidRDefault="008700E4" w:rsidP="008700E4">
                                <w:r w:rsidRPr="0046698D">
                                  <w:t>Lecturer:</w:t>
                                </w:r>
                                <w:r w:rsidR="0046698D" w:rsidRPr="0046698D">
                                  <w:t xml:space="preserve"> </w:t>
                                </w:r>
                                <w:r w:rsidR="0046698D" w:rsidRPr="0046698D">
                                  <w:t>Kathryn E Flynn</w:t>
                                </w:r>
                              </w:p>
                              <w:p w14:paraId="622E876C" w14:textId="77777777" w:rsidR="008700E4" w:rsidRDefault="008700E4" w:rsidP="008700E4">
                                <w:r>
                                  <w:t>Student: Beatrice-Elia Gherasim</w:t>
                                </w:r>
                              </w:p>
                              <w:p w14:paraId="4372F500" w14:textId="2E0E3545" w:rsidR="005E7101" w:rsidRDefault="008700E4" w:rsidP="008700E4">
                                <w:r>
                                  <w:t>Student ID: 2241871</w:t>
                                </w:r>
                              </w:p>
                              <w:p w14:paraId="45EC8ECF" w14:textId="04D809C4" w:rsidR="0046698D" w:rsidRDefault="0046698D" w:rsidP="008700E4">
                                <w:r>
                                  <w:t xml:space="preserve">Wordcount: </w:t>
                                </w:r>
                                <w:r w:rsidR="003E3237">
                                  <w:t>7</w:t>
                                </w:r>
                                <w:r w:rsidR="00067D80">
                                  <w:t>,</w:t>
                                </w:r>
                                <w:r w:rsidR="003E3237">
                                  <w:t>576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338A6D" id="_x0000_s1028" type="#_x0000_t202" style="position:absolute;margin-left:0;margin-top:16.9pt;width:228.85pt;height:140.1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HXFgIAACcEAAAOAAAAZHJzL2Uyb0RvYy54bWysk99v2yAQx98n7X9AvC92vKRprDhVly7T&#10;pO6H1O0PwIBjNMwxILGzv74HTtOo216m8YA4Dr7cfe5Y3QydJgfpvAJT0ekkp0QaDkKZXUW/f9u+&#10;uabEB2YE02BkRY/S05v161er3paygBa0kI6giPFlbyvahmDLLPO8lR3zE7DSoLMB17GApttlwrEe&#10;1TudFXl+lfXghHXApfe4ezc66TrpN43k4UvTeBmIrijGFtLs0lzHOVuvWLlzzLaKn8Jg/xBFx5TB&#10;R89SdywwsnfqN6lOcQcemjDh0GXQNIrLlANmM81fZPPQMitTLgjH2zMm//9k+efDg/3qSBjewYAF&#10;TEl4ew/8hycGNi0zO3nrHPStZAIfnkZkWW99eboaUfvSR5G6/wQCi8z2AZLQ0LguUsE8CapjAY5n&#10;6HIIhONmscyv3i7nlHD0TReLZbFIZclY+XTdOh8+SOhIXFTUYVWTPDvc+xDDYeXTkfiaB63EVmmd&#10;DLerN9qRA8MO2KaRMnhxTBvSV3Q5L+Yjgb9K5Gn8SaJTAVtZq66i1+dDrIzc3huRGi0wpcc1hqzN&#10;CWRkN1IMQz0QJRBKfCByrUEckayDsXPxp+GiBfeLkh67tqL+5545SYn+aLA6y+lsFts8GbP5okDD&#10;XXrqSw8zHKUqGigZl5uQvkbkZuAWq9ioxPc5klPI2I0J++nnxHa/tNOp5/+9fgQAAP//AwBQSwME&#10;FAAGAAgAAAAhAMpKM/HeAAAABwEAAA8AAABkcnMvZG93bnJldi54bWxMj8FOwzAQRO9I/IO1SFxQ&#10;65SEpoQ4FUIC0Ru0CK5uvE0i4nWw3TT8PcsJjjszmnlbrifbixF96BwpWMwTEEi1Mx01Ct52j7MV&#10;iBA1Gd07QgXfGGBdnZ+VujDuRK84bmMjuIRCoRW0MQ6FlKFu0eowdwMSewfnrY58+kYar09cbnt5&#10;nSRLaXVHvNDqAR9arD+3R6tglT2PH2GTvrzXy0N/G6/y8enLK3V5Md3fgYg4xb8w/OIzOlTMtHdH&#10;MkH0CviRqCBNmZ/d7CbPQexZWGQJyKqU//mrHwAAAP//AwBQSwECLQAUAAYACAAAACEAtoM4kv4A&#10;AADhAQAAEwAAAAAAAAAAAAAAAAAAAAAAW0NvbnRlbnRfVHlwZXNdLnhtbFBLAQItABQABgAIAAAA&#10;IQA4/SH/1gAAAJQBAAALAAAAAAAAAAAAAAAAAC8BAABfcmVscy8ucmVsc1BLAQItABQABgAIAAAA&#10;IQC4/JHXFgIAACcEAAAOAAAAAAAAAAAAAAAAAC4CAABkcnMvZTJvRG9jLnhtbFBLAQItABQABgAI&#10;AAAAIQDKSjPx3gAAAAcBAAAPAAAAAAAAAAAAAAAAAHAEAABkcnMvZG93bnJldi54bWxQSwUGAAAA&#10;AAQABADzAAAAewUAAAAA&#10;">
                    <v:textbox>
                      <w:txbxContent>
                        <w:p w14:paraId="395B8D35" w14:textId="1C5BEF22" w:rsidR="008700E4" w:rsidRDefault="008700E4" w:rsidP="008700E4">
                          <w:r>
                            <w:t xml:space="preserve">Module: </w:t>
                          </w:r>
                          <w:r w:rsidR="00200BF4" w:rsidRPr="00200BF4">
                            <w:t xml:space="preserve">Hotel Placement Research Project </w:t>
                          </w:r>
                        </w:p>
                        <w:p w14:paraId="0844EE5E" w14:textId="61C3B8AB" w:rsidR="008700E4" w:rsidRPr="00200BF4" w:rsidRDefault="008700E4" w:rsidP="008700E4">
                          <w:r w:rsidRPr="00200BF4">
                            <w:t>Module code: BMIH600</w:t>
                          </w:r>
                          <w:r w:rsidR="00200BF4">
                            <w:t>8</w:t>
                          </w:r>
                        </w:p>
                        <w:p w14:paraId="577943E5" w14:textId="0DFECA5D" w:rsidR="008700E4" w:rsidRPr="0046698D" w:rsidRDefault="008700E4" w:rsidP="008700E4">
                          <w:r w:rsidRPr="0046698D">
                            <w:t>Lecturer:</w:t>
                          </w:r>
                          <w:r w:rsidR="0046698D" w:rsidRPr="0046698D">
                            <w:t xml:space="preserve"> </w:t>
                          </w:r>
                          <w:r w:rsidR="0046698D" w:rsidRPr="0046698D">
                            <w:t>Kathryn E Flynn</w:t>
                          </w:r>
                        </w:p>
                        <w:p w14:paraId="622E876C" w14:textId="77777777" w:rsidR="008700E4" w:rsidRDefault="008700E4" w:rsidP="008700E4">
                          <w:r>
                            <w:t>Student: Beatrice-Elia Gherasim</w:t>
                          </w:r>
                        </w:p>
                        <w:p w14:paraId="4372F500" w14:textId="2E0E3545" w:rsidR="005E7101" w:rsidRDefault="008700E4" w:rsidP="008700E4">
                          <w:r>
                            <w:t>Student ID: 2241871</w:t>
                          </w:r>
                        </w:p>
                        <w:p w14:paraId="45EC8ECF" w14:textId="04D809C4" w:rsidR="0046698D" w:rsidRDefault="0046698D" w:rsidP="008700E4">
                          <w:r>
                            <w:t xml:space="preserve">Wordcount: </w:t>
                          </w:r>
                          <w:r w:rsidR="003E3237">
                            <w:t>7</w:t>
                          </w:r>
                          <w:r w:rsidR="00067D80">
                            <w:t>,</w:t>
                          </w:r>
                          <w:r w:rsidR="003E3237">
                            <w:t>576</w:t>
                          </w:r>
                        </w:p>
                      </w:txbxContent>
                    </v:textbox>
                    <w10:wrap type="square" anchorx="margin"/>
                  </v:shape>
                </w:pict>
              </mc:Fallback>
            </mc:AlternateContent>
          </w:r>
          <w:r w:rsidR="00E3244B">
            <w:br w:type="page"/>
          </w:r>
        </w:p>
      </w:sdtContent>
    </w:sdt>
    <w:p w14:paraId="706839D7" w14:textId="7F3D0D79" w:rsidR="0095355D" w:rsidRPr="00433B75" w:rsidRDefault="0095355D" w:rsidP="00433B75">
      <w:r w:rsidRPr="00AF3EBA">
        <w:rPr>
          <w:rFonts w:ascii="Arial" w:hAnsi="Arial" w:cs="Arial"/>
          <w:b/>
          <w:bCs/>
          <w:sz w:val="24"/>
          <w:szCs w:val="24"/>
        </w:rPr>
        <w:lastRenderedPageBreak/>
        <w:t>Acknowledgement</w:t>
      </w:r>
    </w:p>
    <w:p w14:paraId="697FF001" w14:textId="77777777" w:rsidR="0095355D" w:rsidRPr="0095355D" w:rsidRDefault="0095355D" w:rsidP="0095355D">
      <w:pPr>
        <w:spacing w:line="360" w:lineRule="auto"/>
        <w:jc w:val="both"/>
        <w:rPr>
          <w:rFonts w:ascii="Arial" w:hAnsi="Arial" w:cs="Arial"/>
          <w:sz w:val="24"/>
          <w:szCs w:val="24"/>
        </w:rPr>
      </w:pPr>
    </w:p>
    <w:p w14:paraId="3853F6D6" w14:textId="27A1C89B" w:rsidR="0095355D" w:rsidRPr="0095355D" w:rsidRDefault="0095355D" w:rsidP="0095355D">
      <w:pPr>
        <w:spacing w:line="360" w:lineRule="auto"/>
        <w:jc w:val="both"/>
        <w:rPr>
          <w:rFonts w:ascii="Arial" w:hAnsi="Arial" w:cs="Arial"/>
          <w:sz w:val="24"/>
          <w:szCs w:val="24"/>
        </w:rPr>
      </w:pPr>
      <w:r w:rsidRPr="0095355D">
        <w:rPr>
          <w:rFonts w:ascii="Arial" w:hAnsi="Arial" w:cs="Arial"/>
          <w:sz w:val="24"/>
          <w:szCs w:val="24"/>
        </w:rPr>
        <w:t>I would like to express my sincere gratitude to my project supervisor, Kathryn E. Flynn, for her academic guidance, constructive feedback, and ongoing support throughout the development of this research project. Her direction has been instrumental in refining the scope and analytical depth of this study.</w:t>
      </w:r>
    </w:p>
    <w:p w14:paraId="65902E6B" w14:textId="18A51F2F" w:rsidR="0095355D" w:rsidRPr="0095355D" w:rsidRDefault="0095355D" w:rsidP="0095355D">
      <w:pPr>
        <w:spacing w:line="360" w:lineRule="auto"/>
        <w:jc w:val="both"/>
        <w:rPr>
          <w:rFonts w:ascii="Arial" w:hAnsi="Arial" w:cs="Arial"/>
          <w:sz w:val="24"/>
          <w:szCs w:val="24"/>
        </w:rPr>
      </w:pPr>
      <w:r w:rsidRPr="0095355D">
        <w:rPr>
          <w:rFonts w:ascii="Arial" w:hAnsi="Arial" w:cs="Arial"/>
          <w:sz w:val="24"/>
          <w:szCs w:val="24"/>
        </w:rPr>
        <w:t xml:space="preserve">I would also like to thank </w:t>
      </w:r>
      <w:proofErr w:type="spellStart"/>
      <w:r w:rsidRPr="0095355D">
        <w:rPr>
          <w:rFonts w:ascii="Arial" w:hAnsi="Arial" w:cs="Arial"/>
          <w:sz w:val="24"/>
          <w:szCs w:val="24"/>
        </w:rPr>
        <w:t>Coldra</w:t>
      </w:r>
      <w:proofErr w:type="spellEnd"/>
      <w:r w:rsidRPr="0095355D">
        <w:rPr>
          <w:rFonts w:ascii="Arial" w:hAnsi="Arial" w:cs="Arial"/>
          <w:sz w:val="24"/>
          <w:szCs w:val="24"/>
        </w:rPr>
        <w:t xml:space="preserve"> Court Hotel, Newport, for providing the placement experience that inspired the research topic. The professional exposure gained during the placement period significantly contributed to my understanding of front office operations and workforce challenges within the hospitality industry.</w:t>
      </w:r>
    </w:p>
    <w:p w14:paraId="0609AAE2" w14:textId="6751BEEC" w:rsidR="001E1E97" w:rsidRDefault="0095355D" w:rsidP="0095355D">
      <w:pPr>
        <w:spacing w:line="360" w:lineRule="auto"/>
        <w:jc w:val="both"/>
        <w:rPr>
          <w:rFonts w:ascii="Arial" w:hAnsi="Arial" w:cs="Arial"/>
          <w:sz w:val="24"/>
          <w:szCs w:val="24"/>
        </w:rPr>
      </w:pPr>
      <w:r w:rsidRPr="0095355D">
        <w:rPr>
          <w:rFonts w:ascii="Arial" w:hAnsi="Arial" w:cs="Arial"/>
          <w:sz w:val="24"/>
          <w:szCs w:val="24"/>
        </w:rPr>
        <w:t>Finally, I extend my appreciation to my family for their encouragement and continued support during my studies.</w:t>
      </w:r>
    </w:p>
    <w:p w14:paraId="6DBAF08E" w14:textId="77777777" w:rsidR="008B2CA2" w:rsidRDefault="008B2CA2" w:rsidP="0095355D">
      <w:pPr>
        <w:spacing w:line="360" w:lineRule="auto"/>
        <w:jc w:val="both"/>
        <w:rPr>
          <w:rFonts w:ascii="Arial" w:hAnsi="Arial" w:cs="Arial"/>
          <w:sz w:val="24"/>
          <w:szCs w:val="24"/>
        </w:rPr>
      </w:pPr>
    </w:p>
    <w:p w14:paraId="2ECDAFC8" w14:textId="77777777" w:rsidR="00BF1F64" w:rsidRDefault="00BF1F64" w:rsidP="0095355D">
      <w:pPr>
        <w:spacing w:line="360" w:lineRule="auto"/>
        <w:jc w:val="both"/>
        <w:rPr>
          <w:rFonts w:ascii="Arial" w:hAnsi="Arial" w:cs="Arial"/>
          <w:sz w:val="24"/>
          <w:szCs w:val="24"/>
        </w:rPr>
      </w:pPr>
    </w:p>
    <w:p w14:paraId="7C698EE3" w14:textId="77777777" w:rsidR="00BF1F64" w:rsidRDefault="00BF1F64" w:rsidP="0095355D">
      <w:pPr>
        <w:spacing w:line="360" w:lineRule="auto"/>
        <w:jc w:val="both"/>
        <w:rPr>
          <w:rFonts w:ascii="Arial" w:hAnsi="Arial" w:cs="Arial"/>
          <w:sz w:val="24"/>
          <w:szCs w:val="24"/>
        </w:rPr>
      </w:pPr>
    </w:p>
    <w:p w14:paraId="12353657" w14:textId="77777777" w:rsidR="00BF1F64" w:rsidRDefault="00BF1F64" w:rsidP="0095355D">
      <w:pPr>
        <w:spacing w:line="360" w:lineRule="auto"/>
        <w:jc w:val="both"/>
        <w:rPr>
          <w:rFonts w:ascii="Arial" w:hAnsi="Arial" w:cs="Arial"/>
          <w:sz w:val="24"/>
          <w:szCs w:val="24"/>
        </w:rPr>
      </w:pPr>
    </w:p>
    <w:p w14:paraId="59C92D71" w14:textId="77777777" w:rsidR="00BF1F64" w:rsidRDefault="00BF1F64" w:rsidP="0095355D">
      <w:pPr>
        <w:spacing w:line="360" w:lineRule="auto"/>
        <w:jc w:val="both"/>
        <w:rPr>
          <w:rFonts w:ascii="Arial" w:hAnsi="Arial" w:cs="Arial"/>
          <w:sz w:val="24"/>
          <w:szCs w:val="24"/>
        </w:rPr>
      </w:pPr>
    </w:p>
    <w:p w14:paraId="06C5B722" w14:textId="77777777" w:rsidR="00BF1F64" w:rsidRDefault="00BF1F64" w:rsidP="0095355D">
      <w:pPr>
        <w:spacing w:line="360" w:lineRule="auto"/>
        <w:jc w:val="both"/>
        <w:rPr>
          <w:rFonts w:ascii="Arial" w:hAnsi="Arial" w:cs="Arial"/>
          <w:sz w:val="24"/>
          <w:szCs w:val="24"/>
        </w:rPr>
      </w:pPr>
    </w:p>
    <w:p w14:paraId="461E4EFE" w14:textId="77777777" w:rsidR="00BF1F64" w:rsidRDefault="00BF1F64" w:rsidP="0095355D">
      <w:pPr>
        <w:spacing w:line="360" w:lineRule="auto"/>
        <w:jc w:val="both"/>
        <w:rPr>
          <w:rFonts w:ascii="Arial" w:hAnsi="Arial" w:cs="Arial"/>
          <w:sz w:val="24"/>
          <w:szCs w:val="24"/>
        </w:rPr>
      </w:pPr>
    </w:p>
    <w:p w14:paraId="4D52A717" w14:textId="77777777" w:rsidR="00BF1F64" w:rsidRDefault="00BF1F64" w:rsidP="0095355D">
      <w:pPr>
        <w:spacing w:line="360" w:lineRule="auto"/>
        <w:jc w:val="both"/>
        <w:rPr>
          <w:rFonts w:ascii="Arial" w:hAnsi="Arial" w:cs="Arial"/>
          <w:sz w:val="24"/>
          <w:szCs w:val="24"/>
        </w:rPr>
      </w:pPr>
    </w:p>
    <w:p w14:paraId="1863D8B0" w14:textId="77777777" w:rsidR="00BF1F64" w:rsidRDefault="00BF1F64" w:rsidP="0095355D">
      <w:pPr>
        <w:spacing w:line="360" w:lineRule="auto"/>
        <w:jc w:val="both"/>
        <w:rPr>
          <w:rFonts w:ascii="Arial" w:hAnsi="Arial" w:cs="Arial"/>
          <w:sz w:val="24"/>
          <w:szCs w:val="24"/>
        </w:rPr>
      </w:pPr>
    </w:p>
    <w:p w14:paraId="3F379C55" w14:textId="77777777" w:rsidR="00BF1F64" w:rsidRDefault="00BF1F64" w:rsidP="0095355D">
      <w:pPr>
        <w:spacing w:line="360" w:lineRule="auto"/>
        <w:jc w:val="both"/>
        <w:rPr>
          <w:rFonts w:ascii="Arial" w:hAnsi="Arial" w:cs="Arial"/>
          <w:sz w:val="24"/>
          <w:szCs w:val="24"/>
        </w:rPr>
      </w:pPr>
    </w:p>
    <w:p w14:paraId="6C057D42" w14:textId="77777777" w:rsidR="00BF1F64" w:rsidRDefault="00BF1F64" w:rsidP="0095355D">
      <w:pPr>
        <w:spacing w:line="360" w:lineRule="auto"/>
        <w:jc w:val="both"/>
        <w:rPr>
          <w:rFonts w:ascii="Arial" w:hAnsi="Arial" w:cs="Arial"/>
          <w:sz w:val="24"/>
          <w:szCs w:val="24"/>
        </w:rPr>
      </w:pPr>
    </w:p>
    <w:p w14:paraId="009C4A75" w14:textId="77777777" w:rsidR="00BF1F64" w:rsidRDefault="00BF1F64" w:rsidP="0095355D">
      <w:pPr>
        <w:spacing w:line="360" w:lineRule="auto"/>
        <w:jc w:val="both"/>
        <w:rPr>
          <w:rFonts w:ascii="Arial" w:hAnsi="Arial" w:cs="Arial"/>
          <w:sz w:val="24"/>
          <w:szCs w:val="24"/>
        </w:rPr>
      </w:pPr>
    </w:p>
    <w:p w14:paraId="61C4D07E" w14:textId="192DE73E" w:rsidR="0095355D" w:rsidRDefault="00A21E63" w:rsidP="00AF3EBA">
      <w:pPr>
        <w:pStyle w:val="Heading1"/>
      </w:pPr>
      <w:bookmarkStart w:id="0" w:name="_Toc222675133"/>
      <w:r>
        <w:lastRenderedPageBreak/>
        <w:t>Abstract</w:t>
      </w:r>
      <w:bookmarkEnd w:id="0"/>
    </w:p>
    <w:p w14:paraId="745B5CCC" w14:textId="78753E2B" w:rsidR="00467035" w:rsidRPr="00467035" w:rsidRDefault="00467035" w:rsidP="00467035">
      <w:pPr>
        <w:spacing w:line="360" w:lineRule="auto"/>
        <w:jc w:val="both"/>
        <w:rPr>
          <w:rFonts w:ascii="Arial" w:hAnsi="Arial" w:cs="Arial"/>
          <w:sz w:val="24"/>
          <w:szCs w:val="24"/>
        </w:rPr>
      </w:pPr>
      <w:r w:rsidRPr="00467035">
        <w:rPr>
          <w:rFonts w:ascii="Arial" w:hAnsi="Arial" w:cs="Arial"/>
          <w:sz w:val="24"/>
          <w:szCs w:val="24"/>
        </w:rPr>
        <w:t xml:space="preserve">This Placement Research Project critically examines staff shortages and employee retention within front office roles at </w:t>
      </w:r>
      <w:proofErr w:type="spellStart"/>
      <w:r w:rsidRPr="00467035">
        <w:rPr>
          <w:rFonts w:ascii="Arial" w:hAnsi="Arial" w:cs="Arial"/>
          <w:sz w:val="24"/>
          <w:szCs w:val="24"/>
        </w:rPr>
        <w:t>Coldra</w:t>
      </w:r>
      <w:proofErr w:type="spellEnd"/>
      <w:r w:rsidRPr="00467035">
        <w:rPr>
          <w:rFonts w:ascii="Arial" w:hAnsi="Arial" w:cs="Arial"/>
          <w:sz w:val="24"/>
          <w:szCs w:val="24"/>
        </w:rPr>
        <w:t xml:space="preserve"> Court Hotel, Newport, with specific emphasis on the interaction between remuneration and working conditions. The study responds to ongoing labour instability within the UK hospitality sector, where front office departments remain particularly vulnerable due to their operational centrality and continuous guest-facing responsibilities. Drawing on a qualitative secondary case study design, the research synthesises peer-reviewed academic literature and contemporary industry reports to evaluate how pay structures, workload intensity, supervisory support, and organisational practices influence turnover intention and retention outcomes in hotel environments.</w:t>
      </w:r>
    </w:p>
    <w:p w14:paraId="64D58E15" w14:textId="176FCF71" w:rsidR="00467035" w:rsidRPr="00467035" w:rsidRDefault="00467035" w:rsidP="00467035">
      <w:pPr>
        <w:spacing w:line="360" w:lineRule="auto"/>
        <w:jc w:val="both"/>
        <w:rPr>
          <w:rFonts w:ascii="Arial" w:hAnsi="Arial" w:cs="Arial"/>
          <w:sz w:val="24"/>
          <w:szCs w:val="24"/>
        </w:rPr>
      </w:pPr>
      <w:r w:rsidRPr="00467035">
        <w:rPr>
          <w:rFonts w:ascii="Arial" w:hAnsi="Arial" w:cs="Arial"/>
          <w:sz w:val="24"/>
          <w:szCs w:val="24"/>
        </w:rPr>
        <w:t>The study is grounded in established theoretical frameworks, including the Job Demands–Resources (JD-R) model, emotional labour theory, organisational justice theory, and job embeddedness perspectives. Through thematic synthesis of relevant hospitality and organisational behaviour research, the findings indicate that remuneration operates primarily as a foundational hygiene factor: inadequate or perceived unfair pay increases dissatisfaction, but financial incentives alone are insufficient to secure long-term retention. Instead, retention outcomes are shaped by the cumulative interaction of compensation fairness, role stress, workload distribution, supervisory support, and perceived career opportunity.</w:t>
      </w:r>
    </w:p>
    <w:p w14:paraId="1AA94778" w14:textId="334FB4FE" w:rsidR="00467035" w:rsidRPr="00467035" w:rsidRDefault="00467035" w:rsidP="00467035">
      <w:pPr>
        <w:spacing w:line="360" w:lineRule="auto"/>
        <w:jc w:val="both"/>
        <w:rPr>
          <w:rFonts w:ascii="Arial" w:hAnsi="Arial" w:cs="Arial"/>
          <w:sz w:val="24"/>
          <w:szCs w:val="24"/>
        </w:rPr>
      </w:pPr>
      <w:r w:rsidRPr="00467035">
        <w:rPr>
          <w:rFonts w:ascii="Arial" w:hAnsi="Arial" w:cs="Arial"/>
          <w:sz w:val="24"/>
          <w:szCs w:val="24"/>
        </w:rPr>
        <w:t>Evidence consistently demonstrates a stress–burnout–turnover pathway in frontline hotel roles. High workload intensity, emotional regulation demands, and role ambiguity increase exhaustion, which in turn strengthens intention to leave. However, job resources — including supportive leadership, rota fairness, autonomy, and opportunities for progression — moderate this relationship. The findings further highlight that retention determinants operate as a “bundle”: incremental improvements in one area are unlikely to yield substantial gains unless accompanied by broader organisational adjustments. Additionally, sector-wide recruitment constraints may intensify internal workload pressures, creating cyclical instability in front office departments.</w:t>
      </w:r>
    </w:p>
    <w:p w14:paraId="68E9A383" w14:textId="50A52439" w:rsidR="00467035" w:rsidRPr="00467035" w:rsidRDefault="00467035" w:rsidP="00467035">
      <w:pPr>
        <w:spacing w:line="360" w:lineRule="auto"/>
        <w:jc w:val="both"/>
        <w:rPr>
          <w:rFonts w:ascii="Arial" w:hAnsi="Arial" w:cs="Arial"/>
          <w:sz w:val="24"/>
          <w:szCs w:val="24"/>
        </w:rPr>
      </w:pPr>
      <w:r w:rsidRPr="00467035">
        <w:rPr>
          <w:rFonts w:ascii="Arial" w:hAnsi="Arial" w:cs="Arial"/>
          <w:sz w:val="24"/>
          <w:szCs w:val="24"/>
        </w:rPr>
        <w:t xml:space="preserve">From an operational perspective, turnover generates both direct replacement costs and indirect service quality risks, particularly within reception functions where </w:t>
      </w:r>
      <w:r w:rsidRPr="00467035">
        <w:rPr>
          <w:rFonts w:ascii="Arial" w:hAnsi="Arial" w:cs="Arial"/>
          <w:sz w:val="24"/>
          <w:szCs w:val="24"/>
        </w:rPr>
        <w:lastRenderedPageBreak/>
        <w:t>consistency, complaint resolution, and guest satisfaction are closely linked to staff experience and stability. The analysis therefore positions front office retention not solely as a human resource issue but as a strategic service-performance concern.</w:t>
      </w:r>
    </w:p>
    <w:p w14:paraId="47073D2D" w14:textId="5879856E" w:rsidR="00467035" w:rsidRPr="00467035" w:rsidRDefault="00467035" w:rsidP="00467035">
      <w:pPr>
        <w:spacing w:line="360" w:lineRule="auto"/>
        <w:jc w:val="both"/>
        <w:rPr>
          <w:rFonts w:ascii="Arial" w:hAnsi="Arial" w:cs="Arial"/>
          <w:sz w:val="24"/>
          <w:szCs w:val="24"/>
        </w:rPr>
      </w:pPr>
      <w:r w:rsidRPr="00467035">
        <w:rPr>
          <w:rFonts w:ascii="Arial" w:hAnsi="Arial" w:cs="Arial"/>
          <w:sz w:val="24"/>
          <w:szCs w:val="24"/>
        </w:rPr>
        <w:t xml:space="preserve">Based on the evidence, the project recommends that </w:t>
      </w:r>
      <w:proofErr w:type="spellStart"/>
      <w:r w:rsidRPr="00467035">
        <w:rPr>
          <w:rFonts w:ascii="Arial" w:hAnsi="Arial" w:cs="Arial"/>
          <w:sz w:val="24"/>
          <w:szCs w:val="24"/>
        </w:rPr>
        <w:t>Coldra</w:t>
      </w:r>
      <w:proofErr w:type="spellEnd"/>
      <w:r w:rsidRPr="00467035">
        <w:rPr>
          <w:rFonts w:ascii="Arial" w:hAnsi="Arial" w:cs="Arial"/>
          <w:sz w:val="24"/>
          <w:szCs w:val="24"/>
        </w:rPr>
        <w:t xml:space="preserve"> Court Hotel formalise retention as a measurable performance indicator, implement structured workload monitoring mechanisms, strengthen line-management capability, and enhance transparency in remuneration practices. Practical strategies include rota stabilisation, clearer internal progression pathways, visible recognition systems, and improved communication of reward fairness. Emphasis is placed on multi-component interventions rather than isolated pay adjustments.</w:t>
      </w:r>
    </w:p>
    <w:p w14:paraId="40564694" w14:textId="74034BD3" w:rsidR="005A5C8D" w:rsidRDefault="00467035" w:rsidP="0095355D">
      <w:pPr>
        <w:spacing w:line="360" w:lineRule="auto"/>
        <w:jc w:val="both"/>
        <w:rPr>
          <w:rFonts w:ascii="Arial" w:hAnsi="Arial" w:cs="Arial"/>
          <w:sz w:val="24"/>
          <w:szCs w:val="24"/>
        </w:rPr>
      </w:pPr>
      <w:r w:rsidRPr="00467035">
        <w:rPr>
          <w:rFonts w:ascii="Arial" w:hAnsi="Arial" w:cs="Arial"/>
          <w:sz w:val="24"/>
          <w:szCs w:val="24"/>
        </w:rPr>
        <w:t>Overall, the research contributes to hospitality management scholarship by applying established retention theory to a specific departmental context within a UK hotel setting. It demonstrates that sustainable front office retention depends on balanced job demands, equitable reward systems, and supportive organisational environments, all of which are critical to operational resilience and service excellence.</w:t>
      </w:r>
    </w:p>
    <w:p w14:paraId="35F30F56" w14:textId="77777777" w:rsidR="00BF1F64" w:rsidRDefault="00BF1F64" w:rsidP="0095355D">
      <w:pPr>
        <w:spacing w:line="360" w:lineRule="auto"/>
        <w:jc w:val="both"/>
        <w:rPr>
          <w:rFonts w:ascii="Arial" w:hAnsi="Arial" w:cs="Arial"/>
          <w:sz w:val="24"/>
          <w:szCs w:val="24"/>
        </w:rPr>
      </w:pPr>
    </w:p>
    <w:p w14:paraId="76D82220" w14:textId="77777777" w:rsidR="00BF1F64" w:rsidRDefault="00BF1F64" w:rsidP="0095355D">
      <w:pPr>
        <w:spacing w:line="360" w:lineRule="auto"/>
        <w:jc w:val="both"/>
        <w:rPr>
          <w:rFonts w:ascii="Arial" w:hAnsi="Arial" w:cs="Arial"/>
          <w:sz w:val="24"/>
          <w:szCs w:val="24"/>
        </w:rPr>
      </w:pPr>
    </w:p>
    <w:p w14:paraId="4F6797AB" w14:textId="77777777" w:rsidR="00BF1F64" w:rsidRDefault="00BF1F64" w:rsidP="0095355D">
      <w:pPr>
        <w:spacing w:line="360" w:lineRule="auto"/>
        <w:jc w:val="both"/>
        <w:rPr>
          <w:rFonts w:ascii="Arial" w:hAnsi="Arial" w:cs="Arial"/>
          <w:sz w:val="24"/>
          <w:szCs w:val="24"/>
        </w:rPr>
      </w:pPr>
    </w:p>
    <w:p w14:paraId="29095D84" w14:textId="77777777" w:rsidR="00BF1F64" w:rsidRDefault="00BF1F64" w:rsidP="0095355D">
      <w:pPr>
        <w:spacing w:line="360" w:lineRule="auto"/>
        <w:jc w:val="both"/>
        <w:rPr>
          <w:rFonts w:ascii="Arial" w:hAnsi="Arial" w:cs="Arial"/>
          <w:sz w:val="24"/>
          <w:szCs w:val="24"/>
        </w:rPr>
      </w:pPr>
    </w:p>
    <w:p w14:paraId="5125B3FB" w14:textId="77777777" w:rsidR="00BF1F64" w:rsidRDefault="00BF1F64" w:rsidP="0095355D">
      <w:pPr>
        <w:spacing w:line="360" w:lineRule="auto"/>
        <w:jc w:val="both"/>
        <w:rPr>
          <w:rFonts w:ascii="Arial" w:hAnsi="Arial" w:cs="Arial"/>
          <w:sz w:val="24"/>
          <w:szCs w:val="24"/>
        </w:rPr>
      </w:pPr>
    </w:p>
    <w:p w14:paraId="13321954" w14:textId="77777777" w:rsidR="00BF1F64" w:rsidRDefault="00BF1F64" w:rsidP="0095355D">
      <w:pPr>
        <w:spacing w:line="360" w:lineRule="auto"/>
        <w:jc w:val="both"/>
        <w:rPr>
          <w:rFonts w:ascii="Arial" w:hAnsi="Arial" w:cs="Arial"/>
          <w:sz w:val="24"/>
          <w:szCs w:val="24"/>
        </w:rPr>
      </w:pPr>
    </w:p>
    <w:p w14:paraId="6B5358D0" w14:textId="77777777" w:rsidR="00BF1F64" w:rsidRDefault="00BF1F64" w:rsidP="0095355D">
      <w:pPr>
        <w:spacing w:line="360" w:lineRule="auto"/>
        <w:jc w:val="both"/>
        <w:rPr>
          <w:rFonts w:ascii="Arial" w:hAnsi="Arial" w:cs="Arial"/>
          <w:sz w:val="24"/>
          <w:szCs w:val="24"/>
        </w:rPr>
      </w:pPr>
    </w:p>
    <w:p w14:paraId="79AA2E6E" w14:textId="77777777" w:rsidR="00BF1F64" w:rsidRDefault="00BF1F64" w:rsidP="0095355D">
      <w:pPr>
        <w:spacing w:line="360" w:lineRule="auto"/>
        <w:jc w:val="both"/>
        <w:rPr>
          <w:rFonts w:ascii="Arial" w:hAnsi="Arial" w:cs="Arial"/>
          <w:sz w:val="24"/>
          <w:szCs w:val="24"/>
        </w:rPr>
      </w:pPr>
    </w:p>
    <w:p w14:paraId="5340B5EF" w14:textId="77777777" w:rsidR="00BF1F64" w:rsidRDefault="00BF1F64" w:rsidP="0095355D">
      <w:pPr>
        <w:spacing w:line="360" w:lineRule="auto"/>
        <w:jc w:val="both"/>
        <w:rPr>
          <w:rFonts w:ascii="Arial" w:hAnsi="Arial" w:cs="Arial"/>
          <w:sz w:val="24"/>
          <w:szCs w:val="24"/>
        </w:rPr>
      </w:pPr>
    </w:p>
    <w:p w14:paraId="6370CB13" w14:textId="77777777" w:rsidR="00BF1F64" w:rsidRDefault="00BF1F64" w:rsidP="0095355D">
      <w:pPr>
        <w:spacing w:line="360" w:lineRule="auto"/>
        <w:jc w:val="both"/>
        <w:rPr>
          <w:rFonts w:ascii="Arial" w:hAnsi="Arial" w:cs="Arial"/>
          <w:sz w:val="24"/>
          <w:szCs w:val="24"/>
        </w:rPr>
      </w:pPr>
    </w:p>
    <w:p w14:paraId="15BF74C8" w14:textId="77777777" w:rsidR="00BF1F64" w:rsidRDefault="00BF1F64" w:rsidP="0095355D">
      <w:pPr>
        <w:spacing w:line="360" w:lineRule="auto"/>
        <w:jc w:val="both"/>
        <w:rPr>
          <w:rFonts w:ascii="Arial" w:hAnsi="Arial" w:cs="Arial"/>
          <w:sz w:val="24"/>
          <w:szCs w:val="24"/>
        </w:rPr>
      </w:pPr>
    </w:p>
    <w:p w14:paraId="16FF87C1" w14:textId="77777777" w:rsidR="005A5C8D" w:rsidRDefault="005A5C8D" w:rsidP="0095355D">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645479346"/>
        <w:docPartObj>
          <w:docPartGallery w:val="Table of Contents"/>
          <w:docPartUnique/>
        </w:docPartObj>
      </w:sdtPr>
      <w:sdtEndPr>
        <w:rPr>
          <w:b/>
          <w:bCs/>
          <w:noProof/>
        </w:rPr>
      </w:sdtEndPr>
      <w:sdtContent>
        <w:p w14:paraId="31029F4B" w14:textId="10B88E6E" w:rsidR="00A21E63" w:rsidRDefault="00A21E63">
          <w:pPr>
            <w:pStyle w:val="TOCHeading"/>
          </w:pPr>
          <w:r>
            <w:t>Contents</w:t>
          </w:r>
        </w:p>
        <w:p w14:paraId="4B425368" w14:textId="6AF0F2C0" w:rsidR="0019157D" w:rsidRDefault="00A21E6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2675133" w:history="1">
            <w:r w:rsidR="0019157D" w:rsidRPr="002D53CC">
              <w:rPr>
                <w:rStyle w:val="Hyperlink"/>
                <w:noProof/>
              </w:rPr>
              <w:t>Abstract</w:t>
            </w:r>
            <w:r w:rsidR="0019157D">
              <w:rPr>
                <w:noProof/>
                <w:webHidden/>
              </w:rPr>
              <w:tab/>
            </w:r>
            <w:r w:rsidR="0019157D">
              <w:rPr>
                <w:noProof/>
                <w:webHidden/>
              </w:rPr>
              <w:fldChar w:fldCharType="begin"/>
            </w:r>
            <w:r w:rsidR="0019157D">
              <w:rPr>
                <w:noProof/>
                <w:webHidden/>
              </w:rPr>
              <w:instrText xml:space="preserve"> PAGEREF _Toc222675133 \h </w:instrText>
            </w:r>
            <w:r w:rsidR="0019157D">
              <w:rPr>
                <w:noProof/>
                <w:webHidden/>
              </w:rPr>
            </w:r>
            <w:r w:rsidR="0019157D">
              <w:rPr>
                <w:noProof/>
                <w:webHidden/>
              </w:rPr>
              <w:fldChar w:fldCharType="separate"/>
            </w:r>
            <w:r w:rsidR="0019157D">
              <w:rPr>
                <w:noProof/>
                <w:webHidden/>
              </w:rPr>
              <w:t>2</w:t>
            </w:r>
            <w:r w:rsidR="0019157D">
              <w:rPr>
                <w:noProof/>
                <w:webHidden/>
              </w:rPr>
              <w:fldChar w:fldCharType="end"/>
            </w:r>
          </w:hyperlink>
        </w:p>
        <w:p w14:paraId="4A8690DA" w14:textId="105224FC" w:rsidR="0019157D" w:rsidRDefault="0019157D">
          <w:pPr>
            <w:pStyle w:val="TOC1"/>
            <w:tabs>
              <w:tab w:val="right" w:leader="dot" w:pos="9016"/>
            </w:tabs>
            <w:rPr>
              <w:rFonts w:eastAsiaTheme="minorEastAsia"/>
              <w:noProof/>
              <w:sz w:val="24"/>
              <w:szCs w:val="24"/>
              <w:lang w:eastAsia="en-GB"/>
            </w:rPr>
          </w:pPr>
          <w:hyperlink w:anchor="_Toc222675134" w:history="1">
            <w:r w:rsidRPr="002D53CC">
              <w:rPr>
                <w:rStyle w:val="Hyperlink"/>
                <w:noProof/>
              </w:rPr>
              <w:t>Chapter 1: Introduction</w:t>
            </w:r>
            <w:r>
              <w:rPr>
                <w:noProof/>
                <w:webHidden/>
              </w:rPr>
              <w:tab/>
            </w:r>
            <w:r>
              <w:rPr>
                <w:noProof/>
                <w:webHidden/>
              </w:rPr>
              <w:fldChar w:fldCharType="begin"/>
            </w:r>
            <w:r>
              <w:rPr>
                <w:noProof/>
                <w:webHidden/>
              </w:rPr>
              <w:instrText xml:space="preserve"> PAGEREF _Toc222675134 \h </w:instrText>
            </w:r>
            <w:r>
              <w:rPr>
                <w:noProof/>
                <w:webHidden/>
              </w:rPr>
            </w:r>
            <w:r>
              <w:rPr>
                <w:noProof/>
                <w:webHidden/>
              </w:rPr>
              <w:fldChar w:fldCharType="separate"/>
            </w:r>
            <w:r>
              <w:rPr>
                <w:noProof/>
                <w:webHidden/>
              </w:rPr>
              <w:t>6</w:t>
            </w:r>
            <w:r>
              <w:rPr>
                <w:noProof/>
                <w:webHidden/>
              </w:rPr>
              <w:fldChar w:fldCharType="end"/>
            </w:r>
          </w:hyperlink>
        </w:p>
        <w:p w14:paraId="276FCD65" w14:textId="49676AA3" w:rsidR="0019157D" w:rsidRDefault="0019157D">
          <w:pPr>
            <w:pStyle w:val="TOC2"/>
            <w:tabs>
              <w:tab w:val="right" w:leader="dot" w:pos="9016"/>
            </w:tabs>
            <w:rPr>
              <w:rFonts w:eastAsiaTheme="minorEastAsia"/>
              <w:noProof/>
              <w:sz w:val="24"/>
              <w:szCs w:val="24"/>
              <w:lang w:eastAsia="en-GB"/>
            </w:rPr>
          </w:pPr>
          <w:hyperlink w:anchor="_Toc222675135" w:history="1">
            <w:r w:rsidRPr="002D53CC">
              <w:rPr>
                <w:rStyle w:val="Hyperlink"/>
                <w:noProof/>
              </w:rPr>
              <w:t>1.1 Industry Context and Background</w:t>
            </w:r>
            <w:r>
              <w:rPr>
                <w:noProof/>
                <w:webHidden/>
              </w:rPr>
              <w:tab/>
            </w:r>
            <w:r>
              <w:rPr>
                <w:noProof/>
                <w:webHidden/>
              </w:rPr>
              <w:fldChar w:fldCharType="begin"/>
            </w:r>
            <w:r>
              <w:rPr>
                <w:noProof/>
                <w:webHidden/>
              </w:rPr>
              <w:instrText xml:space="preserve"> PAGEREF _Toc222675135 \h </w:instrText>
            </w:r>
            <w:r>
              <w:rPr>
                <w:noProof/>
                <w:webHidden/>
              </w:rPr>
            </w:r>
            <w:r>
              <w:rPr>
                <w:noProof/>
                <w:webHidden/>
              </w:rPr>
              <w:fldChar w:fldCharType="separate"/>
            </w:r>
            <w:r>
              <w:rPr>
                <w:noProof/>
                <w:webHidden/>
              </w:rPr>
              <w:t>6</w:t>
            </w:r>
            <w:r>
              <w:rPr>
                <w:noProof/>
                <w:webHidden/>
              </w:rPr>
              <w:fldChar w:fldCharType="end"/>
            </w:r>
          </w:hyperlink>
        </w:p>
        <w:p w14:paraId="07275923" w14:textId="1407B3B2" w:rsidR="0019157D" w:rsidRDefault="0019157D">
          <w:pPr>
            <w:pStyle w:val="TOC2"/>
            <w:tabs>
              <w:tab w:val="right" w:leader="dot" w:pos="9016"/>
            </w:tabs>
            <w:rPr>
              <w:rFonts w:eastAsiaTheme="minorEastAsia"/>
              <w:noProof/>
              <w:sz w:val="24"/>
              <w:szCs w:val="24"/>
              <w:lang w:eastAsia="en-GB"/>
            </w:rPr>
          </w:pPr>
          <w:hyperlink w:anchor="_Toc222675136" w:history="1">
            <w:r w:rsidRPr="002D53CC">
              <w:rPr>
                <w:rStyle w:val="Hyperlink"/>
                <w:noProof/>
              </w:rPr>
              <w:t>1.2 Organisational Context: Coldra Court Hotel</w:t>
            </w:r>
            <w:r>
              <w:rPr>
                <w:noProof/>
                <w:webHidden/>
              </w:rPr>
              <w:tab/>
            </w:r>
            <w:r>
              <w:rPr>
                <w:noProof/>
                <w:webHidden/>
              </w:rPr>
              <w:fldChar w:fldCharType="begin"/>
            </w:r>
            <w:r>
              <w:rPr>
                <w:noProof/>
                <w:webHidden/>
              </w:rPr>
              <w:instrText xml:space="preserve"> PAGEREF _Toc222675136 \h </w:instrText>
            </w:r>
            <w:r>
              <w:rPr>
                <w:noProof/>
                <w:webHidden/>
              </w:rPr>
            </w:r>
            <w:r>
              <w:rPr>
                <w:noProof/>
                <w:webHidden/>
              </w:rPr>
              <w:fldChar w:fldCharType="separate"/>
            </w:r>
            <w:r>
              <w:rPr>
                <w:noProof/>
                <w:webHidden/>
              </w:rPr>
              <w:t>7</w:t>
            </w:r>
            <w:r>
              <w:rPr>
                <w:noProof/>
                <w:webHidden/>
              </w:rPr>
              <w:fldChar w:fldCharType="end"/>
            </w:r>
          </w:hyperlink>
        </w:p>
        <w:p w14:paraId="0B934519" w14:textId="4AB814E0" w:rsidR="0019157D" w:rsidRDefault="0019157D">
          <w:pPr>
            <w:pStyle w:val="TOC2"/>
            <w:tabs>
              <w:tab w:val="right" w:leader="dot" w:pos="9016"/>
            </w:tabs>
            <w:rPr>
              <w:rFonts w:eastAsiaTheme="minorEastAsia"/>
              <w:noProof/>
              <w:sz w:val="24"/>
              <w:szCs w:val="24"/>
              <w:lang w:eastAsia="en-GB"/>
            </w:rPr>
          </w:pPr>
          <w:hyperlink w:anchor="_Toc222675137" w:history="1">
            <w:r w:rsidRPr="002D53CC">
              <w:rPr>
                <w:rStyle w:val="Hyperlink"/>
                <w:noProof/>
              </w:rPr>
              <w:t>1.3 Research Problem</w:t>
            </w:r>
            <w:r>
              <w:rPr>
                <w:noProof/>
                <w:webHidden/>
              </w:rPr>
              <w:tab/>
            </w:r>
            <w:r>
              <w:rPr>
                <w:noProof/>
                <w:webHidden/>
              </w:rPr>
              <w:fldChar w:fldCharType="begin"/>
            </w:r>
            <w:r>
              <w:rPr>
                <w:noProof/>
                <w:webHidden/>
              </w:rPr>
              <w:instrText xml:space="preserve"> PAGEREF _Toc222675137 \h </w:instrText>
            </w:r>
            <w:r>
              <w:rPr>
                <w:noProof/>
                <w:webHidden/>
              </w:rPr>
            </w:r>
            <w:r>
              <w:rPr>
                <w:noProof/>
                <w:webHidden/>
              </w:rPr>
              <w:fldChar w:fldCharType="separate"/>
            </w:r>
            <w:r>
              <w:rPr>
                <w:noProof/>
                <w:webHidden/>
              </w:rPr>
              <w:t>7</w:t>
            </w:r>
            <w:r>
              <w:rPr>
                <w:noProof/>
                <w:webHidden/>
              </w:rPr>
              <w:fldChar w:fldCharType="end"/>
            </w:r>
          </w:hyperlink>
        </w:p>
        <w:p w14:paraId="2BCE7818" w14:textId="5A7915A9" w:rsidR="0019157D" w:rsidRDefault="0019157D">
          <w:pPr>
            <w:pStyle w:val="TOC2"/>
            <w:tabs>
              <w:tab w:val="right" w:leader="dot" w:pos="9016"/>
            </w:tabs>
            <w:rPr>
              <w:rFonts w:eastAsiaTheme="minorEastAsia"/>
              <w:noProof/>
              <w:sz w:val="24"/>
              <w:szCs w:val="24"/>
              <w:lang w:eastAsia="en-GB"/>
            </w:rPr>
          </w:pPr>
          <w:hyperlink w:anchor="_Toc222675138" w:history="1">
            <w:r w:rsidRPr="002D53CC">
              <w:rPr>
                <w:rStyle w:val="Hyperlink"/>
                <w:noProof/>
              </w:rPr>
              <w:t>1.4 Research Aim and Objectives</w:t>
            </w:r>
            <w:r>
              <w:rPr>
                <w:noProof/>
                <w:webHidden/>
              </w:rPr>
              <w:tab/>
            </w:r>
            <w:r>
              <w:rPr>
                <w:noProof/>
                <w:webHidden/>
              </w:rPr>
              <w:fldChar w:fldCharType="begin"/>
            </w:r>
            <w:r>
              <w:rPr>
                <w:noProof/>
                <w:webHidden/>
              </w:rPr>
              <w:instrText xml:space="preserve"> PAGEREF _Toc222675138 \h </w:instrText>
            </w:r>
            <w:r>
              <w:rPr>
                <w:noProof/>
                <w:webHidden/>
              </w:rPr>
            </w:r>
            <w:r>
              <w:rPr>
                <w:noProof/>
                <w:webHidden/>
              </w:rPr>
              <w:fldChar w:fldCharType="separate"/>
            </w:r>
            <w:r>
              <w:rPr>
                <w:noProof/>
                <w:webHidden/>
              </w:rPr>
              <w:t>8</w:t>
            </w:r>
            <w:r>
              <w:rPr>
                <w:noProof/>
                <w:webHidden/>
              </w:rPr>
              <w:fldChar w:fldCharType="end"/>
            </w:r>
          </w:hyperlink>
        </w:p>
        <w:p w14:paraId="2AE20A69" w14:textId="3FAF91DE" w:rsidR="0019157D" w:rsidRDefault="0019157D">
          <w:pPr>
            <w:pStyle w:val="TOC3"/>
            <w:tabs>
              <w:tab w:val="right" w:leader="dot" w:pos="9016"/>
            </w:tabs>
            <w:rPr>
              <w:rFonts w:eastAsiaTheme="minorEastAsia"/>
              <w:noProof/>
              <w:sz w:val="24"/>
              <w:szCs w:val="24"/>
              <w:lang w:eastAsia="en-GB"/>
            </w:rPr>
          </w:pPr>
          <w:hyperlink w:anchor="_Toc222675139" w:history="1">
            <w:r w:rsidRPr="002D53CC">
              <w:rPr>
                <w:rStyle w:val="Hyperlink"/>
                <w:noProof/>
              </w:rPr>
              <w:t>Research Aim</w:t>
            </w:r>
            <w:r>
              <w:rPr>
                <w:noProof/>
                <w:webHidden/>
              </w:rPr>
              <w:tab/>
            </w:r>
            <w:r>
              <w:rPr>
                <w:noProof/>
                <w:webHidden/>
              </w:rPr>
              <w:fldChar w:fldCharType="begin"/>
            </w:r>
            <w:r>
              <w:rPr>
                <w:noProof/>
                <w:webHidden/>
              </w:rPr>
              <w:instrText xml:space="preserve"> PAGEREF _Toc222675139 \h </w:instrText>
            </w:r>
            <w:r>
              <w:rPr>
                <w:noProof/>
                <w:webHidden/>
              </w:rPr>
            </w:r>
            <w:r>
              <w:rPr>
                <w:noProof/>
                <w:webHidden/>
              </w:rPr>
              <w:fldChar w:fldCharType="separate"/>
            </w:r>
            <w:r>
              <w:rPr>
                <w:noProof/>
                <w:webHidden/>
              </w:rPr>
              <w:t>8</w:t>
            </w:r>
            <w:r>
              <w:rPr>
                <w:noProof/>
                <w:webHidden/>
              </w:rPr>
              <w:fldChar w:fldCharType="end"/>
            </w:r>
          </w:hyperlink>
        </w:p>
        <w:p w14:paraId="3CB621E1" w14:textId="21F8038C" w:rsidR="0019157D" w:rsidRDefault="0019157D">
          <w:pPr>
            <w:pStyle w:val="TOC3"/>
            <w:tabs>
              <w:tab w:val="right" w:leader="dot" w:pos="9016"/>
            </w:tabs>
            <w:rPr>
              <w:rFonts w:eastAsiaTheme="minorEastAsia"/>
              <w:noProof/>
              <w:sz w:val="24"/>
              <w:szCs w:val="24"/>
              <w:lang w:eastAsia="en-GB"/>
            </w:rPr>
          </w:pPr>
          <w:hyperlink w:anchor="_Toc222675140" w:history="1">
            <w:r w:rsidRPr="002D53CC">
              <w:rPr>
                <w:rStyle w:val="Hyperlink"/>
                <w:noProof/>
              </w:rPr>
              <w:t>Research Objectives</w:t>
            </w:r>
            <w:r>
              <w:rPr>
                <w:noProof/>
                <w:webHidden/>
              </w:rPr>
              <w:tab/>
            </w:r>
            <w:r>
              <w:rPr>
                <w:noProof/>
                <w:webHidden/>
              </w:rPr>
              <w:fldChar w:fldCharType="begin"/>
            </w:r>
            <w:r>
              <w:rPr>
                <w:noProof/>
                <w:webHidden/>
              </w:rPr>
              <w:instrText xml:space="preserve"> PAGEREF _Toc222675140 \h </w:instrText>
            </w:r>
            <w:r>
              <w:rPr>
                <w:noProof/>
                <w:webHidden/>
              </w:rPr>
            </w:r>
            <w:r>
              <w:rPr>
                <w:noProof/>
                <w:webHidden/>
              </w:rPr>
              <w:fldChar w:fldCharType="separate"/>
            </w:r>
            <w:r>
              <w:rPr>
                <w:noProof/>
                <w:webHidden/>
              </w:rPr>
              <w:t>8</w:t>
            </w:r>
            <w:r>
              <w:rPr>
                <w:noProof/>
                <w:webHidden/>
              </w:rPr>
              <w:fldChar w:fldCharType="end"/>
            </w:r>
          </w:hyperlink>
        </w:p>
        <w:p w14:paraId="323E965F" w14:textId="7E458A6C" w:rsidR="0019157D" w:rsidRDefault="0019157D">
          <w:pPr>
            <w:pStyle w:val="TOC2"/>
            <w:tabs>
              <w:tab w:val="right" w:leader="dot" w:pos="9016"/>
            </w:tabs>
            <w:rPr>
              <w:rFonts w:eastAsiaTheme="minorEastAsia"/>
              <w:noProof/>
              <w:sz w:val="24"/>
              <w:szCs w:val="24"/>
              <w:lang w:eastAsia="en-GB"/>
            </w:rPr>
          </w:pPr>
          <w:hyperlink w:anchor="_Toc222675141" w:history="1">
            <w:r w:rsidRPr="002D53CC">
              <w:rPr>
                <w:rStyle w:val="Hyperlink"/>
                <w:noProof/>
              </w:rPr>
              <w:t>1.5 Research Question</w:t>
            </w:r>
            <w:r>
              <w:rPr>
                <w:noProof/>
                <w:webHidden/>
              </w:rPr>
              <w:tab/>
            </w:r>
            <w:r>
              <w:rPr>
                <w:noProof/>
                <w:webHidden/>
              </w:rPr>
              <w:fldChar w:fldCharType="begin"/>
            </w:r>
            <w:r>
              <w:rPr>
                <w:noProof/>
                <w:webHidden/>
              </w:rPr>
              <w:instrText xml:space="preserve"> PAGEREF _Toc222675141 \h </w:instrText>
            </w:r>
            <w:r>
              <w:rPr>
                <w:noProof/>
                <w:webHidden/>
              </w:rPr>
            </w:r>
            <w:r>
              <w:rPr>
                <w:noProof/>
                <w:webHidden/>
              </w:rPr>
              <w:fldChar w:fldCharType="separate"/>
            </w:r>
            <w:r>
              <w:rPr>
                <w:noProof/>
                <w:webHidden/>
              </w:rPr>
              <w:t>8</w:t>
            </w:r>
            <w:r>
              <w:rPr>
                <w:noProof/>
                <w:webHidden/>
              </w:rPr>
              <w:fldChar w:fldCharType="end"/>
            </w:r>
          </w:hyperlink>
        </w:p>
        <w:p w14:paraId="261B87FD" w14:textId="38BA63A1" w:rsidR="0019157D" w:rsidRDefault="0019157D">
          <w:pPr>
            <w:pStyle w:val="TOC2"/>
            <w:tabs>
              <w:tab w:val="right" w:leader="dot" w:pos="9016"/>
            </w:tabs>
            <w:rPr>
              <w:rFonts w:eastAsiaTheme="minorEastAsia"/>
              <w:noProof/>
              <w:sz w:val="24"/>
              <w:szCs w:val="24"/>
              <w:lang w:eastAsia="en-GB"/>
            </w:rPr>
          </w:pPr>
          <w:hyperlink w:anchor="_Toc222675142" w:history="1">
            <w:r w:rsidRPr="002D53CC">
              <w:rPr>
                <w:rStyle w:val="Hyperlink"/>
                <w:noProof/>
              </w:rPr>
              <w:t>1.6 Structure of the Study</w:t>
            </w:r>
            <w:r>
              <w:rPr>
                <w:noProof/>
                <w:webHidden/>
              </w:rPr>
              <w:tab/>
            </w:r>
            <w:r>
              <w:rPr>
                <w:noProof/>
                <w:webHidden/>
              </w:rPr>
              <w:fldChar w:fldCharType="begin"/>
            </w:r>
            <w:r>
              <w:rPr>
                <w:noProof/>
                <w:webHidden/>
              </w:rPr>
              <w:instrText xml:space="preserve"> PAGEREF _Toc222675142 \h </w:instrText>
            </w:r>
            <w:r>
              <w:rPr>
                <w:noProof/>
                <w:webHidden/>
              </w:rPr>
            </w:r>
            <w:r>
              <w:rPr>
                <w:noProof/>
                <w:webHidden/>
              </w:rPr>
              <w:fldChar w:fldCharType="separate"/>
            </w:r>
            <w:r>
              <w:rPr>
                <w:noProof/>
                <w:webHidden/>
              </w:rPr>
              <w:t>9</w:t>
            </w:r>
            <w:r>
              <w:rPr>
                <w:noProof/>
                <w:webHidden/>
              </w:rPr>
              <w:fldChar w:fldCharType="end"/>
            </w:r>
          </w:hyperlink>
        </w:p>
        <w:p w14:paraId="093CC7B6" w14:textId="74B47079" w:rsidR="0019157D" w:rsidRDefault="0019157D">
          <w:pPr>
            <w:pStyle w:val="TOC1"/>
            <w:tabs>
              <w:tab w:val="right" w:leader="dot" w:pos="9016"/>
            </w:tabs>
            <w:rPr>
              <w:rFonts w:eastAsiaTheme="minorEastAsia"/>
              <w:noProof/>
              <w:sz w:val="24"/>
              <w:szCs w:val="24"/>
              <w:lang w:eastAsia="en-GB"/>
            </w:rPr>
          </w:pPr>
          <w:hyperlink w:anchor="_Toc222675143" w:history="1">
            <w:r w:rsidRPr="002D53CC">
              <w:rPr>
                <w:rStyle w:val="Hyperlink"/>
                <w:noProof/>
              </w:rPr>
              <w:t>Chapter 2: Literature Review</w:t>
            </w:r>
            <w:r>
              <w:rPr>
                <w:noProof/>
                <w:webHidden/>
              </w:rPr>
              <w:tab/>
            </w:r>
            <w:r>
              <w:rPr>
                <w:noProof/>
                <w:webHidden/>
              </w:rPr>
              <w:fldChar w:fldCharType="begin"/>
            </w:r>
            <w:r>
              <w:rPr>
                <w:noProof/>
                <w:webHidden/>
              </w:rPr>
              <w:instrText xml:space="preserve"> PAGEREF _Toc222675143 \h </w:instrText>
            </w:r>
            <w:r>
              <w:rPr>
                <w:noProof/>
                <w:webHidden/>
              </w:rPr>
            </w:r>
            <w:r>
              <w:rPr>
                <w:noProof/>
                <w:webHidden/>
              </w:rPr>
              <w:fldChar w:fldCharType="separate"/>
            </w:r>
            <w:r>
              <w:rPr>
                <w:noProof/>
                <w:webHidden/>
              </w:rPr>
              <w:t>9</w:t>
            </w:r>
            <w:r>
              <w:rPr>
                <w:noProof/>
                <w:webHidden/>
              </w:rPr>
              <w:fldChar w:fldCharType="end"/>
            </w:r>
          </w:hyperlink>
        </w:p>
        <w:p w14:paraId="7BC63993" w14:textId="7ACD779B" w:rsidR="0019157D" w:rsidRDefault="0019157D">
          <w:pPr>
            <w:pStyle w:val="TOC2"/>
            <w:tabs>
              <w:tab w:val="right" w:leader="dot" w:pos="9016"/>
            </w:tabs>
            <w:rPr>
              <w:rFonts w:eastAsiaTheme="minorEastAsia"/>
              <w:noProof/>
              <w:sz w:val="24"/>
              <w:szCs w:val="24"/>
              <w:lang w:eastAsia="en-GB"/>
            </w:rPr>
          </w:pPr>
          <w:hyperlink w:anchor="_Toc222675144" w:history="1">
            <w:r w:rsidRPr="002D53CC">
              <w:rPr>
                <w:rStyle w:val="Hyperlink"/>
                <w:noProof/>
              </w:rPr>
              <w:t>2.1 Labour Shortages and Retention in Hospitality</w:t>
            </w:r>
            <w:r>
              <w:rPr>
                <w:noProof/>
                <w:webHidden/>
              </w:rPr>
              <w:tab/>
            </w:r>
            <w:r>
              <w:rPr>
                <w:noProof/>
                <w:webHidden/>
              </w:rPr>
              <w:fldChar w:fldCharType="begin"/>
            </w:r>
            <w:r>
              <w:rPr>
                <w:noProof/>
                <w:webHidden/>
              </w:rPr>
              <w:instrText xml:space="preserve"> PAGEREF _Toc222675144 \h </w:instrText>
            </w:r>
            <w:r>
              <w:rPr>
                <w:noProof/>
                <w:webHidden/>
              </w:rPr>
            </w:r>
            <w:r>
              <w:rPr>
                <w:noProof/>
                <w:webHidden/>
              </w:rPr>
              <w:fldChar w:fldCharType="separate"/>
            </w:r>
            <w:r>
              <w:rPr>
                <w:noProof/>
                <w:webHidden/>
              </w:rPr>
              <w:t>9</w:t>
            </w:r>
            <w:r>
              <w:rPr>
                <w:noProof/>
                <w:webHidden/>
              </w:rPr>
              <w:fldChar w:fldCharType="end"/>
            </w:r>
          </w:hyperlink>
        </w:p>
        <w:p w14:paraId="7E9BBFE6" w14:textId="396CBE71" w:rsidR="0019157D" w:rsidRDefault="0019157D">
          <w:pPr>
            <w:pStyle w:val="TOC2"/>
            <w:tabs>
              <w:tab w:val="right" w:leader="dot" w:pos="9016"/>
            </w:tabs>
            <w:rPr>
              <w:rFonts w:eastAsiaTheme="minorEastAsia"/>
              <w:noProof/>
              <w:sz w:val="24"/>
              <w:szCs w:val="24"/>
              <w:lang w:eastAsia="en-GB"/>
            </w:rPr>
          </w:pPr>
          <w:hyperlink w:anchor="_Toc222675145" w:history="1">
            <w:r w:rsidRPr="002D53CC">
              <w:rPr>
                <w:rStyle w:val="Hyperlink"/>
                <w:noProof/>
              </w:rPr>
              <w:t>2.2 Theoretical Foundations of Retention</w:t>
            </w:r>
            <w:r>
              <w:rPr>
                <w:noProof/>
                <w:webHidden/>
              </w:rPr>
              <w:tab/>
            </w:r>
            <w:r>
              <w:rPr>
                <w:noProof/>
                <w:webHidden/>
              </w:rPr>
              <w:fldChar w:fldCharType="begin"/>
            </w:r>
            <w:r>
              <w:rPr>
                <w:noProof/>
                <w:webHidden/>
              </w:rPr>
              <w:instrText xml:space="preserve"> PAGEREF _Toc222675145 \h </w:instrText>
            </w:r>
            <w:r>
              <w:rPr>
                <w:noProof/>
                <w:webHidden/>
              </w:rPr>
            </w:r>
            <w:r>
              <w:rPr>
                <w:noProof/>
                <w:webHidden/>
              </w:rPr>
              <w:fldChar w:fldCharType="separate"/>
            </w:r>
            <w:r>
              <w:rPr>
                <w:noProof/>
                <w:webHidden/>
              </w:rPr>
              <w:t>10</w:t>
            </w:r>
            <w:r>
              <w:rPr>
                <w:noProof/>
                <w:webHidden/>
              </w:rPr>
              <w:fldChar w:fldCharType="end"/>
            </w:r>
          </w:hyperlink>
        </w:p>
        <w:p w14:paraId="381DD25E" w14:textId="02DBE10C" w:rsidR="0019157D" w:rsidRDefault="0019157D">
          <w:pPr>
            <w:pStyle w:val="TOC3"/>
            <w:tabs>
              <w:tab w:val="right" w:leader="dot" w:pos="9016"/>
            </w:tabs>
            <w:rPr>
              <w:rFonts w:eastAsiaTheme="minorEastAsia"/>
              <w:noProof/>
              <w:sz w:val="24"/>
              <w:szCs w:val="24"/>
              <w:lang w:eastAsia="en-GB"/>
            </w:rPr>
          </w:pPr>
          <w:hyperlink w:anchor="_Toc222675146" w:history="1">
            <w:r w:rsidRPr="002D53CC">
              <w:rPr>
                <w:rStyle w:val="Hyperlink"/>
                <w:noProof/>
              </w:rPr>
              <w:t>2.2.1 Job Demands–Resources (JD-R) Model</w:t>
            </w:r>
            <w:r>
              <w:rPr>
                <w:noProof/>
                <w:webHidden/>
              </w:rPr>
              <w:tab/>
            </w:r>
            <w:r>
              <w:rPr>
                <w:noProof/>
                <w:webHidden/>
              </w:rPr>
              <w:fldChar w:fldCharType="begin"/>
            </w:r>
            <w:r>
              <w:rPr>
                <w:noProof/>
                <w:webHidden/>
              </w:rPr>
              <w:instrText xml:space="preserve"> PAGEREF _Toc222675146 \h </w:instrText>
            </w:r>
            <w:r>
              <w:rPr>
                <w:noProof/>
                <w:webHidden/>
              </w:rPr>
            </w:r>
            <w:r>
              <w:rPr>
                <w:noProof/>
                <w:webHidden/>
              </w:rPr>
              <w:fldChar w:fldCharType="separate"/>
            </w:r>
            <w:r>
              <w:rPr>
                <w:noProof/>
                <w:webHidden/>
              </w:rPr>
              <w:t>10</w:t>
            </w:r>
            <w:r>
              <w:rPr>
                <w:noProof/>
                <w:webHidden/>
              </w:rPr>
              <w:fldChar w:fldCharType="end"/>
            </w:r>
          </w:hyperlink>
        </w:p>
        <w:p w14:paraId="6B1C24B5" w14:textId="0617B16F" w:rsidR="0019157D" w:rsidRDefault="0019157D">
          <w:pPr>
            <w:pStyle w:val="TOC3"/>
            <w:tabs>
              <w:tab w:val="right" w:leader="dot" w:pos="9016"/>
            </w:tabs>
            <w:rPr>
              <w:rFonts w:eastAsiaTheme="minorEastAsia"/>
              <w:noProof/>
              <w:sz w:val="24"/>
              <w:szCs w:val="24"/>
              <w:lang w:eastAsia="en-GB"/>
            </w:rPr>
          </w:pPr>
          <w:hyperlink w:anchor="_Toc222675147" w:history="1">
            <w:r w:rsidRPr="002D53CC">
              <w:rPr>
                <w:rStyle w:val="Hyperlink"/>
                <w:noProof/>
              </w:rPr>
              <w:t>2.2.2 Emotional Labour and Frontline Stress</w:t>
            </w:r>
            <w:r>
              <w:rPr>
                <w:noProof/>
                <w:webHidden/>
              </w:rPr>
              <w:tab/>
            </w:r>
            <w:r>
              <w:rPr>
                <w:noProof/>
                <w:webHidden/>
              </w:rPr>
              <w:fldChar w:fldCharType="begin"/>
            </w:r>
            <w:r>
              <w:rPr>
                <w:noProof/>
                <w:webHidden/>
              </w:rPr>
              <w:instrText xml:space="preserve"> PAGEREF _Toc222675147 \h </w:instrText>
            </w:r>
            <w:r>
              <w:rPr>
                <w:noProof/>
                <w:webHidden/>
              </w:rPr>
            </w:r>
            <w:r>
              <w:rPr>
                <w:noProof/>
                <w:webHidden/>
              </w:rPr>
              <w:fldChar w:fldCharType="separate"/>
            </w:r>
            <w:r>
              <w:rPr>
                <w:noProof/>
                <w:webHidden/>
              </w:rPr>
              <w:t>10</w:t>
            </w:r>
            <w:r>
              <w:rPr>
                <w:noProof/>
                <w:webHidden/>
              </w:rPr>
              <w:fldChar w:fldCharType="end"/>
            </w:r>
          </w:hyperlink>
        </w:p>
        <w:p w14:paraId="31B91550" w14:textId="23CCAEC0" w:rsidR="0019157D" w:rsidRDefault="0019157D">
          <w:pPr>
            <w:pStyle w:val="TOC3"/>
            <w:tabs>
              <w:tab w:val="right" w:leader="dot" w:pos="9016"/>
            </w:tabs>
            <w:rPr>
              <w:rFonts w:eastAsiaTheme="minorEastAsia"/>
              <w:noProof/>
              <w:sz w:val="24"/>
              <w:szCs w:val="24"/>
              <w:lang w:eastAsia="en-GB"/>
            </w:rPr>
          </w:pPr>
          <w:hyperlink w:anchor="_Toc222675148" w:history="1">
            <w:r w:rsidRPr="002D53CC">
              <w:rPr>
                <w:rStyle w:val="Hyperlink"/>
                <w:noProof/>
              </w:rPr>
              <w:t>2.2.3 Motivation and Equity Perspectives</w:t>
            </w:r>
            <w:r>
              <w:rPr>
                <w:noProof/>
                <w:webHidden/>
              </w:rPr>
              <w:tab/>
            </w:r>
            <w:r>
              <w:rPr>
                <w:noProof/>
                <w:webHidden/>
              </w:rPr>
              <w:fldChar w:fldCharType="begin"/>
            </w:r>
            <w:r>
              <w:rPr>
                <w:noProof/>
                <w:webHidden/>
              </w:rPr>
              <w:instrText xml:space="preserve"> PAGEREF _Toc222675148 \h </w:instrText>
            </w:r>
            <w:r>
              <w:rPr>
                <w:noProof/>
                <w:webHidden/>
              </w:rPr>
            </w:r>
            <w:r>
              <w:rPr>
                <w:noProof/>
                <w:webHidden/>
              </w:rPr>
              <w:fldChar w:fldCharType="separate"/>
            </w:r>
            <w:r>
              <w:rPr>
                <w:noProof/>
                <w:webHidden/>
              </w:rPr>
              <w:t>11</w:t>
            </w:r>
            <w:r>
              <w:rPr>
                <w:noProof/>
                <w:webHidden/>
              </w:rPr>
              <w:fldChar w:fldCharType="end"/>
            </w:r>
          </w:hyperlink>
        </w:p>
        <w:p w14:paraId="247364B9" w14:textId="2FDBE0FB" w:rsidR="0019157D" w:rsidRDefault="0019157D">
          <w:pPr>
            <w:pStyle w:val="TOC2"/>
            <w:tabs>
              <w:tab w:val="right" w:leader="dot" w:pos="9016"/>
            </w:tabs>
            <w:rPr>
              <w:rFonts w:eastAsiaTheme="minorEastAsia"/>
              <w:noProof/>
              <w:sz w:val="24"/>
              <w:szCs w:val="24"/>
              <w:lang w:eastAsia="en-GB"/>
            </w:rPr>
          </w:pPr>
          <w:hyperlink w:anchor="_Toc222675149" w:history="1">
            <w:r w:rsidRPr="002D53CC">
              <w:rPr>
                <w:rStyle w:val="Hyperlink"/>
                <w:noProof/>
              </w:rPr>
              <w:t>2.3 Remuneration and Compensation Perceptions</w:t>
            </w:r>
            <w:r>
              <w:rPr>
                <w:noProof/>
                <w:webHidden/>
              </w:rPr>
              <w:tab/>
            </w:r>
            <w:r>
              <w:rPr>
                <w:noProof/>
                <w:webHidden/>
              </w:rPr>
              <w:fldChar w:fldCharType="begin"/>
            </w:r>
            <w:r>
              <w:rPr>
                <w:noProof/>
                <w:webHidden/>
              </w:rPr>
              <w:instrText xml:space="preserve"> PAGEREF _Toc222675149 \h </w:instrText>
            </w:r>
            <w:r>
              <w:rPr>
                <w:noProof/>
                <w:webHidden/>
              </w:rPr>
            </w:r>
            <w:r>
              <w:rPr>
                <w:noProof/>
                <w:webHidden/>
              </w:rPr>
              <w:fldChar w:fldCharType="separate"/>
            </w:r>
            <w:r>
              <w:rPr>
                <w:noProof/>
                <w:webHidden/>
              </w:rPr>
              <w:t>11</w:t>
            </w:r>
            <w:r>
              <w:rPr>
                <w:noProof/>
                <w:webHidden/>
              </w:rPr>
              <w:fldChar w:fldCharType="end"/>
            </w:r>
          </w:hyperlink>
        </w:p>
        <w:p w14:paraId="79EBCBB2" w14:textId="7D418A33" w:rsidR="0019157D" w:rsidRDefault="0019157D">
          <w:pPr>
            <w:pStyle w:val="TOC2"/>
            <w:tabs>
              <w:tab w:val="right" w:leader="dot" w:pos="9016"/>
            </w:tabs>
            <w:rPr>
              <w:rFonts w:eastAsiaTheme="minorEastAsia"/>
              <w:noProof/>
              <w:sz w:val="24"/>
              <w:szCs w:val="24"/>
              <w:lang w:eastAsia="en-GB"/>
            </w:rPr>
          </w:pPr>
          <w:hyperlink w:anchor="_Toc222675150" w:history="1">
            <w:r w:rsidRPr="002D53CC">
              <w:rPr>
                <w:rStyle w:val="Hyperlink"/>
                <w:noProof/>
              </w:rPr>
              <w:t>2.4 Working Conditions and Organisational Support</w:t>
            </w:r>
            <w:r>
              <w:rPr>
                <w:noProof/>
                <w:webHidden/>
              </w:rPr>
              <w:tab/>
            </w:r>
            <w:r>
              <w:rPr>
                <w:noProof/>
                <w:webHidden/>
              </w:rPr>
              <w:fldChar w:fldCharType="begin"/>
            </w:r>
            <w:r>
              <w:rPr>
                <w:noProof/>
                <w:webHidden/>
              </w:rPr>
              <w:instrText xml:space="preserve"> PAGEREF _Toc222675150 \h </w:instrText>
            </w:r>
            <w:r>
              <w:rPr>
                <w:noProof/>
                <w:webHidden/>
              </w:rPr>
            </w:r>
            <w:r>
              <w:rPr>
                <w:noProof/>
                <w:webHidden/>
              </w:rPr>
              <w:fldChar w:fldCharType="separate"/>
            </w:r>
            <w:r>
              <w:rPr>
                <w:noProof/>
                <w:webHidden/>
              </w:rPr>
              <w:t>13</w:t>
            </w:r>
            <w:r>
              <w:rPr>
                <w:noProof/>
                <w:webHidden/>
              </w:rPr>
              <w:fldChar w:fldCharType="end"/>
            </w:r>
          </w:hyperlink>
        </w:p>
        <w:p w14:paraId="65F2583C" w14:textId="33240802" w:rsidR="0019157D" w:rsidRDefault="0019157D">
          <w:pPr>
            <w:pStyle w:val="TOC2"/>
            <w:tabs>
              <w:tab w:val="right" w:leader="dot" w:pos="9016"/>
            </w:tabs>
            <w:rPr>
              <w:rFonts w:eastAsiaTheme="minorEastAsia"/>
              <w:noProof/>
              <w:sz w:val="24"/>
              <w:szCs w:val="24"/>
              <w:lang w:eastAsia="en-GB"/>
            </w:rPr>
          </w:pPr>
          <w:hyperlink w:anchor="_Toc222675151" w:history="1">
            <w:r w:rsidRPr="002D53CC">
              <w:rPr>
                <w:rStyle w:val="Hyperlink"/>
                <w:noProof/>
              </w:rPr>
              <w:t>2.5 Organisational Implications of Turnover</w:t>
            </w:r>
            <w:r>
              <w:rPr>
                <w:noProof/>
                <w:webHidden/>
              </w:rPr>
              <w:tab/>
            </w:r>
            <w:r>
              <w:rPr>
                <w:noProof/>
                <w:webHidden/>
              </w:rPr>
              <w:fldChar w:fldCharType="begin"/>
            </w:r>
            <w:r>
              <w:rPr>
                <w:noProof/>
                <w:webHidden/>
              </w:rPr>
              <w:instrText xml:space="preserve"> PAGEREF _Toc222675151 \h </w:instrText>
            </w:r>
            <w:r>
              <w:rPr>
                <w:noProof/>
                <w:webHidden/>
              </w:rPr>
            </w:r>
            <w:r>
              <w:rPr>
                <w:noProof/>
                <w:webHidden/>
              </w:rPr>
              <w:fldChar w:fldCharType="separate"/>
            </w:r>
            <w:r>
              <w:rPr>
                <w:noProof/>
                <w:webHidden/>
              </w:rPr>
              <w:t>13</w:t>
            </w:r>
            <w:r>
              <w:rPr>
                <w:noProof/>
                <w:webHidden/>
              </w:rPr>
              <w:fldChar w:fldCharType="end"/>
            </w:r>
          </w:hyperlink>
        </w:p>
        <w:p w14:paraId="1D2FD748" w14:textId="1C57FB7F" w:rsidR="0019157D" w:rsidRDefault="0019157D">
          <w:pPr>
            <w:pStyle w:val="TOC2"/>
            <w:tabs>
              <w:tab w:val="right" w:leader="dot" w:pos="9016"/>
            </w:tabs>
            <w:rPr>
              <w:rFonts w:eastAsiaTheme="minorEastAsia"/>
              <w:noProof/>
              <w:sz w:val="24"/>
              <w:szCs w:val="24"/>
              <w:lang w:eastAsia="en-GB"/>
            </w:rPr>
          </w:pPr>
          <w:hyperlink w:anchor="_Toc222675152" w:history="1">
            <w:r w:rsidRPr="002D53CC">
              <w:rPr>
                <w:rStyle w:val="Hyperlink"/>
                <w:noProof/>
              </w:rPr>
              <w:t>2.6 Research Gap</w:t>
            </w:r>
            <w:r>
              <w:rPr>
                <w:noProof/>
                <w:webHidden/>
              </w:rPr>
              <w:tab/>
            </w:r>
            <w:r>
              <w:rPr>
                <w:noProof/>
                <w:webHidden/>
              </w:rPr>
              <w:fldChar w:fldCharType="begin"/>
            </w:r>
            <w:r>
              <w:rPr>
                <w:noProof/>
                <w:webHidden/>
              </w:rPr>
              <w:instrText xml:space="preserve"> PAGEREF _Toc222675152 \h </w:instrText>
            </w:r>
            <w:r>
              <w:rPr>
                <w:noProof/>
                <w:webHidden/>
              </w:rPr>
            </w:r>
            <w:r>
              <w:rPr>
                <w:noProof/>
                <w:webHidden/>
              </w:rPr>
              <w:fldChar w:fldCharType="separate"/>
            </w:r>
            <w:r>
              <w:rPr>
                <w:noProof/>
                <w:webHidden/>
              </w:rPr>
              <w:t>13</w:t>
            </w:r>
            <w:r>
              <w:rPr>
                <w:noProof/>
                <w:webHidden/>
              </w:rPr>
              <w:fldChar w:fldCharType="end"/>
            </w:r>
          </w:hyperlink>
        </w:p>
        <w:p w14:paraId="4F62A4B2" w14:textId="2782672E" w:rsidR="0019157D" w:rsidRDefault="0019157D">
          <w:pPr>
            <w:pStyle w:val="TOC1"/>
            <w:tabs>
              <w:tab w:val="right" w:leader="dot" w:pos="9016"/>
            </w:tabs>
            <w:rPr>
              <w:rFonts w:eastAsiaTheme="minorEastAsia"/>
              <w:noProof/>
              <w:sz w:val="24"/>
              <w:szCs w:val="24"/>
              <w:lang w:eastAsia="en-GB"/>
            </w:rPr>
          </w:pPr>
          <w:hyperlink w:anchor="_Toc222675153" w:history="1">
            <w:r w:rsidRPr="002D53CC">
              <w:rPr>
                <w:rStyle w:val="Hyperlink"/>
                <w:noProof/>
              </w:rPr>
              <w:t>Chapter 3: Methodology</w:t>
            </w:r>
            <w:r>
              <w:rPr>
                <w:noProof/>
                <w:webHidden/>
              </w:rPr>
              <w:tab/>
            </w:r>
            <w:r>
              <w:rPr>
                <w:noProof/>
                <w:webHidden/>
              </w:rPr>
              <w:fldChar w:fldCharType="begin"/>
            </w:r>
            <w:r>
              <w:rPr>
                <w:noProof/>
                <w:webHidden/>
              </w:rPr>
              <w:instrText xml:space="preserve"> PAGEREF _Toc222675153 \h </w:instrText>
            </w:r>
            <w:r>
              <w:rPr>
                <w:noProof/>
                <w:webHidden/>
              </w:rPr>
            </w:r>
            <w:r>
              <w:rPr>
                <w:noProof/>
                <w:webHidden/>
              </w:rPr>
              <w:fldChar w:fldCharType="separate"/>
            </w:r>
            <w:r>
              <w:rPr>
                <w:noProof/>
                <w:webHidden/>
              </w:rPr>
              <w:t>14</w:t>
            </w:r>
            <w:r>
              <w:rPr>
                <w:noProof/>
                <w:webHidden/>
              </w:rPr>
              <w:fldChar w:fldCharType="end"/>
            </w:r>
          </w:hyperlink>
        </w:p>
        <w:p w14:paraId="16551BB4" w14:textId="029CA729" w:rsidR="0019157D" w:rsidRDefault="0019157D">
          <w:pPr>
            <w:pStyle w:val="TOC2"/>
            <w:tabs>
              <w:tab w:val="right" w:leader="dot" w:pos="9016"/>
            </w:tabs>
            <w:rPr>
              <w:rFonts w:eastAsiaTheme="minorEastAsia"/>
              <w:noProof/>
              <w:sz w:val="24"/>
              <w:szCs w:val="24"/>
              <w:lang w:eastAsia="en-GB"/>
            </w:rPr>
          </w:pPr>
          <w:hyperlink w:anchor="_Toc222675154" w:history="1">
            <w:r w:rsidRPr="002D53CC">
              <w:rPr>
                <w:rStyle w:val="Hyperlink"/>
                <w:noProof/>
              </w:rPr>
              <w:t>3.1 Research Strategy: Qualitative Case Study Design</w:t>
            </w:r>
            <w:r>
              <w:rPr>
                <w:noProof/>
                <w:webHidden/>
              </w:rPr>
              <w:tab/>
            </w:r>
            <w:r>
              <w:rPr>
                <w:noProof/>
                <w:webHidden/>
              </w:rPr>
              <w:fldChar w:fldCharType="begin"/>
            </w:r>
            <w:r>
              <w:rPr>
                <w:noProof/>
                <w:webHidden/>
              </w:rPr>
              <w:instrText xml:space="preserve"> PAGEREF _Toc222675154 \h </w:instrText>
            </w:r>
            <w:r>
              <w:rPr>
                <w:noProof/>
                <w:webHidden/>
              </w:rPr>
            </w:r>
            <w:r>
              <w:rPr>
                <w:noProof/>
                <w:webHidden/>
              </w:rPr>
              <w:fldChar w:fldCharType="separate"/>
            </w:r>
            <w:r>
              <w:rPr>
                <w:noProof/>
                <w:webHidden/>
              </w:rPr>
              <w:t>14</w:t>
            </w:r>
            <w:r>
              <w:rPr>
                <w:noProof/>
                <w:webHidden/>
              </w:rPr>
              <w:fldChar w:fldCharType="end"/>
            </w:r>
          </w:hyperlink>
        </w:p>
        <w:p w14:paraId="5A149677" w14:textId="085F3B6F" w:rsidR="0019157D" w:rsidRDefault="0019157D">
          <w:pPr>
            <w:pStyle w:val="TOC2"/>
            <w:tabs>
              <w:tab w:val="right" w:leader="dot" w:pos="9016"/>
            </w:tabs>
            <w:rPr>
              <w:rFonts w:eastAsiaTheme="minorEastAsia"/>
              <w:noProof/>
              <w:sz w:val="24"/>
              <w:szCs w:val="24"/>
              <w:lang w:eastAsia="en-GB"/>
            </w:rPr>
          </w:pPr>
          <w:hyperlink w:anchor="_Toc222675155" w:history="1">
            <w:r w:rsidRPr="002D53CC">
              <w:rPr>
                <w:rStyle w:val="Hyperlink"/>
                <w:noProof/>
              </w:rPr>
              <w:t>3.2 Philosophical Positioning</w:t>
            </w:r>
            <w:r>
              <w:rPr>
                <w:noProof/>
                <w:webHidden/>
              </w:rPr>
              <w:tab/>
            </w:r>
            <w:r>
              <w:rPr>
                <w:noProof/>
                <w:webHidden/>
              </w:rPr>
              <w:fldChar w:fldCharType="begin"/>
            </w:r>
            <w:r>
              <w:rPr>
                <w:noProof/>
                <w:webHidden/>
              </w:rPr>
              <w:instrText xml:space="preserve"> PAGEREF _Toc222675155 \h </w:instrText>
            </w:r>
            <w:r>
              <w:rPr>
                <w:noProof/>
                <w:webHidden/>
              </w:rPr>
            </w:r>
            <w:r>
              <w:rPr>
                <w:noProof/>
                <w:webHidden/>
              </w:rPr>
              <w:fldChar w:fldCharType="separate"/>
            </w:r>
            <w:r>
              <w:rPr>
                <w:noProof/>
                <w:webHidden/>
              </w:rPr>
              <w:t>15</w:t>
            </w:r>
            <w:r>
              <w:rPr>
                <w:noProof/>
                <w:webHidden/>
              </w:rPr>
              <w:fldChar w:fldCharType="end"/>
            </w:r>
          </w:hyperlink>
        </w:p>
        <w:p w14:paraId="62DD3768" w14:textId="362499E1" w:rsidR="0019157D" w:rsidRDefault="0019157D">
          <w:pPr>
            <w:pStyle w:val="TOC2"/>
            <w:tabs>
              <w:tab w:val="right" w:leader="dot" w:pos="9016"/>
            </w:tabs>
            <w:rPr>
              <w:rFonts w:eastAsiaTheme="minorEastAsia"/>
              <w:noProof/>
              <w:sz w:val="24"/>
              <w:szCs w:val="24"/>
              <w:lang w:eastAsia="en-GB"/>
            </w:rPr>
          </w:pPr>
          <w:hyperlink w:anchor="_Toc222675156" w:history="1">
            <w:r w:rsidRPr="002D53CC">
              <w:rPr>
                <w:rStyle w:val="Hyperlink"/>
                <w:noProof/>
              </w:rPr>
              <w:t>3.3 Secondary Qualitative Method</w:t>
            </w:r>
            <w:r>
              <w:rPr>
                <w:noProof/>
                <w:webHidden/>
              </w:rPr>
              <w:tab/>
            </w:r>
            <w:r>
              <w:rPr>
                <w:noProof/>
                <w:webHidden/>
              </w:rPr>
              <w:fldChar w:fldCharType="begin"/>
            </w:r>
            <w:r>
              <w:rPr>
                <w:noProof/>
                <w:webHidden/>
              </w:rPr>
              <w:instrText xml:space="preserve"> PAGEREF _Toc222675156 \h </w:instrText>
            </w:r>
            <w:r>
              <w:rPr>
                <w:noProof/>
                <w:webHidden/>
              </w:rPr>
            </w:r>
            <w:r>
              <w:rPr>
                <w:noProof/>
                <w:webHidden/>
              </w:rPr>
              <w:fldChar w:fldCharType="separate"/>
            </w:r>
            <w:r>
              <w:rPr>
                <w:noProof/>
                <w:webHidden/>
              </w:rPr>
              <w:t>15</w:t>
            </w:r>
            <w:r>
              <w:rPr>
                <w:noProof/>
                <w:webHidden/>
              </w:rPr>
              <w:fldChar w:fldCharType="end"/>
            </w:r>
          </w:hyperlink>
        </w:p>
        <w:p w14:paraId="5BA38B5D" w14:textId="1011924C" w:rsidR="0019157D" w:rsidRDefault="0019157D">
          <w:pPr>
            <w:pStyle w:val="TOC2"/>
            <w:tabs>
              <w:tab w:val="right" w:leader="dot" w:pos="9016"/>
            </w:tabs>
            <w:rPr>
              <w:rFonts w:eastAsiaTheme="minorEastAsia"/>
              <w:noProof/>
              <w:sz w:val="24"/>
              <w:szCs w:val="24"/>
              <w:lang w:eastAsia="en-GB"/>
            </w:rPr>
          </w:pPr>
          <w:hyperlink w:anchor="_Toc222675157" w:history="1">
            <w:r w:rsidRPr="002D53CC">
              <w:rPr>
                <w:rStyle w:val="Hyperlink"/>
                <w:noProof/>
              </w:rPr>
              <w:t>3.4 Analytical Technique: Thematic Synthesis</w:t>
            </w:r>
            <w:r>
              <w:rPr>
                <w:noProof/>
                <w:webHidden/>
              </w:rPr>
              <w:tab/>
            </w:r>
            <w:r>
              <w:rPr>
                <w:noProof/>
                <w:webHidden/>
              </w:rPr>
              <w:fldChar w:fldCharType="begin"/>
            </w:r>
            <w:r>
              <w:rPr>
                <w:noProof/>
                <w:webHidden/>
              </w:rPr>
              <w:instrText xml:space="preserve"> PAGEREF _Toc222675157 \h </w:instrText>
            </w:r>
            <w:r>
              <w:rPr>
                <w:noProof/>
                <w:webHidden/>
              </w:rPr>
            </w:r>
            <w:r>
              <w:rPr>
                <w:noProof/>
                <w:webHidden/>
              </w:rPr>
              <w:fldChar w:fldCharType="separate"/>
            </w:r>
            <w:r>
              <w:rPr>
                <w:noProof/>
                <w:webHidden/>
              </w:rPr>
              <w:t>16</w:t>
            </w:r>
            <w:r>
              <w:rPr>
                <w:noProof/>
                <w:webHidden/>
              </w:rPr>
              <w:fldChar w:fldCharType="end"/>
            </w:r>
          </w:hyperlink>
        </w:p>
        <w:p w14:paraId="2C264EEB" w14:textId="0E4852B5" w:rsidR="0019157D" w:rsidRDefault="0019157D">
          <w:pPr>
            <w:pStyle w:val="TOC2"/>
            <w:tabs>
              <w:tab w:val="right" w:leader="dot" w:pos="9016"/>
            </w:tabs>
            <w:rPr>
              <w:rFonts w:eastAsiaTheme="minorEastAsia"/>
              <w:noProof/>
              <w:sz w:val="24"/>
              <w:szCs w:val="24"/>
              <w:lang w:eastAsia="en-GB"/>
            </w:rPr>
          </w:pPr>
          <w:hyperlink w:anchor="_Toc222675158" w:history="1">
            <w:r w:rsidRPr="002D53CC">
              <w:rPr>
                <w:rStyle w:val="Hyperlink"/>
                <w:noProof/>
              </w:rPr>
              <w:t>3.5 Ensuring Research Rigour and Trustworthiness</w:t>
            </w:r>
            <w:r>
              <w:rPr>
                <w:noProof/>
                <w:webHidden/>
              </w:rPr>
              <w:tab/>
            </w:r>
            <w:r>
              <w:rPr>
                <w:noProof/>
                <w:webHidden/>
              </w:rPr>
              <w:fldChar w:fldCharType="begin"/>
            </w:r>
            <w:r>
              <w:rPr>
                <w:noProof/>
                <w:webHidden/>
              </w:rPr>
              <w:instrText xml:space="preserve"> PAGEREF _Toc222675158 \h </w:instrText>
            </w:r>
            <w:r>
              <w:rPr>
                <w:noProof/>
                <w:webHidden/>
              </w:rPr>
            </w:r>
            <w:r>
              <w:rPr>
                <w:noProof/>
                <w:webHidden/>
              </w:rPr>
              <w:fldChar w:fldCharType="separate"/>
            </w:r>
            <w:r>
              <w:rPr>
                <w:noProof/>
                <w:webHidden/>
              </w:rPr>
              <w:t>16</w:t>
            </w:r>
            <w:r>
              <w:rPr>
                <w:noProof/>
                <w:webHidden/>
              </w:rPr>
              <w:fldChar w:fldCharType="end"/>
            </w:r>
          </w:hyperlink>
        </w:p>
        <w:p w14:paraId="54AE68EF" w14:textId="2A03DFB0" w:rsidR="0019157D" w:rsidRDefault="0019157D">
          <w:pPr>
            <w:pStyle w:val="TOC2"/>
            <w:tabs>
              <w:tab w:val="right" w:leader="dot" w:pos="9016"/>
            </w:tabs>
            <w:rPr>
              <w:rFonts w:eastAsiaTheme="minorEastAsia"/>
              <w:noProof/>
              <w:sz w:val="24"/>
              <w:szCs w:val="24"/>
              <w:lang w:eastAsia="en-GB"/>
            </w:rPr>
          </w:pPr>
          <w:hyperlink w:anchor="_Toc222675159" w:history="1">
            <w:r w:rsidRPr="002D53CC">
              <w:rPr>
                <w:rStyle w:val="Hyperlink"/>
                <w:noProof/>
              </w:rPr>
              <w:t>3.6 Advantages and Limitations</w:t>
            </w:r>
            <w:r>
              <w:rPr>
                <w:noProof/>
                <w:webHidden/>
              </w:rPr>
              <w:tab/>
            </w:r>
            <w:r>
              <w:rPr>
                <w:noProof/>
                <w:webHidden/>
              </w:rPr>
              <w:fldChar w:fldCharType="begin"/>
            </w:r>
            <w:r>
              <w:rPr>
                <w:noProof/>
                <w:webHidden/>
              </w:rPr>
              <w:instrText xml:space="preserve"> PAGEREF _Toc222675159 \h </w:instrText>
            </w:r>
            <w:r>
              <w:rPr>
                <w:noProof/>
                <w:webHidden/>
              </w:rPr>
            </w:r>
            <w:r>
              <w:rPr>
                <w:noProof/>
                <w:webHidden/>
              </w:rPr>
              <w:fldChar w:fldCharType="separate"/>
            </w:r>
            <w:r>
              <w:rPr>
                <w:noProof/>
                <w:webHidden/>
              </w:rPr>
              <w:t>17</w:t>
            </w:r>
            <w:r>
              <w:rPr>
                <w:noProof/>
                <w:webHidden/>
              </w:rPr>
              <w:fldChar w:fldCharType="end"/>
            </w:r>
          </w:hyperlink>
        </w:p>
        <w:p w14:paraId="41FC7151" w14:textId="00578077" w:rsidR="0019157D" w:rsidRDefault="0019157D">
          <w:pPr>
            <w:pStyle w:val="TOC1"/>
            <w:tabs>
              <w:tab w:val="right" w:leader="dot" w:pos="9016"/>
            </w:tabs>
            <w:rPr>
              <w:rFonts w:eastAsiaTheme="minorEastAsia"/>
              <w:noProof/>
              <w:sz w:val="24"/>
              <w:szCs w:val="24"/>
              <w:lang w:eastAsia="en-GB"/>
            </w:rPr>
          </w:pPr>
          <w:hyperlink w:anchor="_Toc222675160" w:history="1">
            <w:r w:rsidRPr="002D53CC">
              <w:rPr>
                <w:rStyle w:val="Hyperlink"/>
                <w:noProof/>
              </w:rPr>
              <w:t>Chapter 4: Findings and Discussion</w:t>
            </w:r>
            <w:r>
              <w:rPr>
                <w:noProof/>
                <w:webHidden/>
              </w:rPr>
              <w:tab/>
            </w:r>
            <w:r>
              <w:rPr>
                <w:noProof/>
                <w:webHidden/>
              </w:rPr>
              <w:fldChar w:fldCharType="begin"/>
            </w:r>
            <w:r>
              <w:rPr>
                <w:noProof/>
                <w:webHidden/>
              </w:rPr>
              <w:instrText xml:space="preserve"> PAGEREF _Toc222675160 \h </w:instrText>
            </w:r>
            <w:r>
              <w:rPr>
                <w:noProof/>
                <w:webHidden/>
              </w:rPr>
            </w:r>
            <w:r>
              <w:rPr>
                <w:noProof/>
                <w:webHidden/>
              </w:rPr>
              <w:fldChar w:fldCharType="separate"/>
            </w:r>
            <w:r>
              <w:rPr>
                <w:noProof/>
                <w:webHidden/>
              </w:rPr>
              <w:t>17</w:t>
            </w:r>
            <w:r>
              <w:rPr>
                <w:noProof/>
                <w:webHidden/>
              </w:rPr>
              <w:fldChar w:fldCharType="end"/>
            </w:r>
          </w:hyperlink>
        </w:p>
        <w:p w14:paraId="0C93F7C3" w14:textId="5D354752" w:rsidR="0019157D" w:rsidRDefault="0019157D">
          <w:pPr>
            <w:pStyle w:val="TOC2"/>
            <w:tabs>
              <w:tab w:val="right" w:leader="dot" w:pos="9016"/>
            </w:tabs>
            <w:rPr>
              <w:rFonts w:eastAsiaTheme="minorEastAsia"/>
              <w:noProof/>
              <w:sz w:val="24"/>
              <w:szCs w:val="24"/>
              <w:lang w:eastAsia="en-GB"/>
            </w:rPr>
          </w:pPr>
          <w:hyperlink w:anchor="_Toc222675161" w:history="1">
            <w:r w:rsidRPr="002D53CC">
              <w:rPr>
                <w:rStyle w:val="Hyperlink"/>
                <w:noProof/>
              </w:rPr>
              <w:t>4.1 Findings</w:t>
            </w:r>
            <w:r>
              <w:rPr>
                <w:noProof/>
                <w:webHidden/>
              </w:rPr>
              <w:tab/>
            </w:r>
            <w:r>
              <w:rPr>
                <w:noProof/>
                <w:webHidden/>
              </w:rPr>
              <w:fldChar w:fldCharType="begin"/>
            </w:r>
            <w:r>
              <w:rPr>
                <w:noProof/>
                <w:webHidden/>
              </w:rPr>
              <w:instrText xml:space="preserve"> PAGEREF _Toc222675161 \h </w:instrText>
            </w:r>
            <w:r>
              <w:rPr>
                <w:noProof/>
                <w:webHidden/>
              </w:rPr>
            </w:r>
            <w:r>
              <w:rPr>
                <w:noProof/>
                <w:webHidden/>
              </w:rPr>
              <w:fldChar w:fldCharType="separate"/>
            </w:r>
            <w:r>
              <w:rPr>
                <w:noProof/>
                <w:webHidden/>
              </w:rPr>
              <w:t>17</w:t>
            </w:r>
            <w:r>
              <w:rPr>
                <w:noProof/>
                <w:webHidden/>
              </w:rPr>
              <w:fldChar w:fldCharType="end"/>
            </w:r>
          </w:hyperlink>
        </w:p>
        <w:p w14:paraId="2394A452" w14:textId="2D9592B2" w:rsidR="0019157D" w:rsidRDefault="0019157D">
          <w:pPr>
            <w:pStyle w:val="TOC3"/>
            <w:tabs>
              <w:tab w:val="right" w:leader="dot" w:pos="9016"/>
            </w:tabs>
            <w:rPr>
              <w:rFonts w:eastAsiaTheme="minorEastAsia"/>
              <w:noProof/>
              <w:sz w:val="24"/>
              <w:szCs w:val="24"/>
              <w:lang w:eastAsia="en-GB"/>
            </w:rPr>
          </w:pPr>
          <w:hyperlink w:anchor="_Toc222675162" w:history="1">
            <w:r w:rsidRPr="002D53CC">
              <w:rPr>
                <w:rStyle w:val="Hyperlink"/>
                <w:noProof/>
              </w:rPr>
              <w:t>Theme 1: Remuneration adequacy and perceived fairness</w:t>
            </w:r>
            <w:r>
              <w:rPr>
                <w:noProof/>
                <w:webHidden/>
              </w:rPr>
              <w:tab/>
            </w:r>
            <w:r>
              <w:rPr>
                <w:noProof/>
                <w:webHidden/>
              </w:rPr>
              <w:fldChar w:fldCharType="begin"/>
            </w:r>
            <w:r>
              <w:rPr>
                <w:noProof/>
                <w:webHidden/>
              </w:rPr>
              <w:instrText xml:space="preserve"> PAGEREF _Toc222675162 \h </w:instrText>
            </w:r>
            <w:r>
              <w:rPr>
                <w:noProof/>
                <w:webHidden/>
              </w:rPr>
            </w:r>
            <w:r>
              <w:rPr>
                <w:noProof/>
                <w:webHidden/>
              </w:rPr>
              <w:fldChar w:fldCharType="separate"/>
            </w:r>
            <w:r>
              <w:rPr>
                <w:noProof/>
                <w:webHidden/>
              </w:rPr>
              <w:t>17</w:t>
            </w:r>
            <w:r>
              <w:rPr>
                <w:noProof/>
                <w:webHidden/>
              </w:rPr>
              <w:fldChar w:fldCharType="end"/>
            </w:r>
          </w:hyperlink>
        </w:p>
        <w:p w14:paraId="1870A546" w14:textId="76BFAE67" w:rsidR="0019157D" w:rsidRDefault="0019157D">
          <w:pPr>
            <w:pStyle w:val="TOC3"/>
            <w:tabs>
              <w:tab w:val="right" w:leader="dot" w:pos="9016"/>
            </w:tabs>
            <w:rPr>
              <w:rFonts w:eastAsiaTheme="minorEastAsia"/>
              <w:noProof/>
              <w:sz w:val="24"/>
              <w:szCs w:val="24"/>
              <w:lang w:eastAsia="en-GB"/>
            </w:rPr>
          </w:pPr>
          <w:hyperlink w:anchor="_Toc222675163" w:history="1">
            <w:r w:rsidRPr="002D53CC">
              <w:rPr>
                <w:rStyle w:val="Hyperlink"/>
                <w:noProof/>
              </w:rPr>
              <w:t>Theme 2: Role stress, workload intensity and burnout pathways</w:t>
            </w:r>
            <w:r>
              <w:rPr>
                <w:noProof/>
                <w:webHidden/>
              </w:rPr>
              <w:tab/>
            </w:r>
            <w:r>
              <w:rPr>
                <w:noProof/>
                <w:webHidden/>
              </w:rPr>
              <w:fldChar w:fldCharType="begin"/>
            </w:r>
            <w:r>
              <w:rPr>
                <w:noProof/>
                <w:webHidden/>
              </w:rPr>
              <w:instrText xml:space="preserve"> PAGEREF _Toc222675163 \h </w:instrText>
            </w:r>
            <w:r>
              <w:rPr>
                <w:noProof/>
                <w:webHidden/>
              </w:rPr>
            </w:r>
            <w:r>
              <w:rPr>
                <w:noProof/>
                <w:webHidden/>
              </w:rPr>
              <w:fldChar w:fldCharType="separate"/>
            </w:r>
            <w:r>
              <w:rPr>
                <w:noProof/>
                <w:webHidden/>
              </w:rPr>
              <w:t>18</w:t>
            </w:r>
            <w:r>
              <w:rPr>
                <w:noProof/>
                <w:webHidden/>
              </w:rPr>
              <w:fldChar w:fldCharType="end"/>
            </w:r>
          </w:hyperlink>
        </w:p>
        <w:p w14:paraId="34812CD9" w14:textId="3B6D7E9A" w:rsidR="0019157D" w:rsidRDefault="0019157D">
          <w:pPr>
            <w:pStyle w:val="TOC3"/>
            <w:tabs>
              <w:tab w:val="right" w:leader="dot" w:pos="9016"/>
            </w:tabs>
            <w:rPr>
              <w:rFonts w:eastAsiaTheme="minorEastAsia"/>
              <w:noProof/>
              <w:sz w:val="24"/>
              <w:szCs w:val="24"/>
              <w:lang w:eastAsia="en-GB"/>
            </w:rPr>
          </w:pPr>
          <w:hyperlink w:anchor="_Toc222675164" w:history="1">
            <w:r w:rsidRPr="002D53CC">
              <w:rPr>
                <w:rStyle w:val="Hyperlink"/>
                <w:noProof/>
              </w:rPr>
              <w:t>Theme 3: Supervisor support, local leadership and day-to-day retention</w:t>
            </w:r>
            <w:r>
              <w:rPr>
                <w:noProof/>
                <w:webHidden/>
              </w:rPr>
              <w:tab/>
            </w:r>
            <w:r>
              <w:rPr>
                <w:noProof/>
                <w:webHidden/>
              </w:rPr>
              <w:fldChar w:fldCharType="begin"/>
            </w:r>
            <w:r>
              <w:rPr>
                <w:noProof/>
                <w:webHidden/>
              </w:rPr>
              <w:instrText xml:space="preserve"> PAGEREF _Toc222675164 \h </w:instrText>
            </w:r>
            <w:r>
              <w:rPr>
                <w:noProof/>
                <w:webHidden/>
              </w:rPr>
            </w:r>
            <w:r>
              <w:rPr>
                <w:noProof/>
                <w:webHidden/>
              </w:rPr>
              <w:fldChar w:fldCharType="separate"/>
            </w:r>
            <w:r>
              <w:rPr>
                <w:noProof/>
                <w:webHidden/>
              </w:rPr>
              <w:t>18</w:t>
            </w:r>
            <w:r>
              <w:rPr>
                <w:noProof/>
                <w:webHidden/>
              </w:rPr>
              <w:fldChar w:fldCharType="end"/>
            </w:r>
          </w:hyperlink>
        </w:p>
        <w:p w14:paraId="5AA24012" w14:textId="4A58FABD" w:rsidR="0019157D" w:rsidRDefault="0019157D">
          <w:pPr>
            <w:pStyle w:val="TOC3"/>
            <w:tabs>
              <w:tab w:val="right" w:leader="dot" w:pos="9016"/>
            </w:tabs>
            <w:rPr>
              <w:rFonts w:eastAsiaTheme="minorEastAsia"/>
              <w:noProof/>
              <w:sz w:val="24"/>
              <w:szCs w:val="24"/>
              <w:lang w:eastAsia="en-GB"/>
            </w:rPr>
          </w:pPr>
          <w:hyperlink w:anchor="_Toc222675165" w:history="1">
            <w:r w:rsidRPr="002D53CC">
              <w:rPr>
                <w:rStyle w:val="Hyperlink"/>
                <w:noProof/>
              </w:rPr>
              <w:t>Theme 4: Recruitment constraints and the shrinking applicant pool</w:t>
            </w:r>
            <w:r>
              <w:rPr>
                <w:noProof/>
                <w:webHidden/>
              </w:rPr>
              <w:tab/>
            </w:r>
            <w:r>
              <w:rPr>
                <w:noProof/>
                <w:webHidden/>
              </w:rPr>
              <w:fldChar w:fldCharType="begin"/>
            </w:r>
            <w:r>
              <w:rPr>
                <w:noProof/>
                <w:webHidden/>
              </w:rPr>
              <w:instrText xml:space="preserve"> PAGEREF _Toc222675165 \h </w:instrText>
            </w:r>
            <w:r>
              <w:rPr>
                <w:noProof/>
                <w:webHidden/>
              </w:rPr>
            </w:r>
            <w:r>
              <w:rPr>
                <w:noProof/>
                <w:webHidden/>
              </w:rPr>
              <w:fldChar w:fldCharType="separate"/>
            </w:r>
            <w:r>
              <w:rPr>
                <w:noProof/>
                <w:webHidden/>
              </w:rPr>
              <w:t>18</w:t>
            </w:r>
            <w:r>
              <w:rPr>
                <w:noProof/>
                <w:webHidden/>
              </w:rPr>
              <w:fldChar w:fldCharType="end"/>
            </w:r>
          </w:hyperlink>
        </w:p>
        <w:p w14:paraId="1D80D812" w14:textId="2CA0BF73" w:rsidR="0019157D" w:rsidRDefault="0019157D">
          <w:pPr>
            <w:pStyle w:val="TOC3"/>
            <w:tabs>
              <w:tab w:val="right" w:leader="dot" w:pos="9016"/>
            </w:tabs>
            <w:rPr>
              <w:rFonts w:eastAsiaTheme="minorEastAsia"/>
              <w:noProof/>
              <w:sz w:val="24"/>
              <w:szCs w:val="24"/>
              <w:lang w:eastAsia="en-GB"/>
            </w:rPr>
          </w:pPr>
          <w:hyperlink w:anchor="_Toc222675166" w:history="1">
            <w:r w:rsidRPr="002D53CC">
              <w:rPr>
                <w:rStyle w:val="Hyperlink"/>
                <w:noProof/>
              </w:rPr>
              <w:t>Theme 5: Embeddedness, reciprocity and “reasons to stay”</w:t>
            </w:r>
            <w:r>
              <w:rPr>
                <w:noProof/>
                <w:webHidden/>
              </w:rPr>
              <w:tab/>
            </w:r>
            <w:r>
              <w:rPr>
                <w:noProof/>
                <w:webHidden/>
              </w:rPr>
              <w:fldChar w:fldCharType="begin"/>
            </w:r>
            <w:r>
              <w:rPr>
                <w:noProof/>
                <w:webHidden/>
              </w:rPr>
              <w:instrText xml:space="preserve"> PAGEREF _Toc222675166 \h </w:instrText>
            </w:r>
            <w:r>
              <w:rPr>
                <w:noProof/>
                <w:webHidden/>
              </w:rPr>
            </w:r>
            <w:r>
              <w:rPr>
                <w:noProof/>
                <w:webHidden/>
              </w:rPr>
              <w:fldChar w:fldCharType="separate"/>
            </w:r>
            <w:r>
              <w:rPr>
                <w:noProof/>
                <w:webHidden/>
              </w:rPr>
              <w:t>19</w:t>
            </w:r>
            <w:r>
              <w:rPr>
                <w:noProof/>
                <w:webHidden/>
              </w:rPr>
              <w:fldChar w:fldCharType="end"/>
            </w:r>
          </w:hyperlink>
        </w:p>
        <w:p w14:paraId="72EDE2BC" w14:textId="20F97EA5" w:rsidR="0019157D" w:rsidRDefault="0019157D">
          <w:pPr>
            <w:pStyle w:val="TOC3"/>
            <w:tabs>
              <w:tab w:val="right" w:leader="dot" w:pos="9016"/>
            </w:tabs>
            <w:rPr>
              <w:rFonts w:eastAsiaTheme="minorEastAsia"/>
              <w:noProof/>
              <w:sz w:val="24"/>
              <w:szCs w:val="24"/>
              <w:lang w:eastAsia="en-GB"/>
            </w:rPr>
          </w:pPr>
          <w:hyperlink w:anchor="_Toc222675167" w:history="1">
            <w:r w:rsidRPr="002D53CC">
              <w:rPr>
                <w:rStyle w:val="Hyperlink"/>
                <w:noProof/>
              </w:rPr>
              <w:t>Theme 6: Turnover costs and accountability for operational impact</w:t>
            </w:r>
            <w:r>
              <w:rPr>
                <w:noProof/>
                <w:webHidden/>
              </w:rPr>
              <w:tab/>
            </w:r>
            <w:r>
              <w:rPr>
                <w:noProof/>
                <w:webHidden/>
              </w:rPr>
              <w:fldChar w:fldCharType="begin"/>
            </w:r>
            <w:r>
              <w:rPr>
                <w:noProof/>
                <w:webHidden/>
              </w:rPr>
              <w:instrText xml:space="preserve"> PAGEREF _Toc222675167 \h </w:instrText>
            </w:r>
            <w:r>
              <w:rPr>
                <w:noProof/>
                <w:webHidden/>
              </w:rPr>
            </w:r>
            <w:r>
              <w:rPr>
                <w:noProof/>
                <w:webHidden/>
              </w:rPr>
              <w:fldChar w:fldCharType="separate"/>
            </w:r>
            <w:r>
              <w:rPr>
                <w:noProof/>
                <w:webHidden/>
              </w:rPr>
              <w:t>19</w:t>
            </w:r>
            <w:r>
              <w:rPr>
                <w:noProof/>
                <w:webHidden/>
              </w:rPr>
              <w:fldChar w:fldCharType="end"/>
            </w:r>
          </w:hyperlink>
        </w:p>
        <w:p w14:paraId="2B2028FB" w14:textId="22BE28A4" w:rsidR="0019157D" w:rsidRDefault="0019157D">
          <w:pPr>
            <w:pStyle w:val="TOC3"/>
            <w:tabs>
              <w:tab w:val="right" w:leader="dot" w:pos="9016"/>
            </w:tabs>
            <w:rPr>
              <w:rFonts w:eastAsiaTheme="minorEastAsia"/>
              <w:noProof/>
              <w:sz w:val="24"/>
              <w:szCs w:val="24"/>
              <w:lang w:eastAsia="en-GB"/>
            </w:rPr>
          </w:pPr>
          <w:hyperlink w:anchor="_Toc222675168" w:history="1">
            <w:r w:rsidRPr="002D53CC">
              <w:rPr>
                <w:rStyle w:val="Hyperlink"/>
                <w:noProof/>
              </w:rPr>
              <w:t>Theme 7: Non-linear relationships and the “threshold” problem in retention</w:t>
            </w:r>
            <w:r>
              <w:rPr>
                <w:noProof/>
                <w:webHidden/>
              </w:rPr>
              <w:tab/>
            </w:r>
            <w:r>
              <w:rPr>
                <w:noProof/>
                <w:webHidden/>
              </w:rPr>
              <w:fldChar w:fldCharType="begin"/>
            </w:r>
            <w:r>
              <w:rPr>
                <w:noProof/>
                <w:webHidden/>
              </w:rPr>
              <w:instrText xml:space="preserve"> PAGEREF _Toc222675168 \h </w:instrText>
            </w:r>
            <w:r>
              <w:rPr>
                <w:noProof/>
                <w:webHidden/>
              </w:rPr>
            </w:r>
            <w:r>
              <w:rPr>
                <w:noProof/>
                <w:webHidden/>
              </w:rPr>
              <w:fldChar w:fldCharType="separate"/>
            </w:r>
            <w:r>
              <w:rPr>
                <w:noProof/>
                <w:webHidden/>
              </w:rPr>
              <w:t>19</w:t>
            </w:r>
            <w:r>
              <w:rPr>
                <w:noProof/>
                <w:webHidden/>
              </w:rPr>
              <w:fldChar w:fldCharType="end"/>
            </w:r>
          </w:hyperlink>
        </w:p>
        <w:p w14:paraId="0BD0E134" w14:textId="0720ADE9" w:rsidR="0019157D" w:rsidRDefault="0019157D">
          <w:pPr>
            <w:pStyle w:val="TOC3"/>
            <w:tabs>
              <w:tab w:val="right" w:leader="dot" w:pos="9016"/>
            </w:tabs>
            <w:rPr>
              <w:rFonts w:eastAsiaTheme="minorEastAsia"/>
              <w:noProof/>
              <w:sz w:val="24"/>
              <w:szCs w:val="24"/>
              <w:lang w:eastAsia="en-GB"/>
            </w:rPr>
          </w:pPr>
          <w:hyperlink w:anchor="_Toc222675169" w:history="1">
            <w:r w:rsidRPr="002D53CC">
              <w:rPr>
                <w:rStyle w:val="Hyperlink"/>
                <w:noProof/>
              </w:rPr>
              <w:t>Theme 8: Work–life balance practices and job control as moderators of stress</w:t>
            </w:r>
            <w:r>
              <w:rPr>
                <w:noProof/>
                <w:webHidden/>
              </w:rPr>
              <w:tab/>
            </w:r>
            <w:r>
              <w:rPr>
                <w:noProof/>
                <w:webHidden/>
              </w:rPr>
              <w:fldChar w:fldCharType="begin"/>
            </w:r>
            <w:r>
              <w:rPr>
                <w:noProof/>
                <w:webHidden/>
              </w:rPr>
              <w:instrText xml:space="preserve"> PAGEREF _Toc222675169 \h </w:instrText>
            </w:r>
            <w:r>
              <w:rPr>
                <w:noProof/>
                <w:webHidden/>
              </w:rPr>
            </w:r>
            <w:r>
              <w:rPr>
                <w:noProof/>
                <w:webHidden/>
              </w:rPr>
              <w:fldChar w:fldCharType="separate"/>
            </w:r>
            <w:r>
              <w:rPr>
                <w:noProof/>
                <w:webHidden/>
              </w:rPr>
              <w:t>19</w:t>
            </w:r>
            <w:r>
              <w:rPr>
                <w:noProof/>
                <w:webHidden/>
              </w:rPr>
              <w:fldChar w:fldCharType="end"/>
            </w:r>
          </w:hyperlink>
        </w:p>
        <w:p w14:paraId="675C4E52" w14:textId="599721E5" w:rsidR="0019157D" w:rsidRDefault="0019157D">
          <w:pPr>
            <w:pStyle w:val="TOC3"/>
            <w:tabs>
              <w:tab w:val="right" w:leader="dot" w:pos="9016"/>
            </w:tabs>
            <w:rPr>
              <w:rFonts w:eastAsiaTheme="minorEastAsia"/>
              <w:noProof/>
              <w:sz w:val="24"/>
              <w:szCs w:val="24"/>
              <w:lang w:eastAsia="en-GB"/>
            </w:rPr>
          </w:pPr>
          <w:hyperlink w:anchor="_Toc222675170" w:history="1">
            <w:r w:rsidRPr="002D53CC">
              <w:rPr>
                <w:rStyle w:val="Hyperlink"/>
                <w:noProof/>
              </w:rPr>
              <w:t>Theme 9: Low-cost cultural levers that influence retention</w:t>
            </w:r>
            <w:r>
              <w:rPr>
                <w:noProof/>
                <w:webHidden/>
              </w:rPr>
              <w:tab/>
            </w:r>
            <w:r>
              <w:rPr>
                <w:noProof/>
                <w:webHidden/>
              </w:rPr>
              <w:fldChar w:fldCharType="begin"/>
            </w:r>
            <w:r>
              <w:rPr>
                <w:noProof/>
                <w:webHidden/>
              </w:rPr>
              <w:instrText xml:space="preserve"> PAGEREF _Toc222675170 \h </w:instrText>
            </w:r>
            <w:r>
              <w:rPr>
                <w:noProof/>
                <w:webHidden/>
              </w:rPr>
            </w:r>
            <w:r>
              <w:rPr>
                <w:noProof/>
                <w:webHidden/>
              </w:rPr>
              <w:fldChar w:fldCharType="separate"/>
            </w:r>
            <w:r>
              <w:rPr>
                <w:noProof/>
                <w:webHidden/>
              </w:rPr>
              <w:t>20</w:t>
            </w:r>
            <w:r>
              <w:rPr>
                <w:noProof/>
                <w:webHidden/>
              </w:rPr>
              <w:fldChar w:fldCharType="end"/>
            </w:r>
          </w:hyperlink>
        </w:p>
        <w:p w14:paraId="5B359619" w14:textId="096FA05A" w:rsidR="0019157D" w:rsidRDefault="0019157D">
          <w:pPr>
            <w:pStyle w:val="TOC3"/>
            <w:tabs>
              <w:tab w:val="right" w:leader="dot" w:pos="9016"/>
            </w:tabs>
            <w:rPr>
              <w:rFonts w:eastAsiaTheme="minorEastAsia"/>
              <w:noProof/>
              <w:sz w:val="24"/>
              <w:szCs w:val="24"/>
              <w:lang w:eastAsia="en-GB"/>
            </w:rPr>
          </w:pPr>
          <w:hyperlink w:anchor="_Toc222675171" w:history="1">
            <w:r w:rsidRPr="002D53CC">
              <w:rPr>
                <w:rStyle w:val="Hyperlink"/>
                <w:noProof/>
              </w:rPr>
              <w:t>Theme 10: Career opportunities, employability and modern turnover intentions</w:t>
            </w:r>
            <w:r>
              <w:rPr>
                <w:noProof/>
                <w:webHidden/>
              </w:rPr>
              <w:tab/>
            </w:r>
            <w:r>
              <w:rPr>
                <w:noProof/>
                <w:webHidden/>
              </w:rPr>
              <w:fldChar w:fldCharType="begin"/>
            </w:r>
            <w:r>
              <w:rPr>
                <w:noProof/>
                <w:webHidden/>
              </w:rPr>
              <w:instrText xml:space="preserve"> PAGEREF _Toc222675171 \h </w:instrText>
            </w:r>
            <w:r>
              <w:rPr>
                <w:noProof/>
                <w:webHidden/>
              </w:rPr>
            </w:r>
            <w:r>
              <w:rPr>
                <w:noProof/>
                <w:webHidden/>
              </w:rPr>
              <w:fldChar w:fldCharType="separate"/>
            </w:r>
            <w:r>
              <w:rPr>
                <w:noProof/>
                <w:webHidden/>
              </w:rPr>
              <w:t>20</w:t>
            </w:r>
            <w:r>
              <w:rPr>
                <w:noProof/>
                <w:webHidden/>
              </w:rPr>
              <w:fldChar w:fldCharType="end"/>
            </w:r>
          </w:hyperlink>
        </w:p>
        <w:p w14:paraId="31CC3604" w14:textId="09EB691B" w:rsidR="0019157D" w:rsidRDefault="0019157D">
          <w:pPr>
            <w:pStyle w:val="TOC3"/>
            <w:tabs>
              <w:tab w:val="right" w:leader="dot" w:pos="9016"/>
            </w:tabs>
            <w:rPr>
              <w:rFonts w:eastAsiaTheme="minorEastAsia"/>
              <w:noProof/>
              <w:sz w:val="24"/>
              <w:szCs w:val="24"/>
              <w:lang w:eastAsia="en-GB"/>
            </w:rPr>
          </w:pPr>
          <w:hyperlink w:anchor="_Toc222675172" w:history="1">
            <w:r w:rsidRPr="002D53CC">
              <w:rPr>
                <w:rStyle w:val="Hyperlink"/>
                <w:noProof/>
              </w:rPr>
              <w:t>Theme 11: The “bundle” pattern across findings</w:t>
            </w:r>
            <w:r>
              <w:rPr>
                <w:noProof/>
                <w:webHidden/>
              </w:rPr>
              <w:tab/>
            </w:r>
            <w:r>
              <w:rPr>
                <w:noProof/>
                <w:webHidden/>
              </w:rPr>
              <w:fldChar w:fldCharType="begin"/>
            </w:r>
            <w:r>
              <w:rPr>
                <w:noProof/>
                <w:webHidden/>
              </w:rPr>
              <w:instrText xml:space="preserve"> PAGEREF _Toc222675172 \h </w:instrText>
            </w:r>
            <w:r>
              <w:rPr>
                <w:noProof/>
                <w:webHidden/>
              </w:rPr>
            </w:r>
            <w:r>
              <w:rPr>
                <w:noProof/>
                <w:webHidden/>
              </w:rPr>
              <w:fldChar w:fldCharType="separate"/>
            </w:r>
            <w:r>
              <w:rPr>
                <w:noProof/>
                <w:webHidden/>
              </w:rPr>
              <w:t>20</w:t>
            </w:r>
            <w:r>
              <w:rPr>
                <w:noProof/>
                <w:webHidden/>
              </w:rPr>
              <w:fldChar w:fldCharType="end"/>
            </w:r>
          </w:hyperlink>
        </w:p>
        <w:p w14:paraId="024117BD" w14:textId="5B40466A" w:rsidR="0019157D" w:rsidRDefault="0019157D">
          <w:pPr>
            <w:pStyle w:val="TOC3"/>
            <w:tabs>
              <w:tab w:val="right" w:leader="dot" w:pos="9016"/>
            </w:tabs>
            <w:rPr>
              <w:rFonts w:eastAsiaTheme="minorEastAsia"/>
              <w:noProof/>
              <w:sz w:val="24"/>
              <w:szCs w:val="24"/>
              <w:lang w:eastAsia="en-GB"/>
            </w:rPr>
          </w:pPr>
          <w:hyperlink w:anchor="_Toc222675173" w:history="1">
            <w:r w:rsidRPr="002D53CC">
              <w:rPr>
                <w:rStyle w:val="Hyperlink"/>
                <w:noProof/>
              </w:rPr>
              <w:t>Theme 12: Turnover intention versus actual turnover</w:t>
            </w:r>
            <w:r>
              <w:rPr>
                <w:noProof/>
                <w:webHidden/>
              </w:rPr>
              <w:tab/>
            </w:r>
            <w:r>
              <w:rPr>
                <w:noProof/>
                <w:webHidden/>
              </w:rPr>
              <w:fldChar w:fldCharType="begin"/>
            </w:r>
            <w:r>
              <w:rPr>
                <w:noProof/>
                <w:webHidden/>
              </w:rPr>
              <w:instrText xml:space="preserve"> PAGEREF _Toc222675173 \h </w:instrText>
            </w:r>
            <w:r>
              <w:rPr>
                <w:noProof/>
                <w:webHidden/>
              </w:rPr>
            </w:r>
            <w:r>
              <w:rPr>
                <w:noProof/>
                <w:webHidden/>
              </w:rPr>
              <w:fldChar w:fldCharType="separate"/>
            </w:r>
            <w:r>
              <w:rPr>
                <w:noProof/>
                <w:webHidden/>
              </w:rPr>
              <w:t>20</w:t>
            </w:r>
            <w:r>
              <w:rPr>
                <w:noProof/>
                <w:webHidden/>
              </w:rPr>
              <w:fldChar w:fldCharType="end"/>
            </w:r>
          </w:hyperlink>
        </w:p>
        <w:p w14:paraId="163870CC" w14:textId="0AEAF1C4" w:rsidR="0019157D" w:rsidRDefault="0019157D">
          <w:pPr>
            <w:pStyle w:val="TOC2"/>
            <w:tabs>
              <w:tab w:val="right" w:leader="dot" w:pos="9016"/>
            </w:tabs>
            <w:rPr>
              <w:rFonts w:eastAsiaTheme="minorEastAsia"/>
              <w:noProof/>
              <w:sz w:val="24"/>
              <w:szCs w:val="24"/>
              <w:lang w:eastAsia="en-GB"/>
            </w:rPr>
          </w:pPr>
          <w:hyperlink w:anchor="_Toc222675174" w:history="1">
            <w:r w:rsidRPr="002D53CC">
              <w:rPr>
                <w:rStyle w:val="Hyperlink"/>
                <w:noProof/>
              </w:rPr>
              <w:t>4.2 Discussion</w:t>
            </w:r>
            <w:r>
              <w:rPr>
                <w:noProof/>
                <w:webHidden/>
              </w:rPr>
              <w:tab/>
            </w:r>
            <w:r>
              <w:rPr>
                <w:noProof/>
                <w:webHidden/>
              </w:rPr>
              <w:fldChar w:fldCharType="begin"/>
            </w:r>
            <w:r>
              <w:rPr>
                <w:noProof/>
                <w:webHidden/>
              </w:rPr>
              <w:instrText xml:space="preserve"> PAGEREF _Toc222675174 \h </w:instrText>
            </w:r>
            <w:r>
              <w:rPr>
                <w:noProof/>
                <w:webHidden/>
              </w:rPr>
            </w:r>
            <w:r>
              <w:rPr>
                <w:noProof/>
                <w:webHidden/>
              </w:rPr>
              <w:fldChar w:fldCharType="separate"/>
            </w:r>
            <w:r>
              <w:rPr>
                <w:noProof/>
                <w:webHidden/>
              </w:rPr>
              <w:t>21</w:t>
            </w:r>
            <w:r>
              <w:rPr>
                <w:noProof/>
                <w:webHidden/>
              </w:rPr>
              <w:fldChar w:fldCharType="end"/>
            </w:r>
          </w:hyperlink>
        </w:p>
        <w:p w14:paraId="0E4C125D" w14:textId="0FFDCB2D" w:rsidR="0019157D" w:rsidRDefault="0019157D">
          <w:pPr>
            <w:pStyle w:val="TOC3"/>
            <w:tabs>
              <w:tab w:val="right" w:leader="dot" w:pos="9016"/>
            </w:tabs>
            <w:rPr>
              <w:rFonts w:eastAsiaTheme="minorEastAsia"/>
              <w:noProof/>
              <w:sz w:val="24"/>
              <w:szCs w:val="24"/>
              <w:lang w:eastAsia="en-GB"/>
            </w:rPr>
          </w:pPr>
          <w:hyperlink w:anchor="_Toc222675175" w:history="1">
            <w:r w:rsidRPr="002D53CC">
              <w:rPr>
                <w:rStyle w:val="Hyperlink"/>
                <w:noProof/>
              </w:rPr>
              <w:t>4.2.1 Interpreting findings through the research objectives</w:t>
            </w:r>
            <w:r>
              <w:rPr>
                <w:noProof/>
                <w:webHidden/>
              </w:rPr>
              <w:tab/>
            </w:r>
            <w:r>
              <w:rPr>
                <w:noProof/>
                <w:webHidden/>
              </w:rPr>
              <w:fldChar w:fldCharType="begin"/>
            </w:r>
            <w:r>
              <w:rPr>
                <w:noProof/>
                <w:webHidden/>
              </w:rPr>
              <w:instrText xml:space="preserve"> PAGEREF _Toc222675175 \h </w:instrText>
            </w:r>
            <w:r>
              <w:rPr>
                <w:noProof/>
                <w:webHidden/>
              </w:rPr>
            </w:r>
            <w:r>
              <w:rPr>
                <w:noProof/>
                <w:webHidden/>
              </w:rPr>
              <w:fldChar w:fldCharType="separate"/>
            </w:r>
            <w:r>
              <w:rPr>
                <w:noProof/>
                <w:webHidden/>
              </w:rPr>
              <w:t>21</w:t>
            </w:r>
            <w:r>
              <w:rPr>
                <w:noProof/>
                <w:webHidden/>
              </w:rPr>
              <w:fldChar w:fldCharType="end"/>
            </w:r>
          </w:hyperlink>
        </w:p>
        <w:p w14:paraId="17693282" w14:textId="36F4D703" w:rsidR="0019157D" w:rsidRDefault="0019157D">
          <w:pPr>
            <w:pStyle w:val="TOC3"/>
            <w:tabs>
              <w:tab w:val="right" w:leader="dot" w:pos="9016"/>
            </w:tabs>
            <w:rPr>
              <w:rFonts w:eastAsiaTheme="minorEastAsia"/>
              <w:noProof/>
              <w:sz w:val="24"/>
              <w:szCs w:val="24"/>
              <w:lang w:eastAsia="en-GB"/>
            </w:rPr>
          </w:pPr>
          <w:hyperlink w:anchor="_Toc222675176" w:history="1">
            <w:r w:rsidRPr="002D53CC">
              <w:rPr>
                <w:rStyle w:val="Hyperlink"/>
                <w:noProof/>
              </w:rPr>
              <w:t>4.2.2 Case-Study Transferability and Evidential Confidence</w:t>
            </w:r>
            <w:r>
              <w:rPr>
                <w:noProof/>
                <w:webHidden/>
              </w:rPr>
              <w:tab/>
            </w:r>
            <w:r>
              <w:rPr>
                <w:noProof/>
                <w:webHidden/>
              </w:rPr>
              <w:fldChar w:fldCharType="begin"/>
            </w:r>
            <w:r>
              <w:rPr>
                <w:noProof/>
                <w:webHidden/>
              </w:rPr>
              <w:instrText xml:space="preserve"> PAGEREF _Toc222675176 \h </w:instrText>
            </w:r>
            <w:r>
              <w:rPr>
                <w:noProof/>
                <w:webHidden/>
              </w:rPr>
            </w:r>
            <w:r>
              <w:rPr>
                <w:noProof/>
                <w:webHidden/>
              </w:rPr>
              <w:fldChar w:fldCharType="separate"/>
            </w:r>
            <w:r>
              <w:rPr>
                <w:noProof/>
                <w:webHidden/>
              </w:rPr>
              <w:t>24</w:t>
            </w:r>
            <w:r>
              <w:rPr>
                <w:noProof/>
                <w:webHidden/>
              </w:rPr>
              <w:fldChar w:fldCharType="end"/>
            </w:r>
          </w:hyperlink>
        </w:p>
        <w:p w14:paraId="39C36BF6" w14:textId="3BBA9652" w:rsidR="0019157D" w:rsidRDefault="0019157D">
          <w:pPr>
            <w:pStyle w:val="TOC3"/>
            <w:tabs>
              <w:tab w:val="right" w:leader="dot" w:pos="9016"/>
            </w:tabs>
            <w:rPr>
              <w:rFonts w:eastAsiaTheme="minorEastAsia"/>
              <w:noProof/>
              <w:sz w:val="24"/>
              <w:szCs w:val="24"/>
              <w:lang w:eastAsia="en-GB"/>
            </w:rPr>
          </w:pPr>
          <w:hyperlink w:anchor="_Toc222675177" w:history="1">
            <w:r w:rsidRPr="002D53CC">
              <w:rPr>
                <w:rStyle w:val="Hyperlink"/>
                <w:noProof/>
              </w:rPr>
              <w:t>4.2.3 Strategic Implementation Priorities</w:t>
            </w:r>
            <w:r>
              <w:rPr>
                <w:noProof/>
                <w:webHidden/>
              </w:rPr>
              <w:tab/>
            </w:r>
            <w:r>
              <w:rPr>
                <w:noProof/>
                <w:webHidden/>
              </w:rPr>
              <w:fldChar w:fldCharType="begin"/>
            </w:r>
            <w:r>
              <w:rPr>
                <w:noProof/>
                <w:webHidden/>
              </w:rPr>
              <w:instrText xml:space="preserve"> PAGEREF _Toc222675177 \h </w:instrText>
            </w:r>
            <w:r>
              <w:rPr>
                <w:noProof/>
                <w:webHidden/>
              </w:rPr>
            </w:r>
            <w:r>
              <w:rPr>
                <w:noProof/>
                <w:webHidden/>
              </w:rPr>
              <w:fldChar w:fldCharType="separate"/>
            </w:r>
            <w:r>
              <w:rPr>
                <w:noProof/>
                <w:webHidden/>
              </w:rPr>
              <w:t>24</w:t>
            </w:r>
            <w:r>
              <w:rPr>
                <w:noProof/>
                <w:webHidden/>
              </w:rPr>
              <w:fldChar w:fldCharType="end"/>
            </w:r>
          </w:hyperlink>
        </w:p>
        <w:p w14:paraId="191181D4" w14:textId="3ED8ED9C" w:rsidR="0019157D" w:rsidRDefault="0019157D">
          <w:pPr>
            <w:pStyle w:val="TOC3"/>
            <w:tabs>
              <w:tab w:val="right" w:leader="dot" w:pos="9016"/>
            </w:tabs>
            <w:rPr>
              <w:rFonts w:eastAsiaTheme="minorEastAsia"/>
              <w:noProof/>
              <w:sz w:val="24"/>
              <w:szCs w:val="24"/>
              <w:lang w:eastAsia="en-GB"/>
            </w:rPr>
          </w:pPr>
          <w:hyperlink w:anchor="_Toc222675178" w:history="1">
            <w:r w:rsidRPr="002D53CC">
              <w:rPr>
                <w:rStyle w:val="Hyperlink"/>
                <w:noProof/>
              </w:rPr>
              <w:t>4.2.4 Risk management considerations</w:t>
            </w:r>
            <w:r>
              <w:rPr>
                <w:noProof/>
                <w:webHidden/>
              </w:rPr>
              <w:tab/>
            </w:r>
            <w:r>
              <w:rPr>
                <w:noProof/>
                <w:webHidden/>
              </w:rPr>
              <w:fldChar w:fldCharType="begin"/>
            </w:r>
            <w:r>
              <w:rPr>
                <w:noProof/>
                <w:webHidden/>
              </w:rPr>
              <w:instrText xml:space="preserve"> PAGEREF _Toc222675178 \h </w:instrText>
            </w:r>
            <w:r>
              <w:rPr>
                <w:noProof/>
                <w:webHidden/>
              </w:rPr>
            </w:r>
            <w:r>
              <w:rPr>
                <w:noProof/>
                <w:webHidden/>
              </w:rPr>
              <w:fldChar w:fldCharType="separate"/>
            </w:r>
            <w:r>
              <w:rPr>
                <w:noProof/>
                <w:webHidden/>
              </w:rPr>
              <w:t>25</w:t>
            </w:r>
            <w:r>
              <w:rPr>
                <w:noProof/>
                <w:webHidden/>
              </w:rPr>
              <w:fldChar w:fldCharType="end"/>
            </w:r>
          </w:hyperlink>
        </w:p>
        <w:p w14:paraId="4FAE641A" w14:textId="2875FC91" w:rsidR="0019157D" w:rsidRDefault="0019157D">
          <w:pPr>
            <w:pStyle w:val="TOC3"/>
            <w:tabs>
              <w:tab w:val="right" w:leader="dot" w:pos="9016"/>
            </w:tabs>
            <w:rPr>
              <w:rFonts w:eastAsiaTheme="minorEastAsia"/>
              <w:noProof/>
              <w:sz w:val="24"/>
              <w:szCs w:val="24"/>
              <w:lang w:eastAsia="en-GB"/>
            </w:rPr>
          </w:pPr>
          <w:hyperlink w:anchor="_Toc222675179" w:history="1">
            <w:r w:rsidRPr="002D53CC">
              <w:rPr>
                <w:rStyle w:val="Hyperlink"/>
                <w:noProof/>
              </w:rPr>
              <w:t>4.2.5 Ethical and practical boundaries</w:t>
            </w:r>
            <w:r>
              <w:rPr>
                <w:noProof/>
                <w:webHidden/>
              </w:rPr>
              <w:tab/>
            </w:r>
            <w:r>
              <w:rPr>
                <w:noProof/>
                <w:webHidden/>
              </w:rPr>
              <w:fldChar w:fldCharType="begin"/>
            </w:r>
            <w:r>
              <w:rPr>
                <w:noProof/>
                <w:webHidden/>
              </w:rPr>
              <w:instrText xml:space="preserve"> PAGEREF _Toc222675179 \h </w:instrText>
            </w:r>
            <w:r>
              <w:rPr>
                <w:noProof/>
                <w:webHidden/>
              </w:rPr>
            </w:r>
            <w:r>
              <w:rPr>
                <w:noProof/>
                <w:webHidden/>
              </w:rPr>
              <w:fldChar w:fldCharType="separate"/>
            </w:r>
            <w:r>
              <w:rPr>
                <w:noProof/>
                <w:webHidden/>
              </w:rPr>
              <w:t>25</w:t>
            </w:r>
            <w:r>
              <w:rPr>
                <w:noProof/>
                <w:webHidden/>
              </w:rPr>
              <w:fldChar w:fldCharType="end"/>
            </w:r>
          </w:hyperlink>
        </w:p>
        <w:p w14:paraId="70431B39" w14:textId="78ED60F0" w:rsidR="0019157D" w:rsidRDefault="0019157D">
          <w:pPr>
            <w:pStyle w:val="TOC3"/>
            <w:tabs>
              <w:tab w:val="right" w:leader="dot" w:pos="9016"/>
            </w:tabs>
            <w:rPr>
              <w:rFonts w:eastAsiaTheme="minorEastAsia"/>
              <w:noProof/>
              <w:sz w:val="24"/>
              <w:szCs w:val="24"/>
              <w:lang w:eastAsia="en-GB"/>
            </w:rPr>
          </w:pPr>
          <w:hyperlink w:anchor="_Toc222675180" w:history="1">
            <w:r w:rsidRPr="002D53CC">
              <w:rPr>
                <w:rStyle w:val="Hyperlink"/>
                <w:noProof/>
              </w:rPr>
              <w:t>4.2.6 Operational Implications for Coldra Court Hotel</w:t>
            </w:r>
            <w:r>
              <w:rPr>
                <w:noProof/>
                <w:webHidden/>
              </w:rPr>
              <w:tab/>
            </w:r>
            <w:r>
              <w:rPr>
                <w:noProof/>
                <w:webHidden/>
              </w:rPr>
              <w:fldChar w:fldCharType="begin"/>
            </w:r>
            <w:r>
              <w:rPr>
                <w:noProof/>
                <w:webHidden/>
              </w:rPr>
              <w:instrText xml:space="preserve"> PAGEREF _Toc222675180 \h </w:instrText>
            </w:r>
            <w:r>
              <w:rPr>
                <w:noProof/>
                <w:webHidden/>
              </w:rPr>
            </w:r>
            <w:r>
              <w:rPr>
                <w:noProof/>
                <w:webHidden/>
              </w:rPr>
              <w:fldChar w:fldCharType="separate"/>
            </w:r>
            <w:r>
              <w:rPr>
                <w:noProof/>
                <w:webHidden/>
              </w:rPr>
              <w:t>25</w:t>
            </w:r>
            <w:r>
              <w:rPr>
                <w:noProof/>
                <w:webHidden/>
              </w:rPr>
              <w:fldChar w:fldCharType="end"/>
            </w:r>
          </w:hyperlink>
        </w:p>
        <w:p w14:paraId="59785B7B" w14:textId="10C4C09E" w:rsidR="0019157D" w:rsidRDefault="0019157D">
          <w:pPr>
            <w:pStyle w:val="TOC3"/>
            <w:tabs>
              <w:tab w:val="right" w:leader="dot" w:pos="9016"/>
            </w:tabs>
            <w:rPr>
              <w:rFonts w:eastAsiaTheme="minorEastAsia"/>
              <w:noProof/>
              <w:sz w:val="24"/>
              <w:szCs w:val="24"/>
              <w:lang w:eastAsia="en-GB"/>
            </w:rPr>
          </w:pPr>
          <w:hyperlink w:anchor="_Toc222675181" w:history="1">
            <w:r w:rsidRPr="002D53CC">
              <w:rPr>
                <w:rStyle w:val="Hyperlink"/>
                <w:noProof/>
              </w:rPr>
              <w:t>4.2.7 External Environmental Analysis: PESTEL</w:t>
            </w:r>
            <w:r>
              <w:rPr>
                <w:noProof/>
                <w:webHidden/>
              </w:rPr>
              <w:tab/>
            </w:r>
            <w:r>
              <w:rPr>
                <w:noProof/>
                <w:webHidden/>
              </w:rPr>
              <w:fldChar w:fldCharType="begin"/>
            </w:r>
            <w:r>
              <w:rPr>
                <w:noProof/>
                <w:webHidden/>
              </w:rPr>
              <w:instrText xml:space="preserve"> PAGEREF _Toc222675181 \h </w:instrText>
            </w:r>
            <w:r>
              <w:rPr>
                <w:noProof/>
                <w:webHidden/>
              </w:rPr>
            </w:r>
            <w:r>
              <w:rPr>
                <w:noProof/>
                <w:webHidden/>
              </w:rPr>
              <w:fldChar w:fldCharType="separate"/>
            </w:r>
            <w:r>
              <w:rPr>
                <w:noProof/>
                <w:webHidden/>
              </w:rPr>
              <w:t>25</w:t>
            </w:r>
            <w:r>
              <w:rPr>
                <w:noProof/>
                <w:webHidden/>
              </w:rPr>
              <w:fldChar w:fldCharType="end"/>
            </w:r>
          </w:hyperlink>
        </w:p>
        <w:p w14:paraId="795A6E99" w14:textId="0844F58B" w:rsidR="0019157D" w:rsidRDefault="0019157D">
          <w:pPr>
            <w:pStyle w:val="TOC3"/>
            <w:tabs>
              <w:tab w:val="right" w:leader="dot" w:pos="9016"/>
            </w:tabs>
            <w:rPr>
              <w:rFonts w:eastAsiaTheme="minorEastAsia"/>
              <w:noProof/>
              <w:sz w:val="24"/>
              <w:szCs w:val="24"/>
              <w:lang w:eastAsia="en-GB"/>
            </w:rPr>
          </w:pPr>
          <w:hyperlink w:anchor="_Toc222675182" w:history="1">
            <w:r w:rsidRPr="002D53CC">
              <w:rPr>
                <w:rStyle w:val="Hyperlink"/>
                <w:noProof/>
              </w:rPr>
              <w:t>4.2.8 Internal Strategic Positioning: SWOT Analysis</w:t>
            </w:r>
            <w:r>
              <w:rPr>
                <w:noProof/>
                <w:webHidden/>
              </w:rPr>
              <w:tab/>
            </w:r>
            <w:r>
              <w:rPr>
                <w:noProof/>
                <w:webHidden/>
              </w:rPr>
              <w:fldChar w:fldCharType="begin"/>
            </w:r>
            <w:r>
              <w:rPr>
                <w:noProof/>
                <w:webHidden/>
              </w:rPr>
              <w:instrText xml:space="preserve"> PAGEREF _Toc222675182 \h </w:instrText>
            </w:r>
            <w:r>
              <w:rPr>
                <w:noProof/>
                <w:webHidden/>
              </w:rPr>
            </w:r>
            <w:r>
              <w:rPr>
                <w:noProof/>
                <w:webHidden/>
              </w:rPr>
              <w:fldChar w:fldCharType="separate"/>
            </w:r>
            <w:r>
              <w:rPr>
                <w:noProof/>
                <w:webHidden/>
              </w:rPr>
              <w:t>27</w:t>
            </w:r>
            <w:r>
              <w:rPr>
                <w:noProof/>
                <w:webHidden/>
              </w:rPr>
              <w:fldChar w:fldCharType="end"/>
            </w:r>
          </w:hyperlink>
        </w:p>
        <w:p w14:paraId="1D51D986" w14:textId="247212FB" w:rsidR="0019157D" w:rsidRDefault="0019157D">
          <w:pPr>
            <w:pStyle w:val="TOC3"/>
            <w:tabs>
              <w:tab w:val="right" w:leader="dot" w:pos="9016"/>
            </w:tabs>
            <w:rPr>
              <w:rFonts w:eastAsiaTheme="minorEastAsia"/>
              <w:noProof/>
              <w:sz w:val="24"/>
              <w:szCs w:val="24"/>
              <w:lang w:eastAsia="en-GB"/>
            </w:rPr>
          </w:pPr>
          <w:hyperlink w:anchor="_Toc222675183" w:history="1">
            <w:r w:rsidRPr="002D53CC">
              <w:rPr>
                <w:rStyle w:val="Hyperlink"/>
                <w:noProof/>
              </w:rPr>
              <w:t>4.2.9 Limitations of the Study</w:t>
            </w:r>
            <w:r>
              <w:rPr>
                <w:noProof/>
                <w:webHidden/>
              </w:rPr>
              <w:tab/>
            </w:r>
            <w:r>
              <w:rPr>
                <w:noProof/>
                <w:webHidden/>
              </w:rPr>
              <w:fldChar w:fldCharType="begin"/>
            </w:r>
            <w:r>
              <w:rPr>
                <w:noProof/>
                <w:webHidden/>
              </w:rPr>
              <w:instrText xml:space="preserve"> PAGEREF _Toc222675183 \h </w:instrText>
            </w:r>
            <w:r>
              <w:rPr>
                <w:noProof/>
                <w:webHidden/>
              </w:rPr>
            </w:r>
            <w:r>
              <w:rPr>
                <w:noProof/>
                <w:webHidden/>
              </w:rPr>
              <w:fldChar w:fldCharType="separate"/>
            </w:r>
            <w:r>
              <w:rPr>
                <w:noProof/>
                <w:webHidden/>
              </w:rPr>
              <w:t>27</w:t>
            </w:r>
            <w:r>
              <w:rPr>
                <w:noProof/>
                <w:webHidden/>
              </w:rPr>
              <w:fldChar w:fldCharType="end"/>
            </w:r>
          </w:hyperlink>
        </w:p>
        <w:p w14:paraId="6812998F" w14:textId="3B8584C2" w:rsidR="0019157D" w:rsidRDefault="0019157D">
          <w:pPr>
            <w:pStyle w:val="TOC3"/>
            <w:tabs>
              <w:tab w:val="right" w:leader="dot" w:pos="9016"/>
            </w:tabs>
            <w:rPr>
              <w:rFonts w:eastAsiaTheme="minorEastAsia"/>
              <w:noProof/>
              <w:sz w:val="24"/>
              <w:szCs w:val="24"/>
              <w:lang w:eastAsia="en-GB"/>
            </w:rPr>
          </w:pPr>
          <w:hyperlink w:anchor="_Toc222675184" w:history="1">
            <w:r w:rsidRPr="002D53CC">
              <w:rPr>
                <w:rStyle w:val="Hyperlink"/>
                <w:noProof/>
              </w:rPr>
              <w:t>4.2.10 Chapter Summary</w:t>
            </w:r>
            <w:r>
              <w:rPr>
                <w:noProof/>
                <w:webHidden/>
              </w:rPr>
              <w:tab/>
            </w:r>
            <w:r>
              <w:rPr>
                <w:noProof/>
                <w:webHidden/>
              </w:rPr>
              <w:fldChar w:fldCharType="begin"/>
            </w:r>
            <w:r>
              <w:rPr>
                <w:noProof/>
                <w:webHidden/>
              </w:rPr>
              <w:instrText xml:space="preserve"> PAGEREF _Toc222675184 \h </w:instrText>
            </w:r>
            <w:r>
              <w:rPr>
                <w:noProof/>
                <w:webHidden/>
              </w:rPr>
            </w:r>
            <w:r>
              <w:rPr>
                <w:noProof/>
                <w:webHidden/>
              </w:rPr>
              <w:fldChar w:fldCharType="separate"/>
            </w:r>
            <w:r>
              <w:rPr>
                <w:noProof/>
                <w:webHidden/>
              </w:rPr>
              <w:t>28</w:t>
            </w:r>
            <w:r>
              <w:rPr>
                <w:noProof/>
                <w:webHidden/>
              </w:rPr>
              <w:fldChar w:fldCharType="end"/>
            </w:r>
          </w:hyperlink>
        </w:p>
        <w:p w14:paraId="2C99DF6A" w14:textId="7DCC67C6" w:rsidR="0019157D" w:rsidRDefault="0019157D">
          <w:pPr>
            <w:pStyle w:val="TOC1"/>
            <w:tabs>
              <w:tab w:val="right" w:leader="dot" w:pos="9016"/>
            </w:tabs>
            <w:rPr>
              <w:rFonts w:eastAsiaTheme="minorEastAsia"/>
              <w:noProof/>
              <w:sz w:val="24"/>
              <w:szCs w:val="24"/>
              <w:lang w:eastAsia="en-GB"/>
            </w:rPr>
          </w:pPr>
          <w:hyperlink w:anchor="_Toc222675185" w:history="1">
            <w:r w:rsidRPr="002D53CC">
              <w:rPr>
                <w:rStyle w:val="Hyperlink"/>
                <w:noProof/>
              </w:rPr>
              <w:t>Chapter 5: Conclusion and Recommendations</w:t>
            </w:r>
            <w:r>
              <w:rPr>
                <w:noProof/>
                <w:webHidden/>
              </w:rPr>
              <w:tab/>
            </w:r>
            <w:r>
              <w:rPr>
                <w:noProof/>
                <w:webHidden/>
              </w:rPr>
              <w:fldChar w:fldCharType="begin"/>
            </w:r>
            <w:r>
              <w:rPr>
                <w:noProof/>
                <w:webHidden/>
              </w:rPr>
              <w:instrText xml:space="preserve"> PAGEREF _Toc222675185 \h </w:instrText>
            </w:r>
            <w:r>
              <w:rPr>
                <w:noProof/>
                <w:webHidden/>
              </w:rPr>
            </w:r>
            <w:r>
              <w:rPr>
                <w:noProof/>
                <w:webHidden/>
              </w:rPr>
              <w:fldChar w:fldCharType="separate"/>
            </w:r>
            <w:r>
              <w:rPr>
                <w:noProof/>
                <w:webHidden/>
              </w:rPr>
              <w:t>28</w:t>
            </w:r>
            <w:r>
              <w:rPr>
                <w:noProof/>
                <w:webHidden/>
              </w:rPr>
              <w:fldChar w:fldCharType="end"/>
            </w:r>
          </w:hyperlink>
        </w:p>
        <w:p w14:paraId="261C9E88" w14:textId="55322A11" w:rsidR="0019157D" w:rsidRDefault="0019157D">
          <w:pPr>
            <w:pStyle w:val="TOC2"/>
            <w:tabs>
              <w:tab w:val="right" w:leader="dot" w:pos="9016"/>
            </w:tabs>
            <w:rPr>
              <w:rFonts w:eastAsiaTheme="minorEastAsia"/>
              <w:noProof/>
              <w:sz w:val="24"/>
              <w:szCs w:val="24"/>
              <w:lang w:eastAsia="en-GB"/>
            </w:rPr>
          </w:pPr>
          <w:hyperlink w:anchor="_Toc222675186" w:history="1">
            <w:r w:rsidRPr="002D53CC">
              <w:rPr>
                <w:rStyle w:val="Hyperlink"/>
                <w:noProof/>
              </w:rPr>
              <w:t>5.1 Conclusion</w:t>
            </w:r>
            <w:r>
              <w:rPr>
                <w:noProof/>
                <w:webHidden/>
              </w:rPr>
              <w:tab/>
            </w:r>
            <w:r>
              <w:rPr>
                <w:noProof/>
                <w:webHidden/>
              </w:rPr>
              <w:fldChar w:fldCharType="begin"/>
            </w:r>
            <w:r>
              <w:rPr>
                <w:noProof/>
                <w:webHidden/>
              </w:rPr>
              <w:instrText xml:space="preserve"> PAGEREF _Toc222675186 \h </w:instrText>
            </w:r>
            <w:r>
              <w:rPr>
                <w:noProof/>
                <w:webHidden/>
              </w:rPr>
            </w:r>
            <w:r>
              <w:rPr>
                <w:noProof/>
                <w:webHidden/>
              </w:rPr>
              <w:fldChar w:fldCharType="separate"/>
            </w:r>
            <w:r>
              <w:rPr>
                <w:noProof/>
                <w:webHidden/>
              </w:rPr>
              <w:t>28</w:t>
            </w:r>
            <w:r>
              <w:rPr>
                <w:noProof/>
                <w:webHidden/>
              </w:rPr>
              <w:fldChar w:fldCharType="end"/>
            </w:r>
          </w:hyperlink>
        </w:p>
        <w:p w14:paraId="32FA83A6" w14:textId="7D34075A" w:rsidR="0019157D" w:rsidRDefault="0019157D">
          <w:pPr>
            <w:pStyle w:val="TOC2"/>
            <w:tabs>
              <w:tab w:val="right" w:leader="dot" w:pos="9016"/>
            </w:tabs>
            <w:rPr>
              <w:rFonts w:eastAsiaTheme="minorEastAsia"/>
              <w:noProof/>
              <w:sz w:val="24"/>
              <w:szCs w:val="24"/>
              <w:lang w:eastAsia="en-GB"/>
            </w:rPr>
          </w:pPr>
          <w:hyperlink w:anchor="_Toc222675187" w:history="1">
            <w:r w:rsidRPr="002D53CC">
              <w:rPr>
                <w:rStyle w:val="Hyperlink"/>
                <w:noProof/>
              </w:rPr>
              <w:t>5.2 Recommendations and Practical Strategies</w:t>
            </w:r>
            <w:r>
              <w:rPr>
                <w:noProof/>
                <w:webHidden/>
              </w:rPr>
              <w:tab/>
            </w:r>
            <w:r>
              <w:rPr>
                <w:noProof/>
                <w:webHidden/>
              </w:rPr>
              <w:fldChar w:fldCharType="begin"/>
            </w:r>
            <w:r>
              <w:rPr>
                <w:noProof/>
                <w:webHidden/>
              </w:rPr>
              <w:instrText xml:space="preserve"> PAGEREF _Toc222675187 \h </w:instrText>
            </w:r>
            <w:r>
              <w:rPr>
                <w:noProof/>
                <w:webHidden/>
              </w:rPr>
            </w:r>
            <w:r>
              <w:rPr>
                <w:noProof/>
                <w:webHidden/>
              </w:rPr>
              <w:fldChar w:fldCharType="separate"/>
            </w:r>
            <w:r>
              <w:rPr>
                <w:noProof/>
                <w:webHidden/>
              </w:rPr>
              <w:t>30</w:t>
            </w:r>
            <w:r>
              <w:rPr>
                <w:noProof/>
                <w:webHidden/>
              </w:rPr>
              <w:fldChar w:fldCharType="end"/>
            </w:r>
          </w:hyperlink>
        </w:p>
        <w:p w14:paraId="4F9952A4" w14:textId="537431AB" w:rsidR="0019157D" w:rsidRDefault="0019157D">
          <w:pPr>
            <w:pStyle w:val="TOC1"/>
            <w:tabs>
              <w:tab w:val="right" w:leader="dot" w:pos="9016"/>
            </w:tabs>
            <w:rPr>
              <w:rFonts w:eastAsiaTheme="minorEastAsia"/>
              <w:noProof/>
              <w:sz w:val="24"/>
              <w:szCs w:val="24"/>
              <w:lang w:eastAsia="en-GB"/>
            </w:rPr>
          </w:pPr>
          <w:hyperlink w:anchor="_Toc222675188" w:history="1">
            <w:r w:rsidRPr="002D53CC">
              <w:rPr>
                <w:rStyle w:val="Hyperlink"/>
                <w:noProof/>
              </w:rPr>
              <w:t>References</w:t>
            </w:r>
            <w:r>
              <w:rPr>
                <w:noProof/>
                <w:webHidden/>
              </w:rPr>
              <w:tab/>
            </w:r>
            <w:r>
              <w:rPr>
                <w:noProof/>
                <w:webHidden/>
              </w:rPr>
              <w:fldChar w:fldCharType="begin"/>
            </w:r>
            <w:r>
              <w:rPr>
                <w:noProof/>
                <w:webHidden/>
              </w:rPr>
              <w:instrText xml:space="preserve"> PAGEREF _Toc222675188 \h </w:instrText>
            </w:r>
            <w:r>
              <w:rPr>
                <w:noProof/>
                <w:webHidden/>
              </w:rPr>
            </w:r>
            <w:r>
              <w:rPr>
                <w:noProof/>
                <w:webHidden/>
              </w:rPr>
              <w:fldChar w:fldCharType="separate"/>
            </w:r>
            <w:r>
              <w:rPr>
                <w:noProof/>
                <w:webHidden/>
              </w:rPr>
              <w:t>34</w:t>
            </w:r>
            <w:r>
              <w:rPr>
                <w:noProof/>
                <w:webHidden/>
              </w:rPr>
              <w:fldChar w:fldCharType="end"/>
            </w:r>
          </w:hyperlink>
        </w:p>
        <w:p w14:paraId="4CA5CEEC" w14:textId="48044787" w:rsidR="00A21E63" w:rsidRDefault="00A21E63">
          <w:r>
            <w:rPr>
              <w:b/>
              <w:bCs/>
              <w:noProof/>
            </w:rPr>
            <w:fldChar w:fldCharType="end"/>
          </w:r>
        </w:p>
      </w:sdtContent>
    </w:sdt>
    <w:p w14:paraId="1AD1DCE6" w14:textId="77777777" w:rsidR="00A21E63" w:rsidRDefault="00A21E63" w:rsidP="0095355D">
      <w:pPr>
        <w:spacing w:line="360" w:lineRule="auto"/>
        <w:jc w:val="both"/>
        <w:rPr>
          <w:rFonts w:ascii="Arial" w:hAnsi="Arial" w:cs="Arial"/>
          <w:sz w:val="24"/>
          <w:szCs w:val="24"/>
        </w:rPr>
      </w:pPr>
    </w:p>
    <w:p w14:paraId="711962F0" w14:textId="77777777" w:rsidR="0095355D" w:rsidRDefault="0095355D" w:rsidP="0095355D">
      <w:pPr>
        <w:spacing w:line="360" w:lineRule="auto"/>
        <w:jc w:val="both"/>
        <w:rPr>
          <w:rFonts w:ascii="Arial" w:hAnsi="Arial" w:cs="Arial"/>
          <w:sz w:val="24"/>
          <w:szCs w:val="24"/>
        </w:rPr>
      </w:pPr>
    </w:p>
    <w:p w14:paraId="69C33078" w14:textId="77777777" w:rsidR="0095355D" w:rsidRDefault="0095355D" w:rsidP="0095355D">
      <w:pPr>
        <w:spacing w:line="360" w:lineRule="auto"/>
        <w:jc w:val="both"/>
        <w:rPr>
          <w:rFonts w:ascii="Arial" w:hAnsi="Arial" w:cs="Arial"/>
          <w:sz w:val="24"/>
          <w:szCs w:val="24"/>
        </w:rPr>
      </w:pPr>
    </w:p>
    <w:p w14:paraId="7FB62CF0" w14:textId="77777777" w:rsidR="0095355D" w:rsidRDefault="0095355D" w:rsidP="0095355D">
      <w:pPr>
        <w:spacing w:line="360" w:lineRule="auto"/>
        <w:jc w:val="both"/>
        <w:rPr>
          <w:rFonts w:ascii="Arial" w:hAnsi="Arial" w:cs="Arial"/>
          <w:sz w:val="24"/>
          <w:szCs w:val="24"/>
        </w:rPr>
      </w:pPr>
    </w:p>
    <w:p w14:paraId="486E3BCA" w14:textId="77777777" w:rsidR="00570D3C" w:rsidRDefault="00570D3C" w:rsidP="0095355D">
      <w:pPr>
        <w:spacing w:line="360" w:lineRule="auto"/>
        <w:jc w:val="both"/>
        <w:rPr>
          <w:rFonts w:ascii="Arial" w:hAnsi="Arial" w:cs="Arial"/>
          <w:sz w:val="24"/>
          <w:szCs w:val="24"/>
        </w:rPr>
      </w:pPr>
    </w:p>
    <w:p w14:paraId="02BCD0D7" w14:textId="77777777" w:rsidR="00F77307" w:rsidRDefault="00F77307" w:rsidP="0095355D">
      <w:pPr>
        <w:spacing w:line="360" w:lineRule="auto"/>
        <w:jc w:val="both"/>
        <w:rPr>
          <w:rFonts w:ascii="Arial" w:hAnsi="Arial" w:cs="Arial"/>
          <w:sz w:val="24"/>
          <w:szCs w:val="24"/>
        </w:rPr>
      </w:pPr>
    </w:p>
    <w:p w14:paraId="49F590D3" w14:textId="77777777" w:rsidR="0055692B" w:rsidRPr="0055692B" w:rsidRDefault="0055692B" w:rsidP="0055692B">
      <w:pPr>
        <w:pStyle w:val="Heading1"/>
      </w:pPr>
      <w:bookmarkStart w:id="1" w:name="_Toc222675134"/>
      <w:r w:rsidRPr="0055692B">
        <w:lastRenderedPageBreak/>
        <w:t>Chapter 1: Introduction</w:t>
      </w:r>
      <w:bookmarkEnd w:id="1"/>
    </w:p>
    <w:p w14:paraId="0B3D35F4" w14:textId="34DB7F61" w:rsidR="00A21E63" w:rsidRPr="00495FDE" w:rsidRDefault="0055692B" w:rsidP="00495FDE">
      <w:pPr>
        <w:pStyle w:val="Heading2"/>
      </w:pPr>
      <w:bookmarkStart w:id="2" w:name="_Toc222675135"/>
      <w:r w:rsidRPr="0055692B">
        <w:t>1.1 Industry Context and Background</w:t>
      </w:r>
      <w:bookmarkEnd w:id="2"/>
    </w:p>
    <w:p w14:paraId="6D92E86A" w14:textId="08787DFA" w:rsidR="009F4EAF" w:rsidRDefault="00CC3917" w:rsidP="0055692B">
      <w:pPr>
        <w:spacing w:line="360" w:lineRule="auto"/>
        <w:jc w:val="both"/>
        <w:rPr>
          <w:rFonts w:ascii="Arial" w:hAnsi="Arial" w:cs="Arial"/>
          <w:sz w:val="24"/>
          <w:szCs w:val="24"/>
        </w:rPr>
      </w:pPr>
      <w:r w:rsidRPr="00CC3917">
        <w:rPr>
          <w:rFonts w:ascii="Arial" w:hAnsi="Arial" w:cs="Arial"/>
          <w:sz w:val="24"/>
          <w:szCs w:val="24"/>
        </w:rPr>
        <w:t xml:space="preserve">The hospitality industry is a major contributor to the United Kingdom’s economy and labour market. According to the Office for National Statistics (2023), the Accommodation and Food Service Activities sector accounts for approximately </w:t>
      </w:r>
      <w:r w:rsidR="00A10BC3">
        <w:rPr>
          <w:rFonts w:ascii="Arial" w:hAnsi="Arial" w:cs="Arial"/>
          <w:sz w:val="24"/>
          <w:szCs w:val="24"/>
        </w:rPr>
        <w:t>2.6</w:t>
      </w:r>
      <w:r w:rsidRPr="00CC3917">
        <w:rPr>
          <w:rFonts w:ascii="Arial" w:hAnsi="Arial" w:cs="Arial"/>
          <w:sz w:val="24"/>
          <w:szCs w:val="24"/>
        </w:rPr>
        <w:t xml:space="preserve"> million jobs within the UK labour market, positioning hospitality as one of the country’s largest service-sector employers. The sector is also characterised by comparatively higher labour turnover relative to many other industries, reinforcing its reputation as a high-churn environment (Office for National Statistics, 2023b). </w:t>
      </w:r>
      <w:proofErr w:type="spellStart"/>
      <w:r w:rsidRPr="00CC3917">
        <w:rPr>
          <w:rFonts w:ascii="Arial" w:hAnsi="Arial" w:cs="Arial"/>
          <w:sz w:val="24"/>
          <w:szCs w:val="24"/>
        </w:rPr>
        <w:t>UKHospitality</w:t>
      </w:r>
      <w:proofErr w:type="spellEnd"/>
      <w:r w:rsidRPr="00CC3917">
        <w:rPr>
          <w:rFonts w:ascii="Arial" w:hAnsi="Arial" w:cs="Arial"/>
          <w:sz w:val="24"/>
          <w:szCs w:val="24"/>
        </w:rPr>
        <w:t xml:space="preserve"> (2023) reports that vacancies have fallen and employment levels have recovered within accommodation and food services, reflecting sector efforts to stabilise workforce supply.</w:t>
      </w:r>
    </w:p>
    <w:p w14:paraId="4E9A44F4" w14:textId="651EE70E" w:rsidR="00A7657B" w:rsidRDefault="00CD105E" w:rsidP="0055692B">
      <w:pPr>
        <w:spacing w:line="360" w:lineRule="auto"/>
        <w:jc w:val="both"/>
        <w:rPr>
          <w:rFonts w:ascii="Arial" w:hAnsi="Arial" w:cs="Arial"/>
          <w:sz w:val="24"/>
          <w:szCs w:val="24"/>
        </w:rPr>
      </w:pPr>
      <w:r w:rsidRPr="00CD105E">
        <w:rPr>
          <w:rFonts w:ascii="Arial" w:hAnsi="Arial" w:cs="Arial"/>
          <w:sz w:val="24"/>
          <w:szCs w:val="24"/>
        </w:rPr>
        <w:t xml:space="preserve">Hotel front office departments are especially exposed to labour instability due to their direct responsibility for guest interaction and service coordination. Core responsibilities such as check-in and check-out procedures, complaint resolution, reservations management and interdepartmental communication require both technical competence and sustained emotional regulation. Emotional labour theory identifies such roles as psychologically demanding because employees must manage their emotions in line with organisational expectations (Hochschild, 1983). </w:t>
      </w:r>
      <w:r w:rsidR="00426435" w:rsidRPr="00426435">
        <w:rPr>
          <w:rFonts w:ascii="Arial" w:hAnsi="Arial" w:cs="Arial"/>
          <w:sz w:val="24"/>
          <w:szCs w:val="24"/>
        </w:rPr>
        <w:t>Empirical research within hospitality has demonstrated that organisational factors, workload intensity and support structures significantly influence job satisfaction and employees’ intention to remain in their roles (Kim and Jogaratnam, 2010).</w:t>
      </w:r>
      <w:r w:rsidR="0029564C">
        <w:rPr>
          <w:rFonts w:ascii="Arial" w:hAnsi="Arial" w:cs="Arial"/>
          <w:sz w:val="24"/>
          <w:szCs w:val="24"/>
        </w:rPr>
        <w:t xml:space="preserve"> </w:t>
      </w:r>
      <w:r w:rsidR="0029564C" w:rsidRPr="0029564C">
        <w:rPr>
          <w:rFonts w:ascii="Arial" w:hAnsi="Arial" w:cs="Arial"/>
          <w:sz w:val="24"/>
          <w:szCs w:val="24"/>
        </w:rPr>
        <w:t>In addition to psychological demands, structural features of hotel work also shape retention risk. Irregular working hours and unsociable shift patterns have been associated with increased work–life conflict and adverse health outcomes among hotel employees (McNamara et al, 2011). Within front office departments, where peak check-in and check-out periods anchor scheduling patterns, such temporal pressures may intensify turnover vulnerability.</w:t>
      </w:r>
    </w:p>
    <w:p w14:paraId="2294FA94" w14:textId="2FCF0579" w:rsidR="004F1AFE" w:rsidRDefault="00A7657B" w:rsidP="0055692B">
      <w:pPr>
        <w:spacing w:line="360" w:lineRule="auto"/>
        <w:jc w:val="both"/>
        <w:rPr>
          <w:rFonts w:ascii="Arial" w:hAnsi="Arial" w:cs="Arial"/>
          <w:sz w:val="24"/>
          <w:szCs w:val="24"/>
        </w:rPr>
      </w:pPr>
      <w:r w:rsidRPr="00A7657B">
        <w:rPr>
          <w:rFonts w:ascii="Arial" w:hAnsi="Arial" w:cs="Arial"/>
          <w:sz w:val="24"/>
          <w:szCs w:val="24"/>
        </w:rPr>
        <w:t>The Chartered Institute of Personnel and Development’s guidance on employee turnover indicates that organisations must understand the various workplace factors — including pay, working conditions, career development opportunities and workload pressures — that influence voluntary turnover and retention outcomes (CIPD, 2025</w:t>
      </w:r>
      <w:r w:rsidR="00F956FF" w:rsidRPr="00F956FF">
        <w:rPr>
          <w:rFonts w:ascii="Arial" w:hAnsi="Arial" w:cs="Arial"/>
          <w:sz w:val="24"/>
          <w:szCs w:val="24"/>
        </w:rPr>
        <w:t xml:space="preserve">). </w:t>
      </w:r>
      <w:r w:rsidR="00F956FF" w:rsidRPr="00F956FF">
        <w:rPr>
          <w:rFonts w:ascii="Arial" w:hAnsi="Arial" w:cs="Arial"/>
          <w:sz w:val="24"/>
          <w:szCs w:val="24"/>
        </w:rPr>
        <w:lastRenderedPageBreak/>
        <w:t>Within hospitality, these structural factors are compounded by fluctuating occupancy levels and operational unpredictability. Such pressures are particularly evident in front office functions, where staffing shortages can immediately affect service delivery and guest satisfaction.</w:t>
      </w:r>
      <w:r w:rsidR="00465BFF">
        <w:rPr>
          <w:rFonts w:ascii="Arial" w:hAnsi="Arial" w:cs="Arial"/>
          <w:sz w:val="24"/>
          <w:szCs w:val="24"/>
        </w:rPr>
        <w:t xml:space="preserve"> </w:t>
      </w:r>
      <w:r w:rsidR="00465BFF" w:rsidRPr="00465BFF">
        <w:rPr>
          <w:rFonts w:ascii="Arial" w:hAnsi="Arial" w:cs="Arial"/>
          <w:sz w:val="24"/>
          <w:szCs w:val="24"/>
        </w:rPr>
        <w:t>Baum (2019) argues that the hospitality industry frequently struggles to articulate a compelling employment proposition capable of competing with alternative service-sector employers, particularly where career development and job quality are perceived as limited. This critique is relevant to front office roles in regional UK hotels, where positions may be viewed as transitional rather than long-term career pathways.</w:t>
      </w:r>
    </w:p>
    <w:p w14:paraId="2AE7C601" w14:textId="77777777" w:rsidR="00275394" w:rsidRDefault="00275394" w:rsidP="0055692B">
      <w:pPr>
        <w:spacing w:line="360" w:lineRule="auto"/>
        <w:jc w:val="both"/>
        <w:rPr>
          <w:rFonts w:ascii="Arial" w:hAnsi="Arial" w:cs="Arial"/>
          <w:sz w:val="24"/>
          <w:szCs w:val="24"/>
        </w:rPr>
      </w:pPr>
    </w:p>
    <w:p w14:paraId="620608FA" w14:textId="5CC1FC8B" w:rsidR="00275394" w:rsidRPr="00275394" w:rsidRDefault="00275394" w:rsidP="00275394">
      <w:pPr>
        <w:pStyle w:val="Heading2"/>
      </w:pPr>
      <w:bookmarkStart w:id="3" w:name="_Toc222675136"/>
      <w:r w:rsidRPr="00275394">
        <w:t xml:space="preserve">1.2 Organisational Context: </w:t>
      </w:r>
      <w:proofErr w:type="spellStart"/>
      <w:r w:rsidRPr="00275394">
        <w:t>Coldra</w:t>
      </w:r>
      <w:proofErr w:type="spellEnd"/>
      <w:r w:rsidRPr="00275394">
        <w:t xml:space="preserve"> Court Hotel</w:t>
      </w:r>
      <w:bookmarkEnd w:id="3"/>
    </w:p>
    <w:p w14:paraId="57281A9C" w14:textId="79785143" w:rsidR="00275394" w:rsidRPr="00275394" w:rsidRDefault="00275394" w:rsidP="00275394">
      <w:pPr>
        <w:spacing w:line="360" w:lineRule="auto"/>
        <w:jc w:val="both"/>
        <w:rPr>
          <w:rFonts w:ascii="Arial" w:hAnsi="Arial" w:cs="Arial"/>
          <w:sz w:val="24"/>
          <w:szCs w:val="24"/>
        </w:rPr>
      </w:pPr>
      <w:proofErr w:type="spellStart"/>
      <w:r w:rsidRPr="00275394">
        <w:rPr>
          <w:rFonts w:ascii="Arial" w:hAnsi="Arial" w:cs="Arial"/>
          <w:sz w:val="24"/>
          <w:szCs w:val="24"/>
        </w:rPr>
        <w:t>Coldra</w:t>
      </w:r>
      <w:proofErr w:type="spellEnd"/>
      <w:r w:rsidRPr="00275394">
        <w:rPr>
          <w:rFonts w:ascii="Arial" w:hAnsi="Arial" w:cs="Arial"/>
          <w:sz w:val="24"/>
          <w:szCs w:val="24"/>
        </w:rPr>
        <w:t xml:space="preserve"> Court Hotel, Newport, operating within The Celtic Collection portfolio, provides an appropriate case context for examining these workforce challenges. As a full-service hotel operating in a competitive regional market, front office performance is directly linked to operational efficiency, guest satisfaction metrics and brand reputation. Workforce instability within this department can therefore have strategic and financial implications for the organisation.</w:t>
      </w:r>
    </w:p>
    <w:p w14:paraId="04465726" w14:textId="3891AA7D" w:rsidR="004613DE" w:rsidRDefault="00275394" w:rsidP="00275394">
      <w:pPr>
        <w:spacing w:line="360" w:lineRule="auto"/>
        <w:jc w:val="both"/>
        <w:rPr>
          <w:rFonts w:ascii="Arial" w:hAnsi="Arial" w:cs="Arial"/>
          <w:sz w:val="24"/>
          <w:szCs w:val="24"/>
        </w:rPr>
      </w:pPr>
      <w:r w:rsidRPr="00275394">
        <w:rPr>
          <w:rFonts w:ascii="Arial" w:hAnsi="Arial" w:cs="Arial"/>
          <w:sz w:val="24"/>
          <w:szCs w:val="24"/>
        </w:rPr>
        <w:t>The placement experience provided contextual insight into operational pressures consistent with wider industry trends, including intermittent staffing gaps and workload redistribution. These observations reflect broader sector challenges identified in UK labour market reports and academic literature.</w:t>
      </w:r>
    </w:p>
    <w:p w14:paraId="10247287" w14:textId="77777777" w:rsidR="009D6B29" w:rsidRDefault="009D6B29" w:rsidP="00275394">
      <w:pPr>
        <w:spacing w:line="360" w:lineRule="auto"/>
        <w:jc w:val="both"/>
        <w:rPr>
          <w:rFonts w:ascii="Arial" w:hAnsi="Arial" w:cs="Arial"/>
          <w:sz w:val="24"/>
          <w:szCs w:val="24"/>
        </w:rPr>
      </w:pPr>
    </w:p>
    <w:p w14:paraId="7AEDE699" w14:textId="38F1EBC8" w:rsidR="009D6B29" w:rsidRPr="009D6B29" w:rsidRDefault="009D6B29" w:rsidP="009D6B29">
      <w:pPr>
        <w:pStyle w:val="Heading2"/>
      </w:pPr>
      <w:bookmarkStart w:id="4" w:name="_Toc222675137"/>
      <w:r w:rsidRPr="009D6B29">
        <w:t>1.3 Research Problem</w:t>
      </w:r>
      <w:bookmarkEnd w:id="4"/>
    </w:p>
    <w:p w14:paraId="36CF77EB" w14:textId="0039D329" w:rsidR="009D6B29" w:rsidRPr="009D6B29" w:rsidRDefault="009D6B29" w:rsidP="009D6B29">
      <w:pPr>
        <w:spacing w:line="360" w:lineRule="auto"/>
        <w:jc w:val="both"/>
        <w:rPr>
          <w:rFonts w:ascii="Arial" w:hAnsi="Arial" w:cs="Arial"/>
          <w:sz w:val="24"/>
          <w:szCs w:val="24"/>
        </w:rPr>
      </w:pPr>
      <w:r w:rsidRPr="009D6B29">
        <w:rPr>
          <w:rFonts w:ascii="Arial" w:hAnsi="Arial" w:cs="Arial"/>
          <w:sz w:val="24"/>
          <w:szCs w:val="24"/>
        </w:rPr>
        <w:t>Although extensive literature examines turnover and employee retention in hospitality, much research aggregates departments rather than focusing specifically on front office operations.</w:t>
      </w:r>
      <w:r w:rsidR="00161705">
        <w:rPr>
          <w:rFonts w:ascii="Arial" w:hAnsi="Arial" w:cs="Arial"/>
          <w:sz w:val="24"/>
          <w:szCs w:val="24"/>
        </w:rPr>
        <w:t xml:space="preserve"> </w:t>
      </w:r>
      <w:r w:rsidR="00161705" w:rsidRPr="00161705">
        <w:rPr>
          <w:rFonts w:ascii="Arial" w:hAnsi="Arial" w:cs="Arial"/>
          <w:sz w:val="24"/>
          <w:szCs w:val="24"/>
        </w:rPr>
        <w:t xml:space="preserve">Existing studies commonly explore predictors such as job satisfaction, organisational commitment and job demands–resources (JD-R) model dynamics (Bakker and Demerouti, 2007; Karatepe and </w:t>
      </w:r>
      <w:proofErr w:type="spellStart"/>
      <w:r w:rsidR="00161705" w:rsidRPr="00161705">
        <w:rPr>
          <w:rFonts w:ascii="Arial" w:hAnsi="Arial" w:cs="Arial"/>
          <w:sz w:val="24"/>
          <w:szCs w:val="24"/>
        </w:rPr>
        <w:t>Olugbade</w:t>
      </w:r>
      <w:proofErr w:type="spellEnd"/>
      <w:r w:rsidR="00161705" w:rsidRPr="00161705">
        <w:rPr>
          <w:rFonts w:ascii="Arial" w:hAnsi="Arial" w:cs="Arial"/>
          <w:sz w:val="24"/>
          <w:szCs w:val="24"/>
        </w:rPr>
        <w:t>, 2009).</w:t>
      </w:r>
      <w:r w:rsidRPr="009D6B29">
        <w:rPr>
          <w:rFonts w:ascii="Arial" w:hAnsi="Arial" w:cs="Arial"/>
          <w:sz w:val="24"/>
          <w:szCs w:val="24"/>
        </w:rPr>
        <w:t xml:space="preserve"> However, there remains </w:t>
      </w:r>
      <w:r w:rsidR="00067994">
        <w:rPr>
          <w:rFonts w:ascii="Arial" w:hAnsi="Arial" w:cs="Arial"/>
          <w:sz w:val="24"/>
          <w:szCs w:val="24"/>
        </w:rPr>
        <w:t xml:space="preserve">a </w:t>
      </w:r>
      <w:r w:rsidRPr="009D6B29">
        <w:rPr>
          <w:rFonts w:ascii="Arial" w:hAnsi="Arial" w:cs="Arial"/>
          <w:sz w:val="24"/>
          <w:szCs w:val="24"/>
        </w:rPr>
        <w:t>limited focused investigation into how remuneration structures and working conditions interact specifically within UK hotel front office environments.</w:t>
      </w:r>
    </w:p>
    <w:p w14:paraId="0003B10B" w14:textId="0FABEFC3" w:rsidR="009D6B29" w:rsidRDefault="009D6B29" w:rsidP="009D6B29">
      <w:pPr>
        <w:spacing w:line="360" w:lineRule="auto"/>
        <w:jc w:val="both"/>
        <w:rPr>
          <w:rFonts w:ascii="Arial" w:hAnsi="Arial" w:cs="Arial"/>
          <w:sz w:val="24"/>
          <w:szCs w:val="24"/>
        </w:rPr>
      </w:pPr>
      <w:r w:rsidRPr="009D6B29">
        <w:rPr>
          <w:rFonts w:ascii="Arial" w:hAnsi="Arial" w:cs="Arial"/>
          <w:sz w:val="24"/>
          <w:szCs w:val="24"/>
        </w:rPr>
        <w:lastRenderedPageBreak/>
        <w:t>This lack of integrated analysis restricts the development of targeted retention strategies for front office teams despite their operational importance.</w:t>
      </w:r>
      <w:r w:rsidR="002A2053">
        <w:rPr>
          <w:rFonts w:ascii="Arial" w:hAnsi="Arial" w:cs="Arial"/>
          <w:sz w:val="24"/>
          <w:szCs w:val="24"/>
        </w:rPr>
        <w:t xml:space="preserve"> </w:t>
      </w:r>
      <w:r w:rsidR="002A2053" w:rsidRPr="002A2053">
        <w:rPr>
          <w:rFonts w:ascii="Arial" w:hAnsi="Arial" w:cs="Arial"/>
          <w:sz w:val="24"/>
          <w:szCs w:val="24"/>
        </w:rPr>
        <w:t>Holtom et al (2008) note that much turnover research aggregates across occupational groups, limiting insight into department-specific drivers and practical intervention points. A focused examination of front office roles</w:t>
      </w:r>
      <w:r w:rsidR="002A2053">
        <w:rPr>
          <w:rFonts w:ascii="Arial" w:hAnsi="Arial" w:cs="Arial"/>
          <w:sz w:val="24"/>
          <w:szCs w:val="24"/>
        </w:rPr>
        <w:t>,</w:t>
      </w:r>
      <w:r w:rsidR="002A2053" w:rsidRPr="002A2053">
        <w:rPr>
          <w:rFonts w:ascii="Arial" w:hAnsi="Arial" w:cs="Arial"/>
          <w:sz w:val="24"/>
          <w:szCs w:val="24"/>
        </w:rPr>
        <w:t xml:space="preserve"> therefore</w:t>
      </w:r>
      <w:r w:rsidR="002A2053">
        <w:rPr>
          <w:rFonts w:ascii="Arial" w:hAnsi="Arial" w:cs="Arial"/>
          <w:sz w:val="24"/>
          <w:szCs w:val="24"/>
        </w:rPr>
        <w:t>,</w:t>
      </w:r>
      <w:r w:rsidR="002A2053" w:rsidRPr="002A2053">
        <w:rPr>
          <w:rFonts w:ascii="Arial" w:hAnsi="Arial" w:cs="Arial"/>
          <w:sz w:val="24"/>
          <w:szCs w:val="24"/>
        </w:rPr>
        <w:t xml:space="preserve"> addresses a recognised gap in retention scholarship.</w:t>
      </w:r>
    </w:p>
    <w:p w14:paraId="09C39F15" w14:textId="77777777" w:rsidR="00F17CBC" w:rsidRDefault="00F17CBC" w:rsidP="009D6B29">
      <w:pPr>
        <w:spacing w:line="360" w:lineRule="auto"/>
        <w:jc w:val="both"/>
        <w:rPr>
          <w:rFonts w:ascii="Arial" w:hAnsi="Arial" w:cs="Arial"/>
          <w:sz w:val="24"/>
          <w:szCs w:val="24"/>
        </w:rPr>
      </w:pPr>
    </w:p>
    <w:p w14:paraId="6EA98A1A" w14:textId="77777777" w:rsidR="003A3A6F" w:rsidRPr="003A3A6F" w:rsidRDefault="003A3A6F" w:rsidP="003A3A6F">
      <w:pPr>
        <w:pStyle w:val="Heading2"/>
      </w:pPr>
      <w:bookmarkStart w:id="5" w:name="_Toc222675138"/>
      <w:r w:rsidRPr="003A3A6F">
        <w:t>1.4 Research Aim and Objectives</w:t>
      </w:r>
      <w:bookmarkEnd w:id="5"/>
    </w:p>
    <w:p w14:paraId="7426F591" w14:textId="51AEA61D" w:rsidR="003A3A6F" w:rsidRPr="003A3A6F" w:rsidRDefault="003A3A6F" w:rsidP="003A3A6F">
      <w:pPr>
        <w:pStyle w:val="Heading3"/>
      </w:pPr>
      <w:bookmarkStart w:id="6" w:name="_Toc222675139"/>
      <w:r w:rsidRPr="003A3A6F">
        <w:t>Research Aim</w:t>
      </w:r>
      <w:bookmarkEnd w:id="6"/>
    </w:p>
    <w:p w14:paraId="15A7AEB2" w14:textId="77777777" w:rsidR="003A3A6F" w:rsidRPr="003A3A6F" w:rsidRDefault="003A3A6F" w:rsidP="003A3A6F">
      <w:pPr>
        <w:spacing w:line="360" w:lineRule="auto"/>
        <w:jc w:val="both"/>
        <w:rPr>
          <w:rFonts w:ascii="Arial" w:hAnsi="Arial" w:cs="Arial"/>
          <w:sz w:val="24"/>
          <w:szCs w:val="24"/>
        </w:rPr>
      </w:pPr>
      <w:r w:rsidRPr="003A3A6F">
        <w:rPr>
          <w:rFonts w:ascii="Arial" w:hAnsi="Arial" w:cs="Arial"/>
          <w:sz w:val="24"/>
          <w:szCs w:val="24"/>
        </w:rPr>
        <w:t xml:space="preserve">To critically assess staff shortages and employee retention within front office roles at </w:t>
      </w:r>
      <w:proofErr w:type="spellStart"/>
      <w:r w:rsidRPr="003A3A6F">
        <w:rPr>
          <w:rFonts w:ascii="Arial" w:hAnsi="Arial" w:cs="Arial"/>
          <w:sz w:val="24"/>
          <w:szCs w:val="24"/>
        </w:rPr>
        <w:t>Coldra</w:t>
      </w:r>
      <w:proofErr w:type="spellEnd"/>
      <w:r w:rsidRPr="003A3A6F">
        <w:rPr>
          <w:rFonts w:ascii="Arial" w:hAnsi="Arial" w:cs="Arial"/>
          <w:sz w:val="24"/>
          <w:szCs w:val="24"/>
        </w:rPr>
        <w:t xml:space="preserve"> Court Hotel, with specific emphasis on remuneration and working conditions.</w:t>
      </w:r>
    </w:p>
    <w:p w14:paraId="5CE58F3F" w14:textId="77777777" w:rsidR="003A3A6F" w:rsidRPr="003A3A6F" w:rsidRDefault="003A3A6F" w:rsidP="003A3A6F">
      <w:pPr>
        <w:spacing w:line="360" w:lineRule="auto"/>
        <w:jc w:val="both"/>
        <w:rPr>
          <w:rFonts w:ascii="Arial" w:hAnsi="Arial" w:cs="Arial"/>
          <w:sz w:val="24"/>
          <w:szCs w:val="24"/>
        </w:rPr>
      </w:pPr>
    </w:p>
    <w:p w14:paraId="5D7DF532" w14:textId="7C2360E6" w:rsidR="003A3A6F" w:rsidRPr="003A3A6F" w:rsidRDefault="003A3A6F" w:rsidP="003A3A6F">
      <w:pPr>
        <w:pStyle w:val="Heading3"/>
      </w:pPr>
      <w:bookmarkStart w:id="7" w:name="_Toc222675140"/>
      <w:r w:rsidRPr="003A3A6F">
        <w:t>Research Objectives</w:t>
      </w:r>
      <w:bookmarkEnd w:id="7"/>
    </w:p>
    <w:p w14:paraId="443477B9" w14:textId="77777777" w:rsidR="003A3A6F" w:rsidRPr="00BE0407" w:rsidRDefault="003A3A6F" w:rsidP="00BE0407">
      <w:pPr>
        <w:pStyle w:val="ListParagraph"/>
        <w:numPr>
          <w:ilvl w:val="0"/>
          <w:numId w:val="1"/>
        </w:numPr>
        <w:spacing w:line="360" w:lineRule="auto"/>
        <w:jc w:val="both"/>
        <w:rPr>
          <w:rFonts w:ascii="Arial" w:hAnsi="Arial" w:cs="Arial"/>
          <w:sz w:val="24"/>
          <w:szCs w:val="24"/>
        </w:rPr>
      </w:pPr>
      <w:r w:rsidRPr="00BE0407">
        <w:rPr>
          <w:rFonts w:ascii="Arial" w:hAnsi="Arial" w:cs="Arial"/>
          <w:sz w:val="24"/>
          <w:szCs w:val="24"/>
        </w:rPr>
        <w:t>To evaluate the structural nature of front office staff shortages within the UK hospitality sector.</w:t>
      </w:r>
    </w:p>
    <w:p w14:paraId="1228C2D6" w14:textId="332E3B8B" w:rsidR="003A3A6F" w:rsidRPr="00BE0407" w:rsidRDefault="003A3A6F" w:rsidP="00BE0407">
      <w:pPr>
        <w:pStyle w:val="ListParagraph"/>
        <w:numPr>
          <w:ilvl w:val="0"/>
          <w:numId w:val="1"/>
        </w:numPr>
        <w:spacing w:line="360" w:lineRule="auto"/>
        <w:jc w:val="both"/>
        <w:rPr>
          <w:rFonts w:ascii="Arial" w:hAnsi="Arial" w:cs="Arial"/>
          <w:sz w:val="24"/>
          <w:szCs w:val="24"/>
        </w:rPr>
      </w:pPr>
      <w:r w:rsidRPr="00BE0407">
        <w:rPr>
          <w:rFonts w:ascii="Arial" w:hAnsi="Arial" w:cs="Arial"/>
          <w:sz w:val="24"/>
          <w:szCs w:val="24"/>
        </w:rPr>
        <w:t>To examine the relationship between remuneration practices and employee retention.</w:t>
      </w:r>
    </w:p>
    <w:p w14:paraId="35194CCE" w14:textId="77777777" w:rsidR="003A3A6F" w:rsidRPr="00BE0407" w:rsidRDefault="003A3A6F" w:rsidP="00BE0407">
      <w:pPr>
        <w:pStyle w:val="ListParagraph"/>
        <w:numPr>
          <w:ilvl w:val="0"/>
          <w:numId w:val="1"/>
        </w:numPr>
        <w:spacing w:line="360" w:lineRule="auto"/>
        <w:jc w:val="both"/>
        <w:rPr>
          <w:rFonts w:ascii="Arial" w:hAnsi="Arial" w:cs="Arial"/>
          <w:sz w:val="24"/>
          <w:szCs w:val="24"/>
        </w:rPr>
      </w:pPr>
      <w:r w:rsidRPr="00BE0407">
        <w:rPr>
          <w:rFonts w:ascii="Arial" w:hAnsi="Arial" w:cs="Arial"/>
          <w:sz w:val="24"/>
          <w:szCs w:val="24"/>
        </w:rPr>
        <w:t>To analyse the impact of working conditions and workload intensity on turnover intention.</w:t>
      </w:r>
    </w:p>
    <w:p w14:paraId="03E0B404" w14:textId="060148AD" w:rsidR="00F17CBC" w:rsidRPr="00BE0407" w:rsidRDefault="003A3A6F" w:rsidP="00BE0407">
      <w:pPr>
        <w:pStyle w:val="ListParagraph"/>
        <w:numPr>
          <w:ilvl w:val="0"/>
          <w:numId w:val="1"/>
        </w:numPr>
        <w:spacing w:line="360" w:lineRule="auto"/>
        <w:jc w:val="both"/>
        <w:rPr>
          <w:rFonts w:ascii="Arial" w:hAnsi="Arial" w:cs="Arial"/>
          <w:sz w:val="24"/>
          <w:szCs w:val="24"/>
        </w:rPr>
      </w:pPr>
      <w:r w:rsidRPr="00BE0407">
        <w:rPr>
          <w:rFonts w:ascii="Arial" w:hAnsi="Arial" w:cs="Arial"/>
          <w:sz w:val="24"/>
          <w:szCs w:val="24"/>
        </w:rPr>
        <w:t>To develop evidence-based recommendations to improve retention within the placement hotel context.</w:t>
      </w:r>
    </w:p>
    <w:p w14:paraId="16A2ADD7" w14:textId="77777777" w:rsidR="00A21E63" w:rsidRDefault="00A21E63" w:rsidP="0055692B">
      <w:pPr>
        <w:spacing w:line="360" w:lineRule="auto"/>
        <w:jc w:val="both"/>
        <w:rPr>
          <w:rFonts w:ascii="Arial" w:hAnsi="Arial" w:cs="Arial"/>
          <w:sz w:val="24"/>
          <w:szCs w:val="24"/>
        </w:rPr>
      </w:pPr>
    </w:p>
    <w:p w14:paraId="72091CB9" w14:textId="646A9E91" w:rsidR="008B2CA2" w:rsidRPr="008B2CA2" w:rsidRDefault="008B2CA2" w:rsidP="008B2CA2">
      <w:pPr>
        <w:pStyle w:val="Heading2"/>
      </w:pPr>
      <w:bookmarkStart w:id="8" w:name="_Toc222675141"/>
      <w:r w:rsidRPr="008B2CA2">
        <w:t>1.5 Research Question</w:t>
      </w:r>
      <w:bookmarkEnd w:id="8"/>
    </w:p>
    <w:p w14:paraId="16E923E4" w14:textId="629FE9E7" w:rsidR="00A21E63" w:rsidRDefault="008B2CA2" w:rsidP="008B2CA2">
      <w:pPr>
        <w:spacing w:line="360" w:lineRule="auto"/>
        <w:jc w:val="both"/>
        <w:rPr>
          <w:rFonts w:ascii="Arial" w:hAnsi="Arial" w:cs="Arial"/>
          <w:sz w:val="24"/>
          <w:szCs w:val="24"/>
        </w:rPr>
      </w:pPr>
      <w:r w:rsidRPr="008B2CA2">
        <w:rPr>
          <w:rFonts w:ascii="Arial" w:hAnsi="Arial" w:cs="Arial"/>
          <w:sz w:val="24"/>
          <w:szCs w:val="24"/>
        </w:rPr>
        <w:t xml:space="preserve">How do remuneration structures and working conditions interact to influence employee retention in front office roles within the UK hotel sector, and what implications does this have for </w:t>
      </w:r>
      <w:proofErr w:type="spellStart"/>
      <w:r w:rsidRPr="008B2CA2">
        <w:rPr>
          <w:rFonts w:ascii="Arial" w:hAnsi="Arial" w:cs="Arial"/>
          <w:sz w:val="24"/>
          <w:szCs w:val="24"/>
        </w:rPr>
        <w:t>Coldra</w:t>
      </w:r>
      <w:proofErr w:type="spellEnd"/>
      <w:r w:rsidRPr="008B2CA2">
        <w:rPr>
          <w:rFonts w:ascii="Arial" w:hAnsi="Arial" w:cs="Arial"/>
          <w:sz w:val="24"/>
          <w:szCs w:val="24"/>
        </w:rPr>
        <w:t xml:space="preserve"> Court Hotel?</w:t>
      </w:r>
    </w:p>
    <w:p w14:paraId="4D9D5F3B" w14:textId="77777777" w:rsidR="000B131C" w:rsidRDefault="000B131C" w:rsidP="008B2CA2">
      <w:pPr>
        <w:spacing w:line="360" w:lineRule="auto"/>
        <w:jc w:val="both"/>
        <w:rPr>
          <w:rFonts w:ascii="Arial" w:hAnsi="Arial" w:cs="Arial"/>
          <w:sz w:val="24"/>
          <w:szCs w:val="24"/>
        </w:rPr>
      </w:pPr>
    </w:p>
    <w:p w14:paraId="305E8C76" w14:textId="681353B8" w:rsidR="000B131C" w:rsidRPr="000B131C" w:rsidRDefault="000B131C" w:rsidP="000B131C">
      <w:pPr>
        <w:pStyle w:val="Heading2"/>
      </w:pPr>
      <w:bookmarkStart w:id="9" w:name="_Toc222675142"/>
      <w:r w:rsidRPr="000B131C">
        <w:lastRenderedPageBreak/>
        <w:t>1.6 Structure of the Study</w:t>
      </w:r>
      <w:bookmarkEnd w:id="9"/>
    </w:p>
    <w:p w14:paraId="2B130AB2" w14:textId="363F61B6" w:rsidR="00A21E63" w:rsidRDefault="000B131C" w:rsidP="000B131C">
      <w:pPr>
        <w:spacing w:line="360" w:lineRule="auto"/>
        <w:jc w:val="both"/>
        <w:rPr>
          <w:rFonts w:ascii="Arial" w:hAnsi="Arial" w:cs="Arial"/>
          <w:sz w:val="24"/>
          <w:szCs w:val="24"/>
        </w:rPr>
      </w:pPr>
      <w:r w:rsidRPr="000B131C">
        <w:rPr>
          <w:rFonts w:ascii="Arial" w:hAnsi="Arial" w:cs="Arial"/>
          <w:sz w:val="24"/>
          <w:szCs w:val="24"/>
        </w:rPr>
        <w:t>This dissertation is structured into five chapters. Chapter One introduces the research context, research problem and objectives. Chapter Two provides a critical review of relevant literature on staff shortages, remuneration, working conditions and retention in hospitality. Chapter Three outlines the qualitative secondary research methodology. Chapter Four presents and analyses the findings derived from the literature. Chapter Five concludes the study and proposes evidence-based recommendations for improving front office employee retention.</w:t>
      </w:r>
    </w:p>
    <w:p w14:paraId="5A3BE308" w14:textId="77777777" w:rsidR="000B131C" w:rsidRDefault="000B131C" w:rsidP="000B131C">
      <w:pPr>
        <w:spacing w:line="360" w:lineRule="auto"/>
        <w:jc w:val="both"/>
        <w:rPr>
          <w:rFonts w:ascii="Arial" w:hAnsi="Arial" w:cs="Arial"/>
          <w:sz w:val="24"/>
          <w:szCs w:val="24"/>
        </w:rPr>
      </w:pPr>
    </w:p>
    <w:p w14:paraId="1B0604F6" w14:textId="77777777" w:rsidR="0035437F" w:rsidRPr="0035437F" w:rsidRDefault="0035437F" w:rsidP="0035437F">
      <w:pPr>
        <w:pStyle w:val="Heading1"/>
      </w:pPr>
      <w:bookmarkStart w:id="10" w:name="_Toc222675143"/>
      <w:r w:rsidRPr="0035437F">
        <w:t>Chapter 2: Literature Review</w:t>
      </w:r>
      <w:bookmarkEnd w:id="10"/>
    </w:p>
    <w:p w14:paraId="002F769F" w14:textId="713E58C6" w:rsidR="0035437F" w:rsidRPr="0035437F" w:rsidRDefault="0035437F" w:rsidP="0035437F">
      <w:pPr>
        <w:pStyle w:val="Heading2"/>
      </w:pPr>
      <w:bookmarkStart w:id="11" w:name="_Toc222675144"/>
      <w:r w:rsidRPr="0035437F">
        <w:t>2.1 Labour Shortages and Retention in Hospitality</w:t>
      </w:r>
      <w:bookmarkEnd w:id="11"/>
    </w:p>
    <w:p w14:paraId="71744A62" w14:textId="52383B1E" w:rsidR="000B131C" w:rsidRDefault="0035437F" w:rsidP="0035437F">
      <w:pPr>
        <w:spacing w:line="360" w:lineRule="auto"/>
        <w:jc w:val="both"/>
        <w:rPr>
          <w:rFonts w:ascii="Arial" w:hAnsi="Arial" w:cs="Arial"/>
          <w:sz w:val="24"/>
          <w:szCs w:val="24"/>
        </w:rPr>
      </w:pPr>
      <w:r w:rsidRPr="0035437F">
        <w:rPr>
          <w:rFonts w:ascii="Arial" w:hAnsi="Arial" w:cs="Arial"/>
          <w:sz w:val="24"/>
          <w:szCs w:val="24"/>
        </w:rPr>
        <w:t>Employee turnover has long been recognised as a structural feature of the hospitality industry. Compared with many other service sectors, hospitality organisations experience persistently higher voluntary turnover rates due to labour intensity, emotional demands and irregular working patterns (Davidson</w:t>
      </w:r>
      <w:r>
        <w:rPr>
          <w:rFonts w:ascii="Arial" w:hAnsi="Arial" w:cs="Arial"/>
          <w:sz w:val="24"/>
          <w:szCs w:val="24"/>
        </w:rPr>
        <w:t xml:space="preserve"> et al</w:t>
      </w:r>
      <w:r w:rsidRPr="0035437F">
        <w:rPr>
          <w:rFonts w:ascii="Arial" w:hAnsi="Arial" w:cs="Arial"/>
          <w:sz w:val="24"/>
          <w:szCs w:val="24"/>
        </w:rPr>
        <w:t>, 2010). Deery and Jago (2015) argue that work-life conflict, unsociable hours and limited perceived career progression continue to undermine retention in hotel contexts.</w:t>
      </w:r>
      <w:r w:rsidR="005734D0">
        <w:rPr>
          <w:rFonts w:ascii="Arial" w:hAnsi="Arial" w:cs="Arial"/>
          <w:sz w:val="24"/>
          <w:szCs w:val="24"/>
        </w:rPr>
        <w:t xml:space="preserve"> </w:t>
      </w:r>
      <w:r w:rsidR="005734D0" w:rsidRPr="005734D0">
        <w:rPr>
          <w:rFonts w:ascii="Arial" w:hAnsi="Arial" w:cs="Arial"/>
          <w:sz w:val="24"/>
          <w:szCs w:val="24"/>
        </w:rPr>
        <w:t>Supporting this view, Blomme</w:t>
      </w:r>
      <w:r w:rsidR="005734D0">
        <w:rPr>
          <w:rFonts w:ascii="Arial" w:hAnsi="Arial" w:cs="Arial"/>
          <w:sz w:val="24"/>
          <w:szCs w:val="24"/>
        </w:rPr>
        <w:t xml:space="preserve"> et al</w:t>
      </w:r>
      <w:r w:rsidR="005734D0" w:rsidRPr="005734D0">
        <w:rPr>
          <w:rFonts w:ascii="Arial" w:hAnsi="Arial" w:cs="Arial"/>
          <w:sz w:val="24"/>
          <w:szCs w:val="24"/>
        </w:rPr>
        <w:t xml:space="preserve"> (2010) demonstrate that work–family conflict significantly predicts turnover intention among hotel employees, particularly where shift variability reduces work–life balance. This reinforces the importance of rota stability in operational departments such as front office.</w:t>
      </w:r>
    </w:p>
    <w:p w14:paraId="5183F950" w14:textId="09F86521" w:rsidR="00495FDE" w:rsidRDefault="007A6DE1" w:rsidP="0055692B">
      <w:pPr>
        <w:spacing w:line="360" w:lineRule="auto"/>
        <w:jc w:val="both"/>
        <w:rPr>
          <w:rFonts w:ascii="Arial" w:hAnsi="Arial" w:cs="Arial"/>
          <w:sz w:val="24"/>
          <w:szCs w:val="24"/>
        </w:rPr>
      </w:pPr>
      <w:r w:rsidRPr="007A6DE1">
        <w:rPr>
          <w:rFonts w:ascii="Arial" w:hAnsi="Arial" w:cs="Arial"/>
          <w:sz w:val="24"/>
          <w:szCs w:val="24"/>
        </w:rPr>
        <w:t>The COVID-19 pandemic intensified these challenges. Baum et al (2020) highlight that hospitality experienced disproportionate employment disruption, accelerating workforce exit and increasing long-term vacancy pressures. Although employment levels have partially recovered, sector instability persists (Office for National Statistics, 2023). Staffing shortages create workload redistribution, particularly in operational departments such as front office functions, where employee presence is essential for service continuity.</w:t>
      </w:r>
    </w:p>
    <w:p w14:paraId="57D760D3" w14:textId="700D7C21" w:rsidR="00495FDE" w:rsidRDefault="00AD41B8" w:rsidP="0055692B">
      <w:pPr>
        <w:spacing w:line="360" w:lineRule="auto"/>
        <w:jc w:val="both"/>
        <w:rPr>
          <w:rFonts w:ascii="Arial" w:hAnsi="Arial" w:cs="Arial"/>
          <w:sz w:val="24"/>
          <w:szCs w:val="24"/>
        </w:rPr>
      </w:pPr>
      <w:r w:rsidRPr="00AD41B8">
        <w:rPr>
          <w:rFonts w:ascii="Arial" w:hAnsi="Arial" w:cs="Arial"/>
          <w:sz w:val="24"/>
          <w:szCs w:val="24"/>
        </w:rPr>
        <w:t xml:space="preserve">High turnover generates operational and financial costs. Tracey and </w:t>
      </w:r>
      <w:proofErr w:type="spellStart"/>
      <w:r w:rsidRPr="00AD41B8">
        <w:rPr>
          <w:rFonts w:ascii="Arial" w:hAnsi="Arial" w:cs="Arial"/>
          <w:sz w:val="24"/>
          <w:szCs w:val="24"/>
        </w:rPr>
        <w:t>Hinkin</w:t>
      </w:r>
      <w:proofErr w:type="spellEnd"/>
      <w:r w:rsidRPr="00AD41B8">
        <w:rPr>
          <w:rFonts w:ascii="Arial" w:hAnsi="Arial" w:cs="Arial"/>
          <w:sz w:val="24"/>
          <w:szCs w:val="24"/>
        </w:rPr>
        <w:t xml:space="preserve"> (2008) demonstrate that employee replacement incurs substantial direct and indirect costs, </w:t>
      </w:r>
      <w:r w:rsidRPr="00AD41B8">
        <w:rPr>
          <w:rFonts w:ascii="Arial" w:hAnsi="Arial" w:cs="Arial"/>
          <w:sz w:val="24"/>
          <w:szCs w:val="24"/>
        </w:rPr>
        <w:lastRenderedPageBreak/>
        <w:t>including recruitment, onboarding and productivity loss. In guest-facing departments, turnover additionally risks service inconsistency and reduced customer satisfaction (Harter</w:t>
      </w:r>
      <w:r>
        <w:rPr>
          <w:rFonts w:ascii="Arial" w:hAnsi="Arial" w:cs="Arial"/>
          <w:sz w:val="24"/>
          <w:szCs w:val="24"/>
        </w:rPr>
        <w:t xml:space="preserve"> et al</w:t>
      </w:r>
      <w:r w:rsidRPr="00AD41B8">
        <w:rPr>
          <w:rFonts w:ascii="Arial" w:hAnsi="Arial" w:cs="Arial"/>
          <w:sz w:val="24"/>
          <w:szCs w:val="24"/>
        </w:rPr>
        <w:t xml:space="preserve">, 2002). Despite extensive scholarship, much turnover research aggregates hotel departments, limiting </w:t>
      </w:r>
      <w:r>
        <w:rPr>
          <w:rFonts w:ascii="Arial" w:hAnsi="Arial" w:cs="Arial"/>
          <w:sz w:val="24"/>
          <w:szCs w:val="24"/>
        </w:rPr>
        <w:t xml:space="preserve">the </w:t>
      </w:r>
      <w:r w:rsidRPr="00AD41B8">
        <w:rPr>
          <w:rFonts w:ascii="Arial" w:hAnsi="Arial" w:cs="Arial"/>
          <w:sz w:val="24"/>
          <w:szCs w:val="24"/>
        </w:rPr>
        <w:t>understanding of front office-specific vulnerabilities.</w:t>
      </w:r>
    </w:p>
    <w:p w14:paraId="3489B048" w14:textId="77777777" w:rsidR="00BC6A38" w:rsidRDefault="00BC6A38" w:rsidP="0055692B">
      <w:pPr>
        <w:spacing w:line="360" w:lineRule="auto"/>
        <w:jc w:val="both"/>
        <w:rPr>
          <w:rFonts w:ascii="Arial" w:hAnsi="Arial" w:cs="Arial"/>
          <w:sz w:val="24"/>
          <w:szCs w:val="24"/>
        </w:rPr>
      </w:pPr>
    </w:p>
    <w:p w14:paraId="32C56C8C" w14:textId="77777777" w:rsidR="00BC6A38" w:rsidRPr="00BC6A38" w:rsidRDefault="00BC6A38" w:rsidP="00BC6A38">
      <w:pPr>
        <w:pStyle w:val="Heading2"/>
      </w:pPr>
      <w:bookmarkStart w:id="12" w:name="_Toc222675145"/>
      <w:r w:rsidRPr="00BC6A38">
        <w:t>2.2 Theoretical Foundations of Retention</w:t>
      </w:r>
      <w:bookmarkEnd w:id="12"/>
    </w:p>
    <w:p w14:paraId="2CBEB62E" w14:textId="33814D96" w:rsidR="00BC6A38" w:rsidRPr="00BC6A38" w:rsidRDefault="00BC6A38" w:rsidP="00BC6A38">
      <w:pPr>
        <w:pStyle w:val="Heading3"/>
      </w:pPr>
      <w:bookmarkStart w:id="13" w:name="_Toc222675146"/>
      <w:r w:rsidRPr="00BC6A38">
        <w:t>2.2.1 Job Demands–Resources (JD-R) Model</w:t>
      </w:r>
      <w:bookmarkEnd w:id="13"/>
    </w:p>
    <w:p w14:paraId="2ED80286" w14:textId="2B5FC792" w:rsidR="00495FDE" w:rsidRDefault="00BC6A38" w:rsidP="00BC6A38">
      <w:pPr>
        <w:spacing w:line="360" w:lineRule="auto"/>
        <w:jc w:val="both"/>
        <w:rPr>
          <w:rFonts w:ascii="Arial" w:hAnsi="Arial" w:cs="Arial"/>
          <w:sz w:val="24"/>
          <w:szCs w:val="24"/>
        </w:rPr>
      </w:pPr>
      <w:r w:rsidRPr="00BC6A38">
        <w:rPr>
          <w:rFonts w:ascii="Arial" w:hAnsi="Arial" w:cs="Arial"/>
          <w:sz w:val="24"/>
          <w:szCs w:val="24"/>
        </w:rPr>
        <w:t>The Job Demands–Resources model provides a dominant framework for analysing employee wellbeing and turnover (Bakker and Demerouti, 2007). The model proposes that job demands (e.g., workload, emotional strain, role ambiguity) generate exhaustion when not balanced by job resources (e.g., autonomy, supervisory support, fair compensation).</w:t>
      </w:r>
    </w:p>
    <w:p w14:paraId="13F03A32" w14:textId="1189ADDB" w:rsidR="00CA6C26" w:rsidRPr="00CA6C26" w:rsidRDefault="00CA6C26" w:rsidP="00CA6C26">
      <w:pPr>
        <w:spacing w:line="360" w:lineRule="auto"/>
        <w:jc w:val="both"/>
        <w:rPr>
          <w:rFonts w:ascii="Arial" w:hAnsi="Arial" w:cs="Arial"/>
          <w:sz w:val="24"/>
          <w:szCs w:val="24"/>
        </w:rPr>
      </w:pPr>
      <w:r w:rsidRPr="00CA6C26">
        <w:rPr>
          <w:rFonts w:ascii="Arial" w:hAnsi="Arial" w:cs="Arial"/>
          <w:sz w:val="24"/>
          <w:szCs w:val="24"/>
        </w:rPr>
        <w:t xml:space="preserve">Empirical hospitality research supports JD-R predictions. Karatepe and </w:t>
      </w:r>
      <w:proofErr w:type="spellStart"/>
      <w:r w:rsidRPr="00CA6C26">
        <w:rPr>
          <w:rFonts w:ascii="Arial" w:hAnsi="Arial" w:cs="Arial"/>
          <w:sz w:val="24"/>
          <w:szCs w:val="24"/>
        </w:rPr>
        <w:t>Olugbade</w:t>
      </w:r>
      <w:proofErr w:type="spellEnd"/>
      <w:r w:rsidRPr="00CA6C26">
        <w:rPr>
          <w:rFonts w:ascii="Arial" w:hAnsi="Arial" w:cs="Arial"/>
          <w:sz w:val="24"/>
          <w:szCs w:val="24"/>
        </w:rPr>
        <w:t xml:space="preserve"> (2009) show that job resources significantly enhance work engagement among hotel employees, reducing turnover intention. Alola et al (2019) further demonstrate that customer incivility — a common demand in frontline hospitality roles — increases emotional exhaustion, which mediates turnover intention.</w:t>
      </w:r>
    </w:p>
    <w:p w14:paraId="01F5400C" w14:textId="5E742B0D" w:rsidR="00CA6C26" w:rsidRPr="00CA6C26" w:rsidRDefault="00A86174" w:rsidP="00CA6C26">
      <w:pPr>
        <w:spacing w:line="360" w:lineRule="auto"/>
        <w:jc w:val="both"/>
        <w:rPr>
          <w:rFonts w:ascii="Arial" w:hAnsi="Arial" w:cs="Arial"/>
          <w:sz w:val="24"/>
          <w:szCs w:val="24"/>
        </w:rPr>
      </w:pPr>
      <w:r w:rsidRPr="00A86174">
        <w:rPr>
          <w:rFonts w:ascii="Arial" w:hAnsi="Arial" w:cs="Arial"/>
          <w:sz w:val="24"/>
          <w:szCs w:val="24"/>
        </w:rPr>
        <w:t xml:space="preserve">Schaufeli and Taris (2014) critically review the Job Demands–Resources framework and argue that </w:t>
      </w:r>
      <w:r>
        <w:rPr>
          <w:rFonts w:ascii="Arial" w:hAnsi="Arial" w:cs="Arial"/>
          <w:sz w:val="24"/>
          <w:szCs w:val="24"/>
        </w:rPr>
        <w:t xml:space="preserve">an </w:t>
      </w:r>
      <w:r w:rsidRPr="00A86174">
        <w:rPr>
          <w:rFonts w:ascii="Arial" w:hAnsi="Arial" w:cs="Arial"/>
          <w:sz w:val="24"/>
          <w:szCs w:val="24"/>
        </w:rPr>
        <w:t>imbalance between job demands and job resources is associated with burnout and disengagement across occupational contexts.</w:t>
      </w:r>
      <w:r>
        <w:rPr>
          <w:rFonts w:ascii="Arial" w:hAnsi="Arial" w:cs="Arial"/>
          <w:sz w:val="24"/>
          <w:szCs w:val="24"/>
        </w:rPr>
        <w:t xml:space="preserve"> </w:t>
      </w:r>
      <w:r w:rsidR="00530A43" w:rsidRPr="00530A43">
        <w:rPr>
          <w:rFonts w:ascii="Arial" w:hAnsi="Arial" w:cs="Arial"/>
          <w:sz w:val="24"/>
          <w:szCs w:val="24"/>
        </w:rPr>
        <w:t>COR theory suggests that resource depletion contributes to strain and withdrawal responses when employees are unable to protect or regain valued resources (</w:t>
      </w:r>
      <w:proofErr w:type="spellStart"/>
      <w:r w:rsidR="00530A43" w:rsidRPr="00530A43">
        <w:rPr>
          <w:rFonts w:ascii="Arial" w:hAnsi="Arial" w:cs="Arial"/>
          <w:sz w:val="24"/>
          <w:szCs w:val="24"/>
        </w:rPr>
        <w:t>Hobfoll</w:t>
      </w:r>
      <w:proofErr w:type="spellEnd"/>
      <w:r w:rsidR="00530A43" w:rsidRPr="00530A43">
        <w:rPr>
          <w:rFonts w:ascii="Arial" w:hAnsi="Arial" w:cs="Arial"/>
          <w:sz w:val="24"/>
          <w:szCs w:val="24"/>
        </w:rPr>
        <w:t>, 1989; Halbesleben, 2006).</w:t>
      </w:r>
      <w:r w:rsidR="00530A43">
        <w:rPr>
          <w:rFonts w:ascii="Arial" w:hAnsi="Arial" w:cs="Arial"/>
          <w:sz w:val="24"/>
          <w:szCs w:val="24"/>
        </w:rPr>
        <w:t xml:space="preserve"> </w:t>
      </w:r>
      <w:r w:rsidR="00CA6C26" w:rsidRPr="00CA6C26">
        <w:rPr>
          <w:rFonts w:ascii="Arial" w:hAnsi="Arial" w:cs="Arial"/>
          <w:sz w:val="24"/>
          <w:szCs w:val="24"/>
        </w:rPr>
        <w:t>These findings are particularly relevant to front office environments where guest interaction and workload pressures are continuous.</w:t>
      </w:r>
    </w:p>
    <w:p w14:paraId="38A6C275" w14:textId="77777777" w:rsidR="00CA6C26" w:rsidRPr="00CA6C26" w:rsidRDefault="00CA6C26" w:rsidP="00CA6C26">
      <w:pPr>
        <w:spacing w:line="360" w:lineRule="auto"/>
        <w:jc w:val="both"/>
        <w:rPr>
          <w:rFonts w:ascii="Arial" w:hAnsi="Arial" w:cs="Arial"/>
          <w:sz w:val="24"/>
          <w:szCs w:val="24"/>
        </w:rPr>
      </w:pPr>
    </w:p>
    <w:p w14:paraId="1611E3ED" w14:textId="707EE1E3" w:rsidR="00495FDE" w:rsidRDefault="00CA6C26" w:rsidP="00C24665">
      <w:pPr>
        <w:pStyle w:val="Heading3"/>
      </w:pPr>
      <w:bookmarkStart w:id="14" w:name="_Toc222675147"/>
      <w:r w:rsidRPr="00CA6C26">
        <w:t>2.2.2 Emotional Labour and Frontline Stress</w:t>
      </w:r>
      <w:bookmarkEnd w:id="14"/>
    </w:p>
    <w:p w14:paraId="12803682" w14:textId="6ABA92B0" w:rsidR="00C24665" w:rsidRPr="00C24665" w:rsidRDefault="00C24665" w:rsidP="00C24665">
      <w:pPr>
        <w:spacing w:line="360" w:lineRule="auto"/>
        <w:jc w:val="both"/>
        <w:rPr>
          <w:rFonts w:ascii="Arial" w:hAnsi="Arial" w:cs="Arial"/>
          <w:sz w:val="24"/>
          <w:szCs w:val="24"/>
        </w:rPr>
      </w:pPr>
      <w:r w:rsidRPr="00C24665">
        <w:rPr>
          <w:rFonts w:ascii="Arial" w:hAnsi="Arial" w:cs="Arial"/>
          <w:sz w:val="24"/>
          <w:szCs w:val="24"/>
        </w:rPr>
        <w:t>Emotional labour theory provides further insight into frontline retention. Hochschild (1983) conceptualised emotional labour as the management of feelings to fulfil occupational expectations. In hospitality, employees must consistently display positive affect, regardless of internal emotional states.</w:t>
      </w:r>
    </w:p>
    <w:p w14:paraId="15D83058" w14:textId="0996C180" w:rsidR="00495FDE" w:rsidRDefault="00C24665" w:rsidP="0055692B">
      <w:pPr>
        <w:spacing w:line="360" w:lineRule="auto"/>
        <w:jc w:val="both"/>
        <w:rPr>
          <w:rFonts w:ascii="Arial" w:hAnsi="Arial" w:cs="Arial"/>
          <w:sz w:val="24"/>
          <w:szCs w:val="24"/>
        </w:rPr>
      </w:pPr>
      <w:r w:rsidRPr="00C24665">
        <w:rPr>
          <w:rFonts w:ascii="Arial" w:hAnsi="Arial" w:cs="Arial"/>
          <w:sz w:val="24"/>
          <w:szCs w:val="24"/>
        </w:rPr>
        <w:lastRenderedPageBreak/>
        <w:t xml:space="preserve">Grandey (2000) reframed emotional labour as emotional regulation and linked surface acting to stress outcomes. Hospitality-specific research confirms that emotional dissonance increases burnout and turnover intention among frontline employees (Chu and Murrmann, 2006; Karatepe and </w:t>
      </w:r>
      <w:proofErr w:type="spellStart"/>
      <w:r w:rsidRPr="00C24665">
        <w:rPr>
          <w:rFonts w:ascii="Arial" w:hAnsi="Arial" w:cs="Arial"/>
          <w:sz w:val="24"/>
          <w:szCs w:val="24"/>
        </w:rPr>
        <w:t>Uludag</w:t>
      </w:r>
      <w:proofErr w:type="spellEnd"/>
      <w:r w:rsidRPr="00C24665">
        <w:rPr>
          <w:rFonts w:ascii="Arial" w:hAnsi="Arial" w:cs="Arial"/>
          <w:sz w:val="24"/>
          <w:szCs w:val="24"/>
        </w:rPr>
        <w:t>, 2008).</w:t>
      </w:r>
    </w:p>
    <w:p w14:paraId="610E23ED" w14:textId="1CA08F5B" w:rsidR="00495FDE" w:rsidRDefault="001E79C7" w:rsidP="0055692B">
      <w:pPr>
        <w:spacing w:line="360" w:lineRule="auto"/>
        <w:jc w:val="both"/>
        <w:rPr>
          <w:rFonts w:ascii="Arial" w:hAnsi="Arial" w:cs="Arial"/>
          <w:sz w:val="24"/>
          <w:szCs w:val="24"/>
        </w:rPr>
      </w:pPr>
      <w:r w:rsidRPr="001E79C7">
        <w:rPr>
          <w:rFonts w:ascii="Arial" w:hAnsi="Arial" w:cs="Arial"/>
          <w:sz w:val="24"/>
          <w:szCs w:val="24"/>
        </w:rPr>
        <w:t>Recent research extends this understanding. Kim and Qu (2019) report that experienced customer incivility is positively associated with emotional job demands and burnout-related outcomes among hospitality employees. Similarly, Han</w:t>
      </w:r>
      <w:r w:rsidR="0053227D">
        <w:rPr>
          <w:rFonts w:ascii="Arial" w:hAnsi="Arial" w:cs="Arial"/>
          <w:sz w:val="24"/>
          <w:szCs w:val="24"/>
        </w:rPr>
        <w:t xml:space="preserve"> et al</w:t>
      </w:r>
      <w:r w:rsidRPr="001E79C7">
        <w:rPr>
          <w:rFonts w:ascii="Arial" w:hAnsi="Arial" w:cs="Arial"/>
          <w:sz w:val="24"/>
          <w:szCs w:val="24"/>
        </w:rPr>
        <w:t xml:space="preserve"> (2016) find that guest mistreatment increases stress and turnover intention. These findings highlight that front office employees may face heightened psychological strain relative to back-of-house roles.</w:t>
      </w:r>
    </w:p>
    <w:p w14:paraId="01E2B02E" w14:textId="77777777" w:rsidR="00E57024" w:rsidRDefault="00E57024" w:rsidP="0055692B">
      <w:pPr>
        <w:spacing w:line="360" w:lineRule="auto"/>
        <w:jc w:val="both"/>
        <w:rPr>
          <w:rFonts w:ascii="Arial" w:hAnsi="Arial" w:cs="Arial"/>
          <w:sz w:val="24"/>
          <w:szCs w:val="24"/>
        </w:rPr>
      </w:pPr>
    </w:p>
    <w:p w14:paraId="0E4BE740" w14:textId="36D38E6B" w:rsidR="00E57024" w:rsidRPr="00E57024" w:rsidRDefault="00E57024" w:rsidP="00E57024">
      <w:pPr>
        <w:pStyle w:val="Heading3"/>
      </w:pPr>
      <w:bookmarkStart w:id="15" w:name="_Toc222675148"/>
      <w:r w:rsidRPr="00E57024">
        <w:t>2.2.3 Motivation and Equity Perspectives</w:t>
      </w:r>
      <w:bookmarkEnd w:id="15"/>
    </w:p>
    <w:p w14:paraId="5FD0CD2E" w14:textId="1769E6AB" w:rsidR="00E57024" w:rsidRPr="00E57024" w:rsidRDefault="00E57024" w:rsidP="00E57024">
      <w:pPr>
        <w:spacing w:line="360" w:lineRule="auto"/>
        <w:jc w:val="both"/>
        <w:rPr>
          <w:rFonts w:ascii="Arial" w:hAnsi="Arial" w:cs="Arial"/>
          <w:sz w:val="24"/>
          <w:szCs w:val="24"/>
        </w:rPr>
      </w:pPr>
      <w:r w:rsidRPr="00E57024">
        <w:rPr>
          <w:rFonts w:ascii="Arial" w:hAnsi="Arial" w:cs="Arial"/>
          <w:sz w:val="24"/>
          <w:szCs w:val="24"/>
        </w:rPr>
        <w:t>Herzberg’s (1959) two-factor theory distinguishes hygiene factors (e.g., pay, working conditions) from motivators (e.g., recognition, advancement). Inadequate hygiene factors generate dissatisfaction even when intrinsic motivators are present.</w:t>
      </w:r>
    </w:p>
    <w:p w14:paraId="48212A84" w14:textId="77777777" w:rsidR="00753701" w:rsidRDefault="00E57024" w:rsidP="00E57024">
      <w:pPr>
        <w:spacing w:line="360" w:lineRule="auto"/>
        <w:jc w:val="both"/>
        <w:rPr>
          <w:rFonts w:ascii="Arial" w:hAnsi="Arial" w:cs="Arial"/>
          <w:sz w:val="24"/>
          <w:szCs w:val="24"/>
        </w:rPr>
      </w:pPr>
      <w:r w:rsidRPr="00E57024">
        <w:rPr>
          <w:rFonts w:ascii="Arial" w:hAnsi="Arial" w:cs="Arial"/>
          <w:sz w:val="24"/>
          <w:szCs w:val="24"/>
        </w:rPr>
        <w:t>Equity theory (Adams, 1965) further suggests that employees evaluate fairness through social comparison of effort and reward. Perceived inequity in compensation or workload distribution may increase dissatisfaction and withdrawal.</w:t>
      </w:r>
    </w:p>
    <w:p w14:paraId="7927D638" w14:textId="0A21B40B" w:rsidR="00105185" w:rsidRDefault="00753701" w:rsidP="00E57024">
      <w:pPr>
        <w:spacing w:line="360" w:lineRule="auto"/>
        <w:jc w:val="both"/>
        <w:rPr>
          <w:rFonts w:ascii="Arial" w:hAnsi="Arial" w:cs="Arial"/>
          <w:sz w:val="24"/>
          <w:szCs w:val="24"/>
        </w:rPr>
      </w:pPr>
      <w:r w:rsidRPr="00753701">
        <w:rPr>
          <w:rFonts w:ascii="Arial" w:hAnsi="Arial" w:cs="Arial"/>
          <w:sz w:val="24"/>
          <w:szCs w:val="24"/>
        </w:rPr>
        <w:t>Empirical hospitality research provides support for these theoretical propositions</w:t>
      </w:r>
      <w:r w:rsidR="00E57024" w:rsidRPr="00E57024">
        <w:rPr>
          <w:rFonts w:ascii="Arial" w:hAnsi="Arial" w:cs="Arial"/>
          <w:sz w:val="24"/>
          <w:szCs w:val="24"/>
        </w:rPr>
        <w:t xml:space="preserve">. Nadiri and </w:t>
      </w:r>
      <w:proofErr w:type="spellStart"/>
      <w:r w:rsidR="00E57024" w:rsidRPr="00E57024">
        <w:rPr>
          <w:rFonts w:ascii="Arial" w:hAnsi="Arial" w:cs="Arial"/>
          <w:sz w:val="24"/>
          <w:szCs w:val="24"/>
        </w:rPr>
        <w:t>Tanova</w:t>
      </w:r>
      <w:proofErr w:type="spellEnd"/>
      <w:r w:rsidR="00E57024" w:rsidRPr="00E57024">
        <w:rPr>
          <w:rFonts w:ascii="Arial" w:hAnsi="Arial" w:cs="Arial"/>
          <w:sz w:val="24"/>
          <w:szCs w:val="24"/>
        </w:rPr>
        <w:t xml:space="preserve"> (2010) find that perceived organisational justice significantly predicts intent to stay among hotel employees. </w:t>
      </w:r>
      <w:proofErr w:type="spellStart"/>
      <w:r w:rsidR="00E57024" w:rsidRPr="00E57024">
        <w:rPr>
          <w:rFonts w:ascii="Arial" w:hAnsi="Arial" w:cs="Arial"/>
          <w:sz w:val="24"/>
          <w:szCs w:val="24"/>
        </w:rPr>
        <w:t>Cropanzano</w:t>
      </w:r>
      <w:proofErr w:type="spellEnd"/>
      <w:r w:rsidR="0001071E">
        <w:rPr>
          <w:rFonts w:ascii="Arial" w:hAnsi="Arial" w:cs="Arial"/>
          <w:sz w:val="24"/>
          <w:szCs w:val="24"/>
        </w:rPr>
        <w:t xml:space="preserve"> et al</w:t>
      </w:r>
      <w:r w:rsidR="00E57024" w:rsidRPr="00E57024">
        <w:rPr>
          <w:rFonts w:ascii="Arial" w:hAnsi="Arial" w:cs="Arial"/>
          <w:sz w:val="24"/>
          <w:szCs w:val="24"/>
        </w:rPr>
        <w:t xml:space="preserve"> (2007) emphasise that fairness perceptions shape organisational trust and retention outcomes. Thus, remuneration and workload cannot be examined independently from justice perceptions.</w:t>
      </w:r>
    </w:p>
    <w:p w14:paraId="6A530EED" w14:textId="77777777" w:rsidR="00495FDE" w:rsidRDefault="00495FDE" w:rsidP="0055692B">
      <w:pPr>
        <w:spacing w:line="360" w:lineRule="auto"/>
        <w:jc w:val="both"/>
        <w:rPr>
          <w:rFonts w:ascii="Arial" w:hAnsi="Arial" w:cs="Arial"/>
          <w:sz w:val="24"/>
          <w:szCs w:val="24"/>
        </w:rPr>
      </w:pPr>
    </w:p>
    <w:p w14:paraId="7D45092B" w14:textId="01F8B739" w:rsidR="00495FDE" w:rsidRPr="002B7A2C" w:rsidRDefault="00B22F5C" w:rsidP="002B7A2C">
      <w:pPr>
        <w:pStyle w:val="Heading2"/>
      </w:pPr>
      <w:bookmarkStart w:id="16" w:name="_Toc222675149"/>
      <w:r w:rsidRPr="00B22F5C">
        <w:t>2.3 Remuneration and Compensation Perceptions</w:t>
      </w:r>
      <w:bookmarkEnd w:id="16"/>
    </w:p>
    <w:p w14:paraId="1C4F19DF" w14:textId="72D232F1" w:rsidR="002B7A2C" w:rsidRPr="002B7A2C" w:rsidRDefault="002B7A2C" w:rsidP="002B7A2C">
      <w:pPr>
        <w:spacing w:line="360" w:lineRule="auto"/>
        <w:jc w:val="both"/>
        <w:rPr>
          <w:rFonts w:ascii="Arial" w:hAnsi="Arial" w:cs="Arial"/>
          <w:sz w:val="24"/>
          <w:szCs w:val="24"/>
        </w:rPr>
      </w:pPr>
      <w:r w:rsidRPr="002B7A2C">
        <w:rPr>
          <w:rFonts w:ascii="Arial" w:hAnsi="Arial" w:cs="Arial"/>
          <w:sz w:val="24"/>
          <w:szCs w:val="24"/>
        </w:rPr>
        <w:t xml:space="preserve">Compensation remains an important structural determinant of employee retention within hospitality organisations. Pay systems signal organisational priorities and influence employees’ perceptions of value and fairness. Chiang and Birtch (2010) demonstrate that pay-for-performance systems shape employee work attitudes within hospitality contexts, particularly when reward structures align with employees’ </w:t>
      </w:r>
      <w:r w:rsidRPr="002B7A2C">
        <w:rPr>
          <w:rFonts w:ascii="Arial" w:hAnsi="Arial" w:cs="Arial"/>
          <w:sz w:val="24"/>
          <w:szCs w:val="24"/>
        </w:rPr>
        <w:lastRenderedPageBreak/>
        <w:t>perceptions of service value congruence. Their findings suggest that remuneration influences attitudinal outcomes, although it operates within a broader organisational framework.</w:t>
      </w:r>
    </w:p>
    <w:p w14:paraId="1B56E367" w14:textId="0C6D7113" w:rsidR="002B7A2C" w:rsidRPr="002B7A2C" w:rsidRDefault="002B7A2C" w:rsidP="002B7A2C">
      <w:pPr>
        <w:spacing w:line="360" w:lineRule="auto"/>
        <w:jc w:val="both"/>
        <w:rPr>
          <w:rFonts w:ascii="Arial" w:hAnsi="Arial" w:cs="Arial"/>
          <w:sz w:val="24"/>
          <w:szCs w:val="24"/>
        </w:rPr>
      </w:pPr>
      <w:r w:rsidRPr="002B7A2C">
        <w:rPr>
          <w:rFonts w:ascii="Arial" w:hAnsi="Arial" w:cs="Arial"/>
          <w:sz w:val="24"/>
          <w:szCs w:val="24"/>
        </w:rPr>
        <w:t xml:space="preserve">Perceived fairness in reward distribution is equally critical. Drawing on organisational justice theory, Nadiri and </w:t>
      </w:r>
      <w:proofErr w:type="spellStart"/>
      <w:r w:rsidRPr="002B7A2C">
        <w:rPr>
          <w:rFonts w:ascii="Arial" w:hAnsi="Arial" w:cs="Arial"/>
          <w:sz w:val="24"/>
          <w:szCs w:val="24"/>
        </w:rPr>
        <w:t>Tanova</w:t>
      </w:r>
      <w:proofErr w:type="spellEnd"/>
      <w:r w:rsidRPr="002B7A2C">
        <w:rPr>
          <w:rFonts w:ascii="Arial" w:hAnsi="Arial" w:cs="Arial"/>
          <w:sz w:val="24"/>
          <w:szCs w:val="24"/>
        </w:rPr>
        <w:t xml:space="preserve"> (2010) find that distributive and procedural justice significantly predict turnover intention among hotel employees. Employees who perceive reward systems as fair report lower intentions to leave, indicating that equity perceptions mediate the relationship between compensation structures and retention.</w:t>
      </w:r>
    </w:p>
    <w:p w14:paraId="1C034F33" w14:textId="7CA9DC28" w:rsidR="002B7A2C" w:rsidRPr="002B7A2C" w:rsidRDefault="002B7A2C" w:rsidP="002B7A2C">
      <w:pPr>
        <w:spacing w:line="360" w:lineRule="auto"/>
        <w:jc w:val="both"/>
        <w:rPr>
          <w:rFonts w:ascii="Arial" w:hAnsi="Arial" w:cs="Arial"/>
          <w:sz w:val="24"/>
          <w:szCs w:val="24"/>
        </w:rPr>
      </w:pPr>
      <w:r w:rsidRPr="002B7A2C">
        <w:rPr>
          <w:rFonts w:ascii="Arial" w:hAnsi="Arial" w:cs="Arial"/>
          <w:sz w:val="24"/>
          <w:szCs w:val="24"/>
        </w:rPr>
        <w:t>More recent research further emphasises the interactive nature of remuneration and working conditions. Jolly et al (2021) show that pay and benefit satisfaction are negatively associated with turnover intentions among hospitality employees. Importantly, they demonstrate that job variety moderates this relationship, such that employees experiencing greater job variety are less likely to report turnover intention even when pay and benefit satisfaction is lower. This finding indicates that compensation does not operate independently, but interacts with job design factors in shaping retention outcomes.</w:t>
      </w:r>
    </w:p>
    <w:p w14:paraId="5BFC0287" w14:textId="6622405E" w:rsidR="002B7A2C" w:rsidRPr="002B7A2C" w:rsidRDefault="006061EC" w:rsidP="002B7A2C">
      <w:pPr>
        <w:spacing w:line="360" w:lineRule="auto"/>
        <w:jc w:val="both"/>
        <w:rPr>
          <w:rFonts w:ascii="Arial" w:hAnsi="Arial" w:cs="Arial"/>
          <w:sz w:val="24"/>
          <w:szCs w:val="24"/>
        </w:rPr>
      </w:pPr>
      <w:proofErr w:type="spellStart"/>
      <w:r w:rsidRPr="006061EC">
        <w:rPr>
          <w:rFonts w:ascii="Arial" w:hAnsi="Arial" w:cs="Arial"/>
          <w:sz w:val="24"/>
          <w:szCs w:val="24"/>
        </w:rPr>
        <w:t>Guchait</w:t>
      </w:r>
      <w:proofErr w:type="spellEnd"/>
      <w:r>
        <w:rPr>
          <w:rFonts w:ascii="Arial" w:hAnsi="Arial" w:cs="Arial"/>
          <w:sz w:val="24"/>
          <w:szCs w:val="24"/>
        </w:rPr>
        <w:t xml:space="preserve"> et al</w:t>
      </w:r>
      <w:r w:rsidRPr="006061EC">
        <w:rPr>
          <w:rFonts w:ascii="Arial" w:hAnsi="Arial" w:cs="Arial"/>
          <w:sz w:val="24"/>
          <w:szCs w:val="24"/>
        </w:rPr>
        <w:t xml:space="preserve"> (2015) find that perceived organisational support strengthens relational psychological contracts, which in turn reduce employees’ intent to leave within hospitality contexts. When employees perceive that organisational obligations are fulfilled, they report stronger attachment to the organisation and lower withdrawal intentions.</w:t>
      </w:r>
      <w:r>
        <w:rPr>
          <w:rFonts w:ascii="Arial" w:hAnsi="Arial" w:cs="Arial"/>
          <w:sz w:val="24"/>
          <w:szCs w:val="24"/>
        </w:rPr>
        <w:t xml:space="preserve"> </w:t>
      </w:r>
      <w:r w:rsidR="00A4070C" w:rsidRPr="00A4070C">
        <w:rPr>
          <w:rFonts w:ascii="Arial" w:hAnsi="Arial" w:cs="Arial"/>
          <w:sz w:val="24"/>
          <w:szCs w:val="24"/>
        </w:rPr>
        <w:t>Jung and Yoon (2015) show that pay satisfaction significantly influences employee engagement and withdrawal behaviours in hotel settings, indicating that inadequate compensation may heighten disengagement under demanding working conditions.</w:t>
      </w:r>
    </w:p>
    <w:p w14:paraId="2B83FC3F" w14:textId="6DF9DD44" w:rsidR="00A21E63" w:rsidRDefault="002B7A2C" w:rsidP="002B7A2C">
      <w:pPr>
        <w:spacing w:line="360" w:lineRule="auto"/>
        <w:jc w:val="both"/>
        <w:rPr>
          <w:rFonts w:ascii="Arial" w:hAnsi="Arial" w:cs="Arial"/>
          <w:sz w:val="24"/>
          <w:szCs w:val="24"/>
        </w:rPr>
      </w:pPr>
      <w:r w:rsidRPr="002B7A2C">
        <w:rPr>
          <w:rFonts w:ascii="Arial" w:hAnsi="Arial" w:cs="Arial"/>
          <w:sz w:val="24"/>
          <w:szCs w:val="24"/>
        </w:rPr>
        <w:t>Taken together, the literature suggests that compensation should not be conceptualised purely as an economic variable. Rather, remuneration interacts with job characteristics, fairness perceptions and psychological contract fulfilment to influence retention outcomes. Within frontline hotel departments, where workload variability and emotional demands are high, compensation perceptions may function as a buffering mechanism against turnover intention.</w:t>
      </w:r>
    </w:p>
    <w:p w14:paraId="50860B14" w14:textId="77777777" w:rsidR="00C34838" w:rsidRDefault="00C34838" w:rsidP="002B7A2C">
      <w:pPr>
        <w:spacing w:line="360" w:lineRule="auto"/>
        <w:jc w:val="both"/>
        <w:rPr>
          <w:rFonts w:ascii="Arial" w:hAnsi="Arial" w:cs="Arial"/>
          <w:sz w:val="24"/>
          <w:szCs w:val="24"/>
        </w:rPr>
      </w:pPr>
    </w:p>
    <w:p w14:paraId="0D17CA1C" w14:textId="6D15E7AB" w:rsidR="00765EC4" w:rsidRPr="00765EC4" w:rsidRDefault="00765EC4" w:rsidP="00765EC4">
      <w:pPr>
        <w:pStyle w:val="Heading2"/>
      </w:pPr>
      <w:bookmarkStart w:id="17" w:name="_Toc222675150"/>
      <w:r w:rsidRPr="00765EC4">
        <w:lastRenderedPageBreak/>
        <w:t>2.4 Working Conditions and Organisational Support</w:t>
      </w:r>
      <w:bookmarkEnd w:id="17"/>
    </w:p>
    <w:p w14:paraId="7F5025E5" w14:textId="1349C1B7" w:rsidR="00765EC4" w:rsidRPr="00765EC4" w:rsidRDefault="00765EC4" w:rsidP="00765EC4">
      <w:pPr>
        <w:spacing w:line="360" w:lineRule="auto"/>
        <w:jc w:val="both"/>
        <w:rPr>
          <w:rFonts w:ascii="Arial" w:hAnsi="Arial" w:cs="Arial"/>
          <w:sz w:val="24"/>
          <w:szCs w:val="24"/>
        </w:rPr>
      </w:pPr>
      <w:r w:rsidRPr="00765EC4">
        <w:rPr>
          <w:rFonts w:ascii="Arial" w:hAnsi="Arial" w:cs="Arial"/>
          <w:sz w:val="24"/>
          <w:szCs w:val="24"/>
        </w:rPr>
        <w:t>Working conditions encompass workload, scheduling, leadership support and organisational climate. Deery and Jago (2015) identify unsociable hours and limited flexibility as persistent drivers of attrition in hospitality.</w:t>
      </w:r>
    </w:p>
    <w:p w14:paraId="3FDDB3DA" w14:textId="36FCF17A" w:rsidR="00765EC4" w:rsidRPr="00765EC4" w:rsidRDefault="00765EC4" w:rsidP="00765EC4">
      <w:pPr>
        <w:spacing w:line="360" w:lineRule="auto"/>
        <w:jc w:val="both"/>
        <w:rPr>
          <w:rFonts w:ascii="Arial" w:hAnsi="Arial" w:cs="Arial"/>
          <w:sz w:val="24"/>
          <w:szCs w:val="24"/>
        </w:rPr>
      </w:pPr>
      <w:r w:rsidRPr="00765EC4">
        <w:rPr>
          <w:rFonts w:ascii="Arial" w:hAnsi="Arial" w:cs="Arial"/>
          <w:sz w:val="24"/>
          <w:szCs w:val="24"/>
        </w:rPr>
        <w:t>Karatepe (2013) finds that high-performance work practices and supportive leadership reduce turnover intention in hotel contexts. Alola et al (2019) confirm that job resources</w:t>
      </w:r>
      <w:r w:rsidR="00EC3603">
        <w:rPr>
          <w:rFonts w:ascii="Arial" w:hAnsi="Arial" w:cs="Arial"/>
          <w:sz w:val="24"/>
          <w:szCs w:val="24"/>
        </w:rPr>
        <w:t>,</w:t>
      </w:r>
      <w:r w:rsidRPr="00765EC4">
        <w:rPr>
          <w:rFonts w:ascii="Arial" w:hAnsi="Arial" w:cs="Arial"/>
          <w:sz w:val="24"/>
          <w:szCs w:val="24"/>
        </w:rPr>
        <w:t xml:space="preserve"> such as supervisor support</w:t>
      </w:r>
      <w:r w:rsidR="00EC3603">
        <w:rPr>
          <w:rFonts w:ascii="Arial" w:hAnsi="Arial" w:cs="Arial"/>
          <w:sz w:val="24"/>
          <w:szCs w:val="24"/>
        </w:rPr>
        <w:t>,</w:t>
      </w:r>
      <w:r w:rsidRPr="00765EC4">
        <w:rPr>
          <w:rFonts w:ascii="Arial" w:hAnsi="Arial" w:cs="Arial"/>
          <w:sz w:val="24"/>
          <w:szCs w:val="24"/>
        </w:rPr>
        <w:t xml:space="preserve"> buffer the negative effects of customer-related stress.</w:t>
      </w:r>
    </w:p>
    <w:p w14:paraId="415DEBBD" w14:textId="77777777" w:rsidR="00EC3603" w:rsidRDefault="00765EC4" w:rsidP="00765EC4">
      <w:pPr>
        <w:spacing w:line="360" w:lineRule="auto"/>
        <w:jc w:val="both"/>
        <w:rPr>
          <w:rFonts w:ascii="Arial" w:hAnsi="Arial" w:cs="Arial"/>
          <w:sz w:val="24"/>
          <w:szCs w:val="24"/>
        </w:rPr>
      </w:pPr>
      <w:r w:rsidRPr="00765EC4">
        <w:rPr>
          <w:rFonts w:ascii="Arial" w:hAnsi="Arial" w:cs="Arial"/>
          <w:sz w:val="24"/>
          <w:szCs w:val="24"/>
        </w:rPr>
        <w:t>From a broader HRM perspective, Jiang et al (2012) demonstrate that supportive HR practices enhance employee wellbeing and reduce withdrawal behaviours. These findings reinforce the JD-R proposition that job resources mitigate demand-related strain.</w:t>
      </w:r>
    </w:p>
    <w:p w14:paraId="2EF32F25" w14:textId="54A4625A" w:rsidR="00C34838" w:rsidRDefault="00765EC4" w:rsidP="00765EC4">
      <w:pPr>
        <w:spacing w:line="360" w:lineRule="auto"/>
        <w:jc w:val="both"/>
        <w:rPr>
          <w:rFonts w:ascii="Arial" w:hAnsi="Arial" w:cs="Arial"/>
          <w:sz w:val="24"/>
          <w:szCs w:val="24"/>
        </w:rPr>
      </w:pPr>
      <w:r w:rsidRPr="00765EC4">
        <w:rPr>
          <w:rFonts w:ascii="Arial" w:hAnsi="Arial" w:cs="Arial"/>
          <w:sz w:val="24"/>
          <w:szCs w:val="24"/>
        </w:rPr>
        <w:t>In front office roles, fluctuating occupancy rates, peak service periods</w:t>
      </w:r>
      <w:r w:rsidR="00EC3603">
        <w:rPr>
          <w:rFonts w:ascii="Arial" w:hAnsi="Arial" w:cs="Arial"/>
          <w:sz w:val="24"/>
          <w:szCs w:val="24"/>
        </w:rPr>
        <w:t>,</w:t>
      </w:r>
      <w:r w:rsidRPr="00765EC4">
        <w:rPr>
          <w:rFonts w:ascii="Arial" w:hAnsi="Arial" w:cs="Arial"/>
          <w:sz w:val="24"/>
          <w:szCs w:val="24"/>
        </w:rPr>
        <w:t xml:space="preserve"> and complaint management intensify workload unpredictability. When these conditions coincide with staffing shortages, role overload may increase burnout risk.</w:t>
      </w:r>
    </w:p>
    <w:p w14:paraId="14C81471" w14:textId="77777777" w:rsidR="00EC3603" w:rsidRDefault="00EC3603" w:rsidP="00765EC4">
      <w:pPr>
        <w:spacing w:line="360" w:lineRule="auto"/>
        <w:jc w:val="both"/>
        <w:rPr>
          <w:rFonts w:ascii="Arial" w:hAnsi="Arial" w:cs="Arial"/>
          <w:sz w:val="24"/>
          <w:szCs w:val="24"/>
        </w:rPr>
      </w:pPr>
    </w:p>
    <w:p w14:paraId="42326CDB" w14:textId="574B0859" w:rsidR="00FD460F" w:rsidRPr="00FD460F" w:rsidRDefault="00FD460F" w:rsidP="00FD460F">
      <w:pPr>
        <w:pStyle w:val="Heading2"/>
      </w:pPr>
      <w:bookmarkStart w:id="18" w:name="_Toc222675151"/>
      <w:r w:rsidRPr="00FD460F">
        <w:t>2.5 Organisational Implications of Turnover</w:t>
      </w:r>
      <w:bookmarkEnd w:id="18"/>
    </w:p>
    <w:p w14:paraId="0A763993" w14:textId="09080BD4" w:rsidR="00FD460F" w:rsidRPr="00FD460F" w:rsidRDefault="00FD460F" w:rsidP="00FD460F">
      <w:pPr>
        <w:spacing w:line="360" w:lineRule="auto"/>
        <w:jc w:val="both"/>
        <w:rPr>
          <w:rFonts w:ascii="Arial" w:hAnsi="Arial" w:cs="Arial"/>
          <w:sz w:val="24"/>
          <w:szCs w:val="24"/>
        </w:rPr>
      </w:pPr>
      <w:r w:rsidRPr="00FD460F">
        <w:rPr>
          <w:rFonts w:ascii="Arial" w:hAnsi="Arial" w:cs="Arial"/>
          <w:sz w:val="24"/>
          <w:szCs w:val="24"/>
        </w:rPr>
        <w:t>High turnover generates significant cost implications. Davidson</w:t>
      </w:r>
      <w:r>
        <w:rPr>
          <w:rFonts w:ascii="Arial" w:hAnsi="Arial" w:cs="Arial"/>
          <w:sz w:val="24"/>
          <w:szCs w:val="24"/>
        </w:rPr>
        <w:t xml:space="preserve"> et al</w:t>
      </w:r>
      <w:r w:rsidRPr="00FD460F">
        <w:rPr>
          <w:rFonts w:ascii="Arial" w:hAnsi="Arial" w:cs="Arial"/>
          <w:sz w:val="24"/>
          <w:szCs w:val="24"/>
        </w:rPr>
        <w:t xml:space="preserve"> (2010) quantify labour turnover costs in hospitality and emphasise productivity loss and training expenses. Harter</w:t>
      </w:r>
      <w:r w:rsidR="001E1BB5">
        <w:rPr>
          <w:rFonts w:ascii="Arial" w:hAnsi="Arial" w:cs="Arial"/>
          <w:sz w:val="24"/>
          <w:szCs w:val="24"/>
        </w:rPr>
        <w:t xml:space="preserve"> et al</w:t>
      </w:r>
      <w:r w:rsidRPr="00FD460F">
        <w:rPr>
          <w:rFonts w:ascii="Arial" w:hAnsi="Arial" w:cs="Arial"/>
          <w:sz w:val="24"/>
          <w:szCs w:val="24"/>
        </w:rPr>
        <w:t xml:space="preserve"> (2002) link employee engagement to business performance outcomes, suggesting that frontline retention influences service quality.</w:t>
      </w:r>
    </w:p>
    <w:p w14:paraId="4F36F5EE" w14:textId="1EC26E21" w:rsidR="00EC3603" w:rsidRDefault="00FD460F" w:rsidP="00FD460F">
      <w:pPr>
        <w:spacing w:line="360" w:lineRule="auto"/>
        <w:jc w:val="both"/>
        <w:rPr>
          <w:rFonts w:ascii="Arial" w:hAnsi="Arial" w:cs="Arial"/>
          <w:sz w:val="24"/>
          <w:szCs w:val="24"/>
        </w:rPr>
      </w:pPr>
      <w:r w:rsidRPr="00FD460F">
        <w:rPr>
          <w:rFonts w:ascii="Arial" w:hAnsi="Arial" w:cs="Arial"/>
          <w:sz w:val="24"/>
          <w:szCs w:val="24"/>
        </w:rPr>
        <w:t>Within front office departments, turnover may disproportionately affect customer satisfaction due to their direct guest interaction. Xie</w:t>
      </w:r>
      <w:r w:rsidR="00396A56">
        <w:rPr>
          <w:rFonts w:ascii="Arial" w:hAnsi="Arial" w:cs="Arial"/>
          <w:sz w:val="24"/>
          <w:szCs w:val="24"/>
        </w:rPr>
        <w:t xml:space="preserve"> et al</w:t>
      </w:r>
      <w:r w:rsidRPr="00FD460F">
        <w:rPr>
          <w:rFonts w:ascii="Arial" w:hAnsi="Arial" w:cs="Arial"/>
          <w:sz w:val="24"/>
          <w:szCs w:val="24"/>
        </w:rPr>
        <w:t xml:space="preserve"> (2014) demonstrate that service interactions influence online reputation metrics, further emphasising the strategic importance of frontline stability.</w:t>
      </w:r>
    </w:p>
    <w:p w14:paraId="3E993B25" w14:textId="77777777" w:rsidR="002B7A2C" w:rsidRDefault="002B7A2C" w:rsidP="002B7A2C">
      <w:pPr>
        <w:spacing w:line="360" w:lineRule="auto"/>
        <w:jc w:val="both"/>
        <w:rPr>
          <w:rFonts w:ascii="Arial" w:hAnsi="Arial" w:cs="Arial"/>
          <w:sz w:val="24"/>
          <w:szCs w:val="24"/>
        </w:rPr>
      </w:pPr>
    </w:p>
    <w:p w14:paraId="09AE169C" w14:textId="1F8BAD09" w:rsidR="00EE4759" w:rsidRPr="00EE4759" w:rsidRDefault="00EE4759" w:rsidP="00EE4759">
      <w:pPr>
        <w:pStyle w:val="Heading2"/>
      </w:pPr>
      <w:bookmarkStart w:id="19" w:name="_Toc222675152"/>
      <w:r w:rsidRPr="00EE4759">
        <w:t>2.6 Research Gap</w:t>
      </w:r>
      <w:bookmarkEnd w:id="19"/>
    </w:p>
    <w:p w14:paraId="5D635E58" w14:textId="319E9361" w:rsidR="00EE4759" w:rsidRPr="00EE4759" w:rsidRDefault="00EE4759" w:rsidP="00EE4759">
      <w:pPr>
        <w:spacing w:line="360" w:lineRule="auto"/>
        <w:jc w:val="both"/>
        <w:rPr>
          <w:rFonts w:ascii="Arial" w:hAnsi="Arial" w:cs="Arial"/>
          <w:sz w:val="24"/>
          <w:szCs w:val="24"/>
        </w:rPr>
      </w:pPr>
      <w:r w:rsidRPr="00EE4759">
        <w:rPr>
          <w:rFonts w:ascii="Arial" w:hAnsi="Arial" w:cs="Arial"/>
          <w:sz w:val="24"/>
          <w:szCs w:val="24"/>
        </w:rPr>
        <w:t>The literature demonstrates that:</w:t>
      </w:r>
    </w:p>
    <w:p w14:paraId="48273FFE" w14:textId="77777777" w:rsidR="00EE4759" w:rsidRPr="00EE4759" w:rsidRDefault="00EE4759" w:rsidP="00EE4759">
      <w:pPr>
        <w:pStyle w:val="ListParagraph"/>
        <w:numPr>
          <w:ilvl w:val="0"/>
          <w:numId w:val="2"/>
        </w:numPr>
        <w:spacing w:line="360" w:lineRule="auto"/>
        <w:jc w:val="both"/>
        <w:rPr>
          <w:rFonts w:ascii="Arial" w:hAnsi="Arial" w:cs="Arial"/>
          <w:sz w:val="24"/>
          <w:szCs w:val="24"/>
        </w:rPr>
      </w:pPr>
      <w:r w:rsidRPr="00EE4759">
        <w:rPr>
          <w:rFonts w:ascii="Arial" w:hAnsi="Arial" w:cs="Arial"/>
          <w:sz w:val="24"/>
          <w:szCs w:val="24"/>
        </w:rPr>
        <w:lastRenderedPageBreak/>
        <w:t>Job demands and resources predict burnout and turnover intention (Bakker and Demerouti, 2007).</w:t>
      </w:r>
    </w:p>
    <w:p w14:paraId="2CBF41C9" w14:textId="394CBA98" w:rsidR="00EE4759" w:rsidRPr="00EE4759" w:rsidRDefault="00EE4759" w:rsidP="00EE4759">
      <w:pPr>
        <w:pStyle w:val="ListParagraph"/>
        <w:numPr>
          <w:ilvl w:val="0"/>
          <w:numId w:val="2"/>
        </w:numPr>
        <w:spacing w:line="360" w:lineRule="auto"/>
        <w:jc w:val="both"/>
        <w:rPr>
          <w:rFonts w:ascii="Arial" w:hAnsi="Arial" w:cs="Arial"/>
          <w:sz w:val="24"/>
          <w:szCs w:val="24"/>
        </w:rPr>
      </w:pPr>
      <w:r w:rsidRPr="00EE4759">
        <w:rPr>
          <w:rFonts w:ascii="Arial" w:hAnsi="Arial" w:cs="Arial"/>
          <w:sz w:val="24"/>
          <w:szCs w:val="24"/>
        </w:rPr>
        <w:t>Emotional labour intensifies frontline strain (Grandey, 2000; Kim and Qu, 20</w:t>
      </w:r>
      <w:r w:rsidR="00D14F9D">
        <w:rPr>
          <w:rFonts w:ascii="Arial" w:hAnsi="Arial" w:cs="Arial"/>
          <w:sz w:val="24"/>
          <w:szCs w:val="24"/>
        </w:rPr>
        <w:t>19</w:t>
      </w:r>
      <w:r w:rsidRPr="00EE4759">
        <w:rPr>
          <w:rFonts w:ascii="Arial" w:hAnsi="Arial" w:cs="Arial"/>
          <w:sz w:val="24"/>
          <w:szCs w:val="24"/>
        </w:rPr>
        <w:t>).</w:t>
      </w:r>
    </w:p>
    <w:p w14:paraId="14B9AF6F" w14:textId="37B357D1" w:rsidR="00EE4759" w:rsidRPr="00EE4759" w:rsidRDefault="00EE4759" w:rsidP="00EE4759">
      <w:pPr>
        <w:pStyle w:val="ListParagraph"/>
        <w:numPr>
          <w:ilvl w:val="0"/>
          <w:numId w:val="2"/>
        </w:numPr>
        <w:spacing w:line="360" w:lineRule="auto"/>
        <w:jc w:val="both"/>
        <w:rPr>
          <w:rFonts w:ascii="Arial" w:hAnsi="Arial" w:cs="Arial"/>
          <w:sz w:val="24"/>
          <w:szCs w:val="24"/>
        </w:rPr>
      </w:pPr>
      <w:r w:rsidRPr="00EE4759">
        <w:rPr>
          <w:rFonts w:ascii="Arial" w:hAnsi="Arial" w:cs="Arial"/>
          <w:sz w:val="24"/>
          <w:szCs w:val="24"/>
        </w:rPr>
        <w:t>Compensation fairness influences retention outcomes (Chiang and Birtch, 2010;</w:t>
      </w:r>
      <w:r w:rsidR="00E57AB7">
        <w:rPr>
          <w:rFonts w:ascii="Arial" w:hAnsi="Arial" w:cs="Arial"/>
          <w:sz w:val="24"/>
          <w:szCs w:val="24"/>
        </w:rPr>
        <w:t xml:space="preserve"> </w:t>
      </w:r>
      <w:r w:rsidR="00E57AB7" w:rsidRPr="00E57AB7">
        <w:rPr>
          <w:rFonts w:ascii="Arial" w:hAnsi="Arial" w:cs="Arial"/>
          <w:sz w:val="24"/>
          <w:szCs w:val="24"/>
        </w:rPr>
        <w:t xml:space="preserve">Nadiri and </w:t>
      </w:r>
      <w:proofErr w:type="spellStart"/>
      <w:r w:rsidR="00E57AB7" w:rsidRPr="00E57AB7">
        <w:rPr>
          <w:rFonts w:ascii="Arial" w:hAnsi="Arial" w:cs="Arial"/>
          <w:sz w:val="24"/>
          <w:szCs w:val="24"/>
        </w:rPr>
        <w:t>Tanova</w:t>
      </w:r>
      <w:proofErr w:type="spellEnd"/>
      <w:r w:rsidR="00E57AB7" w:rsidRPr="00E57AB7">
        <w:rPr>
          <w:rFonts w:ascii="Arial" w:hAnsi="Arial" w:cs="Arial"/>
          <w:sz w:val="24"/>
          <w:szCs w:val="24"/>
        </w:rPr>
        <w:t>, 2010</w:t>
      </w:r>
      <w:r w:rsidRPr="00EE4759">
        <w:rPr>
          <w:rFonts w:ascii="Arial" w:hAnsi="Arial" w:cs="Arial"/>
          <w:sz w:val="24"/>
          <w:szCs w:val="24"/>
        </w:rPr>
        <w:t>).</w:t>
      </w:r>
    </w:p>
    <w:p w14:paraId="40A1E1C7" w14:textId="48C680B9" w:rsidR="00EE4759" w:rsidRPr="00EE4759" w:rsidRDefault="00EE4759" w:rsidP="00EE4759">
      <w:pPr>
        <w:spacing w:line="360" w:lineRule="auto"/>
        <w:jc w:val="both"/>
        <w:rPr>
          <w:rFonts w:ascii="Arial" w:hAnsi="Arial" w:cs="Arial"/>
          <w:sz w:val="24"/>
          <w:szCs w:val="24"/>
        </w:rPr>
      </w:pPr>
      <w:r w:rsidRPr="00EE4759">
        <w:rPr>
          <w:rFonts w:ascii="Arial" w:hAnsi="Arial" w:cs="Arial"/>
          <w:sz w:val="24"/>
          <w:szCs w:val="24"/>
        </w:rPr>
        <w:t>However, gaps remain:</w:t>
      </w:r>
    </w:p>
    <w:p w14:paraId="6F3D1B70" w14:textId="0C0CCF2B" w:rsidR="00EE4759" w:rsidRPr="00EE4759" w:rsidRDefault="00EE4759" w:rsidP="00EE4759">
      <w:pPr>
        <w:pStyle w:val="ListParagraph"/>
        <w:numPr>
          <w:ilvl w:val="0"/>
          <w:numId w:val="3"/>
        </w:numPr>
        <w:spacing w:line="360" w:lineRule="auto"/>
        <w:jc w:val="both"/>
        <w:rPr>
          <w:rFonts w:ascii="Arial" w:hAnsi="Arial" w:cs="Arial"/>
          <w:sz w:val="24"/>
          <w:szCs w:val="24"/>
        </w:rPr>
      </w:pPr>
      <w:r w:rsidRPr="00EE4759">
        <w:rPr>
          <w:rFonts w:ascii="Arial" w:hAnsi="Arial" w:cs="Arial"/>
          <w:sz w:val="24"/>
          <w:szCs w:val="24"/>
        </w:rPr>
        <w:t>Limited department-specific focus on front office roles.</w:t>
      </w:r>
    </w:p>
    <w:p w14:paraId="7594C5DF" w14:textId="037E3041" w:rsidR="00EE4759" w:rsidRPr="00EE4759" w:rsidRDefault="00EE4759" w:rsidP="00EE4759">
      <w:pPr>
        <w:pStyle w:val="ListParagraph"/>
        <w:numPr>
          <w:ilvl w:val="0"/>
          <w:numId w:val="3"/>
        </w:numPr>
        <w:spacing w:line="360" w:lineRule="auto"/>
        <w:jc w:val="both"/>
        <w:rPr>
          <w:rFonts w:ascii="Arial" w:hAnsi="Arial" w:cs="Arial"/>
          <w:sz w:val="24"/>
          <w:szCs w:val="24"/>
        </w:rPr>
      </w:pPr>
      <w:r w:rsidRPr="00EE4759">
        <w:rPr>
          <w:rFonts w:ascii="Arial" w:hAnsi="Arial" w:cs="Arial"/>
          <w:sz w:val="24"/>
          <w:szCs w:val="24"/>
        </w:rPr>
        <w:t>Insufficient integration of remuneration and working conditions as interacting variables.</w:t>
      </w:r>
    </w:p>
    <w:p w14:paraId="7EEE945A" w14:textId="15865069" w:rsidR="00EE4759" w:rsidRPr="00EE4759" w:rsidRDefault="00EE4759" w:rsidP="00EE4759">
      <w:pPr>
        <w:pStyle w:val="ListParagraph"/>
        <w:numPr>
          <w:ilvl w:val="0"/>
          <w:numId w:val="3"/>
        </w:numPr>
        <w:spacing w:line="360" w:lineRule="auto"/>
        <w:jc w:val="both"/>
        <w:rPr>
          <w:rFonts w:ascii="Arial" w:hAnsi="Arial" w:cs="Arial"/>
          <w:sz w:val="24"/>
          <w:szCs w:val="24"/>
        </w:rPr>
      </w:pPr>
      <w:r w:rsidRPr="00EE4759">
        <w:rPr>
          <w:rFonts w:ascii="Arial" w:hAnsi="Arial" w:cs="Arial"/>
          <w:sz w:val="24"/>
          <w:szCs w:val="24"/>
        </w:rPr>
        <w:t>Limited UK contextualisation within department-level analysis.</w:t>
      </w:r>
    </w:p>
    <w:p w14:paraId="5C6A18C7" w14:textId="0B9EBDF8" w:rsidR="00E7775D" w:rsidRDefault="00E7775D" w:rsidP="00EE4759">
      <w:pPr>
        <w:spacing w:line="360" w:lineRule="auto"/>
        <w:jc w:val="both"/>
        <w:rPr>
          <w:rFonts w:ascii="Arial" w:hAnsi="Arial" w:cs="Arial"/>
          <w:sz w:val="24"/>
          <w:szCs w:val="24"/>
        </w:rPr>
      </w:pPr>
      <w:r w:rsidRPr="00E7775D">
        <w:rPr>
          <w:rFonts w:ascii="Arial" w:hAnsi="Arial" w:cs="Arial"/>
          <w:sz w:val="24"/>
          <w:szCs w:val="24"/>
        </w:rPr>
        <w:t>A recent meta-analysis confirms that turnover intention in hospitality is shaped by multiple interacting antecedents rather than isolated predictors (Park and Min, 2020). This supports the need for an integrated examination of remuneration and working conditions within a single departmental context.</w:t>
      </w:r>
    </w:p>
    <w:p w14:paraId="0C02D575" w14:textId="5B40B4EF" w:rsidR="002B7A2C" w:rsidRDefault="00EE4759" w:rsidP="00EE4759">
      <w:pPr>
        <w:spacing w:line="360" w:lineRule="auto"/>
        <w:jc w:val="both"/>
        <w:rPr>
          <w:rFonts w:ascii="Arial" w:hAnsi="Arial" w:cs="Arial"/>
          <w:sz w:val="24"/>
          <w:szCs w:val="24"/>
        </w:rPr>
      </w:pPr>
      <w:r w:rsidRPr="00EE4759">
        <w:rPr>
          <w:rFonts w:ascii="Arial" w:hAnsi="Arial" w:cs="Arial"/>
          <w:sz w:val="24"/>
          <w:szCs w:val="24"/>
        </w:rPr>
        <w:t>This study addresses these gaps by synthesising hospitality and organisational behaviour literature and applying it specifically to front office retention within a UK hotel context.</w:t>
      </w:r>
    </w:p>
    <w:p w14:paraId="14C6FA9A" w14:textId="20D0F584" w:rsidR="009237A0" w:rsidRPr="008238E6" w:rsidRDefault="009237A0" w:rsidP="008238E6">
      <w:pPr>
        <w:pStyle w:val="Heading1"/>
      </w:pPr>
      <w:bookmarkStart w:id="20" w:name="_Toc222675153"/>
      <w:r w:rsidRPr="009237A0">
        <w:t>Chapter 3: Methodology</w:t>
      </w:r>
      <w:bookmarkEnd w:id="20"/>
    </w:p>
    <w:p w14:paraId="7CFC0F90" w14:textId="25B7C66A" w:rsidR="008238E6" w:rsidRPr="008238E6" w:rsidRDefault="008238E6" w:rsidP="008238E6">
      <w:pPr>
        <w:pStyle w:val="Heading2"/>
      </w:pPr>
      <w:bookmarkStart w:id="21" w:name="_Toc222675154"/>
      <w:r w:rsidRPr="008238E6">
        <w:t>3.1 Research Strategy: Qualitative Case Study Design</w:t>
      </w:r>
      <w:bookmarkEnd w:id="21"/>
    </w:p>
    <w:p w14:paraId="0241691A" w14:textId="2A6F9AFC" w:rsidR="008238E6" w:rsidRPr="008238E6" w:rsidRDefault="008238E6" w:rsidP="008238E6">
      <w:pPr>
        <w:spacing w:line="360" w:lineRule="auto"/>
        <w:jc w:val="both"/>
        <w:rPr>
          <w:rFonts w:ascii="Arial" w:hAnsi="Arial" w:cs="Arial"/>
          <w:sz w:val="24"/>
          <w:szCs w:val="24"/>
        </w:rPr>
      </w:pPr>
      <w:r w:rsidRPr="008238E6">
        <w:rPr>
          <w:rFonts w:ascii="Arial" w:hAnsi="Arial" w:cs="Arial"/>
          <w:sz w:val="24"/>
          <w:szCs w:val="24"/>
        </w:rPr>
        <w:t xml:space="preserve">This research adopts a qualitative single-case study strategy centred on </w:t>
      </w:r>
      <w:proofErr w:type="spellStart"/>
      <w:r w:rsidRPr="008238E6">
        <w:rPr>
          <w:rFonts w:ascii="Arial" w:hAnsi="Arial" w:cs="Arial"/>
          <w:sz w:val="24"/>
          <w:szCs w:val="24"/>
        </w:rPr>
        <w:t>Coldra</w:t>
      </w:r>
      <w:proofErr w:type="spellEnd"/>
      <w:r w:rsidRPr="008238E6">
        <w:rPr>
          <w:rFonts w:ascii="Arial" w:hAnsi="Arial" w:cs="Arial"/>
          <w:sz w:val="24"/>
          <w:szCs w:val="24"/>
        </w:rPr>
        <w:t xml:space="preserve"> Court Hotel, Newport. Case study research is particularly appropriate when investigating a contemporary organisational issue within its real-life setting (Yin, 2018). The phenomenon under investigation — the interaction between remuneration, working conditions and employee retention — is contextually embedded within organisational structures and labour market conditions. As Yin (2018) argues, case study design is suitable when contextual conditions are inseparable from the phenomenon being examined.</w:t>
      </w:r>
    </w:p>
    <w:p w14:paraId="318871A8" w14:textId="07FA22AC" w:rsidR="002B7A2C" w:rsidRDefault="008238E6" w:rsidP="008238E6">
      <w:pPr>
        <w:spacing w:line="360" w:lineRule="auto"/>
        <w:jc w:val="both"/>
        <w:rPr>
          <w:rFonts w:ascii="Arial" w:hAnsi="Arial" w:cs="Arial"/>
          <w:sz w:val="24"/>
          <w:szCs w:val="24"/>
        </w:rPr>
      </w:pPr>
      <w:r w:rsidRPr="008238E6">
        <w:rPr>
          <w:rFonts w:ascii="Arial" w:hAnsi="Arial" w:cs="Arial"/>
          <w:sz w:val="24"/>
          <w:szCs w:val="24"/>
        </w:rPr>
        <w:t xml:space="preserve">Stake (1995) similarly contends that case studies facilitate </w:t>
      </w:r>
      <w:r w:rsidR="00EE05D9">
        <w:rPr>
          <w:rFonts w:ascii="Arial" w:hAnsi="Arial" w:cs="Arial"/>
          <w:sz w:val="24"/>
          <w:szCs w:val="24"/>
        </w:rPr>
        <w:t xml:space="preserve">an </w:t>
      </w:r>
      <w:r w:rsidRPr="008238E6">
        <w:rPr>
          <w:rFonts w:ascii="Arial" w:hAnsi="Arial" w:cs="Arial"/>
          <w:sz w:val="24"/>
          <w:szCs w:val="24"/>
        </w:rPr>
        <w:t xml:space="preserve">in-depth understanding of complex organisational processes. Within hospitality management research, case studies are frequently employed to translate theoretical frameworks into applied </w:t>
      </w:r>
      <w:r w:rsidRPr="008238E6">
        <w:rPr>
          <w:rFonts w:ascii="Arial" w:hAnsi="Arial" w:cs="Arial"/>
          <w:sz w:val="24"/>
          <w:szCs w:val="24"/>
        </w:rPr>
        <w:lastRenderedPageBreak/>
        <w:t>operational insight (Veal, 2018). Given that this dissertation seeks to apply established retention theories to a specific placement hotel, the case study approach provides methodological alignment.</w:t>
      </w:r>
    </w:p>
    <w:p w14:paraId="79925A7F" w14:textId="77777777" w:rsidR="00A21757" w:rsidRDefault="00A21757" w:rsidP="008238E6">
      <w:pPr>
        <w:spacing w:line="360" w:lineRule="auto"/>
        <w:jc w:val="both"/>
        <w:rPr>
          <w:rFonts w:ascii="Arial" w:hAnsi="Arial" w:cs="Arial"/>
          <w:sz w:val="24"/>
          <w:szCs w:val="24"/>
        </w:rPr>
      </w:pPr>
    </w:p>
    <w:p w14:paraId="06432BAB" w14:textId="5C9A712F" w:rsidR="00C638E7" w:rsidRPr="00C638E7" w:rsidRDefault="00C638E7" w:rsidP="00C638E7">
      <w:pPr>
        <w:pStyle w:val="Heading2"/>
      </w:pPr>
      <w:bookmarkStart w:id="22" w:name="_Toc222675155"/>
      <w:r w:rsidRPr="00C638E7">
        <w:t>3.2 Philosophical Positioning</w:t>
      </w:r>
      <w:bookmarkEnd w:id="22"/>
    </w:p>
    <w:p w14:paraId="4019DB07" w14:textId="30ACE6F0" w:rsidR="00C638E7" w:rsidRPr="00C638E7" w:rsidRDefault="00C638E7" w:rsidP="00C638E7">
      <w:pPr>
        <w:spacing w:line="360" w:lineRule="auto"/>
        <w:jc w:val="both"/>
        <w:rPr>
          <w:rFonts w:ascii="Arial" w:hAnsi="Arial" w:cs="Arial"/>
          <w:sz w:val="24"/>
          <w:szCs w:val="24"/>
        </w:rPr>
      </w:pPr>
      <w:r w:rsidRPr="00C638E7">
        <w:rPr>
          <w:rFonts w:ascii="Arial" w:hAnsi="Arial" w:cs="Arial"/>
          <w:sz w:val="24"/>
          <w:szCs w:val="24"/>
        </w:rPr>
        <w:t>The study is positioned within an interpretivist paradigm. Interpretivism assumes that organisational phenomena are socially constructed and shaped by contextual meaning (Bryman, 2016). Employee retention is not merely a numerical outcome but reflects perceptions of fairness, workload intensity, emotional demands and organisational culture. Saunders</w:t>
      </w:r>
      <w:r w:rsidR="00F87F89">
        <w:rPr>
          <w:rFonts w:ascii="Arial" w:hAnsi="Arial" w:cs="Arial"/>
          <w:sz w:val="24"/>
          <w:szCs w:val="24"/>
        </w:rPr>
        <w:t xml:space="preserve"> et al</w:t>
      </w:r>
      <w:r w:rsidRPr="00C638E7">
        <w:rPr>
          <w:rFonts w:ascii="Arial" w:hAnsi="Arial" w:cs="Arial"/>
          <w:sz w:val="24"/>
          <w:szCs w:val="24"/>
        </w:rPr>
        <w:t xml:space="preserve"> (2019) argue that interpretivist approaches are particularly appropriate when examining human resource and organisational behaviour phenomena.</w:t>
      </w:r>
    </w:p>
    <w:p w14:paraId="5ECB7BF7" w14:textId="1B1626B0" w:rsidR="00A21757" w:rsidRDefault="00C638E7" w:rsidP="00C638E7">
      <w:pPr>
        <w:spacing w:line="360" w:lineRule="auto"/>
        <w:jc w:val="both"/>
        <w:rPr>
          <w:rFonts w:ascii="Arial" w:hAnsi="Arial" w:cs="Arial"/>
          <w:sz w:val="24"/>
          <w:szCs w:val="24"/>
        </w:rPr>
      </w:pPr>
      <w:r w:rsidRPr="00C638E7">
        <w:rPr>
          <w:rFonts w:ascii="Arial" w:hAnsi="Arial" w:cs="Arial"/>
          <w:sz w:val="24"/>
          <w:szCs w:val="24"/>
        </w:rPr>
        <w:t>Although this study does not involve primary interviews, it synthesises research grounded in employee perceptions and organisational experience. The interpretivist stance</w:t>
      </w:r>
      <w:r>
        <w:rPr>
          <w:rFonts w:ascii="Arial" w:hAnsi="Arial" w:cs="Arial"/>
          <w:sz w:val="24"/>
          <w:szCs w:val="24"/>
        </w:rPr>
        <w:t>,</w:t>
      </w:r>
      <w:r w:rsidRPr="00C638E7">
        <w:rPr>
          <w:rFonts w:ascii="Arial" w:hAnsi="Arial" w:cs="Arial"/>
          <w:sz w:val="24"/>
          <w:szCs w:val="24"/>
        </w:rPr>
        <w:t xml:space="preserve"> therefore</w:t>
      </w:r>
      <w:r>
        <w:rPr>
          <w:rFonts w:ascii="Arial" w:hAnsi="Arial" w:cs="Arial"/>
          <w:sz w:val="24"/>
          <w:szCs w:val="24"/>
        </w:rPr>
        <w:t>,</w:t>
      </w:r>
      <w:r w:rsidRPr="00C638E7">
        <w:rPr>
          <w:rFonts w:ascii="Arial" w:hAnsi="Arial" w:cs="Arial"/>
          <w:sz w:val="24"/>
          <w:szCs w:val="24"/>
        </w:rPr>
        <w:t xml:space="preserve"> underpins the analytical orientation of the dissertation.</w:t>
      </w:r>
    </w:p>
    <w:p w14:paraId="69E889A5" w14:textId="77777777" w:rsidR="00CC6023" w:rsidRDefault="00CC6023" w:rsidP="00C638E7">
      <w:pPr>
        <w:spacing w:line="360" w:lineRule="auto"/>
        <w:jc w:val="both"/>
        <w:rPr>
          <w:rFonts w:ascii="Arial" w:hAnsi="Arial" w:cs="Arial"/>
          <w:sz w:val="24"/>
          <w:szCs w:val="24"/>
        </w:rPr>
      </w:pPr>
    </w:p>
    <w:p w14:paraId="28A6112B" w14:textId="55D8B8C2" w:rsidR="00093AF3" w:rsidRPr="00093AF3" w:rsidRDefault="00093AF3" w:rsidP="00093AF3">
      <w:pPr>
        <w:pStyle w:val="Heading2"/>
      </w:pPr>
      <w:bookmarkStart w:id="23" w:name="_Toc222675156"/>
      <w:r w:rsidRPr="00093AF3">
        <w:t>3.3 Secondary Qualitative Method</w:t>
      </w:r>
      <w:bookmarkEnd w:id="23"/>
    </w:p>
    <w:p w14:paraId="7E5C04C4" w14:textId="4A983543" w:rsidR="00093AF3" w:rsidRPr="00093AF3" w:rsidRDefault="00093AF3" w:rsidP="00093AF3">
      <w:pPr>
        <w:spacing w:line="360" w:lineRule="auto"/>
        <w:jc w:val="both"/>
        <w:rPr>
          <w:rFonts w:ascii="Arial" w:hAnsi="Arial" w:cs="Arial"/>
          <w:sz w:val="24"/>
          <w:szCs w:val="24"/>
        </w:rPr>
      </w:pPr>
      <w:r w:rsidRPr="00093AF3">
        <w:rPr>
          <w:rFonts w:ascii="Arial" w:hAnsi="Arial" w:cs="Arial"/>
          <w:sz w:val="24"/>
          <w:szCs w:val="24"/>
        </w:rPr>
        <w:t>This research is based exclusively on secondary qualitative data. No primary data collection was conducted. Secondary research involves systematic identification, evaluation and synthesis of existing academic and institutional evidence (Denscombe, 2014).</w:t>
      </w:r>
    </w:p>
    <w:p w14:paraId="2B2FC8EB" w14:textId="77777777" w:rsidR="00093AF3" w:rsidRPr="00093AF3" w:rsidRDefault="00093AF3" w:rsidP="00093AF3">
      <w:pPr>
        <w:spacing w:line="360" w:lineRule="auto"/>
        <w:jc w:val="both"/>
        <w:rPr>
          <w:rFonts w:ascii="Arial" w:hAnsi="Arial" w:cs="Arial"/>
          <w:sz w:val="24"/>
          <w:szCs w:val="24"/>
        </w:rPr>
      </w:pPr>
      <w:r w:rsidRPr="00093AF3">
        <w:rPr>
          <w:rFonts w:ascii="Arial" w:hAnsi="Arial" w:cs="Arial"/>
          <w:sz w:val="24"/>
          <w:szCs w:val="24"/>
        </w:rPr>
        <w:t>The decision to employ secondary data was informed by:</w:t>
      </w:r>
    </w:p>
    <w:p w14:paraId="018E48B6" w14:textId="77777777" w:rsidR="00093AF3" w:rsidRPr="00FE324B" w:rsidRDefault="00093AF3" w:rsidP="00FE324B">
      <w:pPr>
        <w:pStyle w:val="ListParagraph"/>
        <w:numPr>
          <w:ilvl w:val="0"/>
          <w:numId w:val="4"/>
        </w:numPr>
        <w:spacing w:line="360" w:lineRule="auto"/>
        <w:jc w:val="both"/>
        <w:rPr>
          <w:rFonts w:ascii="Arial" w:hAnsi="Arial" w:cs="Arial"/>
          <w:sz w:val="24"/>
          <w:szCs w:val="24"/>
        </w:rPr>
      </w:pPr>
      <w:r w:rsidRPr="00FE324B">
        <w:rPr>
          <w:rFonts w:ascii="Arial" w:hAnsi="Arial" w:cs="Arial"/>
          <w:sz w:val="24"/>
          <w:szCs w:val="24"/>
        </w:rPr>
        <w:t>Ethical considerations (no employee participation required)</w:t>
      </w:r>
    </w:p>
    <w:p w14:paraId="64C54726" w14:textId="77777777" w:rsidR="00093AF3" w:rsidRPr="00FE324B" w:rsidRDefault="00093AF3" w:rsidP="00FE324B">
      <w:pPr>
        <w:pStyle w:val="ListParagraph"/>
        <w:numPr>
          <w:ilvl w:val="0"/>
          <w:numId w:val="4"/>
        </w:numPr>
        <w:spacing w:line="360" w:lineRule="auto"/>
        <w:jc w:val="both"/>
        <w:rPr>
          <w:rFonts w:ascii="Arial" w:hAnsi="Arial" w:cs="Arial"/>
          <w:sz w:val="24"/>
          <w:szCs w:val="24"/>
        </w:rPr>
      </w:pPr>
      <w:r w:rsidRPr="00FE324B">
        <w:rPr>
          <w:rFonts w:ascii="Arial" w:hAnsi="Arial" w:cs="Arial"/>
          <w:sz w:val="24"/>
          <w:szCs w:val="24"/>
        </w:rPr>
        <w:t>Availability of extensive peer-reviewed hospitality retention research</w:t>
      </w:r>
    </w:p>
    <w:p w14:paraId="59B11534" w14:textId="445AD0B4" w:rsidR="00093AF3" w:rsidRPr="00FE324B" w:rsidRDefault="00093AF3" w:rsidP="00093AF3">
      <w:pPr>
        <w:pStyle w:val="ListParagraph"/>
        <w:numPr>
          <w:ilvl w:val="0"/>
          <w:numId w:val="4"/>
        </w:numPr>
        <w:spacing w:line="360" w:lineRule="auto"/>
        <w:jc w:val="both"/>
        <w:rPr>
          <w:rFonts w:ascii="Arial" w:hAnsi="Arial" w:cs="Arial"/>
          <w:sz w:val="24"/>
          <w:szCs w:val="24"/>
        </w:rPr>
      </w:pPr>
      <w:r w:rsidRPr="00FE324B">
        <w:rPr>
          <w:rFonts w:ascii="Arial" w:hAnsi="Arial" w:cs="Arial"/>
          <w:sz w:val="24"/>
          <w:szCs w:val="24"/>
        </w:rPr>
        <w:t>Feasibility within the scope of a placement-based dissertation</w:t>
      </w:r>
    </w:p>
    <w:p w14:paraId="50F4ED36" w14:textId="7C8E6F7B" w:rsidR="00093AF3" w:rsidRDefault="00093AF3" w:rsidP="00093AF3">
      <w:pPr>
        <w:spacing w:line="360" w:lineRule="auto"/>
        <w:jc w:val="both"/>
        <w:rPr>
          <w:rFonts w:ascii="Arial" w:hAnsi="Arial" w:cs="Arial"/>
          <w:sz w:val="24"/>
          <w:szCs w:val="24"/>
        </w:rPr>
      </w:pPr>
      <w:proofErr w:type="spellStart"/>
      <w:r w:rsidRPr="00093AF3">
        <w:rPr>
          <w:rFonts w:ascii="Arial" w:hAnsi="Arial" w:cs="Arial"/>
          <w:sz w:val="24"/>
          <w:szCs w:val="24"/>
        </w:rPr>
        <w:t>Tranfield</w:t>
      </w:r>
      <w:proofErr w:type="spellEnd"/>
      <w:r w:rsidR="00FE324B">
        <w:rPr>
          <w:rFonts w:ascii="Arial" w:hAnsi="Arial" w:cs="Arial"/>
          <w:sz w:val="24"/>
          <w:szCs w:val="24"/>
        </w:rPr>
        <w:t xml:space="preserve"> et al</w:t>
      </w:r>
      <w:r w:rsidRPr="00093AF3">
        <w:rPr>
          <w:rFonts w:ascii="Arial" w:hAnsi="Arial" w:cs="Arial"/>
          <w:sz w:val="24"/>
          <w:szCs w:val="24"/>
        </w:rPr>
        <w:t xml:space="preserve"> (2003) argue that systematic literature engagement enhances transparency and methodological robustness in management research. Accordingly, sources were selected based on credibility (peer-reviewed journals), relevance (hospitality and organisational psychology domains), and recency (predominantly within the last 10 years, with seminal works included where theoretically necessary).</w:t>
      </w:r>
    </w:p>
    <w:p w14:paraId="3E2A54AC" w14:textId="77777777" w:rsidR="00EB56C7" w:rsidRDefault="00EB56C7" w:rsidP="00093AF3">
      <w:pPr>
        <w:spacing w:line="360" w:lineRule="auto"/>
        <w:jc w:val="both"/>
        <w:rPr>
          <w:rFonts w:ascii="Arial" w:hAnsi="Arial" w:cs="Arial"/>
          <w:sz w:val="24"/>
          <w:szCs w:val="24"/>
        </w:rPr>
      </w:pPr>
    </w:p>
    <w:p w14:paraId="2A61343B" w14:textId="5A2C3C32" w:rsidR="004F43C8" w:rsidRPr="004F43C8" w:rsidRDefault="004F43C8" w:rsidP="004F43C8">
      <w:pPr>
        <w:pStyle w:val="Heading2"/>
      </w:pPr>
      <w:bookmarkStart w:id="24" w:name="_Toc222675157"/>
      <w:r w:rsidRPr="004F43C8">
        <w:t>3.4 Analytical Technique: Thematic Synthesis</w:t>
      </w:r>
      <w:bookmarkEnd w:id="24"/>
    </w:p>
    <w:p w14:paraId="7E1A2570" w14:textId="5D56948A" w:rsidR="004F43C8" w:rsidRPr="004F43C8" w:rsidRDefault="004F43C8" w:rsidP="004F43C8">
      <w:pPr>
        <w:spacing w:line="360" w:lineRule="auto"/>
        <w:jc w:val="both"/>
        <w:rPr>
          <w:rFonts w:ascii="Arial" w:hAnsi="Arial" w:cs="Arial"/>
          <w:sz w:val="24"/>
          <w:szCs w:val="24"/>
        </w:rPr>
      </w:pPr>
      <w:r w:rsidRPr="004F43C8">
        <w:rPr>
          <w:rFonts w:ascii="Arial" w:hAnsi="Arial" w:cs="Arial"/>
          <w:sz w:val="24"/>
          <w:szCs w:val="24"/>
        </w:rPr>
        <w:t>The study utilised thematic synthesis as the primary analytical technique. Braun and Clarke (2006) define thematic analysis as a flexible method for identifying and interpreting patterns across qualitative data. Literature was categorised deductively according to the research objectives:</w:t>
      </w:r>
    </w:p>
    <w:p w14:paraId="49E50475" w14:textId="3CC3E066" w:rsidR="004F43C8" w:rsidRPr="00482A21" w:rsidRDefault="004F43C8" w:rsidP="004F43C8">
      <w:pPr>
        <w:pStyle w:val="ListParagraph"/>
        <w:numPr>
          <w:ilvl w:val="0"/>
          <w:numId w:val="5"/>
        </w:numPr>
        <w:spacing w:line="360" w:lineRule="auto"/>
        <w:jc w:val="both"/>
        <w:rPr>
          <w:rFonts w:ascii="Arial" w:hAnsi="Arial" w:cs="Arial"/>
          <w:sz w:val="24"/>
          <w:szCs w:val="24"/>
        </w:rPr>
      </w:pPr>
      <w:r w:rsidRPr="00482A21">
        <w:rPr>
          <w:rFonts w:ascii="Arial" w:hAnsi="Arial" w:cs="Arial"/>
          <w:sz w:val="24"/>
          <w:szCs w:val="24"/>
        </w:rPr>
        <w:t>Structural staff shortages</w:t>
      </w:r>
    </w:p>
    <w:p w14:paraId="71E8D0B8" w14:textId="77777777" w:rsidR="004F43C8" w:rsidRPr="00482A21" w:rsidRDefault="004F43C8" w:rsidP="00482A21">
      <w:pPr>
        <w:pStyle w:val="ListParagraph"/>
        <w:numPr>
          <w:ilvl w:val="0"/>
          <w:numId w:val="5"/>
        </w:numPr>
        <w:spacing w:line="360" w:lineRule="auto"/>
        <w:jc w:val="both"/>
        <w:rPr>
          <w:rFonts w:ascii="Arial" w:hAnsi="Arial" w:cs="Arial"/>
          <w:sz w:val="24"/>
          <w:szCs w:val="24"/>
        </w:rPr>
      </w:pPr>
      <w:r w:rsidRPr="00482A21">
        <w:rPr>
          <w:rFonts w:ascii="Arial" w:hAnsi="Arial" w:cs="Arial"/>
          <w:sz w:val="24"/>
          <w:szCs w:val="24"/>
        </w:rPr>
        <w:t>Remuneration and compensation perceptions</w:t>
      </w:r>
    </w:p>
    <w:p w14:paraId="00EACA3F" w14:textId="77777777" w:rsidR="004F43C8" w:rsidRPr="00482A21" w:rsidRDefault="004F43C8" w:rsidP="00482A21">
      <w:pPr>
        <w:pStyle w:val="ListParagraph"/>
        <w:numPr>
          <w:ilvl w:val="0"/>
          <w:numId w:val="5"/>
        </w:numPr>
        <w:spacing w:line="360" w:lineRule="auto"/>
        <w:jc w:val="both"/>
        <w:rPr>
          <w:rFonts w:ascii="Arial" w:hAnsi="Arial" w:cs="Arial"/>
          <w:sz w:val="24"/>
          <w:szCs w:val="24"/>
        </w:rPr>
      </w:pPr>
      <w:r w:rsidRPr="00482A21">
        <w:rPr>
          <w:rFonts w:ascii="Arial" w:hAnsi="Arial" w:cs="Arial"/>
          <w:sz w:val="24"/>
          <w:szCs w:val="24"/>
        </w:rPr>
        <w:t>Working conditions and workload intensity</w:t>
      </w:r>
    </w:p>
    <w:p w14:paraId="2479C629" w14:textId="35946C02" w:rsidR="004F43C8" w:rsidRPr="00482A21" w:rsidRDefault="004F43C8" w:rsidP="004F43C8">
      <w:pPr>
        <w:pStyle w:val="ListParagraph"/>
        <w:numPr>
          <w:ilvl w:val="0"/>
          <w:numId w:val="5"/>
        </w:numPr>
        <w:spacing w:line="360" w:lineRule="auto"/>
        <w:jc w:val="both"/>
        <w:rPr>
          <w:rFonts w:ascii="Arial" w:hAnsi="Arial" w:cs="Arial"/>
          <w:sz w:val="24"/>
          <w:szCs w:val="24"/>
        </w:rPr>
      </w:pPr>
      <w:r w:rsidRPr="00482A21">
        <w:rPr>
          <w:rFonts w:ascii="Arial" w:hAnsi="Arial" w:cs="Arial"/>
          <w:sz w:val="24"/>
          <w:szCs w:val="24"/>
        </w:rPr>
        <w:t>Retention outcomes</w:t>
      </w:r>
    </w:p>
    <w:p w14:paraId="4EC1DA91" w14:textId="6EB3CED6" w:rsidR="004F43C8" w:rsidRDefault="004F43C8" w:rsidP="004F43C8">
      <w:pPr>
        <w:spacing w:line="360" w:lineRule="auto"/>
        <w:jc w:val="both"/>
        <w:rPr>
          <w:rFonts w:ascii="Arial" w:hAnsi="Arial" w:cs="Arial"/>
          <w:sz w:val="24"/>
          <w:szCs w:val="24"/>
        </w:rPr>
      </w:pPr>
      <w:r w:rsidRPr="004F43C8">
        <w:rPr>
          <w:rFonts w:ascii="Arial" w:hAnsi="Arial" w:cs="Arial"/>
          <w:sz w:val="24"/>
          <w:szCs w:val="24"/>
        </w:rPr>
        <w:t>This structured thematic approach enhances analytical clarity and coherence.</w:t>
      </w:r>
    </w:p>
    <w:p w14:paraId="19A3151C" w14:textId="77777777" w:rsidR="002B7A2C" w:rsidRDefault="002B7A2C" w:rsidP="002B7A2C">
      <w:pPr>
        <w:spacing w:line="360" w:lineRule="auto"/>
        <w:jc w:val="both"/>
        <w:rPr>
          <w:rFonts w:ascii="Arial" w:hAnsi="Arial" w:cs="Arial"/>
          <w:sz w:val="24"/>
          <w:szCs w:val="24"/>
        </w:rPr>
      </w:pPr>
    </w:p>
    <w:p w14:paraId="18AD216E" w14:textId="51B0BA86" w:rsidR="00A202E5" w:rsidRPr="00A202E5" w:rsidRDefault="00A202E5" w:rsidP="00A202E5">
      <w:pPr>
        <w:pStyle w:val="Heading2"/>
      </w:pPr>
      <w:bookmarkStart w:id="25" w:name="_Toc222675158"/>
      <w:r w:rsidRPr="00A202E5">
        <w:t>3.5 Ensuring Research Rigour and Trustworthiness</w:t>
      </w:r>
      <w:bookmarkEnd w:id="25"/>
    </w:p>
    <w:p w14:paraId="1B1A298F" w14:textId="27A32AE7" w:rsidR="00A202E5" w:rsidRPr="00A202E5" w:rsidRDefault="00A202E5" w:rsidP="00A202E5">
      <w:pPr>
        <w:spacing w:line="360" w:lineRule="auto"/>
        <w:jc w:val="both"/>
        <w:rPr>
          <w:rFonts w:ascii="Arial" w:hAnsi="Arial" w:cs="Arial"/>
          <w:sz w:val="24"/>
          <w:szCs w:val="24"/>
        </w:rPr>
      </w:pPr>
      <w:r w:rsidRPr="00A202E5">
        <w:rPr>
          <w:rFonts w:ascii="Arial" w:hAnsi="Arial" w:cs="Arial"/>
          <w:sz w:val="24"/>
          <w:szCs w:val="24"/>
        </w:rPr>
        <w:t>To achieve methodological rigour, this study applies the trustworthiness criteria proposed by Lincoln and Guba (1985): credibility, dependability, confirmability and transferability.</w:t>
      </w:r>
    </w:p>
    <w:p w14:paraId="38409DDD" w14:textId="68B3E4B0" w:rsidR="00A202E5" w:rsidRPr="00A202E5" w:rsidRDefault="00A202E5" w:rsidP="00A202E5">
      <w:pPr>
        <w:spacing w:line="360" w:lineRule="auto"/>
        <w:jc w:val="both"/>
        <w:rPr>
          <w:rFonts w:ascii="Arial" w:hAnsi="Arial" w:cs="Arial"/>
          <w:sz w:val="24"/>
          <w:szCs w:val="24"/>
        </w:rPr>
      </w:pPr>
      <w:r w:rsidRPr="00DD5DB6">
        <w:rPr>
          <w:rFonts w:ascii="Arial" w:hAnsi="Arial" w:cs="Arial"/>
          <w:b/>
          <w:bCs/>
          <w:sz w:val="24"/>
          <w:szCs w:val="24"/>
        </w:rPr>
        <w:t>Credibility</w:t>
      </w:r>
      <w:r w:rsidRPr="00A202E5">
        <w:rPr>
          <w:rFonts w:ascii="Arial" w:hAnsi="Arial" w:cs="Arial"/>
          <w:sz w:val="24"/>
          <w:szCs w:val="24"/>
        </w:rPr>
        <w:t xml:space="preserve"> refers to confidence in the truth value of findings. Credibility was enhanced through the use of peer-reviewed academic sources and cross-comparison of findings across multiple studies. Triangulation of theoretical perspectives (e.g., JD-R model, organisational justice, emotional labour theory) strengthens interpretive validity.</w:t>
      </w:r>
    </w:p>
    <w:p w14:paraId="4C9B386E" w14:textId="2AB58592" w:rsidR="00A202E5" w:rsidRPr="00A202E5" w:rsidRDefault="00A202E5" w:rsidP="00A202E5">
      <w:pPr>
        <w:spacing w:line="360" w:lineRule="auto"/>
        <w:jc w:val="both"/>
        <w:rPr>
          <w:rFonts w:ascii="Arial" w:hAnsi="Arial" w:cs="Arial"/>
          <w:sz w:val="24"/>
          <w:szCs w:val="24"/>
        </w:rPr>
      </w:pPr>
      <w:r w:rsidRPr="00DD5DB6">
        <w:rPr>
          <w:rFonts w:ascii="Arial" w:hAnsi="Arial" w:cs="Arial"/>
          <w:b/>
          <w:bCs/>
          <w:sz w:val="24"/>
          <w:szCs w:val="24"/>
        </w:rPr>
        <w:t>Dependability</w:t>
      </w:r>
      <w:r w:rsidRPr="00A202E5">
        <w:rPr>
          <w:rFonts w:ascii="Arial" w:hAnsi="Arial" w:cs="Arial"/>
          <w:sz w:val="24"/>
          <w:szCs w:val="24"/>
        </w:rPr>
        <w:t xml:space="preserve"> concerns the stability and consistency of the research process. An explicit and transparent source selection strategy was applied, ensuring systematic literature inclusion based on defined criteria (relevance, credibility, recency). This supports procedural reliability.</w:t>
      </w:r>
    </w:p>
    <w:p w14:paraId="55C241FB" w14:textId="251E208D" w:rsidR="00A202E5" w:rsidRPr="00A202E5" w:rsidRDefault="00A202E5" w:rsidP="00A202E5">
      <w:pPr>
        <w:spacing w:line="360" w:lineRule="auto"/>
        <w:jc w:val="both"/>
        <w:rPr>
          <w:rFonts w:ascii="Arial" w:hAnsi="Arial" w:cs="Arial"/>
          <w:sz w:val="24"/>
          <w:szCs w:val="24"/>
        </w:rPr>
      </w:pPr>
      <w:r w:rsidRPr="00DD5DB6">
        <w:rPr>
          <w:rFonts w:ascii="Arial" w:hAnsi="Arial" w:cs="Arial"/>
          <w:b/>
          <w:bCs/>
          <w:sz w:val="24"/>
          <w:szCs w:val="24"/>
        </w:rPr>
        <w:t>Confirmability</w:t>
      </w:r>
      <w:r w:rsidRPr="00A202E5">
        <w:rPr>
          <w:rFonts w:ascii="Arial" w:hAnsi="Arial" w:cs="Arial"/>
          <w:sz w:val="24"/>
          <w:szCs w:val="24"/>
        </w:rPr>
        <w:t xml:space="preserve"> refers to the degree to which findings are shaped by evidence rather than researcher bias (Lincoln and Guba, 1985). By grounding arguments exclusively in referenced scholarship and avoiding anecdotal claims, interpretive neutrality is strengthened.</w:t>
      </w:r>
    </w:p>
    <w:p w14:paraId="19796161" w14:textId="186A14ED" w:rsidR="00482A21" w:rsidRDefault="00A202E5" w:rsidP="00A202E5">
      <w:pPr>
        <w:spacing w:line="360" w:lineRule="auto"/>
        <w:jc w:val="both"/>
        <w:rPr>
          <w:rFonts w:ascii="Arial" w:hAnsi="Arial" w:cs="Arial"/>
          <w:sz w:val="24"/>
          <w:szCs w:val="24"/>
        </w:rPr>
      </w:pPr>
      <w:r w:rsidRPr="00DD5DB6">
        <w:rPr>
          <w:rFonts w:ascii="Arial" w:hAnsi="Arial" w:cs="Arial"/>
          <w:b/>
          <w:bCs/>
          <w:sz w:val="24"/>
          <w:szCs w:val="24"/>
        </w:rPr>
        <w:t>Transferability</w:t>
      </w:r>
      <w:r w:rsidRPr="00A202E5">
        <w:rPr>
          <w:rFonts w:ascii="Arial" w:hAnsi="Arial" w:cs="Arial"/>
          <w:sz w:val="24"/>
          <w:szCs w:val="24"/>
        </w:rPr>
        <w:t xml:space="preserve"> relates to the extent to which findings may apply to comparable contexts. While case studies are not statistically generalisable (Yin, 2018), analytical </w:t>
      </w:r>
      <w:r w:rsidRPr="00A202E5">
        <w:rPr>
          <w:rFonts w:ascii="Arial" w:hAnsi="Arial" w:cs="Arial"/>
          <w:sz w:val="24"/>
          <w:szCs w:val="24"/>
        </w:rPr>
        <w:lastRenderedPageBreak/>
        <w:t>generalisation is possible where theoretical insights can inform similar full-service UK hotel environments.</w:t>
      </w:r>
    </w:p>
    <w:p w14:paraId="6E305CDE" w14:textId="77777777" w:rsidR="002B7A2C" w:rsidRDefault="002B7A2C" w:rsidP="002B7A2C">
      <w:pPr>
        <w:spacing w:line="360" w:lineRule="auto"/>
        <w:jc w:val="both"/>
        <w:rPr>
          <w:rFonts w:ascii="Arial" w:hAnsi="Arial" w:cs="Arial"/>
          <w:sz w:val="24"/>
          <w:szCs w:val="24"/>
        </w:rPr>
      </w:pPr>
    </w:p>
    <w:p w14:paraId="7E13263D" w14:textId="238013CB" w:rsidR="004D3ABA" w:rsidRPr="004D3ABA" w:rsidRDefault="004D3ABA" w:rsidP="004D3ABA">
      <w:pPr>
        <w:pStyle w:val="Heading2"/>
      </w:pPr>
      <w:bookmarkStart w:id="26" w:name="_Toc222675159"/>
      <w:r w:rsidRPr="004D3ABA">
        <w:t>3.6 Advantages and Limitations</w:t>
      </w:r>
      <w:bookmarkEnd w:id="26"/>
    </w:p>
    <w:p w14:paraId="3788D508" w14:textId="523F2D4E" w:rsidR="004D3ABA" w:rsidRPr="004D3ABA" w:rsidRDefault="004D3ABA" w:rsidP="004D3ABA">
      <w:pPr>
        <w:spacing w:line="360" w:lineRule="auto"/>
        <w:jc w:val="both"/>
        <w:rPr>
          <w:rFonts w:ascii="Arial" w:hAnsi="Arial" w:cs="Arial"/>
          <w:sz w:val="24"/>
          <w:szCs w:val="24"/>
        </w:rPr>
      </w:pPr>
      <w:r w:rsidRPr="004D3ABA">
        <w:rPr>
          <w:rFonts w:ascii="Arial" w:hAnsi="Arial" w:cs="Arial"/>
          <w:sz w:val="24"/>
          <w:szCs w:val="24"/>
        </w:rPr>
        <w:t>The case study strategy offers several strengths:</w:t>
      </w:r>
    </w:p>
    <w:p w14:paraId="0CBC8C98" w14:textId="6CCA8A87" w:rsidR="004D3ABA" w:rsidRPr="004D3ABA" w:rsidRDefault="004D3ABA" w:rsidP="004D3ABA">
      <w:pPr>
        <w:pStyle w:val="ListParagraph"/>
        <w:numPr>
          <w:ilvl w:val="0"/>
          <w:numId w:val="6"/>
        </w:numPr>
        <w:spacing w:line="360" w:lineRule="auto"/>
        <w:jc w:val="both"/>
        <w:rPr>
          <w:rFonts w:ascii="Arial" w:hAnsi="Arial" w:cs="Arial"/>
          <w:sz w:val="24"/>
          <w:szCs w:val="24"/>
        </w:rPr>
      </w:pPr>
      <w:r w:rsidRPr="004D3ABA">
        <w:rPr>
          <w:rFonts w:ascii="Arial" w:hAnsi="Arial" w:cs="Arial"/>
          <w:sz w:val="24"/>
          <w:szCs w:val="24"/>
        </w:rPr>
        <w:t>Contextual depth (Yin, 2018)</w:t>
      </w:r>
    </w:p>
    <w:p w14:paraId="60A6F231" w14:textId="28E6D0DA" w:rsidR="004D3ABA" w:rsidRPr="004D3ABA" w:rsidRDefault="004D3ABA" w:rsidP="004D3ABA">
      <w:pPr>
        <w:pStyle w:val="ListParagraph"/>
        <w:numPr>
          <w:ilvl w:val="0"/>
          <w:numId w:val="6"/>
        </w:numPr>
        <w:spacing w:line="360" w:lineRule="auto"/>
        <w:jc w:val="both"/>
        <w:rPr>
          <w:rFonts w:ascii="Arial" w:hAnsi="Arial" w:cs="Arial"/>
          <w:sz w:val="24"/>
          <w:szCs w:val="24"/>
        </w:rPr>
      </w:pPr>
      <w:r w:rsidRPr="004D3ABA">
        <w:rPr>
          <w:rFonts w:ascii="Arial" w:hAnsi="Arial" w:cs="Arial"/>
          <w:sz w:val="24"/>
          <w:szCs w:val="24"/>
        </w:rPr>
        <w:t>Integration of theory and operational practice (Stake, 1995)</w:t>
      </w:r>
    </w:p>
    <w:p w14:paraId="23510AD0" w14:textId="540A1575" w:rsidR="004D3ABA" w:rsidRPr="004D3ABA" w:rsidRDefault="004D3ABA" w:rsidP="004D3ABA">
      <w:pPr>
        <w:pStyle w:val="ListParagraph"/>
        <w:numPr>
          <w:ilvl w:val="0"/>
          <w:numId w:val="6"/>
        </w:numPr>
        <w:spacing w:line="360" w:lineRule="auto"/>
        <w:jc w:val="both"/>
        <w:rPr>
          <w:rFonts w:ascii="Arial" w:hAnsi="Arial" w:cs="Arial"/>
          <w:sz w:val="24"/>
          <w:szCs w:val="24"/>
        </w:rPr>
      </w:pPr>
      <w:r w:rsidRPr="004D3ABA">
        <w:rPr>
          <w:rFonts w:ascii="Arial" w:hAnsi="Arial" w:cs="Arial"/>
          <w:sz w:val="24"/>
          <w:szCs w:val="24"/>
        </w:rPr>
        <w:t>Applied managerial relevance (Veal, 2018)</w:t>
      </w:r>
    </w:p>
    <w:p w14:paraId="02F5A47B" w14:textId="20256F77" w:rsidR="004D3ABA" w:rsidRPr="004D3ABA" w:rsidRDefault="004D3ABA" w:rsidP="004D3ABA">
      <w:pPr>
        <w:pStyle w:val="ListParagraph"/>
        <w:numPr>
          <w:ilvl w:val="0"/>
          <w:numId w:val="6"/>
        </w:numPr>
        <w:spacing w:line="360" w:lineRule="auto"/>
        <w:jc w:val="both"/>
        <w:rPr>
          <w:rFonts w:ascii="Arial" w:hAnsi="Arial" w:cs="Arial"/>
          <w:sz w:val="24"/>
          <w:szCs w:val="24"/>
        </w:rPr>
      </w:pPr>
      <w:r w:rsidRPr="004D3ABA">
        <w:rPr>
          <w:rFonts w:ascii="Arial" w:hAnsi="Arial" w:cs="Arial"/>
          <w:sz w:val="24"/>
          <w:szCs w:val="24"/>
        </w:rPr>
        <w:t>Ethical clarity due to absence of human subjects</w:t>
      </w:r>
    </w:p>
    <w:p w14:paraId="068F3550" w14:textId="24B3AF91" w:rsidR="002B7A2C" w:rsidRDefault="004D3ABA" w:rsidP="004D3ABA">
      <w:pPr>
        <w:spacing w:line="360" w:lineRule="auto"/>
        <w:jc w:val="both"/>
        <w:rPr>
          <w:rFonts w:ascii="Arial" w:hAnsi="Arial" w:cs="Arial"/>
          <w:sz w:val="24"/>
          <w:szCs w:val="24"/>
        </w:rPr>
      </w:pPr>
      <w:r w:rsidRPr="004D3ABA">
        <w:rPr>
          <w:rFonts w:ascii="Arial" w:hAnsi="Arial" w:cs="Arial"/>
          <w:sz w:val="24"/>
          <w:szCs w:val="24"/>
        </w:rPr>
        <w:t>However, limitations must be acknowledged. Secondary research depends on the quality and scope of existing literature (Bryman, 2016). Additionally, the absence of primary data restricts direct measurement of employee perceptions within the placement hotel. These constraints are mitigated through systematic literature synthesis and transparent methodological justification.</w:t>
      </w:r>
    </w:p>
    <w:p w14:paraId="286D2E65" w14:textId="77777777" w:rsidR="001B3510" w:rsidRDefault="001B3510" w:rsidP="002B7A2C">
      <w:pPr>
        <w:spacing w:line="360" w:lineRule="auto"/>
        <w:jc w:val="both"/>
        <w:rPr>
          <w:rFonts w:ascii="Arial" w:hAnsi="Arial" w:cs="Arial"/>
          <w:sz w:val="24"/>
          <w:szCs w:val="24"/>
        </w:rPr>
      </w:pPr>
    </w:p>
    <w:p w14:paraId="51335559" w14:textId="77777777" w:rsidR="009E058D" w:rsidRPr="009E058D" w:rsidRDefault="009E058D" w:rsidP="009E058D">
      <w:pPr>
        <w:pStyle w:val="Heading1"/>
      </w:pPr>
      <w:bookmarkStart w:id="27" w:name="_Toc222675160"/>
      <w:r w:rsidRPr="009E058D">
        <w:t>Chapter 4: Findings and Discussion</w:t>
      </w:r>
      <w:bookmarkEnd w:id="27"/>
    </w:p>
    <w:p w14:paraId="6963AF8B" w14:textId="696E51F7" w:rsidR="009E058D" w:rsidRPr="009E058D" w:rsidRDefault="009E058D" w:rsidP="009E058D">
      <w:pPr>
        <w:pStyle w:val="Heading2"/>
      </w:pPr>
      <w:bookmarkStart w:id="28" w:name="_Toc222675161"/>
      <w:r w:rsidRPr="009E058D">
        <w:t>4.1 Findings</w:t>
      </w:r>
      <w:bookmarkEnd w:id="28"/>
    </w:p>
    <w:p w14:paraId="30524469" w14:textId="77777777" w:rsidR="009E058D" w:rsidRPr="009E058D" w:rsidRDefault="009E058D" w:rsidP="009E058D">
      <w:pPr>
        <w:pStyle w:val="Heading3"/>
      </w:pPr>
      <w:bookmarkStart w:id="29" w:name="_Toc222675162"/>
      <w:r w:rsidRPr="009E058D">
        <w:t>Theme 1: Remuneration adequacy and perceived fairness</w:t>
      </w:r>
      <w:bookmarkEnd w:id="29"/>
    </w:p>
    <w:p w14:paraId="1142EB09" w14:textId="54926354" w:rsidR="00C5705F" w:rsidRDefault="00C5705F" w:rsidP="009E058D">
      <w:pPr>
        <w:spacing w:line="360" w:lineRule="auto"/>
        <w:jc w:val="both"/>
        <w:rPr>
          <w:rFonts w:ascii="Arial" w:hAnsi="Arial" w:cs="Arial"/>
          <w:sz w:val="24"/>
          <w:szCs w:val="24"/>
        </w:rPr>
      </w:pPr>
      <w:r w:rsidRPr="00C5705F">
        <w:rPr>
          <w:rFonts w:ascii="Arial" w:hAnsi="Arial" w:cs="Arial"/>
          <w:sz w:val="24"/>
          <w:szCs w:val="24"/>
        </w:rPr>
        <w:t xml:space="preserve">Across UK and international hotel studies, pay is positioned as a baseline hygiene condition for retaining operational staff but rarely as sufficient on its own. Turnover intentions rise where pay is perceived as misaligned with workload, emotional demands and local labour-market alternatives. A meta-analysis of hospitality turnover antecedents found work attitudes and job strain to have among the largest effects, with role stressors and </w:t>
      </w:r>
      <w:proofErr w:type="spellStart"/>
      <w:r w:rsidRPr="00C5705F">
        <w:rPr>
          <w:rFonts w:ascii="Arial" w:hAnsi="Arial" w:cs="Arial"/>
          <w:sz w:val="24"/>
          <w:szCs w:val="24"/>
        </w:rPr>
        <w:t>interrole</w:t>
      </w:r>
      <w:proofErr w:type="spellEnd"/>
      <w:r w:rsidRPr="00C5705F">
        <w:rPr>
          <w:rFonts w:ascii="Arial" w:hAnsi="Arial" w:cs="Arial"/>
          <w:sz w:val="24"/>
          <w:szCs w:val="24"/>
        </w:rPr>
        <w:t xml:space="preserve"> conflict comparatively strong in hospitality (Park and Min, 2020). </w:t>
      </w:r>
      <w:r w:rsidR="00364354" w:rsidRPr="00364354">
        <w:rPr>
          <w:rFonts w:ascii="Arial" w:hAnsi="Arial" w:cs="Arial"/>
          <w:sz w:val="24"/>
          <w:szCs w:val="24"/>
        </w:rPr>
        <w:t>Remuneration functions as a ‘signal’ of organisational respect and reciprocity, consistent with meta-analytic findings that attitudinal reactions to perceived fairness are more predictive of turnover than absolute reward level alone (Griffeth et al, 2000).</w:t>
      </w:r>
    </w:p>
    <w:p w14:paraId="5719613D" w14:textId="77777777" w:rsidR="0098295D" w:rsidRPr="0098295D" w:rsidRDefault="0098295D" w:rsidP="0098295D">
      <w:pPr>
        <w:pStyle w:val="Heading3"/>
      </w:pPr>
      <w:bookmarkStart w:id="30" w:name="_Toc222675163"/>
      <w:r w:rsidRPr="0098295D">
        <w:lastRenderedPageBreak/>
        <w:t>Theme 2: Role stress, workload intensity and burnout pathways</w:t>
      </w:r>
      <w:bookmarkEnd w:id="30"/>
    </w:p>
    <w:p w14:paraId="2AD4DAD9" w14:textId="1367935B" w:rsidR="00E60428" w:rsidRDefault="00E60428" w:rsidP="0098295D">
      <w:pPr>
        <w:spacing w:line="360" w:lineRule="auto"/>
        <w:jc w:val="both"/>
        <w:rPr>
          <w:rFonts w:ascii="Arial" w:hAnsi="Arial" w:cs="Arial"/>
          <w:sz w:val="24"/>
          <w:szCs w:val="24"/>
        </w:rPr>
      </w:pPr>
      <w:r w:rsidRPr="00E60428">
        <w:rPr>
          <w:rFonts w:ascii="Arial" w:hAnsi="Arial" w:cs="Arial"/>
          <w:sz w:val="24"/>
          <w:szCs w:val="24"/>
        </w:rPr>
        <w:t xml:space="preserve">The strongest and most consistent pattern in the reviewed literature is a stress–burnout–turnover mechanism for frontline hotel employees. A large-scale study shows that role stress predicts burnout, which in turn predicts turnover intention, with service climate acting as an important boundary condition (Wen et al, 2020). Operational unpredictability—occupancy fluctuations, peak arrivals and complaint handling—concentrates workload pressure in front office teams. </w:t>
      </w:r>
      <w:r w:rsidR="00813ADD" w:rsidRPr="00813ADD">
        <w:rPr>
          <w:rFonts w:ascii="Arial" w:hAnsi="Arial" w:cs="Arial"/>
          <w:sz w:val="24"/>
          <w:szCs w:val="24"/>
        </w:rPr>
        <w:t>Role stress comprises ambiguity, conflict and overload, each of which is associated with elevated burnout risk, and emotional exhaustion has been shown to function as the burnout dimension most proximally linked to turnover intention (Lee and Ashforth, 1996).</w:t>
      </w:r>
      <w:r w:rsidRPr="00E60428">
        <w:rPr>
          <w:rFonts w:ascii="Arial" w:hAnsi="Arial" w:cs="Arial"/>
          <w:sz w:val="24"/>
          <w:szCs w:val="24"/>
        </w:rPr>
        <w:t xml:space="preserve"> Consequently, retention risk increases when staffing gaps amplify overload and reduce opportunities for recovery and supervisory support</w:t>
      </w:r>
    </w:p>
    <w:p w14:paraId="536A3254" w14:textId="77777777" w:rsidR="00D252F2" w:rsidRPr="00D252F2" w:rsidRDefault="00D252F2" w:rsidP="00D252F2">
      <w:pPr>
        <w:pStyle w:val="Heading3"/>
      </w:pPr>
      <w:bookmarkStart w:id="31" w:name="_Toc222675164"/>
      <w:r w:rsidRPr="00D252F2">
        <w:t>Theme 3: Supervisor support, local leadership and day-to-day retention</w:t>
      </w:r>
      <w:bookmarkEnd w:id="31"/>
    </w:p>
    <w:p w14:paraId="066AF180" w14:textId="230886FF" w:rsidR="00581320" w:rsidRDefault="00D252F2" w:rsidP="00D252F2">
      <w:pPr>
        <w:spacing w:line="360" w:lineRule="auto"/>
        <w:jc w:val="both"/>
        <w:rPr>
          <w:rFonts w:ascii="Arial" w:hAnsi="Arial" w:cs="Arial"/>
          <w:sz w:val="24"/>
          <w:szCs w:val="24"/>
        </w:rPr>
      </w:pPr>
      <w:r w:rsidRPr="00D252F2">
        <w:rPr>
          <w:rFonts w:ascii="Arial" w:hAnsi="Arial" w:cs="Arial"/>
          <w:sz w:val="24"/>
          <w:szCs w:val="24"/>
        </w:rPr>
        <w:t>Findings consistently place the immediate supervisor as a pivotal retention lever in hotels. Evidence from hotel samples indicates that supervisor support can reduce turnover intention indirectly via employees’ subjective well-being (Gordon et al, 2019).</w:t>
      </w:r>
      <w:r w:rsidR="00585BCE">
        <w:rPr>
          <w:rFonts w:ascii="Arial" w:hAnsi="Arial" w:cs="Arial"/>
          <w:sz w:val="24"/>
          <w:szCs w:val="24"/>
        </w:rPr>
        <w:t xml:space="preserve"> </w:t>
      </w:r>
      <w:r w:rsidR="00585BCE" w:rsidRPr="00585BCE">
        <w:rPr>
          <w:rFonts w:ascii="Arial" w:hAnsi="Arial" w:cs="Arial"/>
          <w:sz w:val="24"/>
          <w:szCs w:val="24"/>
        </w:rPr>
        <w:t>Working conditions are experienced primarily through local leadership behaviours, including rota fairness, autonomy and real-time support after guest incidents. Hospitality research increasingly emphasises “reasons to stay”, highlighting supportive ties and perceived sacrifice associated with leaving (Robinson et al, 2014). Front office retention is therefore as much a line-management capability issue as a HR policy issue.</w:t>
      </w:r>
      <w:r w:rsidRPr="00D252F2">
        <w:rPr>
          <w:rFonts w:ascii="Arial" w:hAnsi="Arial" w:cs="Arial"/>
          <w:sz w:val="24"/>
          <w:szCs w:val="24"/>
        </w:rPr>
        <w:t xml:space="preserve"> </w:t>
      </w:r>
    </w:p>
    <w:p w14:paraId="1C011586" w14:textId="3C9649B4" w:rsidR="00F367A4" w:rsidRPr="00F367A4" w:rsidRDefault="009F2B6F" w:rsidP="00F367A4">
      <w:pPr>
        <w:pStyle w:val="Heading3"/>
      </w:pPr>
      <w:bookmarkStart w:id="32" w:name="_Toc222675165"/>
      <w:r w:rsidRPr="009F2B6F">
        <w:t>Theme 4: Recruitment constraints and the shrinking applicant pool</w:t>
      </w:r>
      <w:bookmarkEnd w:id="32"/>
    </w:p>
    <w:p w14:paraId="4BDD08F9" w14:textId="6C965F45" w:rsidR="00F367A4" w:rsidRDefault="00F367A4" w:rsidP="009F2B6F">
      <w:pPr>
        <w:spacing w:line="360" w:lineRule="auto"/>
        <w:jc w:val="both"/>
        <w:rPr>
          <w:rFonts w:ascii="Arial" w:hAnsi="Arial" w:cs="Arial"/>
          <w:sz w:val="24"/>
          <w:szCs w:val="24"/>
        </w:rPr>
      </w:pPr>
      <w:r w:rsidRPr="00F367A4">
        <w:rPr>
          <w:rFonts w:ascii="Arial" w:hAnsi="Arial" w:cs="Arial"/>
          <w:sz w:val="24"/>
          <w:szCs w:val="24"/>
        </w:rPr>
        <w:t xml:space="preserve">Labour supply constraints compound retention problems because frequent vacancies increase workload and accelerate exits among remaining staff. Research indicates that potential employees perceive hotel work as constrained by unsociable hours, limited development opportunities and negative industry image, reducing attraction into the sector (McGinley et al, 2017). For a hotel such as </w:t>
      </w:r>
      <w:proofErr w:type="spellStart"/>
      <w:r w:rsidRPr="00F367A4">
        <w:rPr>
          <w:rFonts w:ascii="Arial" w:hAnsi="Arial" w:cs="Arial"/>
          <w:sz w:val="24"/>
          <w:szCs w:val="24"/>
        </w:rPr>
        <w:t>Coldra</w:t>
      </w:r>
      <w:proofErr w:type="spellEnd"/>
      <w:r w:rsidRPr="00F367A4">
        <w:rPr>
          <w:rFonts w:ascii="Arial" w:hAnsi="Arial" w:cs="Arial"/>
          <w:sz w:val="24"/>
          <w:szCs w:val="24"/>
        </w:rPr>
        <w:t xml:space="preserve"> Court, vacancy cycles may therefore become self-reinforcing: perceived poor conditions deter applicants, increasing workload for incumbents and intensifying burnout and turnover intention.</w:t>
      </w:r>
    </w:p>
    <w:p w14:paraId="4FBCDC76" w14:textId="497785A3" w:rsidR="00960D91" w:rsidRPr="00960D91" w:rsidRDefault="00BB378C" w:rsidP="00960D91">
      <w:pPr>
        <w:pStyle w:val="Heading3"/>
      </w:pPr>
      <w:bookmarkStart w:id="33" w:name="_Toc222675166"/>
      <w:r w:rsidRPr="00BB378C">
        <w:lastRenderedPageBreak/>
        <w:t>Theme 5: Embeddedness, reciprocity and “reasons to stay”</w:t>
      </w:r>
      <w:bookmarkEnd w:id="33"/>
    </w:p>
    <w:p w14:paraId="2EE42A3B" w14:textId="269C693A" w:rsidR="00960D91" w:rsidRDefault="00960D91" w:rsidP="00BB378C">
      <w:pPr>
        <w:spacing w:line="360" w:lineRule="auto"/>
        <w:jc w:val="both"/>
        <w:rPr>
          <w:rFonts w:ascii="Arial" w:hAnsi="Arial" w:cs="Arial"/>
          <w:sz w:val="24"/>
          <w:szCs w:val="24"/>
        </w:rPr>
      </w:pPr>
      <w:r w:rsidRPr="00960D91">
        <w:rPr>
          <w:rFonts w:ascii="Arial" w:hAnsi="Arial" w:cs="Arial"/>
          <w:sz w:val="24"/>
          <w:szCs w:val="24"/>
        </w:rPr>
        <w:t>Retention improves when employees become embedded through fit, links and perceived sacrifice (Mitchell et al, 2001). In hotels, perceived organisational support strengthens embeddedness and reduces turnover intention (</w:t>
      </w:r>
      <w:proofErr w:type="spellStart"/>
      <w:r w:rsidRPr="00960D91">
        <w:rPr>
          <w:rFonts w:ascii="Arial" w:hAnsi="Arial" w:cs="Arial"/>
          <w:sz w:val="24"/>
          <w:szCs w:val="24"/>
        </w:rPr>
        <w:t>Akgunduz</w:t>
      </w:r>
      <w:proofErr w:type="spellEnd"/>
      <w:r w:rsidRPr="00960D91">
        <w:rPr>
          <w:rFonts w:ascii="Arial" w:hAnsi="Arial" w:cs="Arial"/>
          <w:sz w:val="24"/>
          <w:szCs w:val="24"/>
        </w:rPr>
        <w:t xml:space="preserve"> and Sanli, 2017). Organisational sacrifice is consistently associated with lower intention to leave (Robinson et al, 2014). Strengthening internal progression, training and benefits therefore builds the ties that retain staff despite demanding work.</w:t>
      </w:r>
    </w:p>
    <w:p w14:paraId="432C0824" w14:textId="77777777" w:rsidR="00943953" w:rsidRPr="00943953" w:rsidRDefault="00943953" w:rsidP="00943953">
      <w:pPr>
        <w:pStyle w:val="Heading3"/>
      </w:pPr>
      <w:bookmarkStart w:id="34" w:name="_Toc222675167"/>
      <w:r w:rsidRPr="00943953">
        <w:t>Theme 6: Turnover costs and accountability for operational impact</w:t>
      </w:r>
      <w:bookmarkEnd w:id="34"/>
    </w:p>
    <w:p w14:paraId="5835DE80" w14:textId="689F839A" w:rsidR="00C8499F" w:rsidRDefault="00C8499F" w:rsidP="00943953">
      <w:pPr>
        <w:spacing w:line="360" w:lineRule="auto"/>
        <w:jc w:val="both"/>
        <w:rPr>
          <w:rFonts w:ascii="Arial" w:hAnsi="Arial" w:cs="Arial"/>
          <w:sz w:val="24"/>
          <w:szCs w:val="24"/>
        </w:rPr>
      </w:pPr>
      <w:r w:rsidRPr="00C8499F">
        <w:rPr>
          <w:rFonts w:ascii="Arial" w:hAnsi="Arial" w:cs="Arial"/>
          <w:sz w:val="24"/>
          <w:szCs w:val="24"/>
        </w:rPr>
        <w:t>The literature indicates that turnover is not only an HR issue but also an operational and financial risk. Empirical work demonstrates that employee turnover is associated with reduced hotel profitability across multiple properties (Simons and Hinkin, 2001). Complementing this, research on turnover costing in hotels shows that many organisations lack robust accounting visibility of turnover costs and accountability mechanisms, potentially weakening managerial incentives to prioritise retention (</w:t>
      </w:r>
      <w:proofErr w:type="spellStart"/>
      <w:r w:rsidRPr="00C8499F">
        <w:rPr>
          <w:rFonts w:ascii="Arial" w:hAnsi="Arial" w:cs="Arial"/>
          <w:sz w:val="24"/>
          <w:szCs w:val="24"/>
        </w:rPr>
        <w:t>Guilding</w:t>
      </w:r>
      <w:proofErr w:type="spellEnd"/>
      <w:r w:rsidRPr="00C8499F">
        <w:rPr>
          <w:rFonts w:ascii="Arial" w:hAnsi="Arial" w:cs="Arial"/>
          <w:sz w:val="24"/>
          <w:szCs w:val="24"/>
        </w:rPr>
        <w:t xml:space="preserve"> et al, 2014). </w:t>
      </w:r>
      <w:r w:rsidR="00D20263" w:rsidRPr="00D20263">
        <w:rPr>
          <w:rFonts w:ascii="Arial" w:hAnsi="Arial" w:cs="Arial"/>
          <w:sz w:val="24"/>
          <w:szCs w:val="24"/>
        </w:rPr>
        <w:t>The implication is that case-study recommendations should include both people-management actions and measurement systems, consistent with configurational HRM evidence demonstrating that bundled practices outperform isolated interventions in reducing turnover (Delery and Doty, 1996).</w:t>
      </w:r>
    </w:p>
    <w:p w14:paraId="48A8563B" w14:textId="77777777" w:rsidR="00F06547" w:rsidRPr="00F06547" w:rsidRDefault="00F06547" w:rsidP="00F06547">
      <w:pPr>
        <w:pStyle w:val="Heading3"/>
      </w:pPr>
      <w:bookmarkStart w:id="35" w:name="_Toc222675168"/>
      <w:r w:rsidRPr="00F06547">
        <w:t>Theme 7: Non-linear relationships and the “threshold” problem in retention</w:t>
      </w:r>
      <w:bookmarkEnd w:id="35"/>
    </w:p>
    <w:p w14:paraId="2D1A8D20" w14:textId="6579EF5D" w:rsidR="00820887" w:rsidRDefault="00F06547" w:rsidP="00F06547">
      <w:pPr>
        <w:spacing w:line="360" w:lineRule="auto"/>
        <w:jc w:val="both"/>
        <w:rPr>
          <w:rFonts w:ascii="Arial" w:hAnsi="Arial" w:cs="Arial"/>
          <w:sz w:val="24"/>
          <w:szCs w:val="24"/>
        </w:rPr>
      </w:pPr>
      <w:r w:rsidRPr="00F06547">
        <w:rPr>
          <w:rFonts w:ascii="Arial" w:hAnsi="Arial" w:cs="Arial"/>
          <w:sz w:val="24"/>
          <w:szCs w:val="24"/>
        </w:rPr>
        <w:t>Evidence suggests that the relationship between antecedents (including satisfaction and other attitudes) and intention to leave can be non-linear, meaning improvements may have limited effect until a “threshold” is crossed. Hotel research examining these dynamics indicates that certain factors may exert quadratic effects rather than simple linear effects, emphasising that marginal changes in conditions may not deliver proportional retention gains (Mohsin</w:t>
      </w:r>
      <w:r>
        <w:rPr>
          <w:rFonts w:ascii="Arial" w:hAnsi="Arial" w:cs="Arial"/>
          <w:sz w:val="24"/>
          <w:szCs w:val="24"/>
        </w:rPr>
        <w:t xml:space="preserve"> et al</w:t>
      </w:r>
      <w:r w:rsidRPr="00F06547">
        <w:rPr>
          <w:rFonts w:ascii="Arial" w:hAnsi="Arial" w:cs="Arial"/>
          <w:sz w:val="24"/>
          <w:szCs w:val="24"/>
        </w:rPr>
        <w:t>, 2015). For practice, this implies that small pay adjustments or incremental staffing changes may not be sufficient where stress levels are already high; a bundle of interventions may be required to shift employees’ overall evaluation of staying versus leaving.</w:t>
      </w:r>
    </w:p>
    <w:p w14:paraId="52E12729" w14:textId="77777777" w:rsidR="00AC4D14" w:rsidRPr="00AC4D14" w:rsidRDefault="00AC4D14" w:rsidP="00AC4D14">
      <w:pPr>
        <w:pStyle w:val="Heading3"/>
      </w:pPr>
      <w:bookmarkStart w:id="36" w:name="_Toc222675169"/>
      <w:r w:rsidRPr="00AC4D14">
        <w:t>Theme 8: Work–life balance practices and job control as moderators of stress</w:t>
      </w:r>
      <w:bookmarkEnd w:id="36"/>
    </w:p>
    <w:p w14:paraId="03D234EC" w14:textId="0C3E51E9" w:rsidR="00525917" w:rsidRDefault="00AC4D14" w:rsidP="00AC4D14">
      <w:pPr>
        <w:spacing w:line="360" w:lineRule="auto"/>
        <w:jc w:val="both"/>
        <w:rPr>
          <w:rFonts w:ascii="Arial" w:hAnsi="Arial" w:cs="Arial"/>
          <w:sz w:val="24"/>
          <w:szCs w:val="24"/>
        </w:rPr>
      </w:pPr>
      <w:r w:rsidRPr="00AC4D14">
        <w:rPr>
          <w:rFonts w:ascii="Arial" w:hAnsi="Arial" w:cs="Arial"/>
          <w:sz w:val="24"/>
          <w:szCs w:val="24"/>
        </w:rPr>
        <w:t xml:space="preserve">Hotel work is characterised by irregular rosters and peak-period intensity, which affects employees’ ability to manage non-work responsibilities. Evidence from the hotel and catering industry indicates that job control and work–life balance practices moderate </w:t>
      </w:r>
      <w:r w:rsidRPr="00AC4D14">
        <w:rPr>
          <w:rFonts w:ascii="Arial" w:hAnsi="Arial" w:cs="Arial"/>
          <w:sz w:val="24"/>
          <w:szCs w:val="24"/>
        </w:rPr>
        <w:lastRenderedPageBreak/>
        <w:t>the effect of job stress, reducing negative outcomes where employees have more control and supportive practices are in place (Chiang</w:t>
      </w:r>
      <w:r w:rsidR="001C3E31">
        <w:rPr>
          <w:rFonts w:ascii="Arial" w:hAnsi="Arial" w:cs="Arial"/>
          <w:sz w:val="24"/>
          <w:szCs w:val="24"/>
        </w:rPr>
        <w:t xml:space="preserve"> et al</w:t>
      </w:r>
      <w:r w:rsidRPr="00AC4D14">
        <w:rPr>
          <w:rFonts w:ascii="Arial" w:hAnsi="Arial" w:cs="Arial"/>
          <w:sz w:val="24"/>
          <w:szCs w:val="24"/>
        </w:rPr>
        <w:t>, 2010). This is relevant for front office teams where shift swaps, predictable rota cycles and recovery time after late finishes can materially reduce strain.</w:t>
      </w:r>
    </w:p>
    <w:p w14:paraId="683E1B7F" w14:textId="77777777" w:rsidR="00BA1E03" w:rsidRPr="00BA1E03" w:rsidRDefault="00BA1E03" w:rsidP="00BA1E03">
      <w:pPr>
        <w:pStyle w:val="Heading3"/>
      </w:pPr>
      <w:bookmarkStart w:id="37" w:name="_Toc222675170"/>
      <w:r w:rsidRPr="00BA1E03">
        <w:t>Theme 9: Low-cost cultural levers that influence retention</w:t>
      </w:r>
      <w:bookmarkEnd w:id="37"/>
    </w:p>
    <w:p w14:paraId="31ED8BD8" w14:textId="25FFC2B7" w:rsidR="00FC528C" w:rsidRDefault="00D21784" w:rsidP="00BA1E03">
      <w:pPr>
        <w:spacing w:line="360" w:lineRule="auto"/>
        <w:jc w:val="both"/>
        <w:rPr>
          <w:rFonts w:ascii="Arial" w:hAnsi="Arial" w:cs="Arial"/>
          <w:sz w:val="24"/>
          <w:szCs w:val="24"/>
        </w:rPr>
      </w:pPr>
      <w:r w:rsidRPr="00D21784">
        <w:rPr>
          <w:rFonts w:ascii="Arial" w:hAnsi="Arial" w:cs="Arial"/>
          <w:sz w:val="24"/>
          <w:szCs w:val="24"/>
        </w:rPr>
        <w:t>Cultural levers such as workplace fun can reduce turnover and improve performance (Tews et al, 2013). While insufficient alone, such practices may strengthen morale and social cohesion.</w:t>
      </w:r>
    </w:p>
    <w:p w14:paraId="796A5975" w14:textId="64FD6015" w:rsidR="002B63EE" w:rsidRPr="002B63EE" w:rsidRDefault="00E01DE5" w:rsidP="002B63EE">
      <w:pPr>
        <w:pStyle w:val="Heading3"/>
      </w:pPr>
      <w:bookmarkStart w:id="38" w:name="_Toc222675171"/>
      <w:r w:rsidRPr="00E01DE5">
        <w:t>Theme 10: Career opportunities, employability and modern turnover intentions</w:t>
      </w:r>
      <w:bookmarkEnd w:id="38"/>
    </w:p>
    <w:p w14:paraId="3A9BF1FC" w14:textId="675BEC94" w:rsidR="002B63EE" w:rsidRDefault="002B63EE" w:rsidP="00E01DE5">
      <w:pPr>
        <w:spacing w:line="360" w:lineRule="auto"/>
        <w:jc w:val="both"/>
        <w:rPr>
          <w:rFonts w:ascii="Arial" w:hAnsi="Arial" w:cs="Arial"/>
          <w:sz w:val="24"/>
          <w:szCs w:val="24"/>
        </w:rPr>
      </w:pPr>
      <w:r w:rsidRPr="002B63EE">
        <w:rPr>
          <w:rFonts w:ascii="Arial" w:hAnsi="Arial" w:cs="Arial"/>
          <w:sz w:val="24"/>
          <w:szCs w:val="24"/>
        </w:rPr>
        <w:t>More recent hospitality research indicates that employees’ perceptions of career opportunity and adaptability shape turnover intentions. Rasheed et al (2020) demonstrate that career adaptability influences turnover intention through employees’ orientation to happiness, with perceived career opportunity acting as a boundary condition. Visible progression pathways within front office roles therefore operate as tangible retention mechanisms.</w:t>
      </w:r>
    </w:p>
    <w:p w14:paraId="78814AD2" w14:textId="409C2128" w:rsidR="00BF7C64" w:rsidRPr="00BF7C64" w:rsidRDefault="00BF7C64" w:rsidP="00BF7C64">
      <w:pPr>
        <w:pStyle w:val="Heading3"/>
      </w:pPr>
      <w:bookmarkStart w:id="39" w:name="_Toc222675172"/>
      <w:r w:rsidRPr="00BF7C64">
        <w:t>Theme 1</w:t>
      </w:r>
      <w:r w:rsidR="00752EF8">
        <w:t>1</w:t>
      </w:r>
      <w:r w:rsidRPr="00BF7C64">
        <w:t>: The “bundle” pattern across findings</w:t>
      </w:r>
      <w:bookmarkEnd w:id="39"/>
    </w:p>
    <w:p w14:paraId="5E762764" w14:textId="05B20E56" w:rsidR="00FF74B0" w:rsidRDefault="00BF7C64" w:rsidP="00BF7C64">
      <w:pPr>
        <w:spacing w:line="360" w:lineRule="auto"/>
        <w:jc w:val="both"/>
        <w:rPr>
          <w:rFonts w:ascii="Arial" w:hAnsi="Arial" w:cs="Arial"/>
          <w:sz w:val="24"/>
          <w:szCs w:val="24"/>
        </w:rPr>
      </w:pPr>
      <w:r w:rsidRPr="00BF7C64">
        <w:rPr>
          <w:rFonts w:ascii="Arial" w:hAnsi="Arial" w:cs="Arial"/>
          <w:sz w:val="24"/>
          <w:szCs w:val="24"/>
        </w:rPr>
        <w:t>A cross-cutting finding is that retention determinants operate as a bundle rather than as independent variables. Supportive supervision reduces turnover intention (Gordon et al, 2019), organisational support strengthens embeddedness (</w:t>
      </w:r>
      <w:proofErr w:type="spellStart"/>
      <w:r w:rsidRPr="00BF7C64">
        <w:rPr>
          <w:rFonts w:ascii="Arial" w:hAnsi="Arial" w:cs="Arial"/>
          <w:sz w:val="24"/>
          <w:szCs w:val="24"/>
        </w:rPr>
        <w:t>Akgunduz</w:t>
      </w:r>
      <w:proofErr w:type="spellEnd"/>
      <w:r w:rsidRPr="00BF7C64">
        <w:rPr>
          <w:rFonts w:ascii="Arial" w:hAnsi="Arial" w:cs="Arial"/>
          <w:sz w:val="24"/>
          <w:szCs w:val="24"/>
        </w:rPr>
        <w:t xml:space="preserve"> and Sanli, 2017), and work–life practices and job control mitigate stress pathways (Chiang</w:t>
      </w:r>
      <w:r w:rsidR="00721E04">
        <w:rPr>
          <w:rFonts w:ascii="Arial" w:hAnsi="Arial" w:cs="Arial"/>
          <w:sz w:val="24"/>
          <w:szCs w:val="24"/>
        </w:rPr>
        <w:t xml:space="preserve"> et al</w:t>
      </w:r>
      <w:r w:rsidRPr="00BF7C64">
        <w:rPr>
          <w:rFonts w:ascii="Arial" w:hAnsi="Arial" w:cs="Arial"/>
          <w:sz w:val="24"/>
          <w:szCs w:val="24"/>
        </w:rPr>
        <w:t>, 2010). In parallel, sector recruitment constraints increase the likelihood that workload intensifies when vacancies arise (McGinley</w:t>
      </w:r>
      <w:r w:rsidR="00721E04">
        <w:rPr>
          <w:rFonts w:ascii="Arial" w:hAnsi="Arial" w:cs="Arial"/>
          <w:sz w:val="24"/>
          <w:szCs w:val="24"/>
        </w:rPr>
        <w:t xml:space="preserve"> et al</w:t>
      </w:r>
      <w:r w:rsidRPr="00BF7C64">
        <w:rPr>
          <w:rFonts w:ascii="Arial" w:hAnsi="Arial" w:cs="Arial"/>
          <w:sz w:val="24"/>
          <w:szCs w:val="24"/>
        </w:rPr>
        <w:t>, 2017). Combined with evidence of threshold and non-linear effects (Mohsin</w:t>
      </w:r>
      <w:r w:rsidR="00721E04">
        <w:rPr>
          <w:rFonts w:ascii="Arial" w:hAnsi="Arial" w:cs="Arial"/>
          <w:sz w:val="24"/>
          <w:szCs w:val="24"/>
        </w:rPr>
        <w:t xml:space="preserve"> et al</w:t>
      </w:r>
      <w:r w:rsidRPr="00BF7C64">
        <w:rPr>
          <w:rFonts w:ascii="Arial" w:hAnsi="Arial" w:cs="Arial"/>
          <w:sz w:val="24"/>
          <w:szCs w:val="24"/>
        </w:rPr>
        <w:t>, 2015), the literature implies that effective retention strategies must be multi-component: stabilise staffing and workload first, then reinforce fairness, support and development to convert improvements into sustained “reasons to stay”.</w:t>
      </w:r>
    </w:p>
    <w:p w14:paraId="13F956DC" w14:textId="5B8068F9" w:rsidR="002519E2" w:rsidRPr="002519E2" w:rsidRDefault="002519E2" w:rsidP="002519E2">
      <w:pPr>
        <w:pStyle w:val="Heading3"/>
      </w:pPr>
      <w:bookmarkStart w:id="40" w:name="_Toc222675173"/>
      <w:r w:rsidRPr="002519E2">
        <w:t>Theme 1</w:t>
      </w:r>
      <w:r w:rsidR="00752EF8">
        <w:t>2</w:t>
      </w:r>
      <w:r w:rsidRPr="002519E2">
        <w:t>: Turnover intention versus actual turnover</w:t>
      </w:r>
      <w:bookmarkEnd w:id="40"/>
    </w:p>
    <w:p w14:paraId="405D8F64" w14:textId="462031E2" w:rsidR="00A67DD2" w:rsidRDefault="00A67DD2" w:rsidP="00090F8F">
      <w:pPr>
        <w:spacing w:line="360" w:lineRule="auto"/>
        <w:jc w:val="both"/>
        <w:rPr>
          <w:rFonts w:ascii="Arial" w:hAnsi="Arial" w:cs="Arial"/>
          <w:sz w:val="24"/>
          <w:szCs w:val="24"/>
        </w:rPr>
      </w:pPr>
      <w:r>
        <w:rPr>
          <w:rFonts w:ascii="Arial" w:hAnsi="Arial" w:cs="Arial"/>
          <w:sz w:val="24"/>
          <w:szCs w:val="24"/>
        </w:rPr>
        <w:t>T</w:t>
      </w:r>
      <w:r w:rsidRPr="00A67DD2">
        <w:rPr>
          <w:rFonts w:ascii="Arial" w:hAnsi="Arial" w:cs="Arial"/>
          <w:sz w:val="24"/>
          <w:szCs w:val="24"/>
        </w:rPr>
        <w:t>urnover intention is treated as a proximal antecedent of voluntary turnover and offers diagnostic value for early intervention, with meta-analytic evidence demonstrating a consistent relationship between behavioural intention and subsequent exit (Steel and Ovalle, 1984).</w:t>
      </w:r>
    </w:p>
    <w:p w14:paraId="5C88A8E8" w14:textId="5D6D2CD3" w:rsidR="00090F8F" w:rsidRPr="00A43CF1" w:rsidRDefault="00090F8F" w:rsidP="00090F8F">
      <w:pPr>
        <w:spacing w:line="360" w:lineRule="auto"/>
        <w:jc w:val="both"/>
        <w:rPr>
          <w:rFonts w:ascii="Arial" w:hAnsi="Arial" w:cs="Arial"/>
          <w:b/>
          <w:bCs/>
          <w:sz w:val="24"/>
          <w:szCs w:val="24"/>
        </w:rPr>
      </w:pPr>
      <w:r w:rsidRPr="00A43CF1">
        <w:rPr>
          <w:rFonts w:ascii="Arial" w:hAnsi="Arial" w:cs="Arial"/>
          <w:b/>
          <w:bCs/>
          <w:sz w:val="24"/>
          <w:szCs w:val="24"/>
        </w:rPr>
        <w:lastRenderedPageBreak/>
        <w:t>Summary of findings against objectives</w:t>
      </w:r>
    </w:p>
    <w:p w14:paraId="4DA1D655" w14:textId="01C4A79F" w:rsidR="002519E2" w:rsidRDefault="00090F8F" w:rsidP="00090F8F">
      <w:pPr>
        <w:spacing w:line="360" w:lineRule="auto"/>
        <w:jc w:val="both"/>
        <w:rPr>
          <w:rFonts w:ascii="Arial" w:hAnsi="Arial" w:cs="Arial"/>
          <w:sz w:val="24"/>
          <w:szCs w:val="24"/>
        </w:rPr>
      </w:pPr>
      <w:r w:rsidRPr="00090F8F">
        <w:rPr>
          <w:rFonts w:ascii="Arial" w:hAnsi="Arial" w:cs="Arial"/>
          <w:sz w:val="24"/>
          <w:szCs w:val="24"/>
        </w:rPr>
        <w:t>Taken together, the evidence indicates that front office retention is shaped by interacting determinants: remuneration fairness, role stress and burnout, supervisor support, embeddedness mechanisms and perceived career opportunity. Sector-wide recruitment constraints intensify local workload, making stress reduction and supportive leadership critical. Finally, the operational cost of turnover strengthens the business case for retention strategies that are measurable and accountable.</w:t>
      </w:r>
    </w:p>
    <w:p w14:paraId="17FF024E" w14:textId="2BEDE06B" w:rsidR="00A43CF1" w:rsidRDefault="00A43CF1" w:rsidP="00090F8F">
      <w:pPr>
        <w:spacing w:line="360" w:lineRule="auto"/>
        <w:jc w:val="both"/>
        <w:rPr>
          <w:rFonts w:ascii="Arial" w:hAnsi="Arial" w:cs="Arial"/>
          <w:sz w:val="24"/>
          <w:szCs w:val="24"/>
        </w:rPr>
      </w:pPr>
    </w:p>
    <w:p w14:paraId="20194144" w14:textId="77777777" w:rsidR="00A43CF1" w:rsidRPr="00A43CF1" w:rsidRDefault="00A43CF1" w:rsidP="00A43CF1">
      <w:pPr>
        <w:pStyle w:val="Heading2"/>
      </w:pPr>
      <w:bookmarkStart w:id="41" w:name="_Toc222675174"/>
      <w:r w:rsidRPr="00A43CF1">
        <w:t>4.2 Discussion</w:t>
      </w:r>
      <w:bookmarkEnd w:id="41"/>
    </w:p>
    <w:p w14:paraId="03E98B39" w14:textId="77777777" w:rsidR="00A43CF1" w:rsidRPr="00A43CF1" w:rsidRDefault="00A43CF1" w:rsidP="00A43CF1">
      <w:pPr>
        <w:spacing w:line="360" w:lineRule="auto"/>
        <w:jc w:val="both"/>
        <w:rPr>
          <w:rFonts w:ascii="Arial" w:hAnsi="Arial" w:cs="Arial"/>
          <w:sz w:val="24"/>
          <w:szCs w:val="24"/>
        </w:rPr>
      </w:pPr>
    </w:p>
    <w:p w14:paraId="318EC20E" w14:textId="2F0F8A47" w:rsidR="00A43CF1" w:rsidRPr="00A43CF1" w:rsidRDefault="00BA1D0C" w:rsidP="00813713">
      <w:pPr>
        <w:pStyle w:val="Heading3"/>
      </w:pPr>
      <w:bookmarkStart w:id="42" w:name="_Toc222675175"/>
      <w:r>
        <w:t xml:space="preserve">4.2.1 </w:t>
      </w:r>
      <w:r w:rsidR="00A43CF1" w:rsidRPr="00A43CF1">
        <w:t>Interpreting findings through the research objectives</w:t>
      </w:r>
      <w:bookmarkEnd w:id="42"/>
    </w:p>
    <w:p w14:paraId="4CB75D57" w14:textId="77777777" w:rsidR="00A43CF1" w:rsidRPr="00A43CF1" w:rsidRDefault="00A43CF1" w:rsidP="00813713">
      <w:pPr>
        <w:pStyle w:val="Heading4"/>
      </w:pPr>
      <w:r w:rsidRPr="00A43CF1">
        <w:t>Objective 1: Structural nature of front office staff shortages</w:t>
      </w:r>
    </w:p>
    <w:p w14:paraId="757A69C9" w14:textId="5B37ADFE" w:rsidR="00A43CF1" w:rsidRDefault="00A43CF1" w:rsidP="00A43CF1">
      <w:pPr>
        <w:spacing w:line="360" w:lineRule="auto"/>
        <w:jc w:val="both"/>
        <w:rPr>
          <w:rFonts w:ascii="Arial" w:hAnsi="Arial" w:cs="Arial"/>
          <w:sz w:val="24"/>
          <w:szCs w:val="24"/>
        </w:rPr>
      </w:pPr>
      <w:r w:rsidRPr="00A43CF1">
        <w:rPr>
          <w:rFonts w:ascii="Arial" w:hAnsi="Arial" w:cs="Arial"/>
          <w:sz w:val="24"/>
          <w:szCs w:val="24"/>
        </w:rPr>
        <w:t>The findings support the interpretation that front office shortages are structural rather than episodic. Recruitment constraints identified in the literature imply that candidate supply is limited by industry image and expectations about unsociable hours and emotional demands (McGinley</w:t>
      </w:r>
      <w:r>
        <w:rPr>
          <w:rFonts w:ascii="Arial" w:hAnsi="Arial" w:cs="Arial"/>
          <w:sz w:val="24"/>
          <w:szCs w:val="24"/>
        </w:rPr>
        <w:t xml:space="preserve"> et al</w:t>
      </w:r>
      <w:r w:rsidRPr="00A43CF1">
        <w:rPr>
          <w:rFonts w:ascii="Arial" w:hAnsi="Arial" w:cs="Arial"/>
          <w:sz w:val="24"/>
          <w:szCs w:val="24"/>
        </w:rPr>
        <w:t>, 2017). In the placement-hotel context, this matters because front office work is service-critical: when vacancies occur, workload is redistributed immediately, intensifying role overload and accelerating burnout. The evidence therefore suggests that a “replace leavers quickly” approach will be insufficient if the applicant pool is constrained; the hotel must reduce preventable exits and make the role more attractive through a credible employment proposition.</w:t>
      </w:r>
    </w:p>
    <w:p w14:paraId="3AAE110D" w14:textId="77777777" w:rsidR="009B00EF" w:rsidRPr="009B00EF" w:rsidRDefault="009B00EF" w:rsidP="00813713">
      <w:pPr>
        <w:pStyle w:val="Heading4"/>
      </w:pPr>
      <w:r w:rsidRPr="009B00EF">
        <w:t>Objective 2: Remuneration practices and retention</w:t>
      </w:r>
    </w:p>
    <w:p w14:paraId="5581ECB1" w14:textId="09F77FB8" w:rsidR="006F68B7" w:rsidRDefault="009B00EF" w:rsidP="009B00EF">
      <w:pPr>
        <w:spacing w:line="360" w:lineRule="auto"/>
        <w:jc w:val="both"/>
        <w:rPr>
          <w:rFonts w:ascii="Arial" w:hAnsi="Arial" w:cs="Arial"/>
          <w:sz w:val="24"/>
          <w:szCs w:val="24"/>
        </w:rPr>
      </w:pPr>
      <w:r w:rsidRPr="009B00EF">
        <w:rPr>
          <w:rFonts w:ascii="Arial" w:hAnsi="Arial" w:cs="Arial"/>
          <w:sz w:val="24"/>
          <w:szCs w:val="24"/>
        </w:rPr>
        <w:t>Remuneration emerged as a necessary but not sufficient driver. The hospitality meta-analysis indicates that job strains and role stressors are highly influential, and these often operate alongside pay perceptions (Park and Min, 2020). This supports a contingent interpretation: pay increases may reduce turnover intention most effectively when they are experienced as fair recognition of demands, and when they coincide with actions that reduce workload pressure. Moreover, evidence of potential threshold effects in turnover determinants implies that incremental pay changes may be “below the line” for many employees, especially in high-pressure roles (Mohsin</w:t>
      </w:r>
      <w:r>
        <w:rPr>
          <w:rFonts w:ascii="Arial" w:hAnsi="Arial" w:cs="Arial"/>
          <w:sz w:val="24"/>
          <w:szCs w:val="24"/>
        </w:rPr>
        <w:t xml:space="preserve"> et al</w:t>
      </w:r>
      <w:r w:rsidRPr="009B00EF">
        <w:rPr>
          <w:rFonts w:ascii="Arial" w:hAnsi="Arial" w:cs="Arial"/>
          <w:sz w:val="24"/>
          <w:szCs w:val="24"/>
        </w:rPr>
        <w:t xml:space="preserve">, 2015). For </w:t>
      </w:r>
      <w:proofErr w:type="spellStart"/>
      <w:r w:rsidRPr="009B00EF">
        <w:rPr>
          <w:rFonts w:ascii="Arial" w:hAnsi="Arial" w:cs="Arial"/>
          <w:sz w:val="24"/>
          <w:szCs w:val="24"/>
        </w:rPr>
        <w:t>Coldra</w:t>
      </w:r>
      <w:proofErr w:type="spellEnd"/>
      <w:r w:rsidRPr="009B00EF">
        <w:rPr>
          <w:rFonts w:ascii="Arial" w:hAnsi="Arial" w:cs="Arial"/>
          <w:sz w:val="24"/>
          <w:szCs w:val="24"/>
        </w:rPr>
        <w:t xml:space="preserve"> Court, the practical implication is that pay interventions should be designed </w:t>
      </w:r>
      <w:r w:rsidRPr="009B00EF">
        <w:rPr>
          <w:rFonts w:ascii="Arial" w:hAnsi="Arial" w:cs="Arial"/>
          <w:sz w:val="24"/>
          <w:szCs w:val="24"/>
        </w:rPr>
        <w:lastRenderedPageBreak/>
        <w:t>as part of a bundle (e.g., staffing stabilisation, supervisor support, and job control), rather than as isolated adjustments.</w:t>
      </w:r>
    </w:p>
    <w:p w14:paraId="0F840D53" w14:textId="77777777" w:rsidR="00903C94" w:rsidRPr="00903C94" w:rsidRDefault="00903C94" w:rsidP="00813713">
      <w:pPr>
        <w:pStyle w:val="Heading4"/>
      </w:pPr>
      <w:r w:rsidRPr="00903C94">
        <w:t>Objective 3: Working conditions, workload intensity and turnover intention</w:t>
      </w:r>
    </w:p>
    <w:p w14:paraId="490A1ACE" w14:textId="71B45F73" w:rsidR="00FF74B0" w:rsidRDefault="00903C94" w:rsidP="00903C94">
      <w:pPr>
        <w:spacing w:line="360" w:lineRule="auto"/>
        <w:jc w:val="both"/>
        <w:rPr>
          <w:rFonts w:ascii="Arial" w:hAnsi="Arial" w:cs="Arial"/>
          <w:sz w:val="24"/>
          <w:szCs w:val="24"/>
        </w:rPr>
      </w:pPr>
      <w:r w:rsidRPr="00903C94">
        <w:rPr>
          <w:rFonts w:ascii="Arial" w:hAnsi="Arial" w:cs="Arial"/>
          <w:sz w:val="24"/>
          <w:szCs w:val="24"/>
        </w:rPr>
        <w:t>The discussion can be anchored in the stress–burnout mechanism observed in frontline hotel samples. Wen et al (2020) provide empirical support for burnout as a mediating pathway between role stress and turnover intention. For the placement context, this implies that retention strategy should target upstream causes of burnout: role clarity (standard operating procedures and clear escalation routes), role conflict reduction (consistent priorities during peak periods), and role overload reduction (minimum staffing levels for peak check-in/check-out windows). Evidence that job control and work–life balance practices moderate stress effects suggests that rota predictability, shift-swapping systems, and limits on back-to-back late/early shifts can materially influence turnover intentions (Chiang</w:t>
      </w:r>
      <w:r w:rsidR="00A9501B">
        <w:rPr>
          <w:rFonts w:ascii="Arial" w:hAnsi="Arial" w:cs="Arial"/>
          <w:sz w:val="24"/>
          <w:szCs w:val="24"/>
        </w:rPr>
        <w:t xml:space="preserve"> et al</w:t>
      </w:r>
      <w:r w:rsidRPr="00903C94">
        <w:rPr>
          <w:rFonts w:ascii="Arial" w:hAnsi="Arial" w:cs="Arial"/>
          <w:sz w:val="24"/>
          <w:szCs w:val="24"/>
        </w:rPr>
        <w:t>, 2010).</w:t>
      </w:r>
    </w:p>
    <w:p w14:paraId="5C0980AA" w14:textId="77777777" w:rsidR="00C52786" w:rsidRPr="00C52786" w:rsidRDefault="00C52786" w:rsidP="00813713">
      <w:pPr>
        <w:pStyle w:val="Heading4"/>
      </w:pPr>
      <w:r w:rsidRPr="00C52786">
        <w:t>Objective 4: Evidence-based recommendations for the placement hotel</w:t>
      </w:r>
    </w:p>
    <w:p w14:paraId="73D53285" w14:textId="5F77C690" w:rsidR="00C52786" w:rsidRPr="00C52786" w:rsidRDefault="00C52786" w:rsidP="00C52786">
      <w:pPr>
        <w:spacing w:line="360" w:lineRule="auto"/>
        <w:jc w:val="both"/>
        <w:rPr>
          <w:rFonts w:ascii="Arial" w:hAnsi="Arial" w:cs="Arial"/>
          <w:sz w:val="24"/>
          <w:szCs w:val="24"/>
        </w:rPr>
      </w:pPr>
      <w:r w:rsidRPr="00C52786">
        <w:rPr>
          <w:rFonts w:ascii="Arial" w:hAnsi="Arial" w:cs="Arial"/>
          <w:sz w:val="24"/>
          <w:szCs w:val="24"/>
        </w:rPr>
        <w:t>The literature supports several recommendation clusters.</w:t>
      </w:r>
    </w:p>
    <w:p w14:paraId="127917C6" w14:textId="77777777" w:rsidR="00D54B40" w:rsidRDefault="00C52786" w:rsidP="00C52786">
      <w:pPr>
        <w:pStyle w:val="ListParagraph"/>
        <w:numPr>
          <w:ilvl w:val="0"/>
          <w:numId w:val="7"/>
        </w:numPr>
        <w:spacing w:line="360" w:lineRule="auto"/>
        <w:jc w:val="both"/>
        <w:rPr>
          <w:rFonts w:ascii="Arial" w:hAnsi="Arial" w:cs="Arial"/>
          <w:sz w:val="24"/>
          <w:szCs w:val="24"/>
        </w:rPr>
      </w:pPr>
      <w:r w:rsidRPr="00D54B40">
        <w:rPr>
          <w:rFonts w:ascii="Arial" w:hAnsi="Arial" w:cs="Arial"/>
          <w:b/>
          <w:bCs/>
          <w:sz w:val="24"/>
          <w:szCs w:val="24"/>
        </w:rPr>
        <w:t>Make turnover visible and operationally owned</w:t>
      </w:r>
      <w:r w:rsidR="00D54B40">
        <w:rPr>
          <w:rFonts w:ascii="Arial" w:hAnsi="Arial" w:cs="Arial"/>
          <w:sz w:val="24"/>
          <w:szCs w:val="24"/>
        </w:rPr>
        <w:t>.</w:t>
      </w:r>
    </w:p>
    <w:p w14:paraId="41F9A8CB" w14:textId="62CF8230" w:rsidR="00A9501B" w:rsidRPr="00D54B40" w:rsidRDefault="00C52786" w:rsidP="00D54B40">
      <w:pPr>
        <w:pStyle w:val="ListParagraph"/>
        <w:spacing w:line="360" w:lineRule="auto"/>
        <w:jc w:val="both"/>
        <w:rPr>
          <w:rFonts w:ascii="Arial" w:hAnsi="Arial" w:cs="Arial"/>
          <w:sz w:val="24"/>
          <w:szCs w:val="24"/>
        </w:rPr>
      </w:pPr>
      <w:r w:rsidRPr="00D54B40">
        <w:rPr>
          <w:rFonts w:ascii="Arial" w:hAnsi="Arial" w:cs="Arial"/>
          <w:sz w:val="24"/>
          <w:szCs w:val="24"/>
        </w:rPr>
        <w:t xml:space="preserve">Given evidence linking turnover to profitability and the observed lack of robust turnover costing in many hotels, </w:t>
      </w:r>
      <w:proofErr w:type="spellStart"/>
      <w:r w:rsidRPr="00D54B40">
        <w:rPr>
          <w:rFonts w:ascii="Arial" w:hAnsi="Arial" w:cs="Arial"/>
          <w:sz w:val="24"/>
          <w:szCs w:val="24"/>
        </w:rPr>
        <w:t>Coldra</w:t>
      </w:r>
      <w:proofErr w:type="spellEnd"/>
      <w:r w:rsidRPr="00D54B40">
        <w:rPr>
          <w:rFonts w:ascii="Arial" w:hAnsi="Arial" w:cs="Arial"/>
          <w:sz w:val="24"/>
          <w:szCs w:val="24"/>
        </w:rPr>
        <w:t xml:space="preserve"> Court could strengthen retention governance by tracking turnover metrics, vacancy duration, overtime, and onboarding costs at department level (Simons and Hinkin, 2001; </w:t>
      </w:r>
      <w:proofErr w:type="spellStart"/>
      <w:r w:rsidRPr="00D54B40">
        <w:rPr>
          <w:rFonts w:ascii="Arial" w:hAnsi="Arial" w:cs="Arial"/>
          <w:sz w:val="24"/>
          <w:szCs w:val="24"/>
        </w:rPr>
        <w:t>Guilding</w:t>
      </w:r>
      <w:proofErr w:type="spellEnd"/>
      <w:r w:rsidR="000952AB">
        <w:rPr>
          <w:rFonts w:ascii="Arial" w:hAnsi="Arial" w:cs="Arial"/>
          <w:sz w:val="24"/>
          <w:szCs w:val="24"/>
        </w:rPr>
        <w:t xml:space="preserve"> et al</w:t>
      </w:r>
      <w:r w:rsidRPr="00D54B40">
        <w:rPr>
          <w:rFonts w:ascii="Arial" w:hAnsi="Arial" w:cs="Arial"/>
          <w:sz w:val="24"/>
          <w:szCs w:val="24"/>
        </w:rPr>
        <w:t>, 2014). This aligns operational incentives with HR outcomes and enables targeted interventions for the front office team.</w:t>
      </w:r>
    </w:p>
    <w:p w14:paraId="647F13D1" w14:textId="77777777" w:rsidR="002677EE" w:rsidRPr="002677EE" w:rsidRDefault="002677EE" w:rsidP="002677EE">
      <w:pPr>
        <w:pStyle w:val="ListParagraph"/>
        <w:numPr>
          <w:ilvl w:val="0"/>
          <w:numId w:val="7"/>
        </w:numPr>
        <w:spacing w:line="360" w:lineRule="auto"/>
        <w:jc w:val="both"/>
        <w:rPr>
          <w:rFonts w:ascii="Arial" w:hAnsi="Arial" w:cs="Arial"/>
          <w:b/>
          <w:bCs/>
          <w:sz w:val="24"/>
          <w:szCs w:val="24"/>
        </w:rPr>
      </w:pPr>
      <w:r w:rsidRPr="002677EE">
        <w:rPr>
          <w:rFonts w:ascii="Arial" w:hAnsi="Arial" w:cs="Arial"/>
          <w:b/>
          <w:bCs/>
          <w:sz w:val="24"/>
          <w:szCs w:val="24"/>
        </w:rPr>
        <w:t>Strengthen supervisor capability and support climate</w:t>
      </w:r>
    </w:p>
    <w:p w14:paraId="6C1F4369" w14:textId="3ECEF67A" w:rsidR="002B7A2C" w:rsidRDefault="002677EE" w:rsidP="002677EE">
      <w:pPr>
        <w:pStyle w:val="ListParagraph"/>
        <w:spacing w:line="360" w:lineRule="auto"/>
        <w:jc w:val="both"/>
        <w:rPr>
          <w:rFonts w:ascii="Arial" w:hAnsi="Arial" w:cs="Arial"/>
          <w:sz w:val="24"/>
          <w:szCs w:val="24"/>
        </w:rPr>
      </w:pPr>
      <w:r w:rsidRPr="002677EE">
        <w:rPr>
          <w:rFonts w:ascii="Arial" w:hAnsi="Arial" w:cs="Arial"/>
          <w:sz w:val="24"/>
          <w:szCs w:val="24"/>
        </w:rPr>
        <w:t>Supervisor support appears to reduce turnover intention via well-being mechanisms, implying that leadership behaviours are an actionable lever (Gordon et al, 2019). For front office operations, “support” should be operationalised: fair rota allocation, active coaching during peak periods, debriefs after guest incidents, and consistent recognition for service recovery work. Leadership development can therefore be framed as a retention intervention, not only a service-quality initiative.</w:t>
      </w:r>
    </w:p>
    <w:p w14:paraId="3912E782" w14:textId="77777777" w:rsidR="002677EE" w:rsidRDefault="002677EE" w:rsidP="002677EE">
      <w:pPr>
        <w:pStyle w:val="ListParagraph"/>
        <w:spacing w:line="360" w:lineRule="auto"/>
        <w:jc w:val="both"/>
        <w:rPr>
          <w:rFonts w:ascii="Arial" w:hAnsi="Arial" w:cs="Arial"/>
          <w:sz w:val="24"/>
          <w:szCs w:val="24"/>
        </w:rPr>
      </w:pPr>
    </w:p>
    <w:p w14:paraId="21234A02" w14:textId="77777777" w:rsidR="00CB2669" w:rsidRPr="00CB2669" w:rsidRDefault="00CB2669" w:rsidP="00CB2669">
      <w:pPr>
        <w:pStyle w:val="ListParagraph"/>
        <w:numPr>
          <w:ilvl w:val="0"/>
          <w:numId w:val="7"/>
        </w:numPr>
        <w:spacing w:line="360" w:lineRule="auto"/>
        <w:jc w:val="both"/>
        <w:rPr>
          <w:rFonts w:ascii="Arial" w:hAnsi="Arial" w:cs="Arial"/>
          <w:b/>
          <w:bCs/>
          <w:sz w:val="24"/>
          <w:szCs w:val="24"/>
        </w:rPr>
      </w:pPr>
      <w:r w:rsidRPr="00CB2669">
        <w:rPr>
          <w:rFonts w:ascii="Arial" w:hAnsi="Arial" w:cs="Arial"/>
          <w:b/>
          <w:bCs/>
          <w:sz w:val="24"/>
          <w:szCs w:val="24"/>
        </w:rPr>
        <w:t>Reduce role stress by redesigning peak-period work</w:t>
      </w:r>
    </w:p>
    <w:p w14:paraId="6027B9D6" w14:textId="2D0AF730" w:rsidR="002677EE" w:rsidRDefault="00CB2669" w:rsidP="00CB2669">
      <w:pPr>
        <w:pStyle w:val="ListParagraph"/>
        <w:spacing w:line="360" w:lineRule="auto"/>
        <w:jc w:val="both"/>
        <w:rPr>
          <w:rFonts w:ascii="Arial" w:hAnsi="Arial" w:cs="Arial"/>
          <w:sz w:val="24"/>
          <w:szCs w:val="24"/>
        </w:rPr>
      </w:pPr>
      <w:r w:rsidRPr="00CB2669">
        <w:rPr>
          <w:rFonts w:ascii="Arial" w:hAnsi="Arial" w:cs="Arial"/>
          <w:sz w:val="24"/>
          <w:szCs w:val="24"/>
        </w:rPr>
        <w:lastRenderedPageBreak/>
        <w:t xml:space="preserve">Where staff shortages exist, front office work becomes more reactive, creating ambiguity and overload. Findings support adopting a service-climate lens: if teams experience that the organisation prioritises service and provides resources, the negative pathway from role stress to turnover intention is weaker (Wen et al, 2020). For </w:t>
      </w:r>
      <w:proofErr w:type="spellStart"/>
      <w:r w:rsidRPr="00CB2669">
        <w:rPr>
          <w:rFonts w:ascii="Arial" w:hAnsi="Arial" w:cs="Arial"/>
          <w:sz w:val="24"/>
          <w:szCs w:val="24"/>
        </w:rPr>
        <w:t>Coldra</w:t>
      </w:r>
      <w:proofErr w:type="spellEnd"/>
      <w:r w:rsidRPr="00CB2669">
        <w:rPr>
          <w:rFonts w:ascii="Arial" w:hAnsi="Arial" w:cs="Arial"/>
          <w:sz w:val="24"/>
          <w:szCs w:val="24"/>
        </w:rPr>
        <w:t xml:space="preserve"> Court, practical techniques may include peak-time task standardisation, role split between arrivals and queries, and protected time for handovers. These are low-cost process changes that directly affect job strain.</w:t>
      </w:r>
    </w:p>
    <w:p w14:paraId="02E47A39" w14:textId="77777777" w:rsidR="002677EE" w:rsidRDefault="002677EE" w:rsidP="002677EE">
      <w:pPr>
        <w:pStyle w:val="ListParagraph"/>
        <w:spacing w:line="360" w:lineRule="auto"/>
        <w:jc w:val="both"/>
        <w:rPr>
          <w:rFonts w:ascii="Arial" w:hAnsi="Arial" w:cs="Arial"/>
          <w:sz w:val="24"/>
          <w:szCs w:val="24"/>
        </w:rPr>
      </w:pPr>
    </w:p>
    <w:p w14:paraId="3723463C" w14:textId="77777777" w:rsidR="00D2095F" w:rsidRPr="00D2095F" w:rsidRDefault="00D2095F" w:rsidP="00D2095F">
      <w:pPr>
        <w:pStyle w:val="ListParagraph"/>
        <w:numPr>
          <w:ilvl w:val="0"/>
          <w:numId w:val="7"/>
        </w:numPr>
        <w:spacing w:line="360" w:lineRule="auto"/>
        <w:jc w:val="both"/>
        <w:rPr>
          <w:rFonts w:ascii="Arial" w:hAnsi="Arial" w:cs="Arial"/>
          <w:b/>
          <w:bCs/>
          <w:sz w:val="24"/>
          <w:szCs w:val="24"/>
        </w:rPr>
      </w:pPr>
      <w:r w:rsidRPr="00D2095F">
        <w:rPr>
          <w:rFonts w:ascii="Arial" w:hAnsi="Arial" w:cs="Arial"/>
          <w:b/>
          <w:bCs/>
          <w:sz w:val="24"/>
          <w:szCs w:val="24"/>
        </w:rPr>
        <w:t>Build embeddedness through development and “sacrifice”</w:t>
      </w:r>
    </w:p>
    <w:p w14:paraId="113EBAB8" w14:textId="7FAE60AD" w:rsidR="002677EE" w:rsidRDefault="00D2095F" w:rsidP="00D2095F">
      <w:pPr>
        <w:pStyle w:val="ListParagraph"/>
        <w:spacing w:line="360" w:lineRule="auto"/>
        <w:jc w:val="both"/>
        <w:rPr>
          <w:rFonts w:ascii="Arial" w:hAnsi="Arial" w:cs="Arial"/>
          <w:sz w:val="24"/>
          <w:szCs w:val="24"/>
        </w:rPr>
      </w:pPr>
      <w:r w:rsidRPr="00D2095F">
        <w:rPr>
          <w:rFonts w:ascii="Arial" w:hAnsi="Arial" w:cs="Arial"/>
          <w:sz w:val="24"/>
          <w:szCs w:val="24"/>
        </w:rPr>
        <w:t>Perceived organisational support and embeddedness have direct relevance because they convert organisational investment into reasons-to-stay (</w:t>
      </w:r>
      <w:proofErr w:type="spellStart"/>
      <w:r w:rsidRPr="00D2095F">
        <w:rPr>
          <w:rFonts w:ascii="Arial" w:hAnsi="Arial" w:cs="Arial"/>
          <w:sz w:val="24"/>
          <w:szCs w:val="24"/>
        </w:rPr>
        <w:t>Akgunduz</w:t>
      </w:r>
      <w:proofErr w:type="spellEnd"/>
      <w:r w:rsidRPr="00D2095F">
        <w:rPr>
          <w:rFonts w:ascii="Arial" w:hAnsi="Arial" w:cs="Arial"/>
          <w:sz w:val="24"/>
          <w:szCs w:val="24"/>
        </w:rPr>
        <w:t xml:space="preserve"> and Sanli, 2017; Robinson et al, 2014). The placement hotel could strengthen embeddedness by formalising progression steps, providing cross-training (reservations, events coordination, duty management exposure), and offering credentials that signal employability while also increasing internal fit. Crucially, training investments should be structured to increase organisational “sacrifice” (benefits of staying) without creating coercive retention.</w:t>
      </w:r>
    </w:p>
    <w:p w14:paraId="13C766EB" w14:textId="77777777" w:rsidR="002677EE" w:rsidRDefault="002677EE" w:rsidP="002677EE">
      <w:pPr>
        <w:pStyle w:val="ListParagraph"/>
        <w:spacing w:line="360" w:lineRule="auto"/>
        <w:jc w:val="both"/>
        <w:rPr>
          <w:rFonts w:ascii="Arial" w:hAnsi="Arial" w:cs="Arial"/>
          <w:sz w:val="24"/>
          <w:szCs w:val="24"/>
        </w:rPr>
      </w:pPr>
    </w:p>
    <w:p w14:paraId="3454B27C" w14:textId="77777777" w:rsidR="00E54500" w:rsidRPr="00E54500" w:rsidRDefault="00E54500" w:rsidP="00E54500">
      <w:pPr>
        <w:pStyle w:val="ListParagraph"/>
        <w:numPr>
          <w:ilvl w:val="0"/>
          <w:numId w:val="7"/>
        </w:numPr>
        <w:spacing w:line="360" w:lineRule="auto"/>
        <w:jc w:val="both"/>
        <w:rPr>
          <w:rFonts w:ascii="Arial" w:hAnsi="Arial" w:cs="Arial"/>
          <w:b/>
          <w:bCs/>
          <w:sz w:val="24"/>
          <w:szCs w:val="24"/>
        </w:rPr>
      </w:pPr>
      <w:r w:rsidRPr="00E54500">
        <w:rPr>
          <w:rFonts w:ascii="Arial" w:hAnsi="Arial" w:cs="Arial"/>
          <w:b/>
          <w:bCs/>
          <w:sz w:val="24"/>
          <w:szCs w:val="24"/>
        </w:rPr>
        <w:t>Address attraction and retention as a combined system</w:t>
      </w:r>
    </w:p>
    <w:p w14:paraId="7372E8DE" w14:textId="44083983" w:rsidR="002677EE" w:rsidRDefault="00E54500" w:rsidP="00E54500">
      <w:pPr>
        <w:pStyle w:val="ListParagraph"/>
        <w:spacing w:line="360" w:lineRule="auto"/>
        <w:jc w:val="both"/>
        <w:rPr>
          <w:rFonts w:ascii="Arial" w:hAnsi="Arial" w:cs="Arial"/>
          <w:sz w:val="24"/>
          <w:szCs w:val="24"/>
        </w:rPr>
      </w:pPr>
      <w:r w:rsidRPr="00E54500">
        <w:rPr>
          <w:rFonts w:ascii="Arial" w:hAnsi="Arial" w:cs="Arial"/>
          <w:sz w:val="24"/>
          <w:szCs w:val="24"/>
        </w:rPr>
        <w:t>Recruitment constraints imply that attraction efforts must be realistic about perceived barriers (McGinley</w:t>
      </w:r>
      <w:r>
        <w:rPr>
          <w:rFonts w:ascii="Arial" w:hAnsi="Arial" w:cs="Arial"/>
          <w:sz w:val="24"/>
          <w:szCs w:val="24"/>
        </w:rPr>
        <w:t xml:space="preserve"> et al</w:t>
      </w:r>
      <w:r w:rsidRPr="00E54500">
        <w:rPr>
          <w:rFonts w:ascii="Arial" w:hAnsi="Arial" w:cs="Arial"/>
          <w:sz w:val="24"/>
          <w:szCs w:val="24"/>
        </w:rPr>
        <w:t>, 2017). At the same time, retention improvements reduce vacancy pressure, which in turn improves attraction by stabilising workloads. This systems view is consistent with evidence that antecedent relationships can be non-linear; moving from a “high strain” to “manageable strain” regime may require coordinated changes rather than incremental tweaks (Mohsin</w:t>
      </w:r>
      <w:r w:rsidR="00381AC8">
        <w:rPr>
          <w:rFonts w:ascii="Arial" w:hAnsi="Arial" w:cs="Arial"/>
          <w:sz w:val="24"/>
          <w:szCs w:val="24"/>
        </w:rPr>
        <w:t xml:space="preserve"> et al</w:t>
      </w:r>
      <w:r w:rsidRPr="00E54500">
        <w:rPr>
          <w:rFonts w:ascii="Arial" w:hAnsi="Arial" w:cs="Arial"/>
          <w:sz w:val="24"/>
          <w:szCs w:val="24"/>
        </w:rPr>
        <w:t>, 2015).</w:t>
      </w:r>
    </w:p>
    <w:p w14:paraId="769E3CD2" w14:textId="77777777" w:rsidR="00DF41C3" w:rsidRDefault="00DF41C3" w:rsidP="00E54500">
      <w:pPr>
        <w:pStyle w:val="ListParagraph"/>
        <w:spacing w:line="360" w:lineRule="auto"/>
        <w:jc w:val="both"/>
        <w:rPr>
          <w:rFonts w:ascii="Arial" w:hAnsi="Arial" w:cs="Arial"/>
          <w:sz w:val="24"/>
          <w:szCs w:val="24"/>
        </w:rPr>
      </w:pPr>
    </w:p>
    <w:p w14:paraId="3FBE32C1" w14:textId="77777777" w:rsidR="00DF41C3" w:rsidRPr="00DF41C3" w:rsidRDefault="00DF41C3" w:rsidP="00DF41C3">
      <w:pPr>
        <w:pStyle w:val="ListParagraph"/>
        <w:numPr>
          <w:ilvl w:val="0"/>
          <w:numId w:val="7"/>
        </w:numPr>
        <w:spacing w:line="360" w:lineRule="auto"/>
        <w:jc w:val="both"/>
        <w:rPr>
          <w:rFonts w:ascii="Arial" w:hAnsi="Arial" w:cs="Arial"/>
          <w:b/>
          <w:bCs/>
          <w:sz w:val="24"/>
          <w:szCs w:val="24"/>
        </w:rPr>
      </w:pPr>
      <w:r w:rsidRPr="00DF41C3">
        <w:rPr>
          <w:rFonts w:ascii="Arial" w:hAnsi="Arial" w:cs="Arial"/>
          <w:b/>
          <w:bCs/>
          <w:sz w:val="24"/>
          <w:szCs w:val="24"/>
        </w:rPr>
        <w:t>Use culture and social climate as a complementary lever</w:t>
      </w:r>
    </w:p>
    <w:p w14:paraId="594A8FDA" w14:textId="0315DF27" w:rsidR="00E96B5B" w:rsidRDefault="00DF41C3" w:rsidP="00DF41C3">
      <w:pPr>
        <w:pStyle w:val="ListParagraph"/>
        <w:spacing w:line="360" w:lineRule="auto"/>
        <w:jc w:val="both"/>
        <w:rPr>
          <w:rFonts w:ascii="Arial" w:hAnsi="Arial" w:cs="Arial"/>
          <w:sz w:val="24"/>
          <w:szCs w:val="24"/>
        </w:rPr>
      </w:pPr>
      <w:r w:rsidRPr="00DF41C3">
        <w:rPr>
          <w:rFonts w:ascii="Arial" w:hAnsi="Arial" w:cs="Arial"/>
          <w:sz w:val="24"/>
          <w:szCs w:val="24"/>
        </w:rPr>
        <w:t xml:space="preserve">Workplace fun evidence should be interpreted cautiously; it is supportive rather than substitutive. However, in a front office department, small cultural interventions (team huddles, peer recognition, celebrating service successes) can strengthen social links and morale, contributing to embeddedness and </w:t>
      </w:r>
      <w:r w:rsidRPr="00DF41C3">
        <w:rPr>
          <w:rFonts w:ascii="Arial" w:hAnsi="Arial" w:cs="Arial"/>
          <w:sz w:val="24"/>
          <w:szCs w:val="24"/>
        </w:rPr>
        <w:lastRenderedPageBreak/>
        <w:t>lower turnover intentions (Tews</w:t>
      </w:r>
      <w:r>
        <w:rPr>
          <w:rFonts w:ascii="Arial" w:hAnsi="Arial" w:cs="Arial"/>
          <w:sz w:val="24"/>
          <w:szCs w:val="24"/>
        </w:rPr>
        <w:t xml:space="preserve"> et al</w:t>
      </w:r>
      <w:r w:rsidRPr="00DF41C3">
        <w:rPr>
          <w:rFonts w:ascii="Arial" w:hAnsi="Arial" w:cs="Arial"/>
          <w:sz w:val="24"/>
          <w:szCs w:val="24"/>
        </w:rPr>
        <w:t>, 2013). These actions also reinforce service climate.</w:t>
      </w:r>
    </w:p>
    <w:p w14:paraId="54547B3B" w14:textId="77777777" w:rsidR="00B517BB" w:rsidRPr="002677EE" w:rsidRDefault="00B517BB" w:rsidP="00DF41C3">
      <w:pPr>
        <w:pStyle w:val="ListParagraph"/>
        <w:spacing w:line="360" w:lineRule="auto"/>
        <w:jc w:val="both"/>
        <w:rPr>
          <w:rFonts w:ascii="Arial" w:hAnsi="Arial" w:cs="Arial"/>
          <w:sz w:val="24"/>
          <w:szCs w:val="24"/>
        </w:rPr>
      </w:pPr>
    </w:p>
    <w:p w14:paraId="1E4557B8" w14:textId="77777777" w:rsidR="00B517BB" w:rsidRPr="00B517BB" w:rsidRDefault="00B517BB" w:rsidP="00B517BB">
      <w:pPr>
        <w:pStyle w:val="ListParagraph"/>
        <w:numPr>
          <w:ilvl w:val="0"/>
          <w:numId w:val="7"/>
        </w:numPr>
        <w:spacing w:line="360" w:lineRule="auto"/>
        <w:jc w:val="both"/>
        <w:rPr>
          <w:rFonts w:ascii="Arial" w:hAnsi="Arial" w:cs="Arial"/>
          <w:b/>
          <w:bCs/>
          <w:sz w:val="24"/>
          <w:szCs w:val="24"/>
        </w:rPr>
      </w:pPr>
      <w:r w:rsidRPr="00B517BB">
        <w:rPr>
          <w:rFonts w:ascii="Arial" w:hAnsi="Arial" w:cs="Arial"/>
          <w:b/>
          <w:bCs/>
          <w:sz w:val="24"/>
          <w:szCs w:val="24"/>
        </w:rPr>
        <w:t xml:space="preserve">Align career opportunity signals with retention </w:t>
      </w:r>
    </w:p>
    <w:p w14:paraId="0FF0B66B" w14:textId="5EB48B51" w:rsidR="00A12882" w:rsidRDefault="00B517BB" w:rsidP="0092001D">
      <w:pPr>
        <w:pStyle w:val="ListParagraph"/>
        <w:spacing w:line="360" w:lineRule="auto"/>
        <w:jc w:val="both"/>
        <w:rPr>
          <w:rFonts w:ascii="Arial" w:hAnsi="Arial" w:cs="Arial"/>
          <w:sz w:val="24"/>
          <w:szCs w:val="24"/>
        </w:rPr>
      </w:pPr>
      <w:r w:rsidRPr="00B517BB">
        <w:rPr>
          <w:rFonts w:ascii="Arial" w:hAnsi="Arial" w:cs="Arial"/>
          <w:sz w:val="24"/>
          <w:szCs w:val="24"/>
        </w:rPr>
        <w:t xml:space="preserve">The career adaptability evidence suggests that employees evaluate staying through a future-oriented lens, and the perceived availability of career opportunities shapes the relationship with turnover intentions (Rasheed et al., 2020). </w:t>
      </w:r>
      <w:proofErr w:type="spellStart"/>
      <w:r w:rsidRPr="00B517BB">
        <w:rPr>
          <w:rFonts w:ascii="Arial" w:hAnsi="Arial" w:cs="Arial"/>
          <w:sz w:val="24"/>
          <w:szCs w:val="24"/>
        </w:rPr>
        <w:t>Coldra</w:t>
      </w:r>
      <w:proofErr w:type="spellEnd"/>
      <w:r w:rsidRPr="00B517BB">
        <w:rPr>
          <w:rFonts w:ascii="Arial" w:hAnsi="Arial" w:cs="Arial"/>
          <w:sz w:val="24"/>
          <w:szCs w:val="24"/>
        </w:rPr>
        <w:t xml:space="preserve"> Court can operationalise this by mapping internal pathways, advertising success stories, and providing transparent criteria for promotion. This can increase fit and future value, particularly for early-career front office employees.</w:t>
      </w:r>
    </w:p>
    <w:p w14:paraId="49EE085A" w14:textId="23D86467" w:rsidR="00E75F1B" w:rsidRDefault="00E75F1B" w:rsidP="00E75F1B">
      <w:pPr>
        <w:pStyle w:val="Heading3"/>
      </w:pPr>
      <w:bookmarkStart w:id="43" w:name="_Toc222675176"/>
      <w:r w:rsidRPr="00E75F1B">
        <w:t>4.2.2 Case-Study Transferability and Evidential Confidence</w:t>
      </w:r>
      <w:bookmarkEnd w:id="43"/>
    </w:p>
    <w:p w14:paraId="04597120" w14:textId="77777777" w:rsidR="00287925" w:rsidRDefault="00A12882" w:rsidP="002975B5">
      <w:pPr>
        <w:spacing w:line="360" w:lineRule="auto"/>
        <w:jc w:val="both"/>
        <w:rPr>
          <w:rFonts w:ascii="Arial" w:hAnsi="Arial" w:cs="Arial"/>
          <w:sz w:val="24"/>
          <w:szCs w:val="24"/>
        </w:rPr>
      </w:pPr>
      <w:r w:rsidRPr="00A12882">
        <w:rPr>
          <w:rFonts w:ascii="Arial" w:hAnsi="Arial" w:cs="Arial"/>
          <w:sz w:val="24"/>
          <w:szCs w:val="24"/>
        </w:rPr>
        <w:t xml:space="preserve">Using a secondary case-study logic, these findings should be interpreted as mechanism-based explanations that can be transferred to the placement hotel context. The key mechanisms (role stress → burnout → turnover intention; support → well-being → lower turnover intention; organisational support → embeddedness → lower turnover intention) are empirically tested in hotel settings, providing reasonable explanatory power for a UK full-service hotel even where local conditions differ (Wen et al, 2020; Gordon et al, 2019; </w:t>
      </w:r>
      <w:proofErr w:type="spellStart"/>
      <w:r w:rsidRPr="00A12882">
        <w:rPr>
          <w:rFonts w:ascii="Arial" w:hAnsi="Arial" w:cs="Arial"/>
          <w:sz w:val="24"/>
          <w:szCs w:val="24"/>
        </w:rPr>
        <w:t>Akgunduz</w:t>
      </w:r>
      <w:proofErr w:type="spellEnd"/>
      <w:r w:rsidRPr="00A12882">
        <w:rPr>
          <w:rFonts w:ascii="Arial" w:hAnsi="Arial" w:cs="Arial"/>
          <w:sz w:val="24"/>
          <w:szCs w:val="24"/>
        </w:rPr>
        <w:t xml:space="preserve"> and Sanli, 2017). Importantly, the turnover-cost and profitability evidence supports managerial relevance: retention is not only a “people” issue but a measurable performance issue (Simons and Hinkin, 2001; </w:t>
      </w:r>
      <w:proofErr w:type="spellStart"/>
      <w:r w:rsidRPr="00A12882">
        <w:rPr>
          <w:rFonts w:ascii="Arial" w:hAnsi="Arial" w:cs="Arial"/>
          <w:sz w:val="24"/>
          <w:szCs w:val="24"/>
        </w:rPr>
        <w:t>Guilding</w:t>
      </w:r>
      <w:proofErr w:type="spellEnd"/>
      <w:r w:rsidR="007D1158">
        <w:rPr>
          <w:rFonts w:ascii="Arial" w:hAnsi="Arial" w:cs="Arial"/>
          <w:sz w:val="24"/>
          <w:szCs w:val="24"/>
        </w:rPr>
        <w:t xml:space="preserve"> et al</w:t>
      </w:r>
      <w:r w:rsidRPr="00A12882">
        <w:rPr>
          <w:rFonts w:ascii="Arial" w:hAnsi="Arial" w:cs="Arial"/>
          <w:sz w:val="24"/>
          <w:szCs w:val="24"/>
        </w:rPr>
        <w:t>, 2014). This supports stronger justification for recommendations that require cross-functional buy-in (operations, finance and HR).</w:t>
      </w:r>
    </w:p>
    <w:p w14:paraId="4B907A1E" w14:textId="5093B814" w:rsidR="00287925" w:rsidRDefault="00287925" w:rsidP="00287925">
      <w:pPr>
        <w:pStyle w:val="Heading3"/>
      </w:pPr>
      <w:bookmarkStart w:id="44" w:name="_Toc222675177"/>
      <w:r w:rsidRPr="00287925">
        <w:t>4.2.3 Strategic Implementation Priorities</w:t>
      </w:r>
      <w:bookmarkEnd w:id="44"/>
    </w:p>
    <w:p w14:paraId="449C4F41" w14:textId="7655905F" w:rsidR="0092001D" w:rsidRDefault="002975B5" w:rsidP="002975B5">
      <w:pPr>
        <w:spacing w:line="360" w:lineRule="auto"/>
        <w:jc w:val="both"/>
        <w:rPr>
          <w:rFonts w:ascii="Arial" w:hAnsi="Arial" w:cs="Arial"/>
          <w:sz w:val="24"/>
          <w:szCs w:val="24"/>
        </w:rPr>
      </w:pPr>
      <w:r w:rsidRPr="002975B5">
        <w:rPr>
          <w:rFonts w:ascii="Arial" w:hAnsi="Arial" w:cs="Arial"/>
          <w:sz w:val="24"/>
          <w:szCs w:val="24"/>
        </w:rPr>
        <w:t>Given the evidence of non-linear and bundled effects, the most defensible implementation sequence is: (</w:t>
      </w:r>
      <w:proofErr w:type="spellStart"/>
      <w:r w:rsidRPr="002975B5">
        <w:rPr>
          <w:rFonts w:ascii="Arial" w:hAnsi="Arial" w:cs="Arial"/>
          <w:sz w:val="24"/>
          <w:szCs w:val="24"/>
        </w:rPr>
        <w:t>i</w:t>
      </w:r>
      <w:proofErr w:type="spellEnd"/>
      <w:r w:rsidRPr="002975B5">
        <w:rPr>
          <w:rFonts w:ascii="Arial" w:hAnsi="Arial" w:cs="Arial"/>
          <w:sz w:val="24"/>
          <w:szCs w:val="24"/>
        </w:rPr>
        <w:t>) reduce peak-period overload and clarify roles; (ii) stabilise rota practices and job control; (iii) develop supervisor support behaviours; and (iv) strengthen embeddedness through development and internal progression signals. This order targets upstream drivers of burnout first, then consolidates gains with support and career opportunity signals (Wen et al, 2020; Chiang</w:t>
      </w:r>
      <w:r>
        <w:rPr>
          <w:rFonts w:ascii="Arial" w:hAnsi="Arial" w:cs="Arial"/>
          <w:sz w:val="24"/>
          <w:szCs w:val="24"/>
        </w:rPr>
        <w:t xml:space="preserve"> et al</w:t>
      </w:r>
      <w:r w:rsidRPr="002975B5">
        <w:rPr>
          <w:rFonts w:ascii="Arial" w:hAnsi="Arial" w:cs="Arial"/>
          <w:sz w:val="24"/>
          <w:szCs w:val="24"/>
        </w:rPr>
        <w:t>, 2010; Rasheed et al, 2020). The sequence also acknowledges recruitment constraints: improving the employee value proposition can support attraction, but stabilising workload helps retain current staff and reduces vacancy-driven overload (McGinley</w:t>
      </w:r>
      <w:r>
        <w:rPr>
          <w:rFonts w:ascii="Arial" w:hAnsi="Arial" w:cs="Arial"/>
          <w:sz w:val="24"/>
          <w:szCs w:val="24"/>
        </w:rPr>
        <w:t xml:space="preserve"> et al</w:t>
      </w:r>
      <w:r w:rsidRPr="002975B5">
        <w:rPr>
          <w:rFonts w:ascii="Arial" w:hAnsi="Arial" w:cs="Arial"/>
          <w:sz w:val="24"/>
          <w:szCs w:val="24"/>
        </w:rPr>
        <w:t>, 2017).</w:t>
      </w:r>
      <w:r w:rsidR="00A4027D">
        <w:rPr>
          <w:rFonts w:ascii="Arial" w:hAnsi="Arial" w:cs="Arial"/>
          <w:sz w:val="24"/>
          <w:szCs w:val="24"/>
        </w:rPr>
        <w:t xml:space="preserve"> </w:t>
      </w:r>
    </w:p>
    <w:p w14:paraId="1AB3A309" w14:textId="4CA28005" w:rsidR="0092001D" w:rsidRPr="0092001D" w:rsidRDefault="00287925" w:rsidP="00287925">
      <w:pPr>
        <w:pStyle w:val="Heading3"/>
      </w:pPr>
      <w:bookmarkStart w:id="45" w:name="_Toc222675178"/>
      <w:r>
        <w:lastRenderedPageBreak/>
        <w:t xml:space="preserve">4.2.4 </w:t>
      </w:r>
      <w:r w:rsidR="0092001D" w:rsidRPr="0092001D">
        <w:t>Risk management considerations</w:t>
      </w:r>
      <w:bookmarkEnd w:id="45"/>
    </w:p>
    <w:p w14:paraId="039BEC60" w14:textId="368AA8C2" w:rsidR="0092001D" w:rsidRDefault="0092001D" w:rsidP="0092001D">
      <w:pPr>
        <w:spacing w:line="360" w:lineRule="auto"/>
        <w:jc w:val="both"/>
        <w:rPr>
          <w:rFonts w:ascii="Arial" w:hAnsi="Arial" w:cs="Arial"/>
          <w:sz w:val="24"/>
          <w:szCs w:val="24"/>
        </w:rPr>
      </w:pPr>
      <w:r w:rsidRPr="0092001D">
        <w:rPr>
          <w:rFonts w:ascii="Arial" w:hAnsi="Arial" w:cs="Arial"/>
          <w:sz w:val="24"/>
          <w:szCs w:val="24"/>
        </w:rPr>
        <w:t>A key risk is over-reliance on cultural initiatives (e.g., “fun” activities) without addressing structural workload and fairness issues. The evidence suggests culture can complement, but not replace, structural interventions; thus, initiatives should be framed as supportive climate-building after baseline working conditions are stabilised (Tews</w:t>
      </w:r>
      <w:r w:rsidR="00AB4385">
        <w:rPr>
          <w:rFonts w:ascii="Arial" w:hAnsi="Arial" w:cs="Arial"/>
          <w:sz w:val="24"/>
          <w:szCs w:val="24"/>
        </w:rPr>
        <w:t xml:space="preserve"> et al</w:t>
      </w:r>
      <w:r w:rsidRPr="0092001D">
        <w:rPr>
          <w:rFonts w:ascii="Arial" w:hAnsi="Arial" w:cs="Arial"/>
          <w:sz w:val="24"/>
          <w:szCs w:val="24"/>
        </w:rPr>
        <w:t>, 2013). A second risk is implementing pay changes without accompanying workload or supervisor support improvements, which may fail to cross employees’ perceived threshold for staying (Mohsin</w:t>
      </w:r>
      <w:r w:rsidR="00AB4385">
        <w:rPr>
          <w:rFonts w:ascii="Arial" w:hAnsi="Arial" w:cs="Arial"/>
          <w:sz w:val="24"/>
          <w:szCs w:val="24"/>
        </w:rPr>
        <w:t xml:space="preserve"> et al</w:t>
      </w:r>
      <w:r w:rsidRPr="0092001D">
        <w:rPr>
          <w:rFonts w:ascii="Arial" w:hAnsi="Arial" w:cs="Arial"/>
          <w:sz w:val="24"/>
          <w:szCs w:val="24"/>
        </w:rPr>
        <w:t>, 2015).</w:t>
      </w:r>
    </w:p>
    <w:p w14:paraId="51407047" w14:textId="02CBD1A9" w:rsidR="00424429" w:rsidRPr="00424429" w:rsidRDefault="00857454" w:rsidP="00857454">
      <w:pPr>
        <w:pStyle w:val="Heading3"/>
      </w:pPr>
      <w:bookmarkStart w:id="46" w:name="_Toc222675179"/>
      <w:r>
        <w:t xml:space="preserve">4.2.5 </w:t>
      </w:r>
      <w:r w:rsidR="00424429" w:rsidRPr="00424429">
        <w:t>Ethical and practical boundaries</w:t>
      </w:r>
      <w:bookmarkEnd w:id="46"/>
    </w:p>
    <w:p w14:paraId="39E00901" w14:textId="30203726" w:rsidR="00AB4385" w:rsidRDefault="00424429" w:rsidP="00424429">
      <w:pPr>
        <w:spacing w:line="360" w:lineRule="auto"/>
        <w:jc w:val="both"/>
        <w:rPr>
          <w:rFonts w:ascii="Arial" w:hAnsi="Arial" w:cs="Arial"/>
          <w:sz w:val="24"/>
          <w:szCs w:val="24"/>
        </w:rPr>
      </w:pPr>
      <w:r w:rsidRPr="00424429">
        <w:rPr>
          <w:rFonts w:ascii="Arial" w:hAnsi="Arial" w:cs="Arial"/>
          <w:sz w:val="24"/>
          <w:szCs w:val="24"/>
        </w:rPr>
        <w:t>Because this project uses secondary evidence and placement observations rather than employee-identifiable data, recommendations should avoid attributing causes to named individuals or claiming specific internal metrics. Instead, the case-study discussion should focus on process and system improvements that are consistent with the evidence base and proportionate to the placement context in the report.</w:t>
      </w:r>
    </w:p>
    <w:p w14:paraId="38A1F874" w14:textId="09CBAE88" w:rsidR="00557688" w:rsidRPr="00424429" w:rsidRDefault="00557688" w:rsidP="00557688">
      <w:pPr>
        <w:pStyle w:val="Heading3"/>
      </w:pPr>
      <w:bookmarkStart w:id="47" w:name="_Toc222675180"/>
      <w:r w:rsidRPr="00557688">
        <w:t xml:space="preserve">4.2.6 Operational Implications for </w:t>
      </w:r>
      <w:proofErr w:type="spellStart"/>
      <w:r w:rsidRPr="00557688">
        <w:t>Coldra</w:t>
      </w:r>
      <w:proofErr w:type="spellEnd"/>
      <w:r w:rsidRPr="00557688">
        <w:t xml:space="preserve"> Court Hotel</w:t>
      </w:r>
      <w:bookmarkEnd w:id="47"/>
    </w:p>
    <w:p w14:paraId="12BDCC86" w14:textId="09B94144" w:rsidR="00424429" w:rsidRDefault="00424429" w:rsidP="00424429">
      <w:pPr>
        <w:spacing w:line="360" w:lineRule="auto"/>
        <w:jc w:val="both"/>
        <w:rPr>
          <w:rFonts w:ascii="Arial" w:hAnsi="Arial" w:cs="Arial"/>
          <w:sz w:val="24"/>
          <w:szCs w:val="24"/>
        </w:rPr>
      </w:pPr>
      <w:r w:rsidRPr="00424429">
        <w:rPr>
          <w:rFonts w:ascii="Arial" w:hAnsi="Arial" w:cs="Arial"/>
          <w:sz w:val="24"/>
          <w:szCs w:val="24"/>
        </w:rPr>
        <w:t>Operationally, the synthesis indicates that retention and service quality are mutually reinforcing. Reduced turnover stabilises competence, reduces service failures and increases resilience during peak demand. Conversely, repeated staff loss erodes tacit knowledge, weakens coordination, and increases guest-facing incidents that intensify emotional strain. Because front office is an interface department, these effects can cascade across housekeeping, F&amp;B and revenue functions.</w:t>
      </w:r>
    </w:p>
    <w:p w14:paraId="721B996D" w14:textId="6F91DE7F" w:rsidR="00557688" w:rsidRDefault="006D180C" w:rsidP="006D180C">
      <w:pPr>
        <w:pStyle w:val="Heading3"/>
      </w:pPr>
      <w:bookmarkStart w:id="48" w:name="_Toc222675181"/>
      <w:r w:rsidRPr="006D180C">
        <w:t>4.2.7 External Environmental Analysis: PESTEL</w:t>
      </w:r>
      <w:bookmarkEnd w:id="48"/>
    </w:p>
    <w:p w14:paraId="3E1D20B9" w14:textId="42E537D0" w:rsidR="006F03A0" w:rsidRPr="006F03A0" w:rsidRDefault="006F03A0" w:rsidP="006F03A0">
      <w:pPr>
        <w:spacing w:line="360" w:lineRule="auto"/>
        <w:jc w:val="both"/>
        <w:rPr>
          <w:rFonts w:ascii="Arial" w:hAnsi="Arial" w:cs="Arial"/>
          <w:sz w:val="24"/>
          <w:szCs w:val="24"/>
        </w:rPr>
      </w:pPr>
      <w:r w:rsidRPr="006F03A0">
        <w:rPr>
          <w:rFonts w:ascii="Arial" w:hAnsi="Arial" w:cs="Arial"/>
          <w:sz w:val="24"/>
          <w:szCs w:val="24"/>
        </w:rPr>
        <w:t xml:space="preserve">To strengthen the strategic evaluation of front office retention within the placement context, a structured PESTEL analysis is applied to assess external environmental pressures influencing </w:t>
      </w:r>
      <w:proofErr w:type="spellStart"/>
      <w:r w:rsidRPr="006F03A0">
        <w:rPr>
          <w:rFonts w:ascii="Arial" w:hAnsi="Arial" w:cs="Arial"/>
          <w:sz w:val="24"/>
          <w:szCs w:val="24"/>
        </w:rPr>
        <w:t>Coldra</w:t>
      </w:r>
      <w:proofErr w:type="spellEnd"/>
      <w:r w:rsidRPr="006F03A0">
        <w:rPr>
          <w:rFonts w:ascii="Arial" w:hAnsi="Arial" w:cs="Arial"/>
          <w:sz w:val="24"/>
          <w:szCs w:val="24"/>
        </w:rPr>
        <w:t xml:space="preserve"> Court Hotel.</w:t>
      </w:r>
    </w:p>
    <w:p w14:paraId="7E7D3FDB" w14:textId="77777777" w:rsidR="006F03A0" w:rsidRPr="006F03A0" w:rsidRDefault="006F03A0" w:rsidP="006F03A0">
      <w:pPr>
        <w:spacing w:line="360" w:lineRule="auto"/>
        <w:jc w:val="both"/>
        <w:rPr>
          <w:rFonts w:ascii="Arial" w:hAnsi="Arial" w:cs="Arial"/>
          <w:b/>
          <w:bCs/>
          <w:sz w:val="24"/>
          <w:szCs w:val="24"/>
        </w:rPr>
      </w:pPr>
      <w:r w:rsidRPr="006F03A0">
        <w:rPr>
          <w:rFonts w:ascii="Arial" w:hAnsi="Arial" w:cs="Arial"/>
          <w:b/>
          <w:bCs/>
          <w:sz w:val="24"/>
          <w:szCs w:val="24"/>
        </w:rPr>
        <w:t>Political and Legal Factors.</w:t>
      </w:r>
    </w:p>
    <w:p w14:paraId="0FCE38AD" w14:textId="52383D51" w:rsidR="006F03A0" w:rsidRPr="006F03A0" w:rsidRDefault="006F03A0" w:rsidP="006F03A0">
      <w:pPr>
        <w:spacing w:line="360" w:lineRule="auto"/>
        <w:jc w:val="both"/>
        <w:rPr>
          <w:rFonts w:ascii="Arial" w:hAnsi="Arial" w:cs="Arial"/>
          <w:sz w:val="24"/>
          <w:szCs w:val="24"/>
        </w:rPr>
      </w:pPr>
      <w:r w:rsidRPr="006F03A0">
        <w:rPr>
          <w:rFonts w:ascii="Arial" w:hAnsi="Arial" w:cs="Arial"/>
          <w:sz w:val="24"/>
          <w:szCs w:val="24"/>
        </w:rPr>
        <w:t>UK employment legislation, including National Minimum Wage regulations and Working Time Regulations, constrains wage flexibility and rota design. Compliance requirements may limit rapid structural adjustments, particularly during peak periods. Increased regulatory scrutiny on employee wellbeing and fair scheduling further elevates the strategic importance of retention.</w:t>
      </w:r>
    </w:p>
    <w:p w14:paraId="75610D60" w14:textId="77777777" w:rsidR="006F03A0" w:rsidRPr="000A2D25" w:rsidRDefault="006F03A0" w:rsidP="006F03A0">
      <w:pPr>
        <w:spacing w:line="360" w:lineRule="auto"/>
        <w:jc w:val="both"/>
        <w:rPr>
          <w:rFonts w:ascii="Arial" w:hAnsi="Arial" w:cs="Arial"/>
          <w:b/>
          <w:bCs/>
          <w:sz w:val="24"/>
          <w:szCs w:val="24"/>
        </w:rPr>
      </w:pPr>
      <w:r w:rsidRPr="000A2D25">
        <w:rPr>
          <w:rFonts w:ascii="Arial" w:hAnsi="Arial" w:cs="Arial"/>
          <w:b/>
          <w:bCs/>
          <w:sz w:val="24"/>
          <w:szCs w:val="24"/>
        </w:rPr>
        <w:lastRenderedPageBreak/>
        <w:t>Economic Factors.</w:t>
      </w:r>
    </w:p>
    <w:p w14:paraId="06840866" w14:textId="435481F7" w:rsidR="006F03A0" w:rsidRPr="006F03A0" w:rsidRDefault="006F03A0" w:rsidP="006F03A0">
      <w:pPr>
        <w:spacing w:line="360" w:lineRule="auto"/>
        <w:jc w:val="both"/>
        <w:rPr>
          <w:rFonts w:ascii="Arial" w:hAnsi="Arial" w:cs="Arial"/>
          <w:sz w:val="24"/>
          <w:szCs w:val="24"/>
        </w:rPr>
      </w:pPr>
      <w:r w:rsidRPr="006F03A0">
        <w:rPr>
          <w:rFonts w:ascii="Arial" w:hAnsi="Arial" w:cs="Arial"/>
          <w:sz w:val="24"/>
          <w:szCs w:val="24"/>
        </w:rPr>
        <w:t>Inflationary pressures and cost-of-living increases heighten employee sensitivity to pay adequacy. In competitive regional labour markets, alternative service-sector employment may offer comparable wages with lower emotional intensity. Economic volatility</w:t>
      </w:r>
      <w:r w:rsidR="000A2D25">
        <w:rPr>
          <w:rFonts w:ascii="Arial" w:hAnsi="Arial" w:cs="Arial"/>
          <w:sz w:val="24"/>
          <w:szCs w:val="24"/>
        </w:rPr>
        <w:t>,</w:t>
      </w:r>
      <w:r w:rsidRPr="006F03A0">
        <w:rPr>
          <w:rFonts w:ascii="Arial" w:hAnsi="Arial" w:cs="Arial"/>
          <w:sz w:val="24"/>
          <w:szCs w:val="24"/>
        </w:rPr>
        <w:t xml:space="preserve"> therefore</w:t>
      </w:r>
      <w:r w:rsidR="000A2D25">
        <w:rPr>
          <w:rFonts w:ascii="Arial" w:hAnsi="Arial" w:cs="Arial"/>
          <w:sz w:val="24"/>
          <w:szCs w:val="24"/>
        </w:rPr>
        <w:t>,</w:t>
      </w:r>
      <w:r w:rsidRPr="006F03A0">
        <w:rPr>
          <w:rFonts w:ascii="Arial" w:hAnsi="Arial" w:cs="Arial"/>
          <w:sz w:val="24"/>
          <w:szCs w:val="24"/>
        </w:rPr>
        <w:t xml:space="preserve"> amplifies turnover risk when remuneration does not reflect workload demands (Park and Min, 2020).</w:t>
      </w:r>
    </w:p>
    <w:p w14:paraId="1242D613" w14:textId="77777777" w:rsidR="006F03A0" w:rsidRPr="000A2D25" w:rsidRDefault="006F03A0" w:rsidP="006F03A0">
      <w:pPr>
        <w:spacing w:line="360" w:lineRule="auto"/>
        <w:jc w:val="both"/>
        <w:rPr>
          <w:rFonts w:ascii="Arial" w:hAnsi="Arial" w:cs="Arial"/>
          <w:b/>
          <w:bCs/>
          <w:sz w:val="24"/>
          <w:szCs w:val="24"/>
        </w:rPr>
      </w:pPr>
      <w:r w:rsidRPr="000A2D25">
        <w:rPr>
          <w:rFonts w:ascii="Arial" w:hAnsi="Arial" w:cs="Arial"/>
          <w:b/>
          <w:bCs/>
          <w:sz w:val="24"/>
          <w:szCs w:val="24"/>
        </w:rPr>
        <w:t>Social Factors.</w:t>
      </w:r>
    </w:p>
    <w:p w14:paraId="15748EC3" w14:textId="33878A88" w:rsidR="006F03A0" w:rsidRPr="006F03A0" w:rsidRDefault="006F03A0" w:rsidP="006F03A0">
      <w:pPr>
        <w:spacing w:line="360" w:lineRule="auto"/>
        <w:jc w:val="both"/>
        <w:rPr>
          <w:rFonts w:ascii="Arial" w:hAnsi="Arial" w:cs="Arial"/>
          <w:sz w:val="24"/>
          <w:szCs w:val="24"/>
        </w:rPr>
      </w:pPr>
      <w:r w:rsidRPr="006F03A0">
        <w:rPr>
          <w:rFonts w:ascii="Arial" w:hAnsi="Arial" w:cs="Arial"/>
          <w:sz w:val="24"/>
          <w:szCs w:val="24"/>
        </w:rPr>
        <w:t>Workforce expectations increasingly prioritise work–life balance, wellbeing and psychological safety. Hospitality roles characterised by unsociable hours and emotional labour face greater attraction and retention challenges (McGinley</w:t>
      </w:r>
      <w:r w:rsidR="000A2D25">
        <w:rPr>
          <w:rFonts w:ascii="Arial" w:hAnsi="Arial" w:cs="Arial"/>
          <w:sz w:val="24"/>
          <w:szCs w:val="24"/>
        </w:rPr>
        <w:t xml:space="preserve"> et al, </w:t>
      </w:r>
      <w:r w:rsidRPr="006F03A0">
        <w:rPr>
          <w:rFonts w:ascii="Arial" w:hAnsi="Arial" w:cs="Arial"/>
          <w:sz w:val="24"/>
          <w:szCs w:val="24"/>
        </w:rPr>
        <w:t>2017). Social norms around flexibility and mental health awareness raise employee expectations of supportive supervision.</w:t>
      </w:r>
    </w:p>
    <w:p w14:paraId="33957B20" w14:textId="77777777" w:rsidR="006F03A0" w:rsidRPr="000A2D25" w:rsidRDefault="006F03A0" w:rsidP="006F03A0">
      <w:pPr>
        <w:spacing w:line="360" w:lineRule="auto"/>
        <w:jc w:val="both"/>
        <w:rPr>
          <w:rFonts w:ascii="Arial" w:hAnsi="Arial" w:cs="Arial"/>
          <w:b/>
          <w:bCs/>
          <w:sz w:val="24"/>
          <w:szCs w:val="24"/>
        </w:rPr>
      </w:pPr>
      <w:r w:rsidRPr="000A2D25">
        <w:rPr>
          <w:rFonts w:ascii="Arial" w:hAnsi="Arial" w:cs="Arial"/>
          <w:b/>
          <w:bCs/>
          <w:sz w:val="24"/>
          <w:szCs w:val="24"/>
        </w:rPr>
        <w:t>Technological Factors.</w:t>
      </w:r>
    </w:p>
    <w:p w14:paraId="2C74F5F8" w14:textId="4A444D5D" w:rsidR="006F03A0" w:rsidRPr="006F03A0" w:rsidRDefault="006F03A0" w:rsidP="006F03A0">
      <w:pPr>
        <w:spacing w:line="360" w:lineRule="auto"/>
        <w:jc w:val="both"/>
        <w:rPr>
          <w:rFonts w:ascii="Arial" w:hAnsi="Arial" w:cs="Arial"/>
          <w:sz w:val="24"/>
          <w:szCs w:val="24"/>
        </w:rPr>
      </w:pPr>
      <w:r w:rsidRPr="006F03A0">
        <w:rPr>
          <w:rFonts w:ascii="Arial" w:hAnsi="Arial" w:cs="Arial"/>
          <w:sz w:val="24"/>
          <w:szCs w:val="24"/>
        </w:rPr>
        <w:t>Property Management Systems (PMS), online check-in platforms and automation can reduce transactional workload but may simultaneously increase service recovery complexity. Technology can therefore moderate but not eliminate front office stress pathways.</w:t>
      </w:r>
    </w:p>
    <w:p w14:paraId="1E0CFBB8" w14:textId="77777777" w:rsidR="006F03A0" w:rsidRPr="000A2D25" w:rsidRDefault="006F03A0" w:rsidP="006F03A0">
      <w:pPr>
        <w:spacing w:line="360" w:lineRule="auto"/>
        <w:jc w:val="both"/>
        <w:rPr>
          <w:rFonts w:ascii="Arial" w:hAnsi="Arial" w:cs="Arial"/>
          <w:b/>
          <w:bCs/>
          <w:sz w:val="24"/>
          <w:szCs w:val="24"/>
        </w:rPr>
      </w:pPr>
      <w:r w:rsidRPr="000A2D25">
        <w:rPr>
          <w:rFonts w:ascii="Arial" w:hAnsi="Arial" w:cs="Arial"/>
          <w:b/>
          <w:bCs/>
          <w:sz w:val="24"/>
          <w:szCs w:val="24"/>
        </w:rPr>
        <w:t>Environmental Factors.</w:t>
      </w:r>
    </w:p>
    <w:p w14:paraId="682DFEF9" w14:textId="4B4F129C" w:rsidR="006F03A0" w:rsidRPr="006F03A0" w:rsidRDefault="006F03A0" w:rsidP="006F03A0">
      <w:pPr>
        <w:spacing w:line="360" w:lineRule="auto"/>
        <w:jc w:val="both"/>
        <w:rPr>
          <w:rFonts w:ascii="Arial" w:hAnsi="Arial" w:cs="Arial"/>
          <w:sz w:val="24"/>
          <w:szCs w:val="24"/>
        </w:rPr>
      </w:pPr>
      <w:r w:rsidRPr="006F03A0">
        <w:rPr>
          <w:rFonts w:ascii="Arial" w:hAnsi="Arial" w:cs="Arial"/>
          <w:sz w:val="24"/>
          <w:szCs w:val="24"/>
        </w:rPr>
        <w:t>Demand volatility, seasonality and event-driven occupancy fluctuations intensify workload unpredictability, directly influencing role overload and burnout risk.</w:t>
      </w:r>
    </w:p>
    <w:p w14:paraId="479B837A" w14:textId="77777777" w:rsidR="006F03A0" w:rsidRPr="000A2D25" w:rsidRDefault="006F03A0" w:rsidP="006F03A0">
      <w:pPr>
        <w:spacing w:line="360" w:lineRule="auto"/>
        <w:jc w:val="both"/>
        <w:rPr>
          <w:rFonts w:ascii="Arial" w:hAnsi="Arial" w:cs="Arial"/>
          <w:b/>
          <w:bCs/>
          <w:sz w:val="24"/>
          <w:szCs w:val="24"/>
        </w:rPr>
      </w:pPr>
      <w:r w:rsidRPr="000A2D25">
        <w:rPr>
          <w:rFonts w:ascii="Arial" w:hAnsi="Arial" w:cs="Arial"/>
          <w:b/>
          <w:bCs/>
          <w:sz w:val="24"/>
          <w:szCs w:val="24"/>
        </w:rPr>
        <w:t>Legal Factors (Operational Employment Risk).</w:t>
      </w:r>
    </w:p>
    <w:p w14:paraId="5BE5B88E" w14:textId="05AB49B8" w:rsidR="006F03A0" w:rsidRPr="006F03A0" w:rsidRDefault="006F03A0" w:rsidP="006F03A0">
      <w:pPr>
        <w:spacing w:line="360" w:lineRule="auto"/>
        <w:jc w:val="both"/>
        <w:rPr>
          <w:rFonts w:ascii="Arial" w:hAnsi="Arial" w:cs="Arial"/>
          <w:sz w:val="24"/>
          <w:szCs w:val="24"/>
        </w:rPr>
      </w:pPr>
      <w:r w:rsidRPr="006F03A0">
        <w:rPr>
          <w:rFonts w:ascii="Arial" w:hAnsi="Arial" w:cs="Arial"/>
          <w:sz w:val="24"/>
          <w:szCs w:val="24"/>
        </w:rPr>
        <w:t>Grievance procedures, fairness in rota allocation</w:t>
      </w:r>
      <w:r w:rsidR="000A2D25">
        <w:rPr>
          <w:rFonts w:ascii="Arial" w:hAnsi="Arial" w:cs="Arial"/>
          <w:sz w:val="24"/>
          <w:szCs w:val="24"/>
        </w:rPr>
        <w:t>,</w:t>
      </w:r>
      <w:r w:rsidRPr="006F03A0">
        <w:rPr>
          <w:rFonts w:ascii="Arial" w:hAnsi="Arial" w:cs="Arial"/>
          <w:sz w:val="24"/>
          <w:szCs w:val="24"/>
        </w:rPr>
        <w:t xml:space="preserve"> and equal treatment obligations mean perceived injustice may carry not only turnover risk but reputational and legal consequences.</w:t>
      </w:r>
    </w:p>
    <w:p w14:paraId="1519B72D" w14:textId="16E600FF" w:rsidR="006D180C" w:rsidRPr="006D180C" w:rsidRDefault="006F03A0" w:rsidP="006F03A0">
      <w:pPr>
        <w:spacing w:line="360" w:lineRule="auto"/>
        <w:jc w:val="both"/>
        <w:rPr>
          <w:rFonts w:ascii="Arial" w:hAnsi="Arial" w:cs="Arial"/>
          <w:sz w:val="24"/>
          <w:szCs w:val="24"/>
        </w:rPr>
      </w:pPr>
      <w:r w:rsidRPr="006F03A0">
        <w:rPr>
          <w:rFonts w:ascii="Arial" w:hAnsi="Arial" w:cs="Arial"/>
          <w:sz w:val="24"/>
          <w:szCs w:val="24"/>
        </w:rPr>
        <w:t>Overall, the PESTEL analysis confirms that front office retention challenges are not purely internal managerial issues; they are shaped by macro-environmental forces that heighten the importance of strategic workforce planning.</w:t>
      </w:r>
    </w:p>
    <w:p w14:paraId="6D47EA0D" w14:textId="793926EA" w:rsidR="006D180C" w:rsidRDefault="008C49E5" w:rsidP="008C49E5">
      <w:pPr>
        <w:pStyle w:val="Heading3"/>
      </w:pPr>
      <w:bookmarkStart w:id="49" w:name="_Toc222675182"/>
      <w:r w:rsidRPr="008C49E5">
        <w:lastRenderedPageBreak/>
        <w:t>4.2.8 Internal Strategic Positioning: SWOT Analysis</w:t>
      </w:r>
      <w:bookmarkEnd w:id="49"/>
    </w:p>
    <w:p w14:paraId="131D737E" w14:textId="12B7F8A1" w:rsidR="00491206" w:rsidRPr="00491206" w:rsidRDefault="00491206" w:rsidP="00491206">
      <w:pPr>
        <w:spacing w:line="360" w:lineRule="auto"/>
        <w:jc w:val="both"/>
        <w:rPr>
          <w:rFonts w:ascii="Arial" w:hAnsi="Arial" w:cs="Arial"/>
          <w:sz w:val="24"/>
          <w:szCs w:val="24"/>
        </w:rPr>
      </w:pPr>
      <w:r w:rsidRPr="00491206">
        <w:rPr>
          <w:rFonts w:ascii="Arial" w:hAnsi="Arial" w:cs="Arial"/>
          <w:sz w:val="24"/>
          <w:szCs w:val="24"/>
        </w:rPr>
        <w:t xml:space="preserve">A SWOT framework further clarifies how internal conditions at </w:t>
      </w:r>
      <w:proofErr w:type="spellStart"/>
      <w:r w:rsidRPr="00491206">
        <w:rPr>
          <w:rFonts w:ascii="Arial" w:hAnsi="Arial" w:cs="Arial"/>
          <w:sz w:val="24"/>
          <w:szCs w:val="24"/>
        </w:rPr>
        <w:t>Coldra</w:t>
      </w:r>
      <w:proofErr w:type="spellEnd"/>
      <w:r w:rsidRPr="00491206">
        <w:rPr>
          <w:rFonts w:ascii="Arial" w:hAnsi="Arial" w:cs="Arial"/>
          <w:sz w:val="24"/>
          <w:szCs w:val="24"/>
        </w:rPr>
        <w:t xml:space="preserve"> Court interact with the external environment.</w:t>
      </w:r>
    </w:p>
    <w:p w14:paraId="6BE4714D" w14:textId="77777777" w:rsidR="00491206" w:rsidRPr="00E76312" w:rsidRDefault="00491206" w:rsidP="00491206">
      <w:pPr>
        <w:spacing w:line="360" w:lineRule="auto"/>
        <w:jc w:val="both"/>
        <w:rPr>
          <w:rFonts w:ascii="Arial" w:hAnsi="Arial" w:cs="Arial"/>
          <w:b/>
          <w:bCs/>
          <w:sz w:val="24"/>
          <w:szCs w:val="24"/>
        </w:rPr>
      </w:pPr>
      <w:r w:rsidRPr="00E76312">
        <w:rPr>
          <w:rFonts w:ascii="Arial" w:hAnsi="Arial" w:cs="Arial"/>
          <w:b/>
          <w:bCs/>
          <w:sz w:val="24"/>
          <w:szCs w:val="24"/>
        </w:rPr>
        <w:t>Strengths.</w:t>
      </w:r>
    </w:p>
    <w:p w14:paraId="4346767A" w14:textId="0D27F4FE" w:rsidR="00491206" w:rsidRPr="00491206" w:rsidRDefault="00491206" w:rsidP="00491206">
      <w:pPr>
        <w:spacing w:line="360" w:lineRule="auto"/>
        <w:jc w:val="both"/>
        <w:rPr>
          <w:rFonts w:ascii="Arial" w:hAnsi="Arial" w:cs="Arial"/>
          <w:sz w:val="24"/>
          <w:szCs w:val="24"/>
        </w:rPr>
      </w:pPr>
      <w:r w:rsidRPr="00491206">
        <w:rPr>
          <w:rFonts w:ascii="Arial" w:hAnsi="Arial" w:cs="Arial"/>
          <w:sz w:val="24"/>
          <w:szCs w:val="24"/>
        </w:rPr>
        <w:t>The hotel operates within an established brand portfolio, providing structured service standards and operational systems. Clear SOPs can reduce ambiguity and role conflict when properly implemented.</w:t>
      </w:r>
    </w:p>
    <w:p w14:paraId="013BF1B4" w14:textId="77777777" w:rsidR="00491206" w:rsidRPr="00E76312" w:rsidRDefault="00491206" w:rsidP="00491206">
      <w:pPr>
        <w:spacing w:line="360" w:lineRule="auto"/>
        <w:jc w:val="both"/>
        <w:rPr>
          <w:rFonts w:ascii="Arial" w:hAnsi="Arial" w:cs="Arial"/>
          <w:b/>
          <w:bCs/>
          <w:sz w:val="24"/>
          <w:szCs w:val="24"/>
        </w:rPr>
      </w:pPr>
      <w:r w:rsidRPr="00E76312">
        <w:rPr>
          <w:rFonts w:ascii="Arial" w:hAnsi="Arial" w:cs="Arial"/>
          <w:b/>
          <w:bCs/>
          <w:sz w:val="24"/>
          <w:szCs w:val="24"/>
        </w:rPr>
        <w:t>Weaknesses.</w:t>
      </w:r>
    </w:p>
    <w:p w14:paraId="62901D2B" w14:textId="0B9E886A" w:rsidR="00491206" w:rsidRPr="00491206" w:rsidRDefault="00491206" w:rsidP="00491206">
      <w:pPr>
        <w:spacing w:line="360" w:lineRule="auto"/>
        <w:jc w:val="both"/>
        <w:rPr>
          <w:rFonts w:ascii="Arial" w:hAnsi="Arial" w:cs="Arial"/>
          <w:sz w:val="24"/>
          <w:szCs w:val="24"/>
        </w:rPr>
      </w:pPr>
      <w:r w:rsidRPr="00491206">
        <w:rPr>
          <w:rFonts w:ascii="Arial" w:hAnsi="Arial" w:cs="Arial"/>
          <w:sz w:val="24"/>
          <w:szCs w:val="24"/>
        </w:rPr>
        <w:t>Front office workload concentration during peak periods creates vulnerability to role overload. Emotional labour exposure is inherent to guest-facing operations. Staffing gaps magnify strain and reduce recovery capacity.</w:t>
      </w:r>
    </w:p>
    <w:p w14:paraId="4DBBD8CE" w14:textId="77777777" w:rsidR="00491206" w:rsidRPr="00491206" w:rsidRDefault="00491206" w:rsidP="00491206">
      <w:pPr>
        <w:spacing w:line="360" w:lineRule="auto"/>
        <w:jc w:val="both"/>
        <w:rPr>
          <w:rFonts w:ascii="Arial" w:hAnsi="Arial" w:cs="Arial"/>
          <w:sz w:val="24"/>
          <w:szCs w:val="24"/>
        </w:rPr>
      </w:pPr>
      <w:r w:rsidRPr="00E76312">
        <w:rPr>
          <w:rFonts w:ascii="Arial" w:hAnsi="Arial" w:cs="Arial"/>
          <w:b/>
          <w:bCs/>
          <w:sz w:val="24"/>
          <w:szCs w:val="24"/>
        </w:rPr>
        <w:t>Opportunities</w:t>
      </w:r>
      <w:r w:rsidRPr="00491206">
        <w:rPr>
          <w:rFonts w:ascii="Arial" w:hAnsi="Arial" w:cs="Arial"/>
          <w:sz w:val="24"/>
          <w:szCs w:val="24"/>
        </w:rPr>
        <w:t>.</w:t>
      </w:r>
    </w:p>
    <w:p w14:paraId="5827792E" w14:textId="4D78C029" w:rsidR="00491206" w:rsidRPr="00491206" w:rsidRDefault="00491206" w:rsidP="00491206">
      <w:pPr>
        <w:spacing w:line="360" w:lineRule="auto"/>
        <w:jc w:val="both"/>
        <w:rPr>
          <w:rFonts w:ascii="Arial" w:hAnsi="Arial" w:cs="Arial"/>
          <w:sz w:val="24"/>
          <w:szCs w:val="24"/>
        </w:rPr>
      </w:pPr>
      <w:r w:rsidRPr="00491206">
        <w:rPr>
          <w:rFonts w:ascii="Arial" w:hAnsi="Arial" w:cs="Arial"/>
          <w:sz w:val="24"/>
          <w:szCs w:val="24"/>
        </w:rPr>
        <w:t>Supervisor capability development represents a high-impact retention lever (Gordon et al, 2019). Formalised progression pathways can strengthen job embeddedness (</w:t>
      </w:r>
      <w:proofErr w:type="spellStart"/>
      <w:r w:rsidRPr="00491206">
        <w:rPr>
          <w:rFonts w:ascii="Arial" w:hAnsi="Arial" w:cs="Arial"/>
          <w:sz w:val="24"/>
          <w:szCs w:val="24"/>
        </w:rPr>
        <w:t>Akgunduz</w:t>
      </w:r>
      <w:proofErr w:type="spellEnd"/>
      <w:r w:rsidRPr="00491206">
        <w:rPr>
          <w:rFonts w:ascii="Arial" w:hAnsi="Arial" w:cs="Arial"/>
          <w:sz w:val="24"/>
          <w:szCs w:val="24"/>
        </w:rPr>
        <w:t xml:space="preserve"> and Sanli, 2017). Improved rota predictability and workload distribution can directly target burnout pathways (Wen et al, 2020). Transparent pay progression may strengthen perceptions of organisational justice.</w:t>
      </w:r>
    </w:p>
    <w:p w14:paraId="7D60BDA9" w14:textId="77777777" w:rsidR="00491206" w:rsidRPr="00E76312" w:rsidRDefault="00491206" w:rsidP="00491206">
      <w:pPr>
        <w:spacing w:line="360" w:lineRule="auto"/>
        <w:jc w:val="both"/>
        <w:rPr>
          <w:rFonts w:ascii="Arial" w:hAnsi="Arial" w:cs="Arial"/>
          <w:b/>
          <w:bCs/>
          <w:sz w:val="24"/>
          <w:szCs w:val="24"/>
        </w:rPr>
      </w:pPr>
      <w:r w:rsidRPr="00E76312">
        <w:rPr>
          <w:rFonts w:ascii="Arial" w:hAnsi="Arial" w:cs="Arial"/>
          <w:b/>
          <w:bCs/>
          <w:sz w:val="24"/>
          <w:szCs w:val="24"/>
        </w:rPr>
        <w:t>Threats.</w:t>
      </w:r>
    </w:p>
    <w:p w14:paraId="09A576E6" w14:textId="309E5F5D" w:rsidR="00491206" w:rsidRPr="00491206" w:rsidRDefault="00491206" w:rsidP="00491206">
      <w:pPr>
        <w:spacing w:line="360" w:lineRule="auto"/>
        <w:jc w:val="both"/>
        <w:rPr>
          <w:rFonts w:ascii="Arial" w:hAnsi="Arial" w:cs="Arial"/>
          <w:sz w:val="24"/>
          <w:szCs w:val="24"/>
        </w:rPr>
      </w:pPr>
      <w:r w:rsidRPr="00491206">
        <w:rPr>
          <w:rFonts w:ascii="Arial" w:hAnsi="Arial" w:cs="Arial"/>
          <w:sz w:val="24"/>
          <w:szCs w:val="24"/>
        </w:rPr>
        <w:t>Labour market competition and sector image challenges constrain applicant supply (McGinley</w:t>
      </w:r>
      <w:r w:rsidR="00E76312">
        <w:rPr>
          <w:rFonts w:ascii="Arial" w:hAnsi="Arial" w:cs="Arial"/>
          <w:sz w:val="24"/>
          <w:szCs w:val="24"/>
        </w:rPr>
        <w:t xml:space="preserve"> et al</w:t>
      </w:r>
      <w:r w:rsidRPr="00491206">
        <w:rPr>
          <w:rFonts w:ascii="Arial" w:hAnsi="Arial" w:cs="Arial"/>
          <w:sz w:val="24"/>
          <w:szCs w:val="24"/>
        </w:rPr>
        <w:t>, 2017). Persistent turnover may erode service consistency and profitability (Simons and Hinkin, 2001). If workload intensification remains unaddressed, non-linear escalation of exits may occur (Mohsin</w:t>
      </w:r>
      <w:r w:rsidR="00E76312">
        <w:rPr>
          <w:rFonts w:ascii="Arial" w:hAnsi="Arial" w:cs="Arial"/>
          <w:sz w:val="24"/>
          <w:szCs w:val="24"/>
        </w:rPr>
        <w:t xml:space="preserve"> et al</w:t>
      </w:r>
      <w:r w:rsidRPr="00491206">
        <w:rPr>
          <w:rFonts w:ascii="Arial" w:hAnsi="Arial" w:cs="Arial"/>
          <w:sz w:val="24"/>
          <w:szCs w:val="24"/>
        </w:rPr>
        <w:t>, 2015).</w:t>
      </w:r>
    </w:p>
    <w:p w14:paraId="2002B99B" w14:textId="2BCF109A" w:rsidR="006D180C" w:rsidRPr="00491206" w:rsidRDefault="00491206" w:rsidP="00491206">
      <w:pPr>
        <w:spacing w:line="360" w:lineRule="auto"/>
        <w:jc w:val="both"/>
        <w:rPr>
          <w:rFonts w:ascii="Arial" w:hAnsi="Arial" w:cs="Arial"/>
          <w:sz w:val="24"/>
          <w:szCs w:val="24"/>
        </w:rPr>
      </w:pPr>
      <w:r w:rsidRPr="00491206">
        <w:rPr>
          <w:rFonts w:ascii="Arial" w:hAnsi="Arial" w:cs="Arial"/>
          <w:sz w:val="24"/>
          <w:szCs w:val="24"/>
        </w:rPr>
        <w:t>The SWOT analysis reinforces that front office retention requires coordinated internal interventions to counteract external pressures. Strengths must be leveraged to mitigate structural weaknesses, while opportunities for supervisory and career development can buffer against economic and social threats.</w:t>
      </w:r>
    </w:p>
    <w:p w14:paraId="269F0BCF" w14:textId="1CEBAD4A" w:rsidR="00A00816" w:rsidRPr="00673DA4" w:rsidRDefault="00A00816" w:rsidP="00A00816">
      <w:pPr>
        <w:pStyle w:val="Heading3"/>
      </w:pPr>
      <w:bookmarkStart w:id="50" w:name="_Toc222675183"/>
      <w:r w:rsidRPr="00A00816">
        <w:t>4.2.9 Limitations of the Study</w:t>
      </w:r>
      <w:bookmarkEnd w:id="50"/>
    </w:p>
    <w:p w14:paraId="086D18D1" w14:textId="77777777" w:rsidR="009E0694" w:rsidRDefault="00673DA4" w:rsidP="00673DA4">
      <w:pPr>
        <w:spacing w:line="360" w:lineRule="auto"/>
        <w:jc w:val="both"/>
        <w:rPr>
          <w:rFonts w:ascii="Arial" w:hAnsi="Arial" w:cs="Arial"/>
          <w:sz w:val="24"/>
          <w:szCs w:val="24"/>
        </w:rPr>
      </w:pPr>
      <w:r w:rsidRPr="00673DA4">
        <w:rPr>
          <w:rFonts w:ascii="Arial" w:hAnsi="Arial" w:cs="Arial"/>
          <w:sz w:val="24"/>
          <w:szCs w:val="24"/>
        </w:rPr>
        <w:t xml:space="preserve">This project is based on secondary research and a single placement context. While the empirical studies cited provide robust evidence in multiple hotel settings, findings may vary by labour market conditions, unionisation, brand standards and local </w:t>
      </w:r>
      <w:r w:rsidRPr="00673DA4">
        <w:rPr>
          <w:rFonts w:ascii="Arial" w:hAnsi="Arial" w:cs="Arial"/>
          <w:sz w:val="24"/>
          <w:szCs w:val="24"/>
        </w:rPr>
        <w:lastRenderedPageBreak/>
        <w:t>management. Furthermore, turnover intention is not identical to actual turnover; it is a strong precursor but not a direct measure. Finally, some studies are based on non-UK samples; their relevance to a UK hotel should be treated as transferable at the level of mechanisms (stress, support, embeddedness) rather than at the level of specific effect sizes.</w:t>
      </w:r>
    </w:p>
    <w:p w14:paraId="3CA13A40" w14:textId="1115B27D" w:rsidR="00673DA4" w:rsidRPr="009E0694" w:rsidRDefault="009E0694" w:rsidP="009E0694">
      <w:pPr>
        <w:pStyle w:val="Heading3"/>
      </w:pPr>
      <w:bookmarkStart w:id="51" w:name="_Toc222675184"/>
      <w:r w:rsidRPr="009E0694">
        <w:t>4.2.10 Chapter Summary</w:t>
      </w:r>
      <w:bookmarkEnd w:id="51"/>
    </w:p>
    <w:p w14:paraId="07053991" w14:textId="10446AD1" w:rsidR="00673DA4" w:rsidRDefault="00673DA4" w:rsidP="00673DA4">
      <w:pPr>
        <w:spacing w:line="360" w:lineRule="auto"/>
        <w:jc w:val="both"/>
        <w:rPr>
          <w:rFonts w:ascii="Arial" w:hAnsi="Arial" w:cs="Arial"/>
          <w:sz w:val="24"/>
          <w:szCs w:val="24"/>
        </w:rPr>
      </w:pPr>
      <w:r w:rsidRPr="00673DA4">
        <w:rPr>
          <w:rFonts w:ascii="Arial" w:hAnsi="Arial" w:cs="Arial"/>
          <w:sz w:val="24"/>
          <w:szCs w:val="24"/>
        </w:rPr>
        <w:t xml:space="preserve">Overall, the evidence supports a “bundle” view of retention in front office roles: remuneration fairness, workload and stress reduction, supervisor support and embeddedness-building practices interact to shape employees’ decision calculus. For </w:t>
      </w:r>
      <w:proofErr w:type="spellStart"/>
      <w:r w:rsidRPr="00673DA4">
        <w:rPr>
          <w:rFonts w:ascii="Arial" w:hAnsi="Arial" w:cs="Arial"/>
          <w:sz w:val="24"/>
          <w:szCs w:val="24"/>
        </w:rPr>
        <w:t>Coldra</w:t>
      </w:r>
      <w:proofErr w:type="spellEnd"/>
      <w:r w:rsidRPr="00673DA4">
        <w:rPr>
          <w:rFonts w:ascii="Arial" w:hAnsi="Arial" w:cs="Arial"/>
          <w:sz w:val="24"/>
          <w:szCs w:val="24"/>
        </w:rPr>
        <w:t xml:space="preserve"> Court, the most defensible conclusion is that retention improvements will be achieved by integrating operational process redesign with people-management practices and measurable accountability, rather than by relying on any single lever.</w:t>
      </w:r>
    </w:p>
    <w:p w14:paraId="5F263047" w14:textId="77777777" w:rsidR="009E0694" w:rsidRDefault="009E0694" w:rsidP="00673DA4">
      <w:pPr>
        <w:spacing w:line="360" w:lineRule="auto"/>
        <w:jc w:val="both"/>
        <w:rPr>
          <w:rFonts w:ascii="Arial" w:hAnsi="Arial" w:cs="Arial"/>
          <w:sz w:val="24"/>
          <w:szCs w:val="24"/>
        </w:rPr>
      </w:pPr>
    </w:p>
    <w:p w14:paraId="669B88E1" w14:textId="03EC6798" w:rsidR="009E0694" w:rsidRDefault="00C63E7A" w:rsidP="00903F70">
      <w:pPr>
        <w:pStyle w:val="Heading1"/>
      </w:pPr>
      <w:bookmarkStart w:id="52" w:name="_Toc222675185"/>
      <w:r>
        <w:t xml:space="preserve">Chapter 5: </w:t>
      </w:r>
      <w:r w:rsidR="00903F70" w:rsidRPr="00903F70">
        <w:t>Conclusion and Recommendations</w:t>
      </w:r>
      <w:bookmarkEnd w:id="52"/>
    </w:p>
    <w:p w14:paraId="38057121" w14:textId="0757D7BE" w:rsidR="009E0694" w:rsidRPr="00F77307" w:rsidRDefault="00A47F85" w:rsidP="00F77307">
      <w:pPr>
        <w:pStyle w:val="Heading2"/>
      </w:pPr>
      <w:bookmarkStart w:id="53" w:name="_Toc222675186"/>
      <w:r w:rsidRPr="00A47F85">
        <w:t>5.1 Conclusion</w:t>
      </w:r>
      <w:bookmarkEnd w:id="53"/>
    </w:p>
    <w:p w14:paraId="4B325A49" w14:textId="3BB5BBF2" w:rsidR="00F77307" w:rsidRPr="00F77307" w:rsidRDefault="00F77307" w:rsidP="00F77307">
      <w:pPr>
        <w:spacing w:line="360" w:lineRule="auto"/>
        <w:jc w:val="both"/>
        <w:rPr>
          <w:rFonts w:ascii="Arial" w:hAnsi="Arial" w:cs="Arial"/>
          <w:sz w:val="24"/>
          <w:szCs w:val="24"/>
        </w:rPr>
      </w:pPr>
      <w:r w:rsidRPr="00F77307">
        <w:rPr>
          <w:rFonts w:ascii="Arial" w:hAnsi="Arial" w:cs="Arial"/>
          <w:sz w:val="24"/>
          <w:szCs w:val="24"/>
        </w:rPr>
        <w:t xml:space="preserve">This placement research project critically assessed how remuneration structures and working conditions interact to influence employee retention in front office roles within the UK hotel sector, using </w:t>
      </w:r>
      <w:proofErr w:type="spellStart"/>
      <w:r w:rsidRPr="00F77307">
        <w:rPr>
          <w:rFonts w:ascii="Arial" w:hAnsi="Arial" w:cs="Arial"/>
          <w:sz w:val="24"/>
          <w:szCs w:val="24"/>
        </w:rPr>
        <w:t>Coldra</w:t>
      </w:r>
      <w:proofErr w:type="spellEnd"/>
      <w:r w:rsidRPr="00F77307">
        <w:rPr>
          <w:rFonts w:ascii="Arial" w:hAnsi="Arial" w:cs="Arial"/>
          <w:sz w:val="24"/>
          <w:szCs w:val="24"/>
        </w:rPr>
        <w:t xml:space="preserve"> Court Hotel as a contextual case. Through a qualitative secondary case-study design, the study synthesised hospitality workforce research and organisational behaviour theory to examine staff shortages, compensation fairness, workload intensity and organisational support mechanisms.</w:t>
      </w:r>
    </w:p>
    <w:p w14:paraId="570C0EB9" w14:textId="4F481A2E" w:rsidR="00F77307" w:rsidRPr="00F77307" w:rsidRDefault="00F77307" w:rsidP="00F77307">
      <w:pPr>
        <w:spacing w:line="360" w:lineRule="auto"/>
        <w:jc w:val="both"/>
        <w:rPr>
          <w:rFonts w:ascii="Arial" w:hAnsi="Arial" w:cs="Arial"/>
          <w:sz w:val="24"/>
          <w:szCs w:val="24"/>
        </w:rPr>
      </w:pPr>
      <w:r w:rsidRPr="00F77307">
        <w:rPr>
          <w:rFonts w:ascii="Arial" w:hAnsi="Arial" w:cs="Arial"/>
          <w:sz w:val="24"/>
          <w:szCs w:val="24"/>
        </w:rPr>
        <w:t xml:space="preserve">The findings demonstrate that front office retention challenges are structural rather than temporary labour-market fluctuations. Consistent with UK sector data (Office for National Statistics, 2023; </w:t>
      </w:r>
      <w:proofErr w:type="spellStart"/>
      <w:r w:rsidRPr="00F77307">
        <w:rPr>
          <w:rFonts w:ascii="Arial" w:hAnsi="Arial" w:cs="Arial"/>
          <w:sz w:val="24"/>
          <w:szCs w:val="24"/>
        </w:rPr>
        <w:t>UKHospitality</w:t>
      </w:r>
      <w:proofErr w:type="spellEnd"/>
      <w:r w:rsidRPr="00F77307">
        <w:rPr>
          <w:rFonts w:ascii="Arial" w:hAnsi="Arial" w:cs="Arial"/>
          <w:sz w:val="24"/>
          <w:szCs w:val="24"/>
        </w:rPr>
        <w:t>, 2023), recruitment constraints intersect with demanding service expectations. However, instability is sustained not solely by attraction difficulties but by retention vulnerabilities embedded within working conditions and role design.</w:t>
      </w:r>
    </w:p>
    <w:p w14:paraId="314B0D6F" w14:textId="247CE9C9" w:rsidR="00F77307" w:rsidRPr="00F77307" w:rsidRDefault="00F77307" w:rsidP="00F77307">
      <w:pPr>
        <w:spacing w:line="360" w:lineRule="auto"/>
        <w:jc w:val="both"/>
        <w:rPr>
          <w:rFonts w:ascii="Arial" w:hAnsi="Arial" w:cs="Arial"/>
          <w:sz w:val="24"/>
          <w:szCs w:val="24"/>
        </w:rPr>
      </w:pPr>
      <w:r w:rsidRPr="00F77307">
        <w:rPr>
          <w:rFonts w:ascii="Arial" w:hAnsi="Arial" w:cs="Arial"/>
          <w:sz w:val="24"/>
          <w:szCs w:val="24"/>
        </w:rPr>
        <w:t xml:space="preserve">Addressing the first objective, the study confirms that staff shortages are shaped by irregular shift patterns, peak-demand volatility and emotional labour exposure (Hochschild, 1983; Grandey, 2000). Empirical research demonstrates that frontline </w:t>
      </w:r>
      <w:r w:rsidRPr="00F77307">
        <w:rPr>
          <w:rFonts w:ascii="Arial" w:hAnsi="Arial" w:cs="Arial"/>
          <w:sz w:val="24"/>
          <w:szCs w:val="24"/>
        </w:rPr>
        <w:lastRenderedPageBreak/>
        <w:t xml:space="preserve">service intensity increases emotional exhaustion and turnover intention when organisational resources are insufficient (Karatepe and </w:t>
      </w:r>
      <w:proofErr w:type="spellStart"/>
      <w:r w:rsidRPr="00F77307">
        <w:rPr>
          <w:rFonts w:ascii="Arial" w:hAnsi="Arial" w:cs="Arial"/>
          <w:sz w:val="24"/>
          <w:szCs w:val="24"/>
        </w:rPr>
        <w:t>Uludag</w:t>
      </w:r>
      <w:proofErr w:type="spellEnd"/>
      <w:r w:rsidRPr="00F77307">
        <w:rPr>
          <w:rFonts w:ascii="Arial" w:hAnsi="Arial" w:cs="Arial"/>
          <w:sz w:val="24"/>
          <w:szCs w:val="24"/>
        </w:rPr>
        <w:t>, 2008; Wen et al, 2020). Shortages therefore reflect a stress–burnout–withdrawal mechanism rather than isolated staffing events.</w:t>
      </w:r>
    </w:p>
    <w:p w14:paraId="24FF3AB3" w14:textId="1458CABE" w:rsidR="00F77307" w:rsidRPr="00F77307" w:rsidRDefault="00F77307" w:rsidP="00F77307">
      <w:pPr>
        <w:spacing w:line="360" w:lineRule="auto"/>
        <w:jc w:val="both"/>
        <w:rPr>
          <w:rFonts w:ascii="Arial" w:hAnsi="Arial" w:cs="Arial"/>
          <w:sz w:val="24"/>
          <w:szCs w:val="24"/>
        </w:rPr>
      </w:pPr>
      <w:r w:rsidRPr="00F77307">
        <w:rPr>
          <w:rFonts w:ascii="Arial" w:hAnsi="Arial" w:cs="Arial"/>
          <w:sz w:val="24"/>
          <w:szCs w:val="24"/>
        </w:rPr>
        <w:t xml:space="preserve">Regarding remuneration, compensation satisfaction influences turnover intention primarily through perceptions of fairness rather than absolute wage levels (Adams, 1965; Nadiri and </w:t>
      </w:r>
      <w:proofErr w:type="spellStart"/>
      <w:r w:rsidRPr="00F77307">
        <w:rPr>
          <w:rFonts w:ascii="Arial" w:hAnsi="Arial" w:cs="Arial"/>
          <w:sz w:val="24"/>
          <w:szCs w:val="24"/>
        </w:rPr>
        <w:t>Tanova</w:t>
      </w:r>
      <w:proofErr w:type="spellEnd"/>
      <w:r w:rsidRPr="00F77307">
        <w:rPr>
          <w:rFonts w:ascii="Arial" w:hAnsi="Arial" w:cs="Arial"/>
          <w:sz w:val="24"/>
          <w:szCs w:val="24"/>
        </w:rPr>
        <w:t>, 2010). However, pay alone does not resolve retention risk. Consistent with bundled HR research (Jiang et al, 2012; Karatepe, 2013), remuneration interacts with workload management, supervisor support and career development structures. Incremental pay adjustments are unlikely to generate sustained improvements if job demands remain excessive.</w:t>
      </w:r>
    </w:p>
    <w:p w14:paraId="1853EA7E" w14:textId="31A4AC9B" w:rsidR="00F77307" w:rsidRPr="00F77307" w:rsidRDefault="00F77307" w:rsidP="00F77307">
      <w:pPr>
        <w:spacing w:line="360" w:lineRule="auto"/>
        <w:jc w:val="both"/>
        <w:rPr>
          <w:rFonts w:ascii="Arial" w:hAnsi="Arial" w:cs="Arial"/>
          <w:sz w:val="24"/>
          <w:szCs w:val="24"/>
        </w:rPr>
      </w:pPr>
      <w:r w:rsidRPr="00F77307">
        <w:rPr>
          <w:rFonts w:ascii="Arial" w:hAnsi="Arial" w:cs="Arial"/>
          <w:sz w:val="24"/>
          <w:szCs w:val="24"/>
        </w:rPr>
        <w:t xml:space="preserve">The Job Demands–Resources framework (Bakker and Demerouti, 2007) provides explanatory clarity: high demands deplete resources and increase burnout risk when support is insufficient. Hospitality-specific studies confirm that burnout mediates the relationship between stressors and turnover intention (Karatepe and </w:t>
      </w:r>
      <w:proofErr w:type="spellStart"/>
      <w:r w:rsidRPr="00F77307">
        <w:rPr>
          <w:rFonts w:ascii="Arial" w:hAnsi="Arial" w:cs="Arial"/>
          <w:sz w:val="24"/>
          <w:szCs w:val="24"/>
        </w:rPr>
        <w:t>Olugbade</w:t>
      </w:r>
      <w:proofErr w:type="spellEnd"/>
      <w:r w:rsidRPr="00F77307">
        <w:rPr>
          <w:rFonts w:ascii="Arial" w:hAnsi="Arial" w:cs="Arial"/>
          <w:sz w:val="24"/>
          <w:szCs w:val="24"/>
        </w:rPr>
        <w:t>, 2009; Wen et al, 2020). Supportive leadership and embeddedness mechanisms further moderate retention risk (Gordon et al, 2019; Robinson et al, 2014).</w:t>
      </w:r>
    </w:p>
    <w:p w14:paraId="4B466D6B" w14:textId="08BD4136" w:rsidR="00F77307" w:rsidRPr="00F77307" w:rsidRDefault="00F77307" w:rsidP="00F77307">
      <w:pPr>
        <w:spacing w:line="360" w:lineRule="auto"/>
        <w:jc w:val="both"/>
        <w:rPr>
          <w:rFonts w:ascii="Arial" w:hAnsi="Arial" w:cs="Arial"/>
          <w:sz w:val="24"/>
          <w:szCs w:val="24"/>
        </w:rPr>
      </w:pPr>
      <w:r w:rsidRPr="00F77307">
        <w:rPr>
          <w:rFonts w:ascii="Arial" w:hAnsi="Arial" w:cs="Arial"/>
          <w:sz w:val="24"/>
          <w:szCs w:val="24"/>
        </w:rPr>
        <w:t xml:space="preserve">The PESTEL and SWOT analyses contextualised these findings within broader economic pressures and internal strategic capabilities. Financial evidence demonstrates that turnover undermines performance and profitability (Simons and Hinkin, 2001; </w:t>
      </w:r>
      <w:proofErr w:type="spellStart"/>
      <w:r w:rsidRPr="00F77307">
        <w:rPr>
          <w:rFonts w:ascii="Arial" w:hAnsi="Arial" w:cs="Arial"/>
          <w:sz w:val="24"/>
          <w:szCs w:val="24"/>
        </w:rPr>
        <w:t>Guilding</w:t>
      </w:r>
      <w:proofErr w:type="spellEnd"/>
      <w:r w:rsidRPr="00F77307">
        <w:rPr>
          <w:rFonts w:ascii="Arial" w:hAnsi="Arial" w:cs="Arial"/>
          <w:sz w:val="24"/>
          <w:szCs w:val="24"/>
        </w:rPr>
        <w:t xml:space="preserve"> et al, 2014), reinforcing retention as a measurable operational priority.</w:t>
      </w:r>
    </w:p>
    <w:p w14:paraId="2BABB322" w14:textId="5E45F0AD" w:rsidR="00F77307" w:rsidRPr="00F77307" w:rsidRDefault="00F77307" w:rsidP="00F77307">
      <w:pPr>
        <w:spacing w:line="360" w:lineRule="auto"/>
        <w:jc w:val="both"/>
        <w:rPr>
          <w:rFonts w:ascii="Arial" w:hAnsi="Arial" w:cs="Arial"/>
          <w:sz w:val="24"/>
          <w:szCs w:val="24"/>
        </w:rPr>
      </w:pPr>
      <w:r w:rsidRPr="00F77307">
        <w:rPr>
          <w:rFonts w:ascii="Arial" w:hAnsi="Arial" w:cs="Arial"/>
          <w:sz w:val="24"/>
          <w:szCs w:val="24"/>
        </w:rPr>
        <w:t>Limitations include reliance on secondary data and turnover-intention modelling rather than observed exits. Nevertheless, turnover intention remains a validated predictor of voluntary exit behaviour (Mohsin et al, 2015).</w:t>
      </w:r>
    </w:p>
    <w:p w14:paraId="4C7F6ACF" w14:textId="7503EC26" w:rsidR="0010291F" w:rsidRDefault="00F77307" w:rsidP="00F77307">
      <w:pPr>
        <w:spacing w:line="360" w:lineRule="auto"/>
        <w:jc w:val="both"/>
        <w:rPr>
          <w:rFonts w:ascii="Arial" w:hAnsi="Arial" w:cs="Arial"/>
          <w:sz w:val="24"/>
          <w:szCs w:val="24"/>
        </w:rPr>
      </w:pPr>
      <w:r w:rsidRPr="00F77307">
        <w:rPr>
          <w:rFonts w:ascii="Arial" w:hAnsi="Arial" w:cs="Arial"/>
          <w:sz w:val="24"/>
          <w:szCs w:val="24"/>
        </w:rPr>
        <w:t xml:space="preserve">Overall, front office retention at </w:t>
      </w:r>
      <w:proofErr w:type="spellStart"/>
      <w:r w:rsidRPr="00F77307">
        <w:rPr>
          <w:rFonts w:ascii="Arial" w:hAnsi="Arial" w:cs="Arial"/>
          <w:sz w:val="24"/>
          <w:szCs w:val="24"/>
        </w:rPr>
        <w:t>Coldra</w:t>
      </w:r>
      <w:proofErr w:type="spellEnd"/>
      <w:r w:rsidRPr="00F77307">
        <w:rPr>
          <w:rFonts w:ascii="Arial" w:hAnsi="Arial" w:cs="Arial"/>
          <w:sz w:val="24"/>
          <w:szCs w:val="24"/>
        </w:rPr>
        <w:t xml:space="preserve"> Court Hotel is shaped by the interaction between remuneration fairness, workload design, supervisory support and embeddedness processes. Sustainable improvement requires systemic alignment between job demands and organisational resources. Retention should therefore be treated as a strategic operational priority underpinning service quality, employee wellbeing and financial performance.</w:t>
      </w:r>
    </w:p>
    <w:p w14:paraId="517A3F8D" w14:textId="7BC23592" w:rsidR="0010291F" w:rsidRPr="0010291F" w:rsidRDefault="0010291F" w:rsidP="0010291F">
      <w:pPr>
        <w:spacing w:line="360" w:lineRule="auto"/>
        <w:jc w:val="both"/>
        <w:rPr>
          <w:rFonts w:ascii="Arial" w:hAnsi="Arial" w:cs="Arial"/>
          <w:sz w:val="24"/>
          <w:szCs w:val="24"/>
        </w:rPr>
      </w:pPr>
      <w:bookmarkStart w:id="54" w:name="_Toc222675187"/>
      <w:r w:rsidRPr="0010291F">
        <w:rPr>
          <w:rStyle w:val="Heading2Char"/>
        </w:rPr>
        <w:lastRenderedPageBreak/>
        <w:t>5.2 Recommendations and Practical Strategies</w:t>
      </w:r>
      <w:bookmarkEnd w:id="54"/>
    </w:p>
    <w:p w14:paraId="3C8C78F5" w14:textId="474A68A7"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 xml:space="preserve">Drawing upon the findings, theoretical insights and placement observations, the following evidence-informed recommendations are proposed to enhance front office retention and operational stability at </w:t>
      </w:r>
      <w:proofErr w:type="spellStart"/>
      <w:r w:rsidRPr="0010291F">
        <w:rPr>
          <w:rFonts w:ascii="Arial" w:hAnsi="Arial" w:cs="Arial"/>
          <w:sz w:val="24"/>
          <w:szCs w:val="24"/>
        </w:rPr>
        <w:t>Coldra</w:t>
      </w:r>
      <w:proofErr w:type="spellEnd"/>
      <w:r w:rsidRPr="0010291F">
        <w:rPr>
          <w:rFonts w:ascii="Arial" w:hAnsi="Arial" w:cs="Arial"/>
          <w:sz w:val="24"/>
          <w:szCs w:val="24"/>
        </w:rPr>
        <w:t xml:space="preserve"> Court Hotel.</w:t>
      </w:r>
      <w:r w:rsidR="00EE695D">
        <w:rPr>
          <w:rFonts w:ascii="Arial" w:hAnsi="Arial" w:cs="Arial"/>
          <w:sz w:val="24"/>
          <w:szCs w:val="24"/>
        </w:rPr>
        <w:t xml:space="preserve"> </w:t>
      </w:r>
      <w:r w:rsidR="00EE695D" w:rsidRPr="00EE695D">
        <w:rPr>
          <w:rFonts w:ascii="Arial" w:hAnsi="Arial" w:cs="Arial"/>
          <w:sz w:val="24"/>
          <w:szCs w:val="24"/>
        </w:rPr>
        <w:t>Systematic review evidence suggests that frontline turnover intentions in hospitality are most effectively addressed through multi-component interventions rather than isolated financial incentives (Nguyen et al, 2023).</w:t>
      </w:r>
    </w:p>
    <w:p w14:paraId="1FC10903" w14:textId="0E3B27A6" w:rsidR="0010291F" w:rsidRPr="00E55979" w:rsidRDefault="0010291F" w:rsidP="0010291F">
      <w:pPr>
        <w:spacing w:line="360" w:lineRule="auto"/>
        <w:jc w:val="both"/>
        <w:rPr>
          <w:rFonts w:ascii="Arial" w:hAnsi="Arial" w:cs="Arial"/>
          <w:b/>
          <w:bCs/>
          <w:sz w:val="24"/>
          <w:szCs w:val="24"/>
        </w:rPr>
      </w:pPr>
      <w:r w:rsidRPr="00E55979">
        <w:rPr>
          <w:rFonts w:ascii="Arial" w:hAnsi="Arial" w:cs="Arial"/>
          <w:b/>
          <w:bCs/>
          <w:sz w:val="24"/>
          <w:szCs w:val="24"/>
        </w:rPr>
        <w:t>1. Formalise Retention as a Strategic Performance Indicator</w:t>
      </w:r>
    </w:p>
    <w:p w14:paraId="0E2F4F6B" w14:textId="22C0690A"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Turnover should be embedded within senior management accountability structures. Empirical research demonstrates that turnover incurs measurable recruitment, onboarding and productivity costs (Simons and Hinkin, 2001; Davidson</w:t>
      </w:r>
      <w:r w:rsidR="00860ADF">
        <w:rPr>
          <w:rFonts w:ascii="Arial" w:hAnsi="Arial" w:cs="Arial"/>
          <w:sz w:val="24"/>
          <w:szCs w:val="24"/>
        </w:rPr>
        <w:t xml:space="preserve"> et al</w:t>
      </w:r>
      <w:r w:rsidRPr="0010291F">
        <w:rPr>
          <w:rFonts w:ascii="Arial" w:hAnsi="Arial" w:cs="Arial"/>
          <w:sz w:val="24"/>
          <w:szCs w:val="24"/>
        </w:rPr>
        <w:t>, 2010). The hotel should implement:</w:t>
      </w:r>
    </w:p>
    <w:p w14:paraId="38AE493B" w14:textId="1C56308C" w:rsidR="0010291F" w:rsidRPr="00860ADF" w:rsidRDefault="0010291F" w:rsidP="0010291F">
      <w:pPr>
        <w:pStyle w:val="ListParagraph"/>
        <w:numPr>
          <w:ilvl w:val="0"/>
          <w:numId w:val="8"/>
        </w:numPr>
        <w:spacing w:line="360" w:lineRule="auto"/>
        <w:jc w:val="both"/>
        <w:rPr>
          <w:rFonts w:ascii="Arial" w:hAnsi="Arial" w:cs="Arial"/>
          <w:sz w:val="24"/>
          <w:szCs w:val="24"/>
        </w:rPr>
      </w:pPr>
      <w:r w:rsidRPr="00860ADF">
        <w:rPr>
          <w:rFonts w:ascii="Arial" w:hAnsi="Arial" w:cs="Arial"/>
          <w:sz w:val="24"/>
          <w:szCs w:val="24"/>
        </w:rPr>
        <w:t>Department-level turnover monitoring</w:t>
      </w:r>
    </w:p>
    <w:p w14:paraId="113C2EC8" w14:textId="77777777" w:rsidR="0010291F" w:rsidRPr="00860ADF" w:rsidRDefault="0010291F" w:rsidP="00860ADF">
      <w:pPr>
        <w:pStyle w:val="ListParagraph"/>
        <w:numPr>
          <w:ilvl w:val="0"/>
          <w:numId w:val="8"/>
        </w:numPr>
        <w:spacing w:line="360" w:lineRule="auto"/>
        <w:jc w:val="both"/>
        <w:rPr>
          <w:rFonts w:ascii="Arial" w:hAnsi="Arial" w:cs="Arial"/>
          <w:sz w:val="24"/>
          <w:szCs w:val="24"/>
        </w:rPr>
      </w:pPr>
      <w:r w:rsidRPr="00860ADF">
        <w:rPr>
          <w:rFonts w:ascii="Arial" w:hAnsi="Arial" w:cs="Arial"/>
          <w:sz w:val="24"/>
          <w:szCs w:val="24"/>
        </w:rPr>
        <w:t>Vacancy duration tracking</w:t>
      </w:r>
    </w:p>
    <w:p w14:paraId="1AE57AC5" w14:textId="77777777" w:rsidR="0010291F" w:rsidRPr="00860ADF" w:rsidRDefault="0010291F" w:rsidP="00860ADF">
      <w:pPr>
        <w:pStyle w:val="ListParagraph"/>
        <w:numPr>
          <w:ilvl w:val="0"/>
          <w:numId w:val="8"/>
        </w:numPr>
        <w:spacing w:line="360" w:lineRule="auto"/>
        <w:jc w:val="both"/>
        <w:rPr>
          <w:rFonts w:ascii="Arial" w:hAnsi="Arial" w:cs="Arial"/>
          <w:sz w:val="24"/>
          <w:szCs w:val="24"/>
        </w:rPr>
      </w:pPr>
      <w:r w:rsidRPr="00860ADF">
        <w:rPr>
          <w:rFonts w:ascii="Arial" w:hAnsi="Arial" w:cs="Arial"/>
          <w:sz w:val="24"/>
          <w:szCs w:val="24"/>
        </w:rPr>
        <w:t>Overtime and workload reporting</w:t>
      </w:r>
    </w:p>
    <w:p w14:paraId="6B97793D" w14:textId="7DBEDAE1" w:rsidR="0010291F" w:rsidRPr="00860ADF" w:rsidRDefault="0010291F" w:rsidP="0010291F">
      <w:pPr>
        <w:pStyle w:val="ListParagraph"/>
        <w:numPr>
          <w:ilvl w:val="0"/>
          <w:numId w:val="8"/>
        </w:numPr>
        <w:spacing w:line="360" w:lineRule="auto"/>
        <w:jc w:val="both"/>
        <w:rPr>
          <w:rFonts w:ascii="Arial" w:hAnsi="Arial" w:cs="Arial"/>
          <w:sz w:val="24"/>
          <w:szCs w:val="24"/>
        </w:rPr>
      </w:pPr>
      <w:r w:rsidRPr="00860ADF">
        <w:rPr>
          <w:rFonts w:ascii="Arial" w:hAnsi="Arial" w:cs="Arial"/>
          <w:sz w:val="24"/>
          <w:szCs w:val="24"/>
        </w:rPr>
        <w:t>Exit-pattern analysis</w:t>
      </w:r>
    </w:p>
    <w:p w14:paraId="4DC718E1" w14:textId="43B40F8C"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Regular reporting strengthens strategic alignment between HR and operational leadership.</w:t>
      </w:r>
      <w:r w:rsidR="00E76774">
        <w:rPr>
          <w:rFonts w:ascii="Arial" w:hAnsi="Arial" w:cs="Arial"/>
          <w:sz w:val="24"/>
          <w:szCs w:val="24"/>
        </w:rPr>
        <w:t xml:space="preserve"> </w:t>
      </w:r>
      <w:r w:rsidR="00E76774" w:rsidRPr="00E76774">
        <w:rPr>
          <w:rFonts w:ascii="Arial" w:hAnsi="Arial" w:cs="Arial"/>
          <w:sz w:val="24"/>
          <w:szCs w:val="24"/>
        </w:rPr>
        <w:t>Turnover in hotels also generates learning-curve losses and service disruption costs, reinforcing the financial rationale for systematic retention monitoring (</w:t>
      </w:r>
      <w:proofErr w:type="spellStart"/>
      <w:r w:rsidR="00E76774" w:rsidRPr="00E76774">
        <w:rPr>
          <w:rFonts w:ascii="Arial" w:hAnsi="Arial" w:cs="Arial"/>
          <w:sz w:val="24"/>
          <w:szCs w:val="24"/>
        </w:rPr>
        <w:t>Hinkin</w:t>
      </w:r>
      <w:proofErr w:type="spellEnd"/>
      <w:r w:rsidR="00E76774" w:rsidRPr="00E76774">
        <w:rPr>
          <w:rFonts w:ascii="Arial" w:hAnsi="Arial" w:cs="Arial"/>
          <w:sz w:val="24"/>
          <w:szCs w:val="24"/>
        </w:rPr>
        <w:t xml:space="preserve"> and Tracey, 2000).</w:t>
      </w:r>
    </w:p>
    <w:p w14:paraId="59923077" w14:textId="7400612F" w:rsidR="0010291F" w:rsidRPr="006E2444" w:rsidRDefault="0010291F" w:rsidP="0010291F">
      <w:pPr>
        <w:spacing w:line="360" w:lineRule="auto"/>
        <w:jc w:val="both"/>
        <w:rPr>
          <w:rFonts w:ascii="Arial" w:hAnsi="Arial" w:cs="Arial"/>
          <w:b/>
          <w:bCs/>
          <w:sz w:val="24"/>
          <w:szCs w:val="24"/>
        </w:rPr>
      </w:pPr>
      <w:r w:rsidRPr="006E2444">
        <w:rPr>
          <w:rFonts w:ascii="Arial" w:hAnsi="Arial" w:cs="Arial"/>
          <w:b/>
          <w:bCs/>
          <w:sz w:val="24"/>
          <w:szCs w:val="24"/>
        </w:rPr>
        <w:t>2. Redesign Peak-Demand Workload Allocation</w:t>
      </w:r>
    </w:p>
    <w:p w14:paraId="585A1E3E" w14:textId="77777777"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Workload intensity emerged as a primary burnout driver. Based on JD-R theory (Bakker and Demerouti, 2007), reducing excessive demands is a prerequisite to restoring employee resources. Practical measures include:</w:t>
      </w:r>
    </w:p>
    <w:p w14:paraId="08EEAF37" w14:textId="77777777" w:rsidR="0010291F" w:rsidRPr="006E2444" w:rsidRDefault="0010291F" w:rsidP="006E2444">
      <w:pPr>
        <w:pStyle w:val="ListParagraph"/>
        <w:numPr>
          <w:ilvl w:val="0"/>
          <w:numId w:val="9"/>
        </w:numPr>
        <w:spacing w:line="360" w:lineRule="auto"/>
        <w:jc w:val="both"/>
        <w:rPr>
          <w:rFonts w:ascii="Arial" w:hAnsi="Arial" w:cs="Arial"/>
          <w:sz w:val="24"/>
          <w:szCs w:val="24"/>
        </w:rPr>
      </w:pPr>
      <w:r w:rsidRPr="006E2444">
        <w:rPr>
          <w:rFonts w:ascii="Arial" w:hAnsi="Arial" w:cs="Arial"/>
          <w:sz w:val="24"/>
          <w:szCs w:val="24"/>
        </w:rPr>
        <w:t>Structured segmentation of arrival and query roles during peak periods</w:t>
      </w:r>
    </w:p>
    <w:p w14:paraId="56BEA955" w14:textId="77777777" w:rsidR="0010291F" w:rsidRPr="006E2444" w:rsidRDefault="0010291F" w:rsidP="006E2444">
      <w:pPr>
        <w:pStyle w:val="ListParagraph"/>
        <w:numPr>
          <w:ilvl w:val="0"/>
          <w:numId w:val="9"/>
        </w:numPr>
        <w:spacing w:line="360" w:lineRule="auto"/>
        <w:jc w:val="both"/>
        <w:rPr>
          <w:rFonts w:ascii="Arial" w:hAnsi="Arial" w:cs="Arial"/>
          <w:sz w:val="24"/>
          <w:szCs w:val="24"/>
        </w:rPr>
      </w:pPr>
      <w:r w:rsidRPr="006E2444">
        <w:rPr>
          <w:rFonts w:ascii="Arial" w:hAnsi="Arial" w:cs="Arial"/>
          <w:sz w:val="24"/>
          <w:szCs w:val="24"/>
        </w:rPr>
        <w:t>Minimum staffing thresholds at high occupancy</w:t>
      </w:r>
    </w:p>
    <w:p w14:paraId="1A3ED9E1" w14:textId="0DACAABA" w:rsidR="0010291F" w:rsidRPr="006E2444" w:rsidRDefault="0010291F" w:rsidP="0010291F">
      <w:pPr>
        <w:pStyle w:val="ListParagraph"/>
        <w:numPr>
          <w:ilvl w:val="0"/>
          <w:numId w:val="9"/>
        </w:numPr>
        <w:spacing w:line="360" w:lineRule="auto"/>
        <w:jc w:val="both"/>
        <w:rPr>
          <w:rFonts w:ascii="Arial" w:hAnsi="Arial" w:cs="Arial"/>
          <w:sz w:val="24"/>
          <w:szCs w:val="24"/>
        </w:rPr>
      </w:pPr>
      <w:r w:rsidRPr="006E2444">
        <w:rPr>
          <w:rFonts w:ascii="Arial" w:hAnsi="Arial" w:cs="Arial"/>
          <w:sz w:val="24"/>
          <w:szCs w:val="24"/>
        </w:rPr>
        <w:t>Clear interdepartmental handover protocols</w:t>
      </w:r>
    </w:p>
    <w:p w14:paraId="4BF33B04" w14:textId="77BB6791"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These changes directly target upstream stressors rather than compensating for their effects.</w:t>
      </w:r>
      <w:r w:rsidR="000E574C">
        <w:rPr>
          <w:rFonts w:ascii="Arial" w:hAnsi="Arial" w:cs="Arial"/>
          <w:sz w:val="24"/>
          <w:szCs w:val="24"/>
        </w:rPr>
        <w:t xml:space="preserve"> </w:t>
      </w:r>
      <w:r w:rsidR="000E574C" w:rsidRPr="000E574C">
        <w:rPr>
          <w:rFonts w:ascii="Arial" w:hAnsi="Arial" w:cs="Arial"/>
          <w:sz w:val="24"/>
          <w:szCs w:val="24"/>
        </w:rPr>
        <w:t xml:space="preserve">Evidence further indicates that turnover intention fluctuates alongside daily </w:t>
      </w:r>
      <w:r w:rsidR="000E574C" w:rsidRPr="000E574C">
        <w:rPr>
          <w:rFonts w:ascii="Arial" w:hAnsi="Arial" w:cs="Arial"/>
          <w:sz w:val="24"/>
          <w:szCs w:val="24"/>
        </w:rPr>
        <w:lastRenderedPageBreak/>
        <w:t>wellbeing and emotional strain, highlighting the operational importance of reducing peak-demand volatility (Shi</w:t>
      </w:r>
      <w:r w:rsidR="000E574C">
        <w:rPr>
          <w:rFonts w:ascii="Arial" w:hAnsi="Arial" w:cs="Arial"/>
          <w:sz w:val="24"/>
          <w:szCs w:val="24"/>
        </w:rPr>
        <w:t xml:space="preserve"> et al</w:t>
      </w:r>
      <w:r w:rsidR="000E574C" w:rsidRPr="000E574C">
        <w:rPr>
          <w:rFonts w:ascii="Arial" w:hAnsi="Arial" w:cs="Arial"/>
          <w:sz w:val="24"/>
          <w:szCs w:val="24"/>
        </w:rPr>
        <w:t>, 2021).</w:t>
      </w:r>
    </w:p>
    <w:p w14:paraId="2921D713" w14:textId="06C14617" w:rsidR="0010291F" w:rsidRPr="006E2444" w:rsidRDefault="0010291F" w:rsidP="0010291F">
      <w:pPr>
        <w:spacing w:line="360" w:lineRule="auto"/>
        <w:jc w:val="both"/>
        <w:rPr>
          <w:rFonts w:ascii="Arial" w:hAnsi="Arial" w:cs="Arial"/>
          <w:b/>
          <w:bCs/>
          <w:sz w:val="24"/>
          <w:szCs w:val="24"/>
        </w:rPr>
      </w:pPr>
      <w:r w:rsidRPr="006E2444">
        <w:rPr>
          <w:rFonts w:ascii="Arial" w:hAnsi="Arial" w:cs="Arial"/>
          <w:b/>
          <w:bCs/>
          <w:sz w:val="24"/>
          <w:szCs w:val="24"/>
        </w:rPr>
        <w:t>3. Stabilise Scheduling and Improve Work–Life Predictability</w:t>
      </w:r>
    </w:p>
    <w:p w14:paraId="6FC77B0B" w14:textId="2CC881D1"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Unpredictable shift patterns contribute to stress and withdrawal cognitions (Chiang</w:t>
      </w:r>
      <w:r w:rsidR="006E2444">
        <w:rPr>
          <w:rFonts w:ascii="Arial" w:hAnsi="Arial" w:cs="Arial"/>
          <w:sz w:val="24"/>
          <w:szCs w:val="24"/>
        </w:rPr>
        <w:t xml:space="preserve"> et al</w:t>
      </w:r>
      <w:r w:rsidRPr="0010291F">
        <w:rPr>
          <w:rFonts w:ascii="Arial" w:hAnsi="Arial" w:cs="Arial"/>
          <w:sz w:val="24"/>
          <w:szCs w:val="24"/>
        </w:rPr>
        <w:t xml:space="preserve">, 2010). </w:t>
      </w:r>
      <w:proofErr w:type="spellStart"/>
      <w:r w:rsidRPr="0010291F">
        <w:rPr>
          <w:rFonts w:ascii="Arial" w:hAnsi="Arial" w:cs="Arial"/>
          <w:sz w:val="24"/>
          <w:szCs w:val="24"/>
        </w:rPr>
        <w:t>Coldra</w:t>
      </w:r>
      <w:proofErr w:type="spellEnd"/>
      <w:r w:rsidRPr="0010291F">
        <w:rPr>
          <w:rFonts w:ascii="Arial" w:hAnsi="Arial" w:cs="Arial"/>
          <w:sz w:val="24"/>
          <w:szCs w:val="24"/>
        </w:rPr>
        <w:t xml:space="preserve"> Court should:</w:t>
      </w:r>
    </w:p>
    <w:p w14:paraId="52C853D9" w14:textId="77777777" w:rsidR="0010291F" w:rsidRPr="006E2444" w:rsidRDefault="0010291F" w:rsidP="006E2444">
      <w:pPr>
        <w:pStyle w:val="ListParagraph"/>
        <w:numPr>
          <w:ilvl w:val="0"/>
          <w:numId w:val="10"/>
        </w:numPr>
        <w:spacing w:line="360" w:lineRule="auto"/>
        <w:jc w:val="both"/>
        <w:rPr>
          <w:rFonts w:ascii="Arial" w:hAnsi="Arial" w:cs="Arial"/>
          <w:sz w:val="24"/>
          <w:szCs w:val="24"/>
        </w:rPr>
      </w:pPr>
      <w:r w:rsidRPr="006E2444">
        <w:rPr>
          <w:rFonts w:ascii="Arial" w:hAnsi="Arial" w:cs="Arial"/>
          <w:sz w:val="24"/>
          <w:szCs w:val="24"/>
        </w:rPr>
        <w:t>Publish rotas further in advance</w:t>
      </w:r>
    </w:p>
    <w:p w14:paraId="0B2286C2" w14:textId="77777777" w:rsidR="0010291F" w:rsidRPr="006E2444" w:rsidRDefault="0010291F" w:rsidP="006E2444">
      <w:pPr>
        <w:pStyle w:val="ListParagraph"/>
        <w:numPr>
          <w:ilvl w:val="0"/>
          <w:numId w:val="10"/>
        </w:numPr>
        <w:spacing w:line="360" w:lineRule="auto"/>
        <w:jc w:val="both"/>
        <w:rPr>
          <w:rFonts w:ascii="Arial" w:hAnsi="Arial" w:cs="Arial"/>
          <w:sz w:val="24"/>
          <w:szCs w:val="24"/>
        </w:rPr>
      </w:pPr>
      <w:r w:rsidRPr="006E2444">
        <w:rPr>
          <w:rFonts w:ascii="Arial" w:hAnsi="Arial" w:cs="Arial"/>
          <w:sz w:val="24"/>
          <w:szCs w:val="24"/>
        </w:rPr>
        <w:t>Reduce back-to-back late/early shifts</w:t>
      </w:r>
    </w:p>
    <w:p w14:paraId="64068DE5" w14:textId="77777777" w:rsidR="0010291F" w:rsidRPr="006E2444" w:rsidRDefault="0010291F" w:rsidP="006E2444">
      <w:pPr>
        <w:pStyle w:val="ListParagraph"/>
        <w:numPr>
          <w:ilvl w:val="0"/>
          <w:numId w:val="10"/>
        </w:numPr>
        <w:spacing w:line="360" w:lineRule="auto"/>
        <w:jc w:val="both"/>
        <w:rPr>
          <w:rFonts w:ascii="Arial" w:hAnsi="Arial" w:cs="Arial"/>
          <w:sz w:val="24"/>
          <w:szCs w:val="24"/>
        </w:rPr>
      </w:pPr>
      <w:r w:rsidRPr="006E2444">
        <w:rPr>
          <w:rFonts w:ascii="Arial" w:hAnsi="Arial" w:cs="Arial"/>
          <w:sz w:val="24"/>
          <w:szCs w:val="24"/>
        </w:rPr>
        <w:t>Facilitate structured shift swaps</w:t>
      </w:r>
    </w:p>
    <w:p w14:paraId="6F247F20" w14:textId="11BA02B8"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Improved predictability enhances perceived control, a key job resource within JD-R models.</w:t>
      </w:r>
      <w:r w:rsidR="005D361F">
        <w:rPr>
          <w:rFonts w:ascii="Arial" w:hAnsi="Arial" w:cs="Arial"/>
          <w:sz w:val="24"/>
          <w:szCs w:val="24"/>
        </w:rPr>
        <w:t xml:space="preserve"> </w:t>
      </w:r>
      <w:r w:rsidR="005D361F" w:rsidRPr="005D361F">
        <w:rPr>
          <w:rFonts w:ascii="Arial" w:hAnsi="Arial" w:cs="Arial"/>
          <w:sz w:val="24"/>
          <w:szCs w:val="24"/>
        </w:rPr>
        <w:t>Hospitality research consistently links work–family conflict to turnover intentions and demonstrates the retention benefits of flexible, predictable scheduling practices (Blomme</w:t>
      </w:r>
      <w:r w:rsidR="005D361F">
        <w:rPr>
          <w:rFonts w:ascii="Arial" w:hAnsi="Arial" w:cs="Arial"/>
          <w:sz w:val="24"/>
          <w:szCs w:val="24"/>
        </w:rPr>
        <w:t xml:space="preserve"> et al</w:t>
      </w:r>
      <w:r w:rsidR="005D361F" w:rsidRPr="005D361F">
        <w:rPr>
          <w:rFonts w:ascii="Arial" w:hAnsi="Arial" w:cs="Arial"/>
          <w:sz w:val="24"/>
          <w:szCs w:val="24"/>
        </w:rPr>
        <w:t>, 2010).</w:t>
      </w:r>
    </w:p>
    <w:p w14:paraId="09DFBBF9" w14:textId="08635319" w:rsidR="0010291F" w:rsidRPr="006E2444" w:rsidRDefault="0010291F" w:rsidP="0010291F">
      <w:pPr>
        <w:spacing w:line="360" w:lineRule="auto"/>
        <w:jc w:val="both"/>
        <w:rPr>
          <w:rFonts w:ascii="Arial" w:hAnsi="Arial" w:cs="Arial"/>
          <w:b/>
          <w:bCs/>
          <w:sz w:val="24"/>
          <w:szCs w:val="24"/>
        </w:rPr>
      </w:pPr>
      <w:r w:rsidRPr="006E2444">
        <w:rPr>
          <w:rFonts w:ascii="Arial" w:hAnsi="Arial" w:cs="Arial"/>
          <w:b/>
          <w:bCs/>
          <w:sz w:val="24"/>
          <w:szCs w:val="24"/>
        </w:rPr>
        <w:t>4. Strengthen Supervisory Capability</w:t>
      </w:r>
    </w:p>
    <w:p w14:paraId="5B10B1CC" w14:textId="4D379418"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Supervisor support plays a buffering role in stress–turnover pathways (Gordon et al, 2019). Leadership development initiatives should focus on:</w:t>
      </w:r>
    </w:p>
    <w:p w14:paraId="2A81C803" w14:textId="77777777" w:rsidR="0010291F" w:rsidRPr="00676588" w:rsidRDefault="0010291F" w:rsidP="00676588">
      <w:pPr>
        <w:pStyle w:val="ListParagraph"/>
        <w:numPr>
          <w:ilvl w:val="0"/>
          <w:numId w:val="11"/>
        </w:numPr>
        <w:spacing w:line="360" w:lineRule="auto"/>
        <w:jc w:val="both"/>
        <w:rPr>
          <w:rFonts w:ascii="Arial" w:hAnsi="Arial" w:cs="Arial"/>
          <w:sz w:val="24"/>
          <w:szCs w:val="24"/>
        </w:rPr>
      </w:pPr>
      <w:r w:rsidRPr="00676588">
        <w:rPr>
          <w:rFonts w:ascii="Arial" w:hAnsi="Arial" w:cs="Arial"/>
          <w:sz w:val="24"/>
          <w:szCs w:val="24"/>
        </w:rPr>
        <w:t>Fair rota allocation</w:t>
      </w:r>
    </w:p>
    <w:p w14:paraId="4CD04EB1" w14:textId="77777777" w:rsidR="0010291F" w:rsidRPr="00676588" w:rsidRDefault="0010291F" w:rsidP="00676588">
      <w:pPr>
        <w:pStyle w:val="ListParagraph"/>
        <w:numPr>
          <w:ilvl w:val="0"/>
          <w:numId w:val="11"/>
        </w:numPr>
        <w:spacing w:line="360" w:lineRule="auto"/>
        <w:jc w:val="both"/>
        <w:rPr>
          <w:rFonts w:ascii="Arial" w:hAnsi="Arial" w:cs="Arial"/>
          <w:sz w:val="24"/>
          <w:szCs w:val="24"/>
        </w:rPr>
      </w:pPr>
      <w:r w:rsidRPr="00676588">
        <w:rPr>
          <w:rFonts w:ascii="Arial" w:hAnsi="Arial" w:cs="Arial"/>
          <w:sz w:val="24"/>
          <w:szCs w:val="24"/>
        </w:rPr>
        <w:t>Transparent communication</w:t>
      </w:r>
    </w:p>
    <w:p w14:paraId="19CF2B41" w14:textId="77777777" w:rsidR="0010291F" w:rsidRPr="00676588" w:rsidRDefault="0010291F" w:rsidP="00676588">
      <w:pPr>
        <w:pStyle w:val="ListParagraph"/>
        <w:numPr>
          <w:ilvl w:val="0"/>
          <w:numId w:val="11"/>
        </w:numPr>
        <w:spacing w:line="360" w:lineRule="auto"/>
        <w:jc w:val="both"/>
        <w:rPr>
          <w:rFonts w:ascii="Arial" w:hAnsi="Arial" w:cs="Arial"/>
          <w:sz w:val="24"/>
          <w:szCs w:val="24"/>
        </w:rPr>
      </w:pPr>
      <w:r w:rsidRPr="00676588">
        <w:rPr>
          <w:rFonts w:ascii="Arial" w:hAnsi="Arial" w:cs="Arial"/>
          <w:sz w:val="24"/>
          <w:szCs w:val="24"/>
        </w:rPr>
        <w:t>Emotional intelligence in service recovery</w:t>
      </w:r>
    </w:p>
    <w:p w14:paraId="164D6706" w14:textId="77777777" w:rsidR="0010291F" w:rsidRPr="00676588" w:rsidRDefault="0010291F" w:rsidP="00676588">
      <w:pPr>
        <w:pStyle w:val="ListParagraph"/>
        <w:numPr>
          <w:ilvl w:val="0"/>
          <w:numId w:val="11"/>
        </w:numPr>
        <w:spacing w:line="360" w:lineRule="auto"/>
        <w:jc w:val="both"/>
        <w:rPr>
          <w:rFonts w:ascii="Arial" w:hAnsi="Arial" w:cs="Arial"/>
          <w:sz w:val="24"/>
          <w:szCs w:val="24"/>
        </w:rPr>
      </w:pPr>
      <w:r w:rsidRPr="00676588">
        <w:rPr>
          <w:rFonts w:ascii="Arial" w:hAnsi="Arial" w:cs="Arial"/>
          <w:sz w:val="24"/>
          <w:szCs w:val="24"/>
        </w:rPr>
        <w:t>Recognition of discretionary effort</w:t>
      </w:r>
    </w:p>
    <w:p w14:paraId="608A76E2" w14:textId="0C333560"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Enhancing supervisory competence increases perceived organisational support and job embeddedness.</w:t>
      </w:r>
      <w:r w:rsidR="00B525E1">
        <w:rPr>
          <w:rFonts w:ascii="Arial" w:hAnsi="Arial" w:cs="Arial"/>
          <w:sz w:val="24"/>
          <w:szCs w:val="24"/>
        </w:rPr>
        <w:t xml:space="preserve"> </w:t>
      </w:r>
      <w:r w:rsidR="00B525E1" w:rsidRPr="00B525E1">
        <w:rPr>
          <w:rFonts w:ascii="Arial" w:hAnsi="Arial" w:cs="Arial"/>
          <w:sz w:val="24"/>
          <w:szCs w:val="24"/>
        </w:rPr>
        <w:t>Empirical hotel research confirms that social support resources from supervisors and co-workers significantly reduce withdrawal intentions and improve employee outcomes (Karatepe, 2011)</w:t>
      </w:r>
      <w:r w:rsidR="00B525E1">
        <w:rPr>
          <w:rFonts w:ascii="Arial" w:hAnsi="Arial" w:cs="Arial"/>
          <w:sz w:val="24"/>
          <w:szCs w:val="24"/>
        </w:rPr>
        <w:t>.</w:t>
      </w:r>
    </w:p>
    <w:p w14:paraId="7E55601C" w14:textId="5BDD97DE" w:rsidR="0010291F" w:rsidRPr="00A11593" w:rsidRDefault="0010291F" w:rsidP="0010291F">
      <w:pPr>
        <w:spacing w:line="360" w:lineRule="auto"/>
        <w:jc w:val="both"/>
        <w:rPr>
          <w:rFonts w:ascii="Arial" w:hAnsi="Arial" w:cs="Arial"/>
          <w:b/>
          <w:bCs/>
          <w:sz w:val="24"/>
          <w:szCs w:val="24"/>
        </w:rPr>
      </w:pPr>
      <w:r w:rsidRPr="00A11593">
        <w:rPr>
          <w:rFonts w:ascii="Arial" w:hAnsi="Arial" w:cs="Arial"/>
          <w:b/>
          <w:bCs/>
          <w:sz w:val="24"/>
          <w:szCs w:val="24"/>
        </w:rPr>
        <w:t>5. Clarify Career Progression and Internal Mobility</w:t>
      </w:r>
    </w:p>
    <w:p w14:paraId="2C55136D" w14:textId="5F18161C"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Career opportunity perceptions significantly influence retention (Rasheed et al, 2020). The hotel should:</w:t>
      </w:r>
    </w:p>
    <w:p w14:paraId="10AD8498" w14:textId="77777777" w:rsidR="0010291F" w:rsidRPr="005213BA" w:rsidRDefault="0010291F" w:rsidP="005213BA">
      <w:pPr>
        <w:pStyle w:val="ListParagraph"/>
        <w:numPr>
          <w:ilvl w:val="0"/>
          <w:numId w:val="12"/>
        </w:numPr>
        <w:spacing w:line="360" w:lineRule="auto"/>
        <w:jc w:val="both"/>
        <w:rPr>
          <w:rFonts w:ascii="Arial" w:hAnsi="Arial" w:cs="Arial"/>
          <w:sz w:val="24"/>
          <w:szCs w:val="24"/>
        </w:rPr>
      </w:pPr>
      <w:r w:rsidRPr="005213BA">
        <w:rPr>
          <w:rFonts w:ascii="Arial" w:hAnsi="Arial" w:cs="Arial"/>
          <w:sz w:val="24"/>
          <w:szCs w:val="24"/>
        </w:rPr>
        <w:t>Formalise competency frameworks</w:t>
      </w:r>
    </w:p>
    <w:p w14:paraId="68450670" w14:textId="77777777" w:rsidR="0010291F" w:rsidRPr="005213BA" w:rsidRDefault="0010291F" w:rsidP="005213BA">
      <w:pPr>
        <w:pStyle w:val="ListParagraph"/>
        <w:numPr>
          <w:ilvl w:val="0"/>
          <w:numId w:val="12"/>
        </w:numPr>
        <w:spacing w:line="360" w:lineRule="auto"/>
        <w:jc w:val="both"/>
        <w:rPr>
          <w:rFonts w:ascii="Arial" w:hAnsi="Arial" w:cs="Arial"/>
          <w:sz w:val="24"/>
          <w:szCs w:val="24"/>
        </w:rPr>
      </w:pPr>
      <w:r w:rsidRPr="005213BA">
        <w:rPr>
          <w:rFonts w:ascii="Arial" w:hAnsi="Arial" w:cs="Arial"/>
          <w:sz w:val="24"/>
          <w:szCs w:val="24"/>
        </w:rPr>
        <w:t>Provide cross-departmental exposure opportunities</w:t>
      </w:r>
    </w:p>
    <w:p w14:paraId="40135824" w14:textId="058A8E50" w:rsidR="0010291F" w:rsidRPr="005213BA" w:rsidRDefault="0010291F" w:rsidP="0010291F">
      <w:pPr>
        <w:pStyle w:val="ListParagraph"/>
        <w:numPr>
          <w:ilvl w:val="0"/>
          <w:numId w:val="12"/>
        </w:numPr>
        <w:spacing w:line="360" w:lineRule="auto"/>
        <w:jc w:val="both"/>
        <w:rPr>
          <w:rFonts w:ascii="Arial" w:hAnsi="Arial" w:cs="Arial"/>
          <w:sz w:val="24"/>
          <w:szCs w:val="24"/>
        </w:rPr>
      </w:pPr>
      <w:r w:rsidRPr="005213BA">
        <w:rPr>
          <w:rFonts w:ascii="Arial" w:hAnsi="Arial" w:cs="Arial"/>
          <w:sz w:val="24"/>
          <w:szCs w:val="24"/>
        </w:rPr>
        <w:t>Clarify promotion criteria</w:t>
      </w:r>
    </w:p>
    <w:p w14:paraId="645510BE" w14:textId="165EFCB7"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lastRenderedPageBreak/>
        <w:t>Strengthened embeddedness increases perceived sacrifice associated with leaving (Robinson et al, 2014).</w:t>
      </w:r>
      <w:r w:rsidR="003A1496">
        <w:rPr>
          <w:rFonts w:ascii="Arial" w:hAnsi="Arial" w:cs="Arial"/>
          <w:sz w:val="24"/>
          <w:szCs w:val="24"/>
        </w:rPr>
        <w:t xml:space="preserve"> </w:t>
      </w:r>
      <w:r w:rsidR="003A1496" w:rsidRPr="003A1496">
        <w:rPr>
          <w:rFonts w:ascii="Arial" w:hAnsi="Arial" w:cs="Arial"/>
          <w:sz w:val="24"/>
          <w:szCs w:val="24"/>
        </w:rPr>
        <w:t>Career-development visibility is particularly influential for hospitality graduates and early-career employees when evaluating long-term sector commitment (Brown</w:t>
      </w:r>
      <w:r w:rsidR="003A1496">
        <w:rPr>
          <w:rFonts w:ascii="Arial" w:hAnsi="Arial" w:cs="Arial"/>
          <w:sz w:val="24"/>
          <w:szCs w:val="24"/>
        </w:rPr>
        <w:t xml:space="preserve"> et al</w:t>
      </w:r>
      <w:r w:rsidR="003A1496" w:rsidRPr="003A1496">
        <w:rPr>
          <w:rFonts w:ascii="Arial" w:hAnsi="Arial" w:cs="Arial"/>
          <w:sz w:val="24"/>
          <w:szCs w:val="24"/>
        </w:rPr>
        <w:t>, 2015).</w:t>
      </w:r>
    </w:p>
    <w:p w14:paraId="1F3866FC" w14:textId="78113F4A" w:rsidR="0010291F" w:rsidRPr="005213BA" w:rsidRDefault="0010291F" w:rsidP="0010291F">
      <w:pPr>
        <w:spacing w:line="360" w:lineRule="auto"/>
        <w:jc w:val="both"/>
        <w:rPr>
          <w:rFonts w:ascii="Arial" w:hAnsi="Arial" w:cs="Arial"/>
          <w:b/>
          <w:bCs/>
          <w:sz w:val="24"/>
          <w:szCs w:val="24"/>
        </w:rPr>
      </w:pPr>
      <w:r w:rsidRPr="005213BA">
        <w:rPr>
          <w:rFonts w:ascii="Arial" w:hAnsi="Arial" w:cs="Arial"/>
          <w:b/>
          <w:bCs/>
          <w:sz w:val="24"/>
          <w:szCs w:val="24"/>
        </w:rPr>
        <w:t>6. Enhance Remuneration Transparency and Fairness</w:t>
      </w:r>
    </w:p>
    <w:p w14:paraId="3D9CC695" w14:textId="596BAB22"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 xml:space="preserve">While remuneration alone is insufficient, fairness perceptions remain central (Nadiri and </w:t>
      </w:r>
      <w:proofErr w:type="spellStart"/>
      <w:r w:rsidRPr="0010291F">
        <w:rPr>
          <w:rFonts w:ascii="Arial" w:hAnsi="Arial" w:cs="Arial"/>
          <w:sz w:val="24"/>
          <w:szCs w:val="24"/>
        </w:rPr>
        <w:t>Tanova</w:t>
      </w:r>
      <w:proofErr w:type="spellEnd"/>
      <w:r w:rsidRPr="0010291F">
        <w:rPr>
          <w:rFonts w:ascii="Arial" w:hAnsi="Arial" w:cs="Arial"/>
          <w:sz w:val="24"/>
          <w:szCs w:val="24"/>
        </w:rPr>
        <w:t>, 2010; Jolly et al, 2021). Management should:</w:t>
      </w:r>
    </w:p>
    <w:p w14:paraId="427B099C" w14:textId="77777777" w:rsidR="0010291F" w:rsidRPr="005213BA" w:rsidRDefault="0010291F" w:rsidP="005213BA">
      <w:pPr>
        <w:pStyle w:val="ListParagraph"/>
        <w:numPr>
          <w:ilvl w:val="0"/>
          <w:numId w:val="13"/>
        </w:numPr>
        <w:spacing w:line="360" w:lineRule="auto"/>
        <w:jc w:val="both"/>
        <w:rPr>
          <w:rFonts w:ascii="Arial" w:hAnsi="Arial" w:cs="Arial"/>
          <w:sz w:val="24"/>
          <w:szCs w:val="24"/>
        </w:rPr>
      </w:pPr>
      <w:r w:rsidRPr="005213BA">
        <w:rPr>
          <w:rFonts w:ascii="Arial" w:hAnsi="Arial" w:cs="Arial"/>
          <w:sz w:val="24"/>
          <w:szCs w:val="24"/>
        </w:rPr>
        <w:t>Communicate pay progression criteria clearly</w:t>
      </w:r>
    </w:p>
    <w:p w14:paraId="18C84362" w14:textId="77777777" w:rsidR="0010291F" w:rsidRPr="005213BA" w:rsidRDefault="0010291F" w:rsidP="005213BA">
      <w:pPr>
        <w:pStyle w:val="ListParagraph"/>
        <w:numPr>
          <w:ilvl w:val="0"/>
          <w:numId w:val="13"/>
        </w:numPr>
        <w:spacing w:line="360" w:lineRule="auto"/>
        <w:jc w:val="both"/>
        <w:rPr>
          <w:rFonts w:ascii="Arial" w:hAnsi="Arial" w:cs="Arial"/>
          <w:sz w:val="24"/>
          <w:szCs w:val="24"/>
        </w:rPr>
      </w:pPr>
      <w:r w:rsidRPr="005213BA">
        <w:rPr>
          <w:rFonts w:ascii="Arial" w:hAnsi="Arial" w:cs="Arial"/>
          <w:sz w:val="24"/>
          <w:szCs w:val="24"/>
        </w:rPr>
        <w:t>Review compensation relative to workload intensity</w:t>
      </w:r>
    </w:p>
    <w:p w14:paraId="0290F186" w14:textId="1927C9C8" w:rsidR="0010291F" w:rsidRPr="005213BA" w:rsidRDefault="0010291F" w:rsidP="0010291F">
      <w:pPr>
        <w:pStyle w:val="ListParagraph"/>
        <w:numPr>
          <w:ilvl w:val="0"/>
          <w:numId w:val="13"/>
        </w:numPr>
        <w:spacing w:line="360" w:lineRule="auto"/>
        <w:jc w:val="both"/>
        <w:rPr>
          <w:rFonts w:ascii="Arial" w:hAnsi="Arial" w:cs="Arial"/>
          <w:sz w:val="24"/>
          <w:szCs w:val="24"/>
        </w:rPr>
      </w:pPr>
      <w:r w:rsidRPr="005213BA">
        <w:rPr>
          <w:rFonts w:ascii="Arial" w:hAnsi="Arial" w:cs="Arial"/>
          <w:sz w:val="24"/>
          <w:szCs w:val="24"/>
        </w:rPr>
        <w:t>Ensure procedural transparency in reward allocation</w:t>
      </w:r>
    </w:p>
    <w:p w14:paraId="29AA8298" w14:textId="5C8B7F3C"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Aligning perceived effort and reward reduces equity-based dissatisfaction (Adams, 1965).</w:t>
      </w:r>
      <w:r w:rsidR="00E16F75">
        <w:rPr>
          <w:rFonts w:ascii="Arial" w:hAnsi="Arial" w:cs="Arial"/>
          <w:sz w:val="24"/>
          <w:szCs w:val="24"/>
        </w:rPr>
        <w:t xml:space="preserve"> </w:t>
      </w:r>
      <w:r w:rsidR="00E16F75" w:rsidRPr="00E16F75">
        <w:rPr>
          <w:rFonts w:ascii="Arial" w:hAnsi="Arial" w:cs="Arial"/>
          <w:sz w:val="24"/>
          <w:szCs w:val="24"/>
        </w:rPr>
        <w:t>Research also supports the importance of bundled high-performance work practices operating through job embeddedness mechanisms to reduce turnover intentions in hospitality contexts (Afsar et al, 2018).</w:t>
      </w:r>
    </w:p>
    <w:p w14:paraId="54960497" w14:textId="0DFAD8E1" w:rsidR="0010291F" w:rsidRPr="004369BC" w:rsidRDefault="0010291F" w:rsidP="0010291F">
      <w:pPr>
        <w:spacing w:line="360" w:lineRule="auto"/>
        <w:jc w:val="both"/>
        <w:rPr>
          <w:rFonts w:ascii="Arial" w:hAnsi="Arial" w:cs="Arial"/>
          <w:b/>
          <w:bCs/>
          <w:sz w:val="24"/>
          <w:szCs w:val="24"/>
        </w:rPr>
      </w:pPr>
      <w:r w:rsidRPr="004369BC">
        <w:rPr>
          <w:rFonts w:ascii="Arial" w:hAnsi="Arial" w:cs="Arial"/>
          <w:b/>
          <w:bCs/>
          <w:sz w:val="24"/>
          <w:szCs w:val="24"/>
        </w:rPr>
        <w:t>7. Foster a Supportive Service Climate</w:t>
      </w:r>
    </w:p>
    <w:p w14:paraId="6381E1B6" w14:textId="7CCCB0CC" w:rsidR="0010291F" w:rsidRDefault="0010291F" w:rsidP="0010291F">
      <w:pPr>
        <w:spacing w:line="360" w:lineRule="auto"/>
        <w:jc w:val="both"/>
        <w:rPr>
          <w:rFonts w:ascii="Arial" w:hAnsi="Arial" w:cs="Arial"/>
          <w:sz w:val="24"/>
          <w:szCs w:val="24"/>
        </w:rPr>
      </w:pPr>
      <w:r w:rsidRPr="0010291F">
        <w:rPr>
          <w:rFonts w:ascii="Arial" w:hAnsi="Arial" w:cs="Arial"/>
          <w:sz w:val="24"/>
          <w:szCs w:val="24"/>
        </w:rPr>
        <w:t xml:space="preserve">Positive service climate strengthens engagement and reduces burnout risk (Karatepe and </w:t>
      </w:r>
      <w:proofErr w:type="spellStart"/>
      <w:r w:rsidRPr="0010291F">
        <w:rPr>
          <w:rFonts w:ascii="Arial" w:hAnsi="Arial" w:cs="Arial"/>
          <w:sz w:val="24"/>
          <w:szCs w:val="24"/>
        </w:rPr>
        <w:t>Olugbade</w:t>
      </w:r>
      <w:proofErr w:type="spellEnd"/>
      <w:r w:rsidRPr="0010291F">
        <w:rPr>
          <w:rFonts w:ascii="Arial" w:hAnsi="Arial" w:cs="Arial"/>
          <w:sz w:val="24"/>
          <w:szCs w:val="24"/>
        </w:rPr>
        <w:t>, 2009). Low-cost initiatives such as structured briefings, peer recognition and service-recovery debriefs can reinforce psychological support without replacing structural improvements.</w:t>
      </w:r>
      <w:r w:rsidR="007F75EE">
        <w:rPr>
          <w:rFonts w:ascii="Arial" w:hAnsi="Arial" w:cs="Arial"/>
          <w:sz w:val="24"/>
          <w:szCs w:val="24"/>
        </w:rPr>
        <w:t xml:space="preserve"> </w:t>
      </w:r>
      <w:r w:rsidR="007F75EE" w:rsidRPr="007F75EE">
        <w:rPr>
          <w:rFonts w:ascii="Arial" w:hAnsi="Arial" w:cs="Arial"/>
          <w:sz w:val="24"/>
          <w:szCs w:val="24"/>
        </w:rPr>
        <w:t>Service-climate mechanisms are further associated with frontline behavioural outcomes and can indirectly strengthen retention by reducing strain and enhancing the work environment (Kang</w:t>
      </w:r>
      <w:r w:rsidR="007F75EE">
        <w:rPr>
          <w:rFonts w:ascii="Arial" w:hAnsi="Arial" w:cs="Arial"/>
          <w:sz w:val="24"/>
          <w:szCs w:val="24"/>
        </w:rPr>
        <w:t xml:space="preserve"> et al</w:t>
      </w:r>
      <w:r w:rsidR="007F75EE" w:rsidRPr="007F75EE">
        <w:rPr>
          <w:rFonts w:ascii="Arial" w:hAnsi="Arial" w:cs="Arial"/>
          <w:sz w:val="24"/>
          <w:szCs w:val="24"/>
        </w:rPr>
        <w:t>, 2018).</w:t>
      </w:r>
    </w:p>
    <w:p w14:paraId="76222A1C" w14:textId="77777777" w:rsidR="005512C5" w:rsidRPr="0010291F" w:rsidRDefault="005512C5" w:rsidP="0010291F">
      <w:pPr>
        <w:spacing w:line="360" w:lineRule="auto"/>
        <w:jc w:val="both"/>
        <w:rPr>
          <w:rFonts w:ascii="Arial" w:hAnsi="Arial" w:cs="Arial"/>
          <w:sz w:val="24"/>
          <w:szCs w:val="24"/>
        </w:rPr>
      </w:pPr>
    </w:p>
    <w:p w14:paraId="53721246" w14:textId="08D786E0" w:rsidR="0010291F" w:rsidRPr="005512C5" w:rsidRDefault="0010291F" w:rsidP="0010291F">
      <w:pPr>
        <w:spacing w:line="360" w:lineRule="auto"/>
        <w:jc w:val="both"/>
        <w:rPr>
          <w:rFonts w:ascii="Arial" w:hAnsi="Arial" w:cs="Arial"/>
          <w:b/>
          <w:bCs/>
          <w:sz w:val="24"/>
          <w:szCs w:val="24"/>
        </w:rPr>
      </w:pPr>
      <w:r w:rsidRPr="005512C5">
        <w:rPr>
          <w:rFonts w:ascii="Arial" w:hAnsi="Arial" w:cs="Arial"/>
          <w:b/>
          <w:bCs/>
          <w:sz w:val="24"/>
          <w:szCs w:val="24"/>
        </w:rPr>
        <w:t>Strategic Implementation Sequence</w:t>
      </w:r>
    </w:p>
    <w:p w14:paraId="15B74A53" w14:textId="61C994C2"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To maximise impact and manage resource constraints, the following phased approach is recommended:</w:t>
      </w:r>
    </w:p>
    <w:p w14:paraId="33AB0DDF" w14:textId="77777777" w:rsidR="0010291F" w:rsidRPr="005512C5" w:rsidRDefault="0010291F" w:rsidP="005512C5">
      <w:pPr>
        <w:pStyle w:val="ListParagraph"/>
        <w:numPr>
          <w:ilvl w:val="0"/>
          <w:numId w:val="14"/>
        </w:numPr>
        <w:spacing w:line="360" w:lineRule="auto"/>
        <w:jc w:val="both"/>
        <w:rPr>
          <w:rFonts w:ascii="Arial" w:hAnsi="Arial" w:cs="Arial"/>
          <w:sz w:val="24"/>
          <w:szCs w:val="24"/>
        </w:rPr>
      </w:pPr>
      <w:r w:rsidRPr="005512C5">
        <w:rPr>
          <w:rFonts w:ascii="Arial" w:hAnsi="Arial" w:cs="Arial"/>
          <w:sz w:val="24"/>
          <w:szCs w:val="24"/>
        </w:rPr>
        <w:t>Reduce peak workload intensity</w:t>
      </w:r>
    </w:p>
    <w:p w14:paraId="64A45541" w14:textId="77777777" w:rsidR="0010291F" w:rsidRPr="005512C5" w:rsidRDefault="0010291F" w:rsidP="005512C5">
      <w:pPr>
        <w:pStyle w:val="ListParagraph"/>
        <w:numPr>
          <w:ilvl w:val="0"/>
          <w:numId w:val="14"/>
        </w:numPr>
        <w:spacing w:line="360" w:lineRule="auto"/>
        <w:jc w:val="both"/>
        <w:rPr>
          <w:rFonts w:ascii="Arial" w:hAnsi="Arial" w:cs="Arial"/>
          <w:sz w:val="24"/>
          <w:szCs w:val="24"/>
        </w:rPr>
      </w:pPr>
      <w:r w:rsidRPr="005512C5">
        <w:rPr>
          <w:rFonts w:ascii="Arial" w:hAnsi="Arial" w:cs="Arial"/>
          <w:sz w:val="24"/>
          <w:szCs w:val="24"/>
        </w:rPr>
        <w:t>Improve rota stability and job control</w:t>
      </w:r>
    </w:p>
    <w:p w14:paraId="13F438BB" w14:textId="77777777" w:rsidR="0010291F" w:rsidRPr="005512C5" w:rsidRDefault="0010291F" w:rsidP="005512C5">
      <w:pPr>
        <w:pStyle w:val="ListParagraph"/>
        <w:numPr>
          <w:ilvl w:val="0"/>
          <w:numId w:val="14"/>
        </w:numPr>
        <w:spacing w:line="360" w:lineRule="auto"/>
        <w:jc w:val="both"/>
        <w:rPr>
          <w:rFonts w:ascii="Arial" w:hAnsi="Arial" w:cs="Arial"/>
          <w:sz w:val="24"/>
          <w:szCs w:val="24"/>
        </w:rPr>
      </w:pPr>
      <w:r w:rsidRPr="005512C5">
        <w:rPr>
          <w:rFonts w:ascii="Arial" w:hAnsi="Arial" w:cs="Arial"/>
          <w:sz w:val="24"/>
          <w:szCs w:val="24"/>
        </w:rPr>
        <w:t>Strengthen supervisory behaviours</w:t>
      </w:r>
    </w:p>
    <w:p w14:paraId="47A8F5F5" w14:textId="77777777" w:rsidR="0010291F" w:rsidRPr="005512C5" w:rsidRDefault="0010291F" w:rsidP="005512C5">
      <w:pPr>
        <w:pStyle w:val="ListParagraph"/>
        <w:numPr>
          <w:ilvl w:val="0"/>
          <w:numId w:val="14"/>
        </w:numPr>
        <w:spacing w:line="360" w:lineRule="auto"/>
        <w:jc w:val="both"/>
        <w:rPr>
          <w:rFonts w:ascii="Arial" w:hAnsi="Arial" w:cs="Arial"/>
          <w:sz w:val="24"/>
          <w:szCs w:val="24"/>
        </w:rPr>
      </w:pPr>
      <w:r w:rsidRPr="005512C5">
        <w:rPr>
          <w:rFonts w:ascii="Arial" w:hAnsi="Arial" w:cs="Arial"/>
          <w:sz w:val="24"/>
          <w:szCs w:val="24"/>
        </w:rPr>
        <w:t>Formalise career pathways</w:t>
      </w:r>
    </w:p>
    <w:p w14:paraId="2C148896" w14:textId="6941118F" w:rsidR="0010291F" w:rsidRPr="005512C5" w:rsidRDefault="0010291F" w:rsidP="0010291F">
      <w:pPr>
        <w:pStyle w:val="ListParagraph"/>
        <w:numPr>
          <w:ilvl w:val="0"/>
          <w:numId w:val="14"/>
        </w:numPr>
        <w:spacing w:line="360" w:lineRule="auto"/>
        <w:jc w:val="both"/>
        <w:rPr>
          <w:rFonts w:ascii="Arial" w:hAnsi="Arial" w:cs="Arial"/>
          <w:sz w:val="24"/>
          <w:szCs w:val="24"/>
        </w:rPr>
      </w:pPr>
      <w:r w:rsidRPr="005512C5">
        <w:rPr>
          <w:rFonts w:ascii="Arial" w:hAnsi="Arial" w:cs="Arial"/>
          <w:sz w:val="24"/>
          <w:szCs w:val="24"/>
        </w:rPr>
        <w:t>Enhance remuneration transparency</w:t>
      </w:r>
    </w:p>
    <w:p w14:paraId="2AC8AB8D" w14:textId="0C8FFDC2"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lastRenderedPageBreak/>
        <w:t>This order addresses core stress drivers before reinforcing engagement mechanisms.</w:t>
      </w:r>
      <w:r w:rsidR="00D17BF7">
        <w:rPr>
          <w:rFonts w:ascii="Arial" w:hAnsi="Arial" w:cs="Arial"/>
          <w:sz w:val="24"/>
          <w:szCs w:val="24"/>
        </w:rPr>
        <w:t xml:space="preserve"> </w:t>
      </w:r>
      <w:r w:rsidR="00D17BF7" w:rsidRPr="00D17BF7">
        <w:rPr>
          <w:rFonts w:ascii="Arial" w:hAnsi="Arial" w:cs="Arial"/>
          <w:sz w:val="24"/>
          <w:szCs w:val="24"/>
        </w:rPr>
        <w:t xml:space="preserve">A multilevel synthesis of hospitality work–family research also supports positioning work–life supports and developmental practices as strategic components of the employer value proposition (O’Neill and </w:t>
      </w:r>
      <w:r w:rsidR="00414960">
        <w:rPr>
          <w:rFonts w:ascii="Arial" w:hAnsi="Arial" w:cs="Arial"/>
          <w:sz w:val="24"/>
          <w:szCs w:val="24"/>
        </w:rPr>
        <w:t>Follmer</w:t>
      </w:r>
      <w:r w:rsidR="00D17BF7" w:rsidRPr="00D17BF7">
        <w:rPr>
          <w:rFonts w:ascii="Arial" w:hAnsi="Arial" w:cs="Arial"/>
          <w:sz w:val="24"/>
          <w:szCs w:val="24"/>
        </w:rPr>
        <w:t>, 2020).</w:t>
      </w:r>
    </w:p>
    <w:p w14:paraId="6F69F784" w14:textId="77777777" w:rsidR="0010291F" w:rsidRPr="0010291F" w:rsidRDefault="0010291F" w:rsidP="0010291F">
      <w:pPr>
        <w:spacing w:line="360" w:lineRule="auto"/>
        <w:jc w:val="both"/>
        <w:rPr>
          <w:rFonts w:ascii="Arial" w:hAnsi="Arial" w:cs="Arial"/>
          <w:sz w:val="24"/>
          <w:szCs w:val="24"/>
        </w:rPr>
      </w:pPr>
    </w:p>
    <w:p w14:paraId="528423EA" w14:textId="0F939246" w:rsidR="0010291F" w:rsidRPr="005512C5" w:rsidRDefault="0010291F" w:rsidP="0010291F">
      <w:pPr>
        <w:spacing w:line="360" w:lineRule="auto"/>
        <w:jc w:val="both"/>
        <w:rPr>
          <w:rFonts w:ascii="Arial" w:hAnsi="Arial" w:cs="Arial"/>
          <w:b/>
          <w:bCs/>
          <w:sz w:val="24"/>
          <w:szCs w:val="24"/>
        </w:rPr>
      </w:pPr>
      <w:r w:rsidRPr="005512C5">
        <w:rPr>
          <w:rFonts w:ascii="Arial" w:hAnsi="Arial" w:cs="Arial"/>
          <w:b/>
          <w:bCs/>
          <w:sz w:val="24"/>
          <w:szCs w:val="24"/>
        </w:rPr>
        <w:t>Final Strategic Reflection</w:t>
      </w:r>
    </w:p>
    <w:p w14:paraId="0F129A8C" w14:textId="27B9CE38" w:rsidR="0010291F" w:rsidRPr="0010291F" w:rsidRDefault="0010291F" w:rsidP="0010291F">
      <w:pPr>
        <w:spacing w:line="360" w:lineRule="auto"/>
        <w:jc w:val="both"/>
        <w:rPr>
          <w:rFonts w:ascii="Arial" w:hAnsi="Arial" w:cs="Arial"/>
          <w:sz w:val="24"/>
          <w:szCs w:val="24"/>
        </w:rPr>
      </w:pPr>
      <w:r w:rsidRPr="0010291F">
        <w:rPr>
          <w:rFonts w:ascii="Arial" w:hAnsi="Arial" w:cs="Arial"/>
          <w:sz w:val="24"/>
          <w:szCs w:val="24"/>
        </w:rPr>
        <w:t xml:space="preserve">Front office retention at </w:t>
      </w:r>
      <w:proofErr w:type="spellStart"/>
      <w:r w:rsidRPr="0010291F">
        <w:rPr>
          <w:rFonts w:ascii="Arial" w:hAnsi="Arial" w:cs="Arial"/>
          <w:sz w:val="24"/>
          <w:szCs w:val="24"/>
        </w:rPr>
        <w:t>Coldra</w:t>
      </w:r>
      <w:proofErr w:type="spellEnd"/>
      <w:r w:rsidRPr="0010291F">
        <w:rPr>
          <w:rFonts w:ascii="Arial" w:hAnsi="Arial" w:cs="Arial"/>
          <w:sz w:val="24"/>
          <w:szCs w:val="24"/>
        </w:rPr>
        <w:t xml:space="preserve"> Court Hotel should not be approached as an isolated HR initiative but as a systemic operational priority. The evidence indicates that stable staffing enhances service consistency, protects tacit knowledge and strengthens guest satisfaction. Conversely, unmanaged turnover amplifies workload, intensifies burnout and erodes organisational resilience.</w:t>
      </w:r>
    </w:p>
    <w:p w14:paraId="37CE66FE" w14:textId="57BFAA26" w:rsidR="0010291F" w:rsidRDefault="0010291F" w:rsidP="0010291F">
      <w:pPr>
        <w:spacing w:line="360" w:lineRule="auto"/>
        <w:jc w:val="both"/>
        <w:rPr>
          <w:rFonts w:ascii="Arial" w:hAnsi="Arial" w:cs="Arial"/>
          <w:sz w:val="24"/>
          <w:szCs w:val="24"/>
        </w:rPr>
      </w:pPr>
      <w:r w:rsidRPr="0010291F">
        <w:rPr>
          <w:rFonts w:ascii="Arial" w:hAnsi="Arial" w:cs="Arial"/>
          <w:sz w:val="24"/>
          <w:szCs w:val="24"/>
        </w:rPr>
        <w:t xml:space="preserve">By implementing coordinated structural and managerial interventions, </w:t>
      </w:r>
      <w:proofErr w:type="spellStart"/>
      <w:r w:rsidRPr="0010291F">
        <w:rPr>
          <w:rFonts w:ascii="Arial" w:hAnsi="Arial" w:cs="Arial"/>
          <w:sz w:val="24"/>
          <w:szCs w:val="24"/>
        </w:rPr>
        <w:t>Coldra</w:t>
      </w:r>
      <w:proofErr w:type="spellEnd"/>
      <w:r w:rsidRPr="0010291F">
        <w:rPr>
          <w:rFonts w:ascii="Arial" w:hAnsi="Arial" w:cs="Arial"/>
          <w:sz w:val="24"/>
          <w:szCs w:val="24"/>
        </w:rPr>
        <w:t xml:space="preserve"> Court can strengthen workforce stability, improve employee wellbeing and reinforce long-term service performance within an increasingly competitive UK hospitality environment.</w:t>
      </w:r>
    </w:p>
    <w:p w14:paraId="7C0D8D12" w14:textId="77777777" w:rsidR="009E0694" w:rsidRDefault="009E0694" w:rsidP="00673DA4">
      <w:pPr>
        <w:spacing w:line="360" w:lineRule="auto"/>
        <w:jc w:val="both"/>
        <w:rPr>
          <w:rFonts w:ascii="Arial" w:hAnsi="Arial" w:cs="Arial"/>
          <w:sz w:val="24"/>
          <w:szCs w:val="24"/>
        </w:rPr>
      </w:pPr>
    </w:p>
    <w:p w14:paraId="242F97D7" w14:textId="77777777" w:rsidR="005A5C8D" w:rsidRDefault="005A5C8D" w:rsidP="00673DA4">
      <w:pPr>
        <w:spacing w:line="360" w:lineRule="auto"/>
        <w:jc w:val="both"/>
        <w:rPr>
          <w:rFonts w:ascii="Arial" w:hAnsi="Arial" w:cs="Arial"/>
          <w:sz w:val="24"/>
          <w:szCs w:val="24"/>
        </w:rPr>
      </w:pPr>
    </w:p>
    <w:p w14:paraId="5E7EE223" w14:textId="77777777" w:rsidR="005A5C8D" w:rsidRDefault="005A5C8D" w:rsidP="00673DA4">
      <w:pPr>
        <w:spacing w:line="360" w:lineRule="auto"/>
        <w:jc w:val="both"/>
        <w:rPr>
          <w:rFonts w:ascii="Arial" w:hAnsi="Arial" w:cs="Arial"/>
          <w:sz w:val="24"/>
          <w:szCs w:val="24"/>
        </w:rPr>
      </w:pPr>
    </w:p>
    <w:p w14:paraId="10A179FE" w14:textId="77777777" w:rsidR="005A5C8D" w:rsidRDefault="005A5C8D" w:rsidP="00673DA4">
      <w:pPr>
        <w:spacing w:line="360" w:lineRule="auto"/>
        <w:jc w:val="both"/>
        <w:rPr>
          <w:rFonts w:ascii="Arial" w:hAnsi="Arial" w:cs="Arial"/>
          <w:sz w:val="24"/>
          <w:szCs w:val="24"/>
        </w:rPr>
      </w:pPr>
    </w:p>
    <w:p w14:paraId="327078D9" w14:textId="77777777" w:rsidR="005A5C8D" w:rsidRDefault="005A5C8D" w:rsidP="00673DA4">
      <w:pPr>
        <w:spacing w:line="360" w:lineRule="auto"/>
        <w:jc w:val="both"/>
        <w:rPr>
          <w:rFonts w:ascii="Arial" w:hAnsi="Arial" w:cs="Arial"/>
          <w:sz w:val="24"/>
          <w:szCs w:val="24"/>
        </w:rPr>
      </w:pPr>
    </w:p>
    <w:p w14:paraId="1D5846F9" w14:textId="77777777" w:rsidR="00F3557D" w:rsidRDefault="00F3557D" w:rsidP="00673DA4">
      <w:pPr>
        <w:spacing w:line="360" w:lineRule="auto"/>
        <w:jc w:val="both"/>
        <w:rPr>
          <w:rFonts w:ascii="Arial" w:hAnsi="Arial" w:cs="Arial"/>
          <w:sz w:val="24"/>
          <w:szCs w:val="24"/>
        </w:rPr>
      </w:pPr>
    </w:p>
    <w:p w14:paraId="59070CC7" w14:textId="77777777" w:rsidR="00F3557D" w:rsidRDefault="00F3557D" w:rsidP="00673DA4">
      <w:pPr>
        <w:spacing w:line="360" w:lineRule="auto"/>
        <w:jc w:val="both"/>
        <w:rPr>
          <w:rFonts w:ascii="Arial" w:hAnsi="Arial" w:cs="Arial"/>
          <w:sz w:val="24"/>
          <w:szCs w:val="24"/>
        </w:rPr>
      </w:pPr>
    </w:p>
    <w:p w14:paraId="1A79E745" w14:textId="77777777" w:rsidR="00F3557D" w:rsidRDefault="00F3557D" w:rsidP="00673DA4">
      <w:pPr>
        <w:spacing w:line="360" w:lineRule="auto"/>
        <w:jc w:val="both"/>
        <w:rPr>
          <w:rFonts w:ascii="Arial" w:hAnsi="Arial" w:cs="Arial"/>
          <w:sz w:val="24"/>
          <w:szCs w:val="24"/>
        </w:rPr>
      </w:pPr>
    </w:p>
    <w:p w14:paraId="725F6BB6" w14:textId="77777777" w:rsidR="00F3557D" w:rsidRDefault="00F3557D" w:rsidP="00673DA4">
      <w:pPr>
        <w:spacing w:line="360" w:lineRule="auto"/>
        <w:jc w:val="both"/>
        <w:rPr>
          <w:rFonts w:ascii="Arial" w:hAnsi="Arial" w:cs="Arial"/>
          <w:sz w:val="24"/>
          <w:szCs w:val="24"/>
        </w:rPr>
      </w:pPr>
    </w:p>
    <w:p w14:paraId="1C5FAC84" w14:textId="77777777" w:rsidR="00F3557D" w:rsidRDefault="00F3557D" w:rsidP="00673DA4">
      <w:pPr>
        <w:spacing w:line="360" w:lineRule="auto"/>
        <w:jc w:val="both"/>
        <w:rPr>
          <w:rFonts w:ascii="Arial" w:hAnsi="Arial" w:cs="Arial"/>
          <w:sz w:val="24"/>
          <w:szCs w:val="24"/>
        </w:rPr>
      </w:pPr>
    </w:p>
    <w:p w14:paraId="18A2161A" w14:textId="77777777" w:rsidR="00F3557D" w:rsidRPr="00A12882" w:rsidRDefault="00F3557D" w:rsidP="00673DA4">
      <w:pPr>
        <w:spacing w:line="360" w:lineRule="auto"/>
        <w:jc w:val="both"/>
        <w:rPr>
          <w:rFonts w:ascii="Arial" w:hAnsi="Arial" w:cs="Arial"/>
          <w:sz w:val="24"/>
          <w:szCs w:val="24"/>
        </w:rPr>
      </w:pPr>
    </w:p>
    <w:p w14:paraId="5D5298A0" w14:textId="6B31BBC6" w:rsidR="00A21E63" w:rsidRDefault="00A21E63" w:rsidP="00A21E63">
      <w:pPr>
        <w:pStyle w:val="Heading1"/>
      </w:pPr>
      <w:bookmarkStart w:id="55" w:name="_Toc222675188"/>
      <w:r>
        <w:lastRenderedPageBreak/>
        <w:t>References</w:t>
      </w:r>
      <w:bookmarkEnd w:id="55"/>
    </w:p>
    <w:p w14:paraId="33CF4A5D" w14:textId="77777777" w:rsidR="00064E08" w:rsidRDefault="00064E08" w:rsidP="0062231D">
      <w:pPr>
        <w:spacing w:line="360" w:lineRule="auto"/>
        <w:jc w:val="both"/>
        <w:rPr>
          <w:rFonts w:ascii="Arial" w:hAnsi="Arial" w:cs="Arial"/>
          <w:sz w:val="24"/>
          <w:szCs w:val="24"/>
        </w:rPr>
      </w:pPr>
    </w:p>
    <w:p w14:paraId="539B3F2D" w14:textId="1BECBE0C" w:rsidR="00C379DD" w:rsidRDefault="00C379DD" w:rsidP="00C379DD">
      <w:pPr>
        <w:spacing w:line="360" w:lineRule="auto"/>
        <w:jc w:val="both"/>
        <w:rPr>
          <w:rFonts w:ascii="Arial" w:hAnsi="Arial" w:cs="Arial"/>
          <w:sz w:val="24"/>
          <w:szCs w:val="24"/>
        </w:rPr>
      </w:pPr>
      <w:r w:rsidRPr="00C379DD">
        <w:rPr>
          <w:rFonts w:ascii="Arial" w:hAnsi="Arial" w:cs="Arial"/>
          <w:sz w:val="24"/>
          <w:szCs w:val="24"/>
        </w:rPr>
        <w:t>Adams, J.S. (1965)</w:t>
      </w:r>
      <w:r>
        <w:rPr>
          <w:rFonts w:ascii="Arial" w:hAnsi="Arial" w:cs="Arial"/>
          <w:sz w:val="24"/>
          <w:szCs w:val="24"/>
        </w:rPr>
        <w:t xml:space="preserve">. </w:t>
      </w:r>
      <w:r w:rsidRPr="00C379DD">
        <w:rPr>
          <w:rFonts w:ascii="Arial" w:hAnsi="Arial" w:cs="Arial"/>
          <w:sz w:val="24"/>
          <w:szCs w:val="24"/>
        </w:rPr>
        <w:t xml:space="preserve">Inequity in social exchange, </w:t>
      </w:r>
      <w:r w:rsidRPr="00C379DD">
        <w:rPr>
          <w:rFonts w:ascii="Arial" w:hAnsi="Arial" w:cs="Arial"/>
          <w:i/>
          <w:iCs/>
          <w:sz w:val="24"/>
          <w:szCs w:val="24"/>
        </w:rPr>
        <w:t>Advances in Experimental Social Psychology</w:t>
      </w:r>
      <w:r w:rsidRPr="00C379DD">
        <w:rPr>
          <w:rFonts w:ascii="Arial" w:hAnsi="Arial" w:cs="Arial"/>
          <w:sz w:val="24"/>
          <w:szCs w:val="24"/>
        </w:rPr>
        <w:t>, 2, pp. 267–299.</w:t>
      </w:r>
      <w:r>
        <w:rPr>
          <w:rFonts w:ascii="Arial" w:hAnsi="Arial" w:cs="Arial"/>
          <w:sz w:val="24"/>
          <w:szCs w:val="24"/>
        </w:rPr>
        <w:t xml:space="preserve"> Available at: </w:t>
      </w:r>
      <w:hyperlink r:id="rId10" w:history="1">
        <w:r w:rsidRPr="00524AF7">
          <w:rPr>
            <w:rStyle w:val="Hyperlink"/>
            <w:rFonts w:ascii="Arial" w:hAnsi="Arial" w:cs="Arial"/>
            <w:sz w:val="24"/>
            <w:szCs w:val="24"/>
          </w:rPr>
          <w:t>https://doi.org/10.1016/S0065-2601(08)60108-2</w:t>
        </w:r>
      </w:hyperlink>
      <w:r>
        <w:rPr>
          <w:rFonts w:ascii="Arial" w:hAnsi="Arial" w:cs="Arial"/>
          <w:sz w:val="24"/>
          <w:szCs w:val="24"/>
        </w:rPr>
        <w:t xml:space="preserve"> (Accessed: 25 Jan</w:t>
      </w:r>
      <w:r w:rsidR="00A10BC3">
        <w:rPr>
          <w:rFonts w:ascii="Arial" w:hAnsi="Arial" w:cs="Arial"/>
          <w:sz w:val="24"/>
          <w:szCs w:val="24"/>
        </w:rPr>
        <w:t>uary</w:t>
      </w:r>
      <w:r>
        <w:rPr>
          <w:rFonts w:ascii="Arial" w:hAnsi="Arial" w:cs="Arial"/>
          <w:sz w:val="24"/>
          <w:szCs w:val="24"/>
        </w:rPr>
        <w:t xml:space="preserve"> 2026).</w:t>
      </w:r>
    </w:p>
    <w:p w14:paraId="38D9040A" w14:textId="4E3A7F15" w:rsidR="0085382C" w:rsidRDefault="0085382C" w:rsidP="00C379DD">
      <w:pPr>
        <w:spacing w:line="360" w:lineRule="auto"/>
        <w:jc w:val="both"/>
        <w:rPr>
          <w:rFonts w:ascii="Arial" w:hAnsi="Arial" w:cs="Arial"/>
          <w:sz w:val="24"/>
          <w:szCs w:val="24"/>
        </w:rPr>
      </w:pPr>
      <w:r w:rsidRPr="0085382C">
        <w:rPr>
          <w:rFonts w:ascii="Arial" w:hAnsi="Arial" w:cs="Arial"/>
          <w:sz w:val="24"/>
          <w:szCs w:val="24"/>
        </w:rPr>
        <w:t xml:space="preserve">Afsar, B., </w:t>
      </w:r>
      <w:proofErr w:type="spellStart"/>
      <w:r w:rsidRPr="0085382C">
        <w:rPr>
          <w:rFonts w:ascii="Arial" w:hAnsi="Arial" w:cs="Arial"/>
          <w:sz w:val="24"/>
          <w:szCs w:val="24"/>
        </w:rPr>
        <w:t>Shahjehan</w:t>
      </w:r>
      <w:proofErr w:type="spellEnd"/>
      <w:r w:rsidRPr="0085382C">
        <w:rPr>
          <w:rFonts w:ascii="Arial" w:hAnsi="Arial" w:cs="Arial"/>
          <w:sz w:val="24"/>
          <w:szCs w:val="24"/>
        </w:rPr>
        <w:t>, A., Cheema, S. and Javed, F. (2018)</w:t>
      </w:r>
      <w:r>
        <w:rPr>
          <w:rFonts w:ascii="Arial" w:hAnsi="Arial" w:cs="Arial"/>
          <w:sz w:val="24"/>
          <w:szCs w:val="24"/>
        </w:rPr>
        <w:t xml:space="preserve">. </w:t>
      </w:r>
      <w:r w:rsidRPr="0085382C">
        <w:rPr>
          <w:rFonts w:ascii="Arial" w:hAnsi="Arial" w:cs="Arial"/>
          <w:sz w:val="24"/>
          <w:szCs w:val="24"/>
        </w:rPr>
        <w:t xml:space="preserve">Frontline employees’ high-performance work practices, trust in supervisor, job embeddedness and turnover intentions in hospitality industry, </w:t>
      </w:r>
      <w:r w:rsidRPr="0085382C">
        <w:rPr>
          <w:rFonts w:ascii="Arial" w:hAnsi="Arial" w:cs="Arial"/>
          <w:i/>
          <w:iCs/>
          <w:sz w:val="24"/>
          <w:szCs w:val="24"/>
        </w:rPr>
        <w:t>International Journal of Contemporary Hospitality Management</w:t>
      </w:r>
      <w:r w:rsidRPr="0085382C">
        <w:rPr>
          <w:rFonts w:ascii="Arial" w:hAnsi="Arial" w:cs="Arial"/>
          <w:sz w:val="24"/>
          <w:szCs w:val="24"/>
        </w:rPr>
        <w:t xml:space="preserve">, 30(3), pp. 1436–1452. Available at: </w:t>
      </w:r>
      <w:hyperlink r:id="rId11" w:history="1">
        <w:r w:rsidRPr="0087784B">
          <w:rPr>
            <w:rStyle w:val="Hyperlink"/>
            <w:rFonts w:ascii="Arial" w:hAnsi="Arial" w:cs="Arial"/>
            <w:sz w:val="24"/>
            <w:szCs w:val="24"/>
          </w:rPr>
          <w:t>https://doi.org/10.1108/IJCHM-11-2016-0633</w:t>
        </w:r>
      </w:hyperlink>
      <w:r>
        <w:rPr>
          <w:rFonts w:ascii="Arial" w:hAnsi="Arial" w:cs="Arial"/>
          <w:sz w:val="24"/>
          <w:szCs w:val="24"/>
        </w:rPr>
        <w:t xml:space="preserve"> (Accessed: 19 </w:t>
      </w:r>
      <w:r w:rsidR="00A10BC3">
        <w:rPr>
          <w:rFonts w:ascii="Arial" w:hAnsi="Arial" w:cs="Arial"/>
          <w:sz w:val="24"/>
          <w:szCs w:val="24"/>
        </w:rPr>
        <w:t>February</w:t>
      </w:r>
      <w:r>
        <w:rPr>
          <w:rFonts w:ascii="Arial" w:hAnsi="Arial" w:cs="Arial"/>
          <w:sz w:val="24"/>
          <w:szCs w:val="24"/>
        </w:rPr>
        <w:t xml:space="preserve"> 2026).</w:t>
      </w:r>
    </w:p>
    <w:p w14:paraId="1ACD3C65" w14:textId="7A0A0BA2" w:rsidR="00A854C3" w:rsidRPr="00C379DD" w:rsidRDefault="00A854C3" w:rsidP="00A854C3">
      <w:pPr>
        <w:spacing w:line="360" w:lineRule="auto"/>
        <w:jc w:val="both"/>
        <w:rPr>
          <w:rFonts w:ascii="Arial" w:hAnsi="Arial" w:cs="Arial"/>
          <w:sz w:val="24"/>
          <w:szCs w:val="24"/>
        </w:rPr>
      </w:pPr>
      <w:proofErr w:type="spellStart"/>
      <w:r w:rsidRPr="00A854C3">
        <w:rPr>
          <w:rFonts w:ascii="Arial" w:hAnsi="Arial" w:cs="Arial"/>
          <w:sz w:val="24"/>
          <w:szCs w:val="24"/>
        </w:rPr>
        <w:t>Akgunduz</w:t>
      </w:r>
      <w:proofErr w:type="spellEnd"/>
      <w:r w:rsidRPr="00A854C3">
        <w:rPr>
          <w:rFonts w:ascii="Arial" w:hAnsi="Arial" w:cs="Arial"/>
          <w:sz w:val="24"/>
          <w:szCs w:val="24"/>
        </w:rPr>
        <w:t>, Y. and Sanli, S.C. (2017)</w:t>
      </w:r>
      <w:r>
        <w:rPr>
          <w:rFonts w:ascii="Arial" w:hAnsi="Arial" w:cs="Arial"/>
          <w:sz w:val="24"/>
          <w:szCs w:val="24"/>
        </w:rPr>
        <w:t xml:space="preserve">. </w:t>
      </w:r>
      <w:r w:rsidRPr="00A854C3">
        <w:rPr>
          <w:rFonts w:ascii="Arial" w:hAnsi="Arial" w:cs="Arial"/>
          <w:sz w:val="24"/>
          <w:szCs w:val="24"/>
        </w:rPr>
        <w:t xml:space="preserve">The effect of employee advocacy and perceived organizational support on job embeddedness and turnover intention in hotels, </w:t>
      </w:r>
      <w:r w:rsidRPr="00A854C3">
        <w:rPr>
          <w:rFonts w:ascii="Arial" w:hAnsi="Arial" w:cs="Arial"/>
          <w:i/>
          <w:iCs/>
          <w:sz w:val="24"/>
          <w:szCs w:val="24"/>
        </w:rPr>
        <w:t>Journal of Hospitality and Tourism Management</w:t>
      </w:r>
      <w:r w:rsidRPr="00A854C3">
        <w:rPr>
          <w:rFonts w:ascii="Arial" w:hAnsi="Arial" w:cs="Arial"/>
          <w:sz w:val="24"/>
          <w:szCs w:val="24"/>
        </w:rPr>
        <w:t xml:space="preserve">, 31, pp. 118–125. Available at: </w:t>
      </w:r>
      <w:hyperlink r:id="rId12" w:history="1">
        <w:r w:rsidRPr="008A1654">
          <w:rPr>
            <w:rStyle w:val="Hyperlink"/>
            <w:rFonts w:ascii="Arial" w:hAnsi="Arial" w:cs="Arial"/>
            <w:sz w:val="24"/>
            <w:szCs w:val="24"/>
          </w:rPr>
          <w:t>https://doi.org/10.1016/j.jhtm.2016.12.002</w:t>
        </w:r>
      </w:hyperlink>
      <w:r>
        <w:rPr>
          <w:rFonts w:ascii="Arial" w:hAnsi="Arial" w:cs="Arial"/>
          <w:sz w:val="24"/>
          <w:szCs w:val="24"/>
        </w:rPr>
        <w:t xml:space="preserve"> </w:t>
      </w:r>
      <w:r w:rsidRPr="00A854C3">
        <w:rPr>
          <w:rFonts w:ascii="Arial" w:hAnsi="Arial" w:cs="Arial"/>
          <w:sz w:val="24"/>
          <w:szCs w:val="24"/>
        </w:rPr>
        <w:t xml:space="preserve">(Accessed: </w:t>
      </w:r>
      <w:r>
        <w:rPr>
          <w:rFonts w:ascii="Arial" w:hAnsi="Arial" w:cs="Arial"/>
          <w:sz w:val="24"/>
          <w:szCs w:val="24"/>
        </w:rPr>
        <w:t>9</w:t>
      </w:r>
      <w:r w:rsidRPr="00A854C3">
        <w:rPr>
          <w:rFonts w:ascii="Arial" w:hAnsi="Arial" w:cs="Arial"/>
          <w:sz w:val="24"/>
          <w:szCs w:val="24"/>
        </w:rPr>
        <w:t xml:space="preserve"> </w:t>
      </w:r>
      <w:r w:rsidR="00A10BC3">
        <w:rPr>
          <w:rFonts w:ascii="Arial" w:hAnsi="Arial" w:cs="Arial"/>
          <w:sz w:val="24"/>
          <w:szCs w:val="24"/>
        </w:rPr>
        <w:t>February</w:t>
      </w:r>
      <w:r w:rsidRPr="00A854C3">
        <w:rPr>
          <w:rFonts w:ascii="Arial" w:hAnsi="Arial" w:cs="Arial"/>
          <w:sz w:val="24"/>
          <w:szCs w:val="24"/>
        </w:rPr>
        <w:t xml:space="preserve"> 2026)</w:t>
      </w:r>
      <w:r w:rsidR="0073467C">
        <w:rPr>
          <w:rFonts w:ascii="Arial" w:hAnsi="Arial" w:cs="Arial"/>
          <w:sz w:val="24"/>
          <w:szCs w:val="24"/>
        </w:rPr>
        <w:t>.</w:t>
      </w:r>
    </w:p>
    <w:p w14:paraId="5A60F313" w14:textId="39DC1919" w:rsidR="00064E08" w:rsidRDefault="00064E08" w:rsidP="00064E08">
      <w:pPr>
        <w:spacing w:line="360" w:lineRule="auto"/>
        <w:jc w:val="both"/>
        <w:rPr>
          <w:rFonts w:ascii="Arial" w:hAnsi="Arial" w:cs="Arial"/>
          <w:sz w:val="24"/>
          <w:szCs w:val="24"/>
        </w:rPr>
      </w:pPr>
      <w:r w:rsidRPr="00064E08">
        <w:rPr>
          <w:rFonts w:ascii="Arial" w:hAnsi="Arial" w:cs="Arial"/>
          <w:sz w:val="24"/>
          <w:szCs w:val="24"/>
        </w:rPr>
        <w:t xml:space="preserve">Alola, U.V., </w:t>
      </w:r>
      <w:proofErr w:type="spellStart"/>
      <w:r w:rsidRPr="00064E08">
        <w:rPr>
          <w:rFonts w:ascii="Arial" w:hAnsi="Arial" w:cs="Arial"/>
          <w:sz w:val="24"/>
          <w:szCs w:val="24"/>
        </w:rPr>
        <w:t>Olugbade</w:t>
      </w:r>
      <w:proofErr w:type="spellEnd"/>
      <w:r w:rsidRPr="00064E08">
        <w:rPr>
          <w:rFonts w:ascii="Arial" w:hAnsi="Arial" w:cs="Arial"/>
          <w:sz w:val="24"/>
          <w:szCs w:val="24"/>
        </w:rPr>
        <w:t xml:space="preserve">, O.A., Avci, T. and </w:t>
      </w:r>
      <w:proofErr w:type="spellStart"/>
      <w:r w:rsidRPr="00064E08">
        <w:rPr>
          <w:rFonts w:ascii="Arial" w:hAnsi="Arial" w:cs="Arial"/>
          <w:sz w:val="24"/>
          <w:szCs w:val="24"/>
        </w:rPr>
        <w:t>Öztüren</w:t>
      </w:r>
      <w:proofErr w:type="spellEnd"/>
      <w:r w:rsidRPr="00064E08">
        <w:rPr>
          <w:rFonts w:ascii="Arial" w:hAnsi="Arial" w:cs="Arial"/>
          <w:sz w:val="24"/>
          <w:szCs w:val="24"/>
        </w:rPr>
        <w:t>, A. (2019)</w:t>
      </w:r>
      <w:r>
        <w:rPr>
          <w:rFonts w:ascii="Arial" w:hAnsi="Arial" w:cs="Arial"/>
          <w:sz w:val="24"/>
          <w:szCs w:val="24"/>
        </w:rPr>
        <w:t xml:space="preserve">. </w:t>
      </w:r>
      <w:r w:rsidRPr="00064E08">
        <w:rPr>
          <w:rFonts w:ascii="Arial" w:hAnsi="Arial" w:cs="Arial"/>
          <w:sz w:val="24"/>
          <w:szCs w:val="24"/>
        </w:rPr>
        <w:t xml:space="preserve">Customer incivility and employees’ outcomes in the hotel: Testing the mediating role of emotional exhaustion, </w:t>
      </w:r>
      <w:r w:rsidRPr="00064E08">
        <w:rPr>
          <w:rFonts w:ascii="Arial" w:hAnsi="Arial" w:cs="Arial"/>
          <w:i/>
          <w:iCs/>
          <w:sz w:val="24"/>
          <w:szCs w:val="24"/>
        </w:rPr>
        <w:t>Tourism Management Perspectives</w:t>
      </w:r>
      <w:r w:rsidRPr="00064E08">
        <w:rPr>
          <w:rFonts w:ascii="Arial" w:hAnsi="Arial" w:cs="Arial"/>
          <w:sz w:val="24"/>
          <w:szCs w:val="24"/>
        </w:rPr>
        <w:t xml:space="preserve">, 29, pp. 9–17. Available at: </w:t>
      </w:r>
      <w:hyperlink r:id="rId13" w:history="1">
        <w:r w:rsidRPr="00524AF7">
          <w:rPr>
            <w:rStyle w:val="Hyperlink"/>
            <w:rFonts w:ascii="Arial" w:hAnsi="Arial" w:cs="Arial"/>
            <w:sz w:val="24"/>
            <w:szCs w:val="24"/>
          </w:rPr>
          <w:t>https://doi.org/10.1016/j.tmp.2018.10.004</w:t>
        </w:r>
      </w:hyperlink>
      <w:r>
        <w:rPr>
          <w:rFonts w:ascii="Arial" w:hAnsi="Arial" w:cs="Arial"/>
          <w:sz w:val="24"/>
          <w:szCs w:val="24"/>
        </w:rPr>
        <w:t xml:space="preserve"> </w:t>
      </w:r>
      <w:r w:rsidRPr="00064E08">
        <w:rPr>
          <w:rFonts w:ascii="Arial" w:hAnsi="Arial" w:cs="Arial"/>
          <w:sz w:val="24"/>
          <w:szCs w:val="24"/>
        </w:rPr>
        <w:t xml:space="preserve">(Accessed: 21 </w:t>
      </w:r>
      <w:r w:rsidR="00A10BC3">
        <w:rPr>
          <w:rFonts w:ascii="Arial" w:hAnsi="Arial" w:cs="Arial"/>
          <w:sz w:val="24"/>
          <w:szCs w:val="24"/>
        </w:rPr>
        <w:t>January</w:t>
      </w:r>
      <w:r w:rsidRPr="00064E08">
        <w:rPr>
          <w:rFonts w:ascii="Arial" w:hAnsi="Arial" w:cs="Arial"/>
          <w:sz w:val="24"/>
          <w:szCs w:val="24"/>
        </w:rPr>
        <w:t xml:space="preserve"> 2026).</w:t>
      </w:r>
    </w:p>
    <w:p w14:paraId="3290EDF5" w14:textId="53C4BB15" w:rsidR="007211B4" w:rsidRDefault="007211B4" w:rsidP="0062231D">
      <w:pPr>
        <w:spacing w:line="360" w:lineRule="auto"/>
        <w:jc w:val="both"/>
        <w:rPr>
          <w:rFonts w:ascii="Arial" w:hAnsi="Arial" w:cs="Arial"/>
          <w:sz w:val="24"/>
          <w:szCs w:val="24"/>
        </w:rPr>
      </w:pPr>
      <w:r w:rsidRPr="007211B4">
        <w:rPr>
          <w:rFonts w:ascii="Arial" w:hAnsi="Arial" w:cs="Arial"/>
          <w:sz w:val="24"/>
          <w:szCs w:val="24"/>
        </w:rPr>
        <w:t>Bakker, A.B. and Demerouti, E. (2007)</w:t>
      </w:r>
      <w:r>
        <w:rPr>
          <w:rFonts w:ascii="Arial" w:hAnsi="Arial" w:cs="Arial"/>
          <w:sz w:val="24"/>
          <w:szCs w:val="24"/>
        </w:rPr>
        <w:t xml:space="preserve">. </w:t>
      </w:r>
      <w:r w:rsidRPr="007211B4">
        <w:rPr>
          <w:rFonts w:ascii="Arial" w:hAnsi="Arial" w:cs="Arial"/>
          <w:sz w:val="24"/>
          <w:szCs w:val="24"/>
        </w:rPr>
        <w:t xml:space="preserve">The Job Demands–Resources model: State of the art, </w:t>
      </w:r>
      <w:r w:rsidRPr="007211B4">
        <w:rPr>
          <w:rFonts w:ascii="Arial" w:hAnsi="Arial" w:cs="Arial"/>
          <w:i/>
          <w:iCs/>
          <w:sz w:val="24"/>
          <w:szCs w:val="24"/>
        </w:rPr>
        <w:t>Journal of Managerial Psychology</w:t>
      </w:r>
      <w:r w:rsidRPr="007211B4">
        <w:rPr>
          <w:rFonts w:ascii="Arial" w:hAnsi="Arial" w:cs="Arial"/>
          <w:sz w:val="24"/>
          <w:szCs w:val="24"/>
        </w:rPr>
        <w:t xml:space="preserve">, 22(3), pp. 309–328. Available at: </w:t>
      </w:r>
      <w:hyperlink r:id="rId14" w:history="1">
        <w:r w:rsidRPr="00524AF7">
          <w:rPr>
            <w:rStyle w:val="Hyperlink"/>
            <w:rFonts w:ascii="Arial" w:hAnsi="Arial" w:cs="Arial"/>
            <w:sz w:val="24"/>
            <w:szCs w:val="24"/>
          </w:rPr>
          <w:t>https://doi.org/10.1108/02683940710733115</w:t>
        </w:r>
      </w:hyperlink>
      <w:r>
        <w:rPr>
          <w:rFonts w:ascii="Arial" w:hAnsi="Arial" w:cs="Arial"/>
          <w:sz w:val="24"/>
          <w:szCs w:val="24"/>
        </w:rPr>
        <w:t xml:space="preserve"> (Accessed: 19 Jan</w:t>
      </w:r>
      <w:r w:rsidR="00A10BC3">
        <w:rPr>
          <w:rFonts w:ascii="Arial" w:hAnsi="Arial" w:cs="Arial"/>
          <w:sz w:val="24"/>
          <w:szCs w:val="24"/>
        </w:rPr>
        <w:t>uary</w:t>
      </w:r>
      <w:r>
        <w:rPr>
          <w:rFonts w:ascii="Arial" w:hAnsi="Arial" w:cs="Arial"/>
          <w:sz w:val="24"/>
          <w:szCs w:val="24"/>
        </w:rPr>
        <w:t xml:space="preserve"> 2026).</w:t>
      </w:r>
    </w:p>
    <w:p w14:paraId="7C76B79C" w14:textId="1FE3B595" w:rsidR="001866D6" w:rsidRDefault="001866D6" w:rsidP="0062231D">
      <w:pPr>
        <w:spacing w:line="360" w:lineRule="auto"/>
        <w:jc w:val="both"/>
        <w:rPr>
          <w:rFonts w:ascii="Arial" w:hAnsi="Arial" w:cs="Arial"/>
          <w:sz w:val="24"/>
          <w:szCs w:val="24"/>
        </w:rPr>
      </w:pPr>
      <w:r w:rsidRPr="001866D6">
        <w:rPr>
          <w:rFonts w:ascii="Arial" w:hAnsi="Arial" w:cs="Arial"/>
          <w:sz w:val="24"/>
          <w:szCs w:val="24"/>
        </w:rPr>
        <w:t>Baum, T. (2019)</w:t>
      </w:r>
      <w:r>
        <w:rPr>
          <w:rFonts w:ascii="Arial" w:hAnsi="Arial" w:cs="Arial"/>
          <w:sz w:val="24"/>
          <w:szCs w:val="24"/>
        </w:rPr>
        <w:t xml:space="preserve">. </w:t>
      </w:r>
      <w:r w:rsidRPr="001866D6">
        <w:rPr>
          <w:rFonts w:ascii="Arial" w:hAnsi="Arial" w:cs="Arial"/>
          <w:sz w:val="24"/>
          <w:szCs w:val="24"/>
        </w:rPr>
        <w:t xml:space="preserve">Does the hospitality industry need or deserve talent?, </w:t>
      </w:r>
      <w:r w:rsidRPr="001866D6">
        <w:rPr>
          <w:rFonts w:ascii="Arial" w:hAnsi="Arial" w:cs="Arial"/>
          <w:i/>
          <w:iCs/>
          <w:sz w:val="24"/>
          <w:szCs w:val="24"/>
        </w:rPr>
        <w:t>International Journal of Contemporary Hospitality Management</w:t>
      </w:r>
      <w:r w:rsidRPr="001866D6">
        <w:rPr>
          <w:rFonts w:ascii="Arial" w:hAnsi="Arial" w:cs="Arial"/>
          <w:sz w:val="24"/>
          <w:szCs w:val="24"/>
        </w:rPr>
        <w:t xml:space="preserve">, 31(10), pp. 3823–3837. </w:t>
      </w:r>
      <w:r w:rsidR="00385A80">
        <w:rPr>
          <w:rFonts w:ascii="Arial" w:hAnsi="Arial" w:cs="Arial"/>
          <w:sz w:val="24"/>
          <w:szCs w:val="24"/>
        </w:rPr>
        <w:t xml:space="preserve">Available at: </w:t>
      </w:r>
      <w:hyperlink r:id="rId15" w:history="1">
        <w:r w:rsidR="00385A80" w:rsidRPr="00794026">
          <w:rPr>
            <w:rStyle w:val="Hyperlink"/>
            <w:rFonts w:ascii="Arial" w:hAnsi="Arial" w:cs="Arial"/>
            <w:sz w:val="24"/>
            <w:szCs w:val="24"/>
          </w:rPr>
          <w:t>https://doi.org/10.1108/IJCHM-10-2018-0805</w:t>
        </w:r>
      </w:hyperlink>
      <w:r w:rsidR="00385A80">
        <w:rPr>
          <w:rFonts w:ascii="Arial" w:hAnsi="Arial" w:cs="Arial"/>
          <w:sz w:val="24"/>
          <w:szCs w:val="24"/>
        </w:rPr>
        <w:t xml:space="preserve"> (Accessed: 19 Jan</w:t>
      </w:r>
      <w:r w:rsidR="00A10BC3">
        <w:rPr>
          <w:rFonts w:ascii="Arial" w:hAnsi="Arial" w:cs="Arial"/>
          <w:sz w:val="24"/>
          <w:szCs w:val="24"/>
        </w:rPr>
        <w:t>uary</w:t>
      </w:r>
      <w:r w:rsidR="00385A80">
        <w:rPr>
          <w:rFonts w:ascii="Arial" w:hAnsi="Arial" w:cs="Arial"/>
          <w:sz w:val="24"/>
          <w:szCs w:val="24"/>
        </w:rPr>
        <w:t xml:space="preserve"> 2026).</w:t>
      </w:r>
    </w:p>
    <w:p w14:paraId="25922A56" w14:textId="1CF7D8A3" w:rsidR="00B85CC5" w:rsidRDefault="00B85CC5" w:rsidP="00B85CC5">
      <w:pPr>
        <w:spacing w:line="360" w:lineRule="auto"/>
        <w:jc w:val="both"/>
        <w:rPr>
          <w:rFonts w:ascii="Arial" w:hAnsi="Arial" w:cs="Arial"/>
          <w:sz w:val="24"/>
          <w:szCs w:val="24"/>
        </w:rPr>
      </w:pPr>
      <w:r w:rsidRPr="00B85CC5">
        <w:rPr>
          <w:rFonts w:ascii="Arial" w:hAnsi="Arial" w:cs="Arial"/>
          <w:sz w:val="24"/>
          <w:szCs w:val="24"/>
        </w:rPr>
        <w:t xml:space="preserve">Baum, T., Mooney, S.K.K., Robinson, R.N.S. and </w:t>
      </w:r>
      <w:proofErr w:type="spellStart"/>
      <w:r w:rsidRPr="00B85CC5">
        <w:rPr>
          <w:rFonts w:ascii="Arial" w:hAnsi="Arial" w:cs="Arial"/>
          <w:sz w:val="24"/>
          <w:szCs w:val="24"/>
        </w:rPr>
        <w:t>Solnet</w:t>
      </w:r>
      <w:proofErr w:type="spellEnd"/>
      <w:r w:rsidRPr="00B85CC5">
        <w:rPr>
          <w:rFonts w:ascii="Arial" w:hAnsi="Arial" w:cs="Arial"/>
          <w:sz w:val="24"/>
          <w:szCs w:val="24"/>
        </w:rPr>
        <w:t>, D. (2020)</w:t>
      </w:r>
      <w:r>
        <w:rPr>
          <w:rFonts w:ascii="Arial" w:hAnsi="Arial" w:cs="Arial"/>
          <w:sz w:val="24"/>
          <w:szCs w:val="24"/>
        </w:rPr>
        <w:t xml:space="preserve">. </w:t>
      </w:r>
      <w:r w:rsidRPr="00B85CC5">
        <w:rPr>
          <w:rFonts w:ascii="Arial" w:hAnsi="Arial" w:cs="Arial"/>
          <w:sz w:val="24"/>
          <w:szCs w:val="24"/>
        </w:rPr>
        <w:t xml:space="preserve">COVID-19’s impact on the hospitality workforce – new crisis or amplification of the norm?, </w:t>
      </w:r>
      <w:r w:rsidRPr="00B85CC5">
        <w:rPr>
          <w:rFonts w:ascii="Arial" w:hAnsi="Arial" w:cs="Arial"/>
          <w:i/>
          <w:iCs/>
          <w:sz w:val="24"/>
          <w:szCs w:val="24"/>
        </w:rPr>
        <w:t>International Journal of Contemporary Hospitality Management</w:t>
      </w:r>
      <w:r w:rsidRPr="00B85CC5">
        <w:rPr>
          <w:rFonts w:ascii="Arial" w:hAnsi="Arial" w:cs="Arial"/>
          <w:sz w:val="24"/>
          <w:szCs w:val="24"/>
        </w:rPr>
        <w:t xml:space="preserve">, 32(9), pp. 2813–2829. Available at: </w:t>
      </w:r>
      <w:hyperlink r:id="rId16" w:history="1">
        <w:r w:rsidR="008A29C5" w:rsidRPr="00524AF7">
          <w:rPr>
            <w:rStyle w:val="Hyperlink"/>
            <w:rFonts w:ascii="Arial" w:hAnsi="Arial" w:cs="Arial"/>
            <w:sz w:val="24"/>
            <w:szCs w:val="24"/>
          </w:rPr>
          <w:t>https://doi.org/10.1108/IJCHM-04-2020-0314</w:t>
        </w:r>
      </w:hyperlink>
      <w:r w:rsidR="008A29C5">
        <w:rPr>
          <w:rFonts w:ascii="Arial" w:hAnsi="Arial" w:cs="Arial"/>
          <w:sz w:val="24"/>
          <w:szCs w:val="24"/>
        </w:rPr>
        <w:t xml:space="preserve"> </w:t>
      </w:r>
      <w:r w:rsidRPr="00B85CC5">
        <w:rPr>
          <w:rFonts w:ascii="Arial" w:hAnsi="Arial" w:cs="Arial"/>
          <w:sz w:val="24"/>
          <w:szCs w:val="24"/>
        </w:rPr>
        <w:t>(Accessed: 2</w:t>
      </w:r>
      <w:r w:rsidR="008A29C5">
        <w:rPr>
          <w:rFonts w:ascii="Arial" w:hAnsi="Arial" w:cs="Arial"/>
          <w:sz w:val="24"/>
          <w:szCs w:val="24"/>
        </w:rPr>
        <w:t>0</w:t>
      </w:r>
      <w:r w:rsidRPr="00B85CC5">
        <w:rPr>
          <w:rFonts w:ascii="Arial" w:hAnsi="Arial" w:cs="Arial"/>
          <w:sz w:val="24"/>
          <w:szCs w:val="24"/>
        </w:rPr>
        <w:t xml:space="preserve"> </w:t>
      </w:r>
      <w:r w:rsidR="008A29C5">
        <w:rPr>
          <w:rFonts w:ascii="Arial" w:hAnsi="Arial" w:cs="Arial"/>
          <w:sz w:val="24"/>
          <w:szCs w:val="24"/>
        </w:rPr>
        <w:t>Jan</w:t>
      </w:r>
      <w:r w:rsidR="00A10BC3">
        <w:rPr>
          <w:rFonts w:ascii="Arial" w:hAnsi="Arial" w:cs="Arial"/>
          <w:sz w:val="24"/>
          <w:szCs w:val="24"/>
        </w:rPr>
        <w:t>uary</w:t>
      </w:r>
      <w:r w:rsidRPr="00B85CC5">
        <w:rPr>
          <w:rFonts w:ascii="Arial" w:hAnsi="Arial" w:cs="Arial"/>
          <w:sz w:val="24"/>
          <w:szCs w:val="24"/>
        </w:rPr>
        <w:t xml:space="preserve"> 2026).</w:t>
      </w:r>
    </w:p>
    <w:p w14:paraId="45EF6D82" w14:textId="0BBD7E9E" w:rsidR="00EC514B" w:rsidRDefault="00EC514B" w:rsidP="00B85CC5">
      <w:pPr>
        <w:spacing w:line="360" w:lineRule="auto"/>
        <w:jc w:val="both"/>
        <w:rPr>
          <w:rFonts w:ascii="Arial" w:hAnsi="Arial" w:cs="Arial"/>
          <w:sz w:val="24"/>
          <w:szCs w:val="24"/>
        </w:rPr>
      </w:pPr>
      <w:r w:rsidRPr="00EC514B">
        <w:rPr>
          <w:rFonts w:ascii="Arial" w:hAnsi="Arial" w:cs="Arial"/>
          <w:sz w:val="24"/>
          <w:szCs w:val="24"/>
        </w:rPr>
        <w:lastRenderedPageBreak/>
        <w:t>Blomme, R.J., Van Rheede, A. and Tromp, D.M. (2010)</w:t>
      </w:r>
      <w:r>
        <w:rPr>
          <w:rFonts w:ascii="Arial" w:hAnsi="Arial" w:cs="Arial"/>
          <w:sz w:val="24"/>
          <w:szCs w:val="24"/>
        </w:rPr>
        <w:t xml:space="preserve">. </w:t>
      </w:r>
      <w:r w:rsidRPr="00EC514B">
        <w:rPr>
          <w:rFonts w:ascii="Arial" w:hAnsi="Arial" w:cs="Arial"/>
          <w:sz w:val="24"/>
          <w:szCs w:val="24"/>
        </w:rPr>
        <w:t xml:space="preserve">Work–family conflict as a cause for turnover intentions in the hospitality industry, Tourism and Hospitality Research, 10(4), pp. 269–285. Available at: </w:t>
      </w:r>
      <w:hyperlink r:id="rId17" w:history="1">
        <w:r w:rsidRPr="0087784B">
          <w:rPr>
            <w:rStyle w:val="Hyperlink"/>
            <w:rFonts w:ascii="Arial" w:hAnsi="Arial" w:cs="Arial"/>
            <w:sz w:val="24"/>
            <w:szCs w:val="24"/>
          </w:rPr>
          <w:t>https://doi.org/10.1057/thr.2010.15</w:t>
        </w:r>
      </w:hyperlink>
      <w:r>
        <w:rPr>
          <w:rFonts w:ascii="Arial" w:hAnsi="Arial" w:cs="Arial"/>
          <w:sz w:val="24"/>
          <w:szCs w:val="24"/>
        </w:rPr>
        <w:t xml:space="preserve"> (Accessed: </w:t>
      </w:r>
      <w:r w:rsidR="008A3D1E">
        <w:rPr>
          <w:rFonts w:ascii="Arial" w:hAnsi="Arial" w:cs="Arial"/>
          <w:sz w:val="24"/>
          <w:szCs w:val="24"/>
        </w:rPr>
        <w:t xml:space="preserve">17 </w:t>
      </w:r>
      <w:r w:rsidR="00A10BC3">
        <w:rPr>
          <w:rFonts w:ascii="Arial" w:hAnsi="Arial" w:cs="Arial"/>
          <w:sz w:val="24"/>
          <w:szCs w:val="24"/>
        </w:rPr>
        <w:t>February</w:t>
      </w:r>
      <w:r w:rsidR="008A3D1E">
        <w:rPr>
          <w:rFonts w:ascii="Arial" w:hAnsi="Arial" w:cs="Arial"/>
          <w:sz w:val="24"/>
          <w:szCs w:val="24"/>
        </w:rPr>
        <w:t xml:space="preserve"> 2026).</w:t>
      </w:r>
    </w:p>
    <w:p w14:paraId="043B1258" w14:textId="4B7B5B2B" w:rsidR="002B5C1B" w:rsidRDefault="002B5C1B" w:rsidP="002B5C1B">
      <w:pPr>
        <w:spacing w:line="360" w:lineRule="auto"/>
        <w:jc w:val="both"/>
        <w:rPr>
          <w:rFonts w:ascii="Arial" w:hAnsi="Arial" w:cs="Arial"/>
          <w:sz w:val="24"/>
          <w:szCs w:val="24"/>
        </w:rPr>
      </w:pPr>
      <w:r w:rsidRPr="002B5C1B">
        <w:rPr>
          <w:rFonts w:ascii="Arial" w:hAnsi="Arial" w:cs="Arial"/>
          <w:sz w:val="24"/>
          <w:szCs w:val="24"/>
        </w:rPr>
        <w:t>Braun, V. and Clarke, V. (2006)</w:t>
      </w:r>
      <w:r>
        <w:rPr>
          <w:rFonts w:ascii="Arial" w:hAnsi="Arial" w:cs="Arial"/>
          <w:sz w:val="24"/>
          <w:szCs w:val="24"/>
        </w:rPr>
        <w:t xml:space="preserve">. </w:t>
      </w:r>
      <w:r w:rsidRPr="002B5C1B">
        <w:rPr>
          <w:rFonts w:ascii="Arial" w:hAnsi="Arial" w:cs="Arial"/>
          <w:sz w:val="24"/>
          <w:szCs w:val="24"/>
        </w:rPr>
        <w:t xml:space="preserve">Using thematic analysis in psychology, </w:t>
      </w:r>
      <w:r w:rsidRPr="002B5C1B">
        <w:rPr>
          <w:rFonts w:ascii="Arial" w:hAnsi="Arial" w:cs="Arial"/>
          <w:i/>
          <w:iCs/>
          <w:sz w:val="24"/>
          <w:szCs w:val="24"/>
        </w:rPr>
        <w:t>Qualitative Research in Psychology</w:t>
      </w:r>
      <w:r w:rsidRPr="002B5C1B">
        <w:rPr>
          <w:rFonts w:ascii="Arial" w:hAnsi="Arial" w:cs="Arial"/>
          <w:sz w:val="24"/>
          <w:szCs w:val="24"/>
        </w:rPr>
        <w:t>, 3(2), pp. 77–101.</w:t>
      </w:r>
      <w:r>
        <w:rPr>
          <w:rFonts w:ascii="Arial" w:hAnsi="Arial" w:cs="Arial"/>
          <w:sz w:val="24"/>
          <w:szCs w:val="24"/>
        </w:rPr>
        <w:t xml:space="preserve"> Available at: </w:t>
      </w:r>
      <w:hyperlink r:id="rId18" w:history="1">
        <w:r w:rsidRPr="002D6CBA">
          <w:rPr>
            <w:rStyle w:val="Hyperlink"/>
            <w:rFonts w:ascii="Arial" w:hAnsi="Arial" w:cs="Arial"/>
            <w:sz w:val="24"/>
            <w:szCs w:val="24"/>
          </w:rPr>
          <w:t>https://doi.org/10.1191/1478088706qp063oa</w:t>
        </w:r>
      </w:hyperlink>
      <w:r>
        <w:rPr>
          <w:rFonts w:ascii="Arial" w:hAnsi="Arial" w:cs="Arial"/>
          <w:sz w:val="24"/>
          <w:szCs w:val="24"/>
        </w:rPr>
        <w:t xml:space="preserve"> (Accessed: 5 </w:t>
      </w:r>
      <w:r w:rsidR="00703C5A">
        <w:rPr>
          <w:rFonts w:ascii="Arial" w:hAnsi="Arial" w:cs="Arial"/>
          <w:sz w:val="24"/>
          <w:szCs w:val="24"/>
        </w:rPr>
        <w:t>February</w:t>
      </w:r>
      <w:r>
        <w:rPr>
          <w:rFonts w:ascii="Arial" w:hAnsi="Arial" w:cs="Arial"/>
          <w:sz w:val="24"/>
          <w:szCs w:val="24"/>
        </w:rPr>
        <w:t xml:space="preserve"> 2026).</w:t>
      </w:r>
    </w:p>
    <w:p w14:paraId="7AA856AB" w14:textId="065167B4" w:rsidR="006D1B12" w:rsidRDefault="006D1B12" w:rsidP="002B5C1B">
      <w:pPr>
        <w:spacing w:line="360" w:lineRule="auto"/>
        <w:jc w:val="both"/>
        <w:rPr>
          <w:rFonts w:ascii="Arial" w:hAnsi="Arial" w:cs="Arial"/>
          <w:sz w:val="24"/>
          <w:szCs w:val="24"/>
        </w:rPr>
      </w:pPr>
      <w:r w:rsidRPr="006D1B12">
        <w:rPr>
          <w:rFonts w:ascii="Arial" w:hAnsi="Arial" w:cs="Arial"/>
          <w:sz w:val="24"/>
          <w:szCs w:val="24"/>
        </w:rPr>
        <w:t>Brown, E.A., Thomas, N.J. and Bosselman, R.H. (2015)</w:t>
      </w:r>
      <w:r>
        <w:rPr>
          <w:rFonts w:ascii="Arial" w:hAnsi="Arial" w:cs="Arial"/>
          <w:sz w:val="24"/>
          <w:szCs w:val="24"/>
        </w:rPr>
        <w:t xml:space="preserve">. </w:t>
      </w:r>
      <w:r w:rsidRPr="006D1B12">
        <w:rPr>
          <w:rFonts w:ascii="Arial" w:hAnsi="Arial" w:cs="Arial"/>
          <w:sz w:val="24"/>
          <w:szCs w:val="24"/>
        </w:rPr>
        <w:t xml:space="preserve">Are they leaving or staying? A qualitative analysis of turnover issues for Generation Y hospitality employees with a hospitality education, </w:t>
      </w:r>
      <w:r w:rsidRPr="006D1B12">
        <w:rPr>
          <w:rFonts w:ascii="Arial" w:hAnsi="Arial" w:cs="Arial"/>
          <w:i/>
          <w:iCs/>
          <w:sz w:val="24"/>
          <w:szCs w:val="24"/>
        </w:rPr>
        <w:t>International Journal of Hospitality Management</w:t>
      </w:r>
      <w:r w:rsidRPr="006D1B12">
        <w:rPr>
          <w:rFonts w:ascii="Arial" w:hAnsi="Arial" w:cs="Arial"/>
          <w:sz w:val="24"/>
          <w:szCs w:val="24"/>
        </w:rPr>
        <w:t xml:space="preserve">, 46, pp. 130–137. Available at: </w:t>
      </w:r>
      <w:hyperlink r:id="rId19" w:history="1">
        <w:r w:rsidRPr="0087784B">
          <w:rPr>
            <w:rStyle w:val="Hyperlink"/>
            <w:rFonts w:ascii="Arial" w:hAnsi="Arial" w:cs="Arial"/>
            <w:sz w:val="24"/>
            <w:szCs w:val="24"/>
          </w:rPr>
          <w:t>https://doi.org/10.1016/j.ijhm.2015.01.011</w:t>
        </w:r>
      </w:hyperlink>
      <w:r>
        <w:rPr>
          <w:rFonts w:ascii="Arial" w:hAnsi="Arial" w:cs="Arial"/>
          <w:sz w:val="24"/>
          <w:szCs w:val="24"/>
        </w:rPr>
        <w:t xml:space="preserve"> (Accessed: 19 </w:t>
      </w:r>
      <w:r w:rsidR="00703C5A">
        <w:rPr>
          <w:rFonts w:ascii="Arial" w:hAnsi="Arial" w:cs="Arial"/>
          <w:sz w:val="24"/>
          <w:szCs w:val="24"/>
        </w:rPr>
        <w:t>February</w:t>
      </w:r>
      <w:r>
        <w:rPr>
          <w:rFonts w:ascii="Arial" w:hAnsi="Arial" w:cs="Arial"/>
          <w:sz w:val="24"/>
          <w:szCs w:val="24"/>
        </w:rPr>
        <w:t xml:space="preserve"> 2026).</w:t>
      </w:r>
    </w:p>
    <w:p w14:paraId="03632AEB" w14:textId="74B54BFF" w:rsidR="00F87F89" w:rsidRDefault="00F87F89" w:rsidP="00B85CC5">
      <w:pPr>
        <w:spacing w:line="360" w:lineRule="auto"/>
        <w:jc w:val="both"/>
        <w:rPr>
          <w:rFonts w:ascii="Arial" w:hAnsi="Arial" w:cs="Arial"/>
          <w:sz w:val="24"/>
          <w:szCs w:val="24"/>
        </w:rPr>
      </w:pPr>
      <w:r w:rsidRPr="00F87F89">
        <w:rPr>
          <w:rFonts w:ascii="Arial" w:hAnsi="Arial" w:cs="Arial"/>
          <w:sz w:val="24"/>
          <w:szCs w:val="24"/>
        </w:rPr>
        <w:t>Bryman, A. (2016)</w:t>
      </w:r>
      <w:r>
        <w:rPr>
          <w:rFonts w:ascii="Arial" w:hAnsi="Arial" w:cs="Arial"/>
          <w:sz w:val="24"/>
          <w:szCs w:val="24"/>
        </w:rPr>
        <w:t>.</w:t>
      </w:r>
      <w:r w:rsidRPr="00F87F89">
        <w:rPr>
          <w:rFonts w:ascii="Arial" w:hAnsi="Arial" w:cs="Arial"/>
          <w:sz w:val="24"/>
          <w:szCs w:val="24"/>
        </w:rPr>
        <w:t xml:space="preserve"> </w:t>
      </w:r>
      <w:r w:rsidRPr="00F87F89">
        <w:rPr>
          <w:rFonts w:ascii="Arial" w:hAnsi="Arial" w:cs="Arial"/>
          <w:i/>
          <w:iCs/>
          <w:sz w:val="24"/>
          <w:szCs w:val="24"/>
        </w:rPr>
        <w:t>Social Research Methods</w:t>
      </w:r>
      <w:r w:rsidRPr="00F87F89">
        <w:rPr>
          <w:rFonts w:ascii="Arial" w:hAnsi="Arial" w:cs="Arial"/>
          <w:sz w:val="24"/>
          <w:szCs w:val="24"/>
        </w:rPr>
        <w:t xml:space="preserve">. 5th </w:t>
      </w:r>
      <w:proofErr w:type="spellStart"/>
      <w:r w:rsidRPr="00F87F89">
        <w:rPr>
          <w:rFonts w:ascii="Arial" w:hAnsi="Arial" w:cs="Arial"/>
          <w:sz w:val="24"/>
          <w:szCs w:val="24"/>
        </w:rPr>
        <w:t>edn</w:t>
      </w:r>
      <w:proofErr w:type="spellEnd"/>
      <w:r w:rsidRPr="00F87F89">
        <w:rPr>
          <w:rFonts w:ascii="Arial" w:hAnsi="Arial" w:cs="Arial"/>
          <w:sz w:val="24"/>
          <w:szCs w:val="24"/>
        </w:rPr>
        <w:t>. Oxford: Oxford University Press.</w:t>
      </w:r>
    </w:p>
    <w:p w14:paraId="3CA2CEC1" w14:textId="146EC515" w:rsidR="00BB105D" w:rsidRDefault="00BB105D" w:rsidP="00BB105D">
      <w:pPr>
        <w:spacing w:line="360" w:lineRule="auto"/>
        <w:jc w:val="both"/>
        <w:rPr>
          <w:rFonts w:ascii="Arial" w:hAnsi="Arial" w:cs="Arial"/>
          <w:sz w:val="24"/>
          <w:szCs w:val="24"/>
        </w:rPr>
      </w:pPr>
      <w:r w:rsidRPr="00BB105D">
        <w:rPr>
          <w:rFonts w:ascii="Arial" w:hAnsi="Arial" w:cs="Arial"/>
          <w:sz w:val="24"/>
          <w:szCs w:val="24"/>
        </w:rPr>
        <w:t>Chiang, F.F.T. and Birtch, T.A. (2010)</w:t>
      </w:r>
      <w:r>
        <w:rPr>
          <w:rFonts w:ascii="Arial" w:hAnsi="Arial" w:cs="Arial"/>
          <w:sz w:val="24"/>
          <w:szCs w:val="24"/>
        </w:rPr>
        <w:t xml:space="preserve">. </w:t>
      </w:r>
      <w:r w:rsidRPr="00BB105D">
        <w:rPr>
          <w:rFonts w:ascii="Arial" w:hAnsi="Arial" w:cs="Arial"/>
          <w:sz w:val="24"/>
          <w:szCs w:val="24"/>
        </w:rPr>
        <w:t xml:space="preserve">Pay for performance and work attitudes: The mediating role of employee–organization service value congruence, </w:t>
      </w:r>
      <w:r w:rsidRPr="00BB105D">
        <w:rPr>
          <w:rFonts w:ascii="Arial" w:hAnsi="Arial" w:cs="Arial"/>
          <w:i/>
          <w:iCs/>
          <w:sz w:val="24"/>
          <w:szCs w:val="24"/>
        </w:rPr>
        <w:t>International Journal of Hospitality Management</w:t>
      </w:r>
      <w:r w:rsidRPr="00BB105D">
        <w:rPr>
          <w:rFonts w:ascii="Arial" w:hAnsi="Arial" w:cs="Arial"/>
          <w:sz w:val="24"/>
          <w:szCs w:val="24"/>
        </w:rPr>
        <w:t xml:space="preserve">, 29(4), pp. 632–640. Available at: </w:t>
      </w:r>
      <w:hyperlink r:id="rId20" w:history="1">
        <w:r w:rsidRPr="00524AF7">
          <w:rPr>
            <w:rStyle w:val="Hyperlink"/>
            <w:rFonts w:ascii="Arial" w:hAnsi="Arial" w:cs="Arial"/>
            <w:sz w:val="24"/>
            <w:szCs w:val="24"/>
          </w:rPr>
          <w:t>https://doi.org/10.1016/j.ijhm.2009.11.005</w:t>
        </w:r>
      </w:hyperlink>
      <w:r w:rsidRPr="00BB105D">
        <w:rPr>
          <w:rFonts w:ascii="Arial" w:hAnsi="Arial" w:cs="Arial"/>
          <w:sz w:val="24"/>
          <w:szCs w:val="24"/>
        </w:rPr>
        <w:t xml:space="preserve"> (Accessed: 2</w:t>
      </w:r>
      <w:r>
        <w:rPr>
          <w:rFonts w:ascii="Arial" w:hAnsi="Arial" w:cs="Arial"/>
          <w:sz w:val="24"/>
          <w:szCs w:val="24"/>
        </w:rPr>
        <w:t>7</w:t>
      </w:r>
      <w:r w:rsidRPr="00BB105D">
        <w:rPr>
          <w:rFonts w:ascii="Arial" w:hAnsi="Arial" w:cs="Arial"/>
          <w:sz w:val="24"/>
          <w:szCs w:val="24"/>
        </w:rPr>
        <w:t xml:space="preserve"> </w:t>
      </w:r>
      <w:r w:rsidR="00703C5A">
        <w:rPr>
          <w:rFonts w:ascii="Arial" w:hAnsi="Arial" w:cs="Arial"/>
          <w:sz w:val="24"/>
          <w:szCs w:val="24"/>
        </w:rPr>
        <w:t>January</w:t>
      </w:r>
      <w:r w:rsidRPr="00BB105D">
        <w:rPr>
          <w:rFonts w:ascii="Arial" w:hAnsi="Arial" w:cs="Arial"/>
          <w:sz w:val="24"/>
          <w:szCs w:val="24"/>
        </w:rPr>
        <w:t xml:space="preserve"> 2026).</w:t>
      </w:r>
    </w:p>
    <w:p w14:paraId="34525005" w14:textId="3277F52F" w:rsidR="00FF4E2C" w:rsidRDefault="00FF4E2C" w:rsidP="00FF4E2C">
      <w:pPr>
        <w:spacing w:line="360" w:lineRule="auto"/>
        <w:jc w:val="both"/>
        <w:rPr>
          <w:rFonts w:ascii="Arial" w:hAnsi="Arial" w:cs="Arial"/>
          <w:sz w:val="24"/>
          <w:szCs w:val="24"/>
        </w:rPr>
      </w:pPr>
      <w:r w:rsidRPr="00FF4E2C">
        <w:rPr>
          <w:rFonts w:ascii="Arial" w:hAnsi="Arial" w:cs="Arial"/>
          <w:sz w:val="24"/>
          <w:szCs w:val="24"/>
        </w:rPr>
        <w:t>Chiang, F.F.T., Birtch, T.A. and Kwan, H.K. (2010)</w:t>
      </w:r>
      <w:r w:rsidR="00D3578E">
        <w:rPr>
          <w:rFonts w:ascii="Arial" w:hAnsi="Arial" w:cs="Arial"/>
          <w:sz w:val="24"/>
          <w:szCs w:val="24"/>
        </w:rPr>
        <w:t xml:space="preserve">. </w:t>
      </w:r>
      <w:r w:rsidRPr="00FF4E2C">
        <w:rPr>
          <w:rFonts w:ascii="Arial" w:hAnsi="Arial" w:cs="Arial"/>
          <w:sz w:val="24"/>
          <w:szCs w:val="24"/>
        </w:rPr>
        <w:t xml:space="preserve">The moderating roles of job control and work-life balance practices on employee stress in the hotel and catering industry, </w:t>
      </w:r>
      <w:r w:rsidRPr="00D3578E">
        <w:rPr>
          <w:rFonts w:ascii="Arial" w:hAnsi="Arial" w:cs="Arial"/>
          <w:i/>
          <w:iCs/>
          <w:sz w:val="24"/>
          <w:szCs w:val="24"/>
        </w:rPr>
        <w:t>International Journal of Hospitality Management</w:t>
      </w:r>
      <w:r w:rsidRPr="00FF4E2C">
        <w:rPr>
          <w:rFonts w:ascii="Arial" w:hAnsi="Arial" w:cs="Arial"/>
          <w:sz w:val="24"/>
          <w:szCs w:val="24"/>
        </w:rPr>
        <w:t xml:space="preserve">, 29(1), pp. 25–32. Available at: </w:t>
      </w:r>
      <w:hyperlink r:id="rId21" w:history="1">
        <w:r w:rsidR="00D3578E" w:rsidRPr="008A1654">
          <w:rPr>
            <w:rStyle w:val="Hyperlink"/>
            <w:rFonts w:ascii="Arial" w:hAnsi="Arial" w:cs="Arial"/>
            <w:sz w:val="24"/>
            <w:szCs w:val="24"/>
          </w:rPr>
          <w:t>https://doi.org/10.1016/j.ijhm.2009.04.005</w:t>
        </w:r>
      </w:hyperlink>
      <w:r w:rsidR="00D3578E">
        <w:rPr>
          <w:rFonts w:ascii="Arial" w:hAnsi="Arial" w:cs="Arial"/>
          <w:sz w:val="24"/>
          <w:szCs w:val="24"/>
        </w:rPr>
        <w:t xml:space="preserve"> </w:t>
      </w:r>
      <w:r w:rsidRPr="00FF4E2C">
        <w:rPr>
          <w:rFonts w:ascii="Arial" w:hAnsi="Arial" w:cs="Arial"/>
          <w:sz w:val="24"/>
          <w:szCs w:val="24"/>
        </w:rPr>
        <w:t xml:space="preserve">(Accessed: </w:t>
      </w:r>
      <w:r w:rsidR="00D3578E">
        <w:rPr>
          <w:rFonts w:ascii="Arial" w:hAnsi="Arial" w:cs="Arial"/>
          <w:sz w:val="24"/>
          <w:szCs w:val="24"/>
        </w:rPr>
        <w:t>1</w:t>
      </w:r>
      <w:r w:rsidRPr="00FF4E2C">
        <w:rPr>
          <w:rFonts w:ascii="Arial" w:hAnsi="Arial" w:cs="Arial"/>
          <w:sz w:val="24"/>
          <w:szCs w:val="24"/>
        </w:rPr>
        <w:t xml:space="preserve">1 </w:t>
      </w:r>
      <w:r w:rsidR="00703C5A">
        <w:rPr>
          <w:rFonts w:ascii="Arial" w:hAnsi="Arial" w:cs="Arial"/>
          <w:sz w:val="24"/>
          <w:szCs w:val="24"/>
        </w:rPr>
        <w:t>February</w:t>
      </w:r>
      <w:r w:rsidRPr="00FF4E2C">
        <w:rPr>
          <w:rFonts w:ascii="Arial" w:hAnsi="Arial" w:cs="Arial"/>
          <w:sz w:val="24"/>
          <w:szCs w:val="24"/>
        </w:rPr>
        <w:t xml:space="preserve"> 2026).</w:t>
      </w:r>
    </w:p>
    <w:p w14:paraId="72276F85" w14:textId="43B4723C" w:rsidR="00D130C0" w:rsidRPr="00D130C0" w:rsidRDefault="00D130C0" w:rsidP="00D130C0">
      <w:pPr>
        <w:spacing w:line="360" w:lineRule="auto"/>
        <w:jc w:val="both"/>
        <w:rPr>
          <w:rFonts w:ascii="Arial" w:hAnsi="Arial" w:cs="Arial"/>
          <w:sz w:val="24"/>
          <w:szCs w:val="24"/>
        </w:rPr>
      </w:pPr>
      <w:r w:rsidRPr="00D130C0">
        <w:rPr>
          <w:rFonts w:ascii="Arial" w:hAnsi="Arial" w:cs="Arial"/>
          <w:sz w:val="24"/>
          <w:szCs w:val="24"/>
        </w:rPr>
        <w:t>Chu, K.H. and Murrmann, S.K. (2006)</w:t>
      </w:r>
      <w:r>
        <w:rPr>
          <w:rFonts w:ascii="Arial" w:hAnsi="Arial" w:cs="Arial"/>
          <w:sz w:val="24"/>
          <w:szCs w:val="24"/>
        </w:rPr>
        <w:t xml:space="preserve">. </w:t>
      </w:r>
      <w:r w:rsidRPr="00D130C0">
        <w:rPr>
          <w:rFonts w:ascii="Arial" w:hAnsi="Arial" w:cs="Arial"/>
          <w:sz w:val="24"/>
          <w:szCs w:val="24"/>
        </w:rPr>
        <w:t xml:space="preserve">Development of the Hospitality Emotional Labor Scale, </w:t>
      </w:r>
      <w:r w:rsidRPr="00D130C0">
        <w:rPr>
          <w:rFonts w:ascii="Arial" w:hAnsi="Arial" w:cs="Arial"/>
          <w:i/>
          <w:iCs/>
          <w:sz w:val="24"/>
          <w:szCs w:val="24"/>
        </w:rPr>
        <w:t>Tourism Management</w:t>
      </w:r>
      <w:r w:rsidRPr="00D130C0">
        <w:rPr>
          <w:rFonts w:ascii="Arial" w:hAnsi="Arial" w:cs="Arial"/>
          <w:sz w:val="24"/>
          <w:szCs w:val="24"/>
        </w:rPr>
        <w:t>, 27(6), pp. 1181–1191.</w:t>
      </w:r>
      <w:r>
        <w:rPr>
          <w:rFonts w:ascii="Arial" w:hAnsi="Arial" w:cs="Arial"/>
          <w:sz w:val="24"/>
          <w:szCs w:val="24"/>
        </w:rPr>
        <w:t xml:space="preserve"> Available at: </w:t>
      </w:r>
      <w:hyperlink r:id="rId22" w:history="1">
        <w:r w:rsidRPr="00524AF7">
          <w:rPr>
            <w:rStyle w:val="Hyperlink"/>
            <w:rFonts w:ascii="Arial" w:hAnsi="Arial" w:cs="Arial"/>
            <w:sz w:val="24"/>
            <w:szCs w:val="24"/>
          </w:rPr>
          <w:t>https://doi.org/10.1016/j.tourman.2005.12.011</w:t>
        </w:r>
      </w:hyperlink>
      <w:r>
        <w:rPr>
          <w:rFonts w:ascii="Arial" w:hAnsi="Arial" w:cs="Arial"/>
          <w:sz w:val="24"/>
          <w:szCs w:val="24"/>
        </w:rPr>
        <w:t xml:space="preserve"> (Accessed 24 Jan</w:t>
      </w:r>
      <w:r w:rsidR="00703C5A">
        <w:rPr>
          <w:rFonts w:ascii="Arial" w:hAnsi="Arial" w:cs="Arial"/>
          <w:sz w:val="24"/>
          <w:szCs w:val="24"/>
        </w:rPr>
        <w:t>u</w:t>
      </w:r>
      <w:r w:rsidR="0056654A">
        <w:rPr>
          <w:rFonts w:ascii="Arial" w:hAnsi="Arial" w:cs="Arial"/>
          <w:sz w:val="24"/>
          <w:szCs w:val="24"/>
        </w:rPr>
        <w:t>ary</w:t>
      </w:r>
      <w:r>
        <w:rPr>
          <w:rFonts w:ascii="Arial" w:hAnsi="Arial" w:cs="Arial"/>
          <w:sz w:val="24"/>
          <w:szCs w:val="24"/>
        </w:rPr>
        <w:t xml:space="preserve"> 2026).</w:t>
      </w:r>
    </w:p>
    <w:p w14:paraId="56518BC2" w14:textId="5F02B23C" w:rsidR="0062231D" w:rsidRDefault="0062231D" w:rsidP="0062231D">
      <w:pPr>
        <w:spacing w:line="360" w:lineRule="auto"/>
        <w:jc w:val="both"/>
        <w:rPr>
          <w:rFonts w:ascii="Arial" w:hAnsi="Arial" w:cs="Arial"/>
          <w:sz w:val="24"/>
          <w:szCs w:val="24"/>
        </w:rPr>
      </w:pPr>
      <w:r w:rsidRPr="0062231D">
        <w:rPr>
          <w:rFonts w:ascii="Arial" w:hAnsi="Arial" w:cs="Arial"/>
          <w:sz w:val="24"/>
          <w:szCs w:val="24"/>
        </w:rPr>
        <w:t>CIPD (2025)</w:t>
      </w:r>
      <w:r>
        <w:rPr>
          <w:rFonts w:ascii="Arial" w:hAnsi="Arial" w:cs="Arial"/>
          <w:sz w:val="24"/>
          <w:szCs w:val="24"/>
        </w:rPr>
        <w:t>.</w:t>
      </w:r>
      <w:r w:rsidRPr="0062231D">
        <w:rPr>
          <w:rFonts w:ascii="Arial" w:hAnsi="Arial" w:cs="Arial"/>
          <w:sz w:val="24"/>
          <w:szCs w:val="24"/>
        </w:rPr>
        <w:t xml:space="preserve"> </w:t>
      </w:r>
      <w:r w:rsidRPr="0062231D">
        <w:rPr>
          <w:rFonts w:ascii="Arial" w:hAnsi="Arial" w:cs="Arial"/>
          <w:i/>
          <w:iCs/>
          <w:sz w:val="24"/>
          <w:szCs w:val="24"/>
        </w:rPr>
        <w:t>Employee turnover and retention: Factsheet, Chartered Institute of Personnel and Development</w:t>
      </w:r>
      <w:r w:rsidRPr="0062231D">
        <w:rPr>
          <w:rFonts w:ascii="Arial" w:hAnsi="Arial" w:cs="Arial"/>
          <w:sz w:val="24"/>
          <w:szCs w:val="24"/>
        </w:rPr>
        <w:t xml:space="preserve">. Available at: </w:t>
      </w:r>
      <w:hyperlink r:id="rId23" w:history="1">
        <w:r w:rsidRPr="00524AF7">
          <w:rPr>
            <w:rStyle w:val="Hyperlink"/>
            <w:rFonts w:ascii="Arial" w:hAnsi="Arial" w:cs="Arial"/>
            <w:sz w:val="24"/>
            <w:szCs w:val="24"/>
          </w:rPr>
          <w:t>https://www.cipd.org/uk/knowledge/factsheets/turnover-retention-factsheet/</w:t>
        </w:r>
      </w:hyperlink>
      <w:r>
        <w:rPr>
          <w:rFonts w:ascii="Arial" w:hAnsi="Arial" w:cs="Arial"/>
          <w:sz w:val="24"/>
          <w:szCs w:val="24"/>
        </w:rPr>
        <w:t xml:space="preserve"> </w:t>
      </w:r>
      <w:r w:rsidRPr="0062231D">
        <w:rPr>
          <w:rFonts w:ascii="Arial" w:hAnsi="Arial" w:cs="Arial"/>
          <w:sz w:val="24"/>
          <w:szCs w:val="24"/>
        </w:rPr>
        <w:t xml:space="preserve">(Accessed: </w:t>
      </w:r>
      <w:r>
        <w:rPr>
          <w:rFonts w:ascii="Arial" w:hAnsi="Arial" w:cs="Arial"/>
          <w:sz w:val="24"/>
          <w:szCs w:val="24"/>
        </w:rPr>
        <w:t>16</w:t>
      </w:r>
      <w:r w:rsidRPr="0062231D">
        <w:rPr>
          <w:rFonts w:ascii="Arial" w:hAnsi="Arial" w:cs="Arial"/>
          <w:sz w:val="24"/>
          <w:szCs w:val="24"/>
        </w:rPr>
        <w:t xml:space="preserve"> </w:t>
      </w:r>
      <w:r w:rsidR="0056654A">
        <w:rPr>
          <w:rFonts w:ascii="Arial" w:hAnsi="Arial" w:cs="Arial"/>
          <w:sz w:val="24"/>
          <w:szCs w:val="24"/>
        </w:rPr>
        <w:t>February</w:t>
      </w:r>
      <w:r w:rsidRPr="0062231D">
        <w:rPr>
          <w:rFonts w:ascii="Arial" w:hAnsi="Arial" w:cs="Arial"/>
          <w:sz w:val="24"/>
          <w:szCs w:val="24"/>
        </w:rPr>
        <w:t xml:space="preserve"> 2026).</w:t>
      </w:r>
    </w:p>
    <w:p w14:paraId="4030C9A1" w14:textId="516BC894" w:rsidR="008578D4" w:rsidRPr="00DD36DE" w:rsidRDefault="00E25D08" w:rsidP="0062231D">
      <w:pPr>
        <w:spacing w:line="360" w:lineRule="auto"/>
        <w:jc w:val="both"/>
        <w:rPr>
          <w:rFonts w:ascii="Arial" w:hAnsi="Arial" w:cs="Arial"/>
          <w:sz w:val="24"/>
          <w:szCs w:val="24"/>
        </w:rPr>
      </w:pPr>
      <w:proofErr w:type="spellStart"/>
      <w:r w:rsidRPr="00E25D08">
        <w:rPr>
          <w:rFonts w:ascii="Arial" w:hAnsi="Arial" w:cs="Arial"/>
          <w:sz w:val="24"/>
          <w:szCs w:val="24"/>
        </w:rPr>
        <w:lastRenderedPageBreak/>
        <w:t>Cropanzano</w:t>
      </w:r>
      <w:proofErr w:type="spellEnd"/>
      <w:r w:rsidRPr="00E25D08">
        <w:rPr>
          <w:rFonts w:ascii="Arial" w:hAnsi="Arial" w:cs="Arial"/>
          <w:sz w:val="24"/>
          <w:szCs w:val="24"/>
        </w:rPr>
        <w:t>, R., Bowen, D.E. and Gilliland, S.W. (2007)</w:t>
      </w:r>
      <w:r>
        <w:rPr>
          <w:rFonts w:ascii="Arial" w:hAnsi="Arial" w:cs="Arial"/>
          <w:sz w:val="24"/>
          <w:szCs w:val="24"/>
        </w:rPr>
        <w:t xml:space="preserve">. </w:t>
      </w:r>
      <w:r w:rsidRPr="00E25D08">
        <w:rPr>
          <w:rFonts w:ascii="Arial" w:hAnsi="Arial" w:cs="Arial"/>
          <w:sz w:val="24"/>
          <w:szCs w:val="24"/>
        </w:rPr>
        <w:t xml:space="preserve">The management of organizational justice, </w:t>
      </w:r>
      <w:r w:rsidRPr="00E25D08">
        <w:rPr>
          <w:rFonts w:ascii="Arial" w:hAnsi="Arial" w:cs="Arial"/>
          <w:i/>
          <w:iCs/>
          <w:sz w:val="24"/>
          <w:szCs w:val="24"/>
        </w:rPr>
        <w:t>Academy of Management Perspectives</w:t>
      </w:r>
      <w:r w:rsidRPr="00E25D08">
        <w:rPr>
          <w:rFonts w:ascii="Arial" w:hAnsi="Arial" w:cs="Arial"/>
          <w:sz w:val="24"/>
          <w:szCs w:val="24"/>
        </w:rPr>
        <w:t>, 21(4), pp. 34–48.</w:t>
      </w:r>
      <w:r w:rsidR="00DD36DE">
        <w:rPr>
          <w:rFonts w:ascii="Arial" w:hAnsi="Arial" w:cs="Arial"/>
          <w:sz w:val="24"/>
          <w:szCs w:val="24"/>
        </w:rPr>
        <w:t xml:space="preserve"> Available at: </w:t>
      </w:r>
      <w:hyperlink r:id="rId24" w:history="1">
        <w:r w:rsidR="00DD36DE" w:rsidRPr="00524AF7">
          <w:rPr>
            <w:rStyle w:val="Hyperlink"/>
            <w:rFonts w:ascii="Arial" w:hAnsi="Arial" w:cs="Arial"/>
            <w:sz w:val="24"/>
            <w:szCs w:val="24"/>
          </w:rPr>
          <w:t>https://doi.org/10.5465/amp.2007.27895338</w:t>
        </w:r>
      </w:hyperlink>
      <w:r w:rsidR="00DD36DE">
        <w:rPr>
          <w:rFonts w:ascii="Arial" w:hAnsi="Arial" w:cs="Arial"/>
          <w:sz w:val="24"/>
          <w:szCs w:val="24"/>
        </w:rPr>
        <w:t xml:space="preserve"> (Accessed: 27 Jan</w:t>
      </w:r>
      <w:r w:rsidR="0056654A">
        <w:rPr>
          <w:rFonts w:ascii="Arial" w:hAnsi="Arial" w:cs="Arial"/>
          <w:sz w:val="24"/>
          <w:szCs w:val="24"/>
        </w:rPr>
        <w:t>uary</w:t>
      </w:r>
      <w:r w:rsidR="00DD36DE">
        <w:rPr>
          <w:rFonts w:ascii="Arial" w:hAnsi="Arial" w:cs="Arial"/>
          <w:sz w:val="24"/>
          <w:szCs w:val="24"/>
        </w:rPr>
        <w:t xml:space="preserve"> 2026).</w:t>
      </w:r>
    </w:p>
    <w:p w14:paraId="1D0FC9EB" w14:textId="04D33E95" w:rsidR="0003160A" w:rsidRDefault="0003160A" w:rsidP="0062231D">
      <w:pPr>
        <w:spacing w:line="360" w:lineRule="auto"/>
        <w:jc w:val="both"/>
        <w:rPr>
          <w:rFonts w:ascii="Arial" w:hAnsi="Arial" w:cs="Arial"/>
          <w:sz w:val="24"/>
          <w:szCs w:val="24"/>
        </w:rPr>
      </w:pPr>
      <w:r w:rsidRPr="0003160A">
        <w:rPr>
          <w:rFonts w:ascii="Arial" w:hAnsi="Arial" w:cs="Arial"/>
          <w:sz w:val="24"/>
          <w:szCs w:val="24"/>
        </w:rPr>
        <w:t>Davidson, M.C.G., Timo, N. and Wang, Y. (2010)</w:t>
      </w:r>
      <w:r>
        <w:rPr>
          <w:rFonts w:ascii="Arial" w:hAnsi="Arial" w:cs="Arial"/>
          <w:sz w:val="24"/>
          <w:szCs w:val="24"/>
        </w:rPr>
        <w:t xml:space="preserve">. </w:t>
      </w:r>
      <w:r w:rsidRPr="0003160A">
        <w:rPr>
          <w:rFonts w:ascii="Arial" w:hAnsi="Arial" w:cs="Arial"/>
          <w:sz w:val="24"/>
          <w:szCs w:val="24"/>
        </w:rPr>
        <w:t xml:space="preserve">How much does labour turnover cost? A case study of Australian four- and five-star hotels, </w:t>
      </w:r>
      <w:r w:rsidRPr="0003160A">
        <w:rPr>
          <w:rFonts w:ascii="Arial" w:hAnsi="Arial" w:cs="Arial"/>
          <w:i/>
          <w:iCs/>
          <w:sz w:val="24"/>
          <w:szCs w:val="24"/>
        </w:rPr>
        <w:t>International Journal of Contemporary Hospitality Management</w:t>
      </w:r>
      <w:r w:rsidRPr="0003160A">
        <w:rPr>
          <w:rFonts w:ascii="Arial" w:hAnsi="Arial" w:cs="Arial"/>
          <w:sz w:val="24"/>
          <w:szCs w:val="24"/>
        </w:rPr>
        <w:t xml:space="preserve">, 22(4), pp. 451–466. Available at: </w:t>
      </w:r>
      <w:hyperlink r:id="rId25" w:history="1">
        <w:r w:rsidRPr="00524AF7">
          <w:rPr>
            <w:rStyle w:val="Hyperlink"/>
            <w:rFonts w:ascii="Arial" w:hAnsi="Arial" w:cs="Arial"/>
            <w:sz w:val="24"/>
            <w:szCs w:val="24"/>
          </w:rPr>
          <w:t>https://doi.org/10.1108/09596111011042686</w:t>
        </w:r>
      </w:hyperlink>
      <w:r>
        <w:rPr>
          <w:rFonts w:ascii="Arial" w:hAnsi="Arial" w:cs="Arial"/>
          <w:sz w:val="24"/>
          <w:szCs w:val="24"/>
        </w:rPr>
        <w:t xml:space="preserve"> (Accessed: 20 Jan</w:t>
      </w:r>
      <w:r w:rsidR="0056654A">
        <w:rPr>
          <w:rFonts w:ascii="Arial" w:hAnsi="Arial" w:cs="Arial"/>
          <w:sz w:val="24"/>
          <w:szCs w:val="24"/>
        </w:rPr>
        <w:t>uary</w:t>
      </w:r>
      <w:r>
        <w:rPr>
          <w:rFonts w:ascii="Arial" w:hAnsi="Arial" w:cs="Arial"/>
          <w:sz w:val="24"/>
          <w:szCs w:val="24"/>
        </w:rPr>
        <w:t xml:space="preserve"> 2026).</w:t>
      </w:r>
    </w:p>
    <w:p w14:paraId="726811B8" w14:textId="08AE06EC" w:rsidR="00DA583C" w:rsidRDefault="00DA583C" w:rsidP="00DA583C">
      <w:pPr>
        <w:spacing w:line="360" w:lineRule="auto"/>
        <w:jc w:val="both"/>
        <w:rPr>
          <w:rFonts w:ascii="Arial" w:hAnsi="Arial" w:cs="Arial"/>
          <w:sz w:val="24"/>
          <w:szCs w:val="24"/>
        </w:rPr>
      </w:pPr>
      <w:r w:rsidRPr="00DA583C">
        <w:rPr>
          <w:rFonts w:ascii="Arial" w:hAnsi="Arial" w:cs="Arial"/>
          <w:sz w:val="24"/>
          <w:szCs w:val="24"/>
        </w:rPr>
        <w:t>Deery, M. and Jago, L. (2015)</w:t>
      </w:r>
      <w:r>
        <w:rPr>
          <w:rFonts w:ascii="Arial" w:hAnsi="Arial" w:cs="Arial"/>
          <w:sz w:val="24"/>
          <w:szCs w:val="24"/>
        </w:rPr>
        <w:t xml:space="preserve">. </w:t>
      </w:r>
      <w:r w:rsidRPr="00DA583C">
        <w:rPr>
          <w:rFonts w:ascii="Arial" w:hAnsi="Arial" w:cs="Arial"/>
          <w:sz w:val="24"/>
          <w:szCs w:val="24"/>
        </w:rPr>
        <w:t xml:space="preserve">Revisiting talent management, work-life balance and retention, </w:t>
      </w:r>
      <w:r w:rsidRPr="00DA583C">
        <w:rPr>
          <w:rFonts w:ascii="Arial" w:hAnsi="Arial" w:cs="Arial"/>
          <w:i/>
          <w:iCs/>
          <w:sz w:val="24"/>
          <w:szCs w:val="24"/>
        </w:rPr>
        <w:t>International Journal of Contemporary Hospitality Management</w:t>
      </w:r>
      <w:r w:rsidRPr="00DA583C">
        <w:rPr>
          <w:rFonts w:ascii="Arial" w:hAnsi="Arial" w:cs="Arial"/>
          <w:sz w:val="24"/>
          <w:szCs w:val="24"/>
        </w:rPr>
        <w:t>, 27(3), pp. 453–472.</w:t>
      </w:r>
      <w:r>
        <w:rPr>
          <w:rFonts w:ascii="Arial" w:hAnsi="Arial" w:cs="Arial"/>
          <w:sz w:val="24"/>
          <w:szCs w:val="24"/>
        </w:rPr>
        <w:t>Available at:</w:t>
      </w:r>
      <w:r w:rsidRPr="00DA583C">
        <w:rPr>
          <w:rFonts w:ascii="Arial" w:hAnsi="Arial" w:cs="Arial"/>
          <w:sz w:val="24"/>
          <w:szCs w:val="24"/>
        </w:rPr>
        <w:t xml:space="preserve"> </w:t>
      </w:r>
      <w:hyperlink r:id="rId26" w:history="1">
        <w:r w:rsidRPr="00DA583C">
          <w:rPr>
            <w:rStyle w:val="Hyperlink"/>
            <w:rFonts w:ascii="Arial" w:hAnsi="Arial" w:cs="Arial"/>
            <w:sz w:val="24"/>
            <w:szCs w:val="24"/>
          </w:rPr>
          <w:t>https://doi.org/10.1108/IJCHM-12-2013-0538</w:t>
        </w:r>
      </w:hyperlink>
      <w:r w:rsidRPr="00DA583C">
        <w:rPr>
          <w:rFonts w:ascii="Arial" w:hAnsi="Arial" w:cs="Arial"/>
          <w:sz w:val="24"/>
          <w:szCs w:val="24"/>
        </w:rPr>
        <w:t xml:space="preserve"> </w:t>
      </w:r>
      <w:r w:rsidR="00261FB9">
        <w:rPr>
          <w:rFonts w:ascii="Arial" w:hAnsi="Arial" w:cs="Arial"/>
          <w:sz w:val="24"/>
          <w:szCs w:val="24"/>
        </w:rPr>
        <w:t>(Accessed: 20 Jan</w:t>
      </w:r>
      <w:r w:rsidR="0056654A" w:rsidRPr="0056654A">
        <w:rPr>
          <w:rFonts w:ascii="Arial" w:hAnsi="Arial" w:cs="Arial"/>
          <w:sz w:val="24"/>
          <w:szCs w:val="24"/>
        </w:rPr>
        <w:t>uary</w:t>
      </w:r>
      <w:r w:rsidR="00261FB9">
        <w:rPr>
          <w:rFonts w:ascii="Arial" w:hAnsi="Arial" w:cs="Arial"/>
          <w:sz w:val="24"/>
          <w:szCs w:val="24"/>
        </w:rPr>
        <w:t xml:space="preserve"> 2026).</w:t>
      </w:r>
    </w:p>
    <w:p w14:paraId="047CC4D8" w14:textId="20204F59" w:rsidR="008F4461" w:rsidRDefault="008F4461" w:rsidP="00DA583C">
      <w:pPr>
        <w:spacing w:line="360" w:lineRule="auto"/>
        <w:jc w:val="both"/>
        <w:rPr>
          <w:rFonts w:ascii="Arial" w:hAnsi="Arial" w:cs="Arial"/>
          <w:sz w:val="24"/>
          <w:szCs w:val="24"/>
        </w:rPr>
      </w:pPr>
      <w:r w:rsidRPr="008F4461">
        <w:rPr>
          <w:rFonts w:ascii="Arial" w:hAnsi="Arial" w:cs="Arial"/>
          <w:sz w:val="24"/>
          <w:szCs w:val="24"/>
        </w:rPr>
        <w:t>Delery, J.E. and Doty, D.H. (1996)</w:t>
      </w:r>
      <w:r>
        <w:rPr>
          <w:rFonts w:ascii="Arial" w:hAnsi="Arial" w:cs="Arial"/>
          <w:sz w:val="24"/>
          <w:szCs w:val="24"/>
        </w:rPr>
        <w:t xml:space="preserve">. </w:t>
      </w:r>
      <w:r w:rsidRPr="008F4461">
        <w:rPr>
          <w:rFonts w:ascii="Arial" w:hAnsi="Arial" w:cs="Arial"/>
          <w:sz w:val="24"/>
          <w:szCs w:val="24"/>
        </w:rPr>
        <w:t xml:space="preserve">Modes of theorizing in strategic human resource management: Tests of universalistic, contingency, and configurational performance predictions, </w:t>
      </w:r>
      <w:r w:rsidRPr="008F4461">
        <w:rPr>
          <w:rFonts w:ascii="Arial" w:hAnsi="Arial" w:cs="Arial"/>
          <w:i/>
          <w:iCs/>
          <w:sz w:val="24"/>
          <w:szCs w:val="24"/>
        </w:rPr>
        <w:t>Academy of Management Journal</w:t>
      </w:r>
      <w:r w:rsidRPr="008F4461">
        <w:rPr>
          <w:rFonts w:ascii="Arial" w:hAnsi="Arial" w:cs="Arial"/>
          <w:sz w:val="24"/>
          <w:szCs w:val="24"/>
        </w:rPr>
        <w:t>, 39(4), pp. 802–835</w:t>
      </w:r>
      <w:r>
        <w:rPr>
          <w:rFonts w:ascii="Arial" w:hAnsi="Arial" w:cs="Arial"/>
          <w:sz w:val="24"/>
          <w:szCs w:val="24"/>
        </w:rPr>
        <w:t>.</w:t>
      </w:r>
    </w:p>
    <w:p w14:paraId="78AF9B9E" w14:textId="65F2ED8F" w:rsidR="004011B4" w:rsidRDefault="004011B4" w:rsidP="00DA583C">
      <w:pPr>
        <w:spacing w:line="360" w:lineRule="auto"/>
        <w:jc w:val="both"/>
        <w:rPr>
          <w:rFonts w:ascii="Arial" w:hAnsi="Arial" w:cs="Arial"/>
          <w:sz w:val="24"/>
          <w:szCs w:val="24"/>
        </w:rPr>
      </w:pPr>
      <w:r w:rsidRPr="004011B4">
        <w:rPr>
          <w:rFonts w:ascii="Arial" w:hAnsi="Arial" w:cs="Arial"/>
          <w:sz w:val="24"/>
          <w:szCs w:val="24"/>
        </w:rPr>
        <w:t>Denscombe, M. (2014)</w:t>
      </w:r>
      <w:r>
        <w:rPr>
          <w:rFonts w:ascii="Arial" w:hAnsi="Arial" w:cs="Arial"/>
          <w:sz w:val="24"/>
          <w:szCs w:val="24"/>
        </w:rPr>
        <w:t>.</w:t>
      </w:r>
      <w:r w:rsidRPr="004011B4">
        <w:rPr>
          <w:rFonts w:ascii="Arial" w:hAnsi="Arial" w:cs="Arial"/>
          <w:sz w:val="24"/>
          <w:szCs w:val="24"/>
        </w:rPr>
        <w:t xml:space="preserve"> </w:t>
      </w:r>
      <w:r w:rsidRPr="004011B4">
        <w:rPr>
          <w:rFonts w:ascii="Arial" w:hAnsi="Arial" w:cs="Arial"/>
          <w:i/>
          <w:iCs/>
          <w:sz w:val="24"/>
          <w:szCs w:val="24"/>
        </w:rPr>
        <w:t>The Good Research Guide</w:t>
      </w:r>
      <w:r w:rsidRPr="004011B4">
        <w:rPr>
          <w:rFonts w:ascii="Arial" w:hAnsi="Arial" w:cs="Arial"/>
          <w:sz w:val="24"/>
          <w:szCs w:val="24"/>
        </w:rPr>
        <w:t xml:space="preserve">. 5th </w:t>
      </w:r>
      <w:proofErr w:type="spellStart"/>
      <w:r w:rsidRPr="004011B4">
        <w:rPr>
          <w:rFonts w:ascii="Arial" w:hAnsi="Arial" w:cs="Arial"/>
          <w:sz w:val="24"/>
          <w:szCs w:val="24"/>
        </w:rPr>
        <w:t>edn</w:t>
      </w:r>
      <w:proofErr w:type="spellEnd"/>
      <w:r w:rsidRPr="004011B4">
        <w:rPr>
          <w:rFonts w:ascii="Arial" w:hAnsi="Arial" w:cs="Arial"/>
          <w:sz w:val="24"/>
          <w:szCs w:val="24"/>
        </w:rPr>
        <w:t>. Maidenhead: Open University Press.</w:t>
      </w:r>
    </w:p>
    <w:p w14:paraId="41CA9BF2" w14:textId="799A872B" w:rsidR="0048440C" w:rsidRDefault="0048440C" w:rsidP="0048440C">
      <w:pPr>
        <w:spacing w:line="360" w:lineRule="auto"/>
        <w:jc w:val="both"/>
        <w:rPr>
          <w:rFonts w:ascii="Arial" w:hAnsi="Arial" w:cs="Arial"/>
          <w:sz w:val="24"/>
          <w:szCs w:val="24"/>
        </w:rPr>
      </w:pPr>
      <w:r w:rsidRPr="0048440C">
        <w:rPr>
          <w:rFonts w:ascii="Arial" w:hAnsi="Arial" w:cs="Arial"/>
          <w:sz w:val="24"/>
          <w:szCs w:val="24"/>
        </w:rPr>
        <w:t>Gordon, S., Tang, C.H.H., Day, J. and Adler, H. (2019)</w:t>
      </w:r>
      <w:r>
        <w:rPr>
          <w:rFonts w:ascii="Arial" w:hAnsi="Arial" w:cs="Arial"/>
          <w:sz w:val="24"/>
          <w:szCs w:val="24"/>
        </w:rPr>
        <w:t xml:space="preserve">. </w:t>
      </w:r>
      <w:r w:rsidRPr="0048440C">
        <w:rPr>
          <w:rFonts w:ascii="Arial" w:hAnsi="Arial" w:cs="Arial"/>
          <w:sz w:val="24"/>
          <w:szCs w:val="24"/>
        </w:rPr>
        <w:t xml:space="preserve">Supervisor support and turnover in hotels: Does subjective well-being mediate the relationship?, </w:t>
      </w:r>
      <w:r w:rsidRPr="00F1623F">
        <w:rPr>
          <w:rFonts w:ascii="Arial" w:hAnsi="Arial" w:cs="Arial"/>
          <w:i/>
          <w:iCs/>
          <w:sz w:val="24"/>
          <w:szCs w:val="24"/>
        </w:rPr>
        <w:t>International Journal of Contemporary Hospitality Management</w:t>
      </w:r>
      <w:r w:rsidRPr="0048440C">
        <w:rPr>
          <w:rFonts w:ascii="Arial" w:hAnsi="Arial" w:cs="Arial"/>
          <w:sz w:val="24"/>
          <w:szCs w:val="24"/>
        </w:rPr>
        <w:t xml:space="preserve">, 31(1), pp. 496–513. Available at: </w:t>
      </w:r>
      <w:hyperlink r:id="rId27" w:history="1">
        <w:r w:rsidRPr="008A1654">
          <w:rPr>
            <w:rStyle w:val="Hyperlink"/>
            <w:rFonts w:ascii="Arial" w:hAnsi="Arial" w:cs="Arial"/>
            <w:sz w:val="24"/>
            <w:szCs w:val="24"/>
          </w:rPr>
          <w:t>https://doi.org/10.1108/IJCHM-10-2016-0565</w:t>
        </w:r>
      </w:hyperlink>
      <w:r>
        <w:rPr>
          <w:rFonts w:ascii="Arial" w:hAnsi="Arial" w:cs="Arial"/>
          <w:sz w:val="24"/>
          <w:szCs w:val="24"/>
        </w:rPr>
        <w:t xml:space="preserve"> </w:t>
      </w:r>
      <w:r w:rsidRPr="0048440C">
        <w:rPr>
          <w:rFonts w:ascii="Arial" w:hAnsi="Arial" w:cs="Arial"/>
          <w:sz w:val="24"/>
          <w:szCs w:val="24"/>
        </w:rPr>
        <w:t xml:space="preserve">(Accessed: </w:t>
      </w:r>
      <w:r>
        <w:rPr>
          <w:rFonts w:ascii="Arial" w:hAnsi="Arial" w:cs="Arial"/>
          <w:sz w:val="24"/>
          <w:szCs w:val="24"/>
        </w:rPr>
        <w:t>7</w:t>
      </w:r>
      <w:r w:rsidRPr="0048440C">
        <w:rPr>
          <w:rFonts w:ascii="Arial" w:hAnsi="Arial" w:cs="Arial"/>
          <w:sz w:val="24"/>
          <w:szCs w:val="24"/>
        </w:rPr>
        <w:t xml:space="preserve"> </w:t>
      </w:r>
      <w:r w:rsidR="00453673">
        <w:rPr>
          <w:rFonts w:ascii="Arial" w:hAnsi="Arial" w:cs="Arial"/>
          <w:sz w:val="24"/>
          <w:szCs w:val="24"/>
        </w:rPr>
        <w:t>February</w:t>
      </w:r>
      <w:r w:rsidRPr="0048440C">
        <w:rPr>
          <w:rFonts w:ascii="Arial" w:hAnsi="Arial" w:cs="Arial"/>
          <w:sz w:val="24"/>
          <w:szCs w:val="24"/>
        </w:rPr>
        <w:t xml:space="preserve"> 2026).</w:t>
      </w:r>
    </w:p>
    <w:p w14:paraId="0A832195" w14:textId="45987AD0" w:rsidR="00EB1C71" w:rsidRDefault="00EB1C71" w:rsidP="00DA583C">
      <w:pPr>
        <w:spacing w:line="360" w:lineRule="auto"/>
        <w:jc w:val="both"/>
        <w:rPr>
          <w:rFonts w:ascii="Arial" w:hAnsi="Arial" w:cs="Arial"/>
          <w:sz w:val="24"/>
          <w:szCs w:val="24"/>
        </w:rPr>
      </w:pPr>
      <w:r w:rsidRPr="00EB1C71">
        <w:rPr>
          <w:rFonts w:ascii="Arial" w:hAnsi="Arial" w:cs="Arial"/>
          <w:sz w:val="24"/>
          <w:szCs w:val="24"/>
        </w:rPr>
        <w:t xml:space="preserve">Grandey, A. A. (2000). Emotional regulation in the workplace: A new way to conceptualize emotional </w:t>
      </w:r>
      <w:proofErr w:type="spellStart"/>
      <w:r w:rsidRPr="00EB1C71">
        <w:rPr>
          <w:rFonts w:ascii="Arial" w:hAnsi="Arial" w:cs="Arial"/>
          <w:sz w:val="24"/>
          <w:szCs w:val="24"/>
        </w:rPr>
        <w:t>labor</w:t>
      </w:r>
      <w:proofErr w:type="spellEnd"/>
      <w:r w:rsidRPr="00EB1C71">
        <w:rPr>
          <w:rFonts w:ascii="Arial" w:hAnsi="Arial" w:cs="Arial"/>
          <w:sz w:val="24"/>
          <w:szCs w:val="24"/>
        </w:rPr>
        <w:t xml:space="preserve">. </w:t>
      </w:r>
      <w:r w:rsidRPr="00EB1C71">
        <w:rPr>
          <w:rFonts w:ascii="Arial" w:hAnsi="Arial" w:cs="Arial"/>
          <w:i/>
          <w:iCs/>
          <w:sz w:val="24"/>
          <w:szCs w:val="24"/>
        </w:rPr>
        <w:t>Journal of Occupational Health Psychology</w:t>
      </w:r>
      <w:r w:rsidRPr="00EB1C71">
        <w:rPr>
          <w:rFonts w:ascii="Arial" w:hAnsi="Arial" w:cs="Arial"/>
          <w:sz w:val="24"/>
          <w:szCs w:val="24"/>
        </w:rPr>
        <w:t xml:space="preserve">, 5(1), 95–110. </w:t>
      </w:r>
      <w:r>
        <w:rPr>
          <w:rFonts w:ascii="Arial" w:hAnsi="Arial" w:cs="Arial"/>
          <w:sz w:val="24"/>
          <w:szCs w:val="24"/>
        </w:rPr>
        <w:t xml:space="preserve">Available at: </w:t>
      </w:r>
      <w:hyperlink r:id="rId28" w:history="1">
        <w:r w:rsidRPr="00524AF7">
          <w:rPr>
            <w:rStyle w:val="Hyperlink"/>
            <w:rFonts w:ascii="Arial" w:hAnsi="Arial" w:cs="Arial"/>
            <w:sz w:val="24"/>
            <w:szCs w:val="24"/>
          </w:rPr>
          <w:t>https://doi.org/10.1037/1076-8998.5.1.95</w:t>
        </w:r>
      </w:hyperlink>
      <w:r>
        <w:rPr>
          <w:rFonts w:ascii="Arial" w:hAnsi="Arial" w:cs="Arial"/>
          <w:sz w:val="24"/>
          <w:szCs w:val="24"/>
        </w:rPr>
        <w:t xml:space="preserve"> (Accessed 24 Jan</w:t>
      </w:r>
      <w:r w:rsidR="00453673">
        <w:rPr>
          <w:rFonts w:ascii="Arial" w:hAnsi="Arial" w:cs="Arial"/>
          <w:sz w:val="24"/>
          <w:szCs w:val="24"/>
        </w:rPr>
        <w:t>uary</w:t>
      </w:r>
      <w:r>
        <w:rPr>
          <w:rFonts w:ascii="Arial" w:hAnsi="Arial" w:cs="Arial"/>
          <w:sz w:val="24"/>
          <w:szCs w:val="24"/>
        </w:rPr>
        <w:t xml:space="preserve"> 2026).</w:t>
      </w:r>
    </w:p>
    <w:p w14:paraId="6EDC5A63" w14:textId="6622EE2A" w:rsidR="00327242" w:rsidRDefault="00327242" w:rsidP="00DA583C">
      <w:pPr>
        <w:spacing w:line="360" w:lineRule="auto"/>
        <w:jc w:val="both"/>
        <w:rPr>
          <w:rFonts w:ascii="Arial" w:hAnsi="Arial" w:cs="Arial"/>
          <w:sz w:val="24"/>
          <w:szCs w:val="24"/>
        </w:rPr>
      </w:pPr>
      <w:r w:rsidRPr="00327242">
        <w:rPr>
          <w:rFonts w:ascii="Arial" w:hAnsi="Arial" w:cs="Arial"/>
          <w:sz w:val="24"/>
          <w:szCs w:val="24"/>
        </w:rPr>
        <w:t>Griffeth, R.W., Hom, P.W. and Gaertner, S. (2000)</w:t>
      </w:r>
      <w:r>
        <w:rPr>
          <w:rFonts w:ascii="Arial" w:hAnsi="Arial" w:cs="Arial"/>
          <w:sz w:val="24"/>
          <w:szCs w:val="24"/>
        </w:rPr>
        <w:t xml:space="preserve">. </w:t>
      </w:r>
      <w:r w:rsidRPr="00327242">
        <w:rPr>
          <w:rFonts w:ascii="Arial" w:hAnsi="Arial" w:cs="Arial"/>
          <w:sz w:val="24"/>
          <w:szCs w:val="24"/>
        </w:rPr>
        <w:t xml:space="preserve">A meta-analysis of antecedents and correlates of employee turnover, </w:t>
      </w:r>
      <w:r w:rsidRPr="00327242">
        <w:rPr>
          <w:rFonts w:ascii="Arial" w:hAnsi="Arial" w:cs="Arial"/>
          <w:i/>
          <w:iCs/>
          <w:sz w:val="24"/>
          <w:szCs w:val="24"/>
        </w:rPr>
        <w:t>Journal of Management</w:t>
      </w:r>
      <w:r w:rsidRPr="00327242">
        <w:rPr>
          <w:rFonts w:ascii="Arial" w:hAnsi="Arial" w:cs="Arial"/>
          <w:sz w:val="24"/>
          <w:szCs w:val="24"/>
        </w:rPr>
        <w:t xml:space="preserve">, 26(3), pp. 463–488. Available at: </w:t>
      </w:r>
      <w:hyperlink r:id="rId29" w:history="1">
        <w:r w:rsidRPr="003230FC">
          <w:rPr>
            <w:rStyle w:val="Hyperlink"/>
            <w:rFonts w:ascii="Arial" w:hAnsi="Arial" w:cs="Arial"/>
            <w:sz w:val="24"/>
            <w:szCs w:val="24"/>
          </w:rPr>
          <w:t>https://doi.org/10.1177/014920630002600305</w:t>
        </w:r>
      </w:hyperlink>
      <w:r>
        <w:rPr>
          <w:rFonts w:ascii="Arial" w:hAnsi="Arial" w:cs="Arial"/>
          <w:sz w:val="24"/>
          <w:szCs w:val="24"/>
        </w:rPr>
        <w:t xml:space="preserve"> (Accessed: 16 Jan</w:t>
      </w:r>
      <w:r w:rsidR="00453673">
        <w:rPr>
          <w:rFonts w:ascii="Arial" w:hAnsi="Arial" w:cs="Arial"/>
          <w:sz w:val="24"/>
          <w:szCs w:val="24"/>
        </w:rPr>
        <w:t>uary</w:t>
      </w:r>
      <w:r>
        <w:rPr>
          <w:rFonts w:ascii="Arial" w:hAnsi="Arial" w:cs="Arial"/>
          <w:sz w:val="24"/>
          <w:szCs w:val="24"/>
        </w:rPr>
        <w:t xml:space="preserve"> 2026).</w:t>
      </w:r>
    </w:p>
    <w:p w14:paraId="6D468F7B" w14:textId="5203237A" w:rsidR="00342F03" w:rsidRDefault="00342F03" w:rsidP="00DA583C">
      <w:pPr>
        <w:spacing w:line="360" w:lineRule="auto"/>
        <w:jc w:val="both"/>
        <w:rPr>
          <w:rFonts w:ascii="Arial" w:hAnsi="Arial" w:cs="Arial"/>
          <w:sz w:val="24"/>
          <w:szCs w:val="24"/>
        </w:rPr>
      </w:pPr>
      <w:proofErr w:type="spellStart"/>
      <w:r w:rsidRPr="00342F03">
        <w:rPr>
          <w:rFonts w:ascii="Arial" w:hAnsi="Arial" w:cs="Arial"/>
          <w:sz w:val="24"/>
          <w:szCs w:val="24"/>
        </w:rPr>
        <w:lastRenderedPageBreak/>
        <w:t>Guchait</w:t>
      </w:r>
      <w:proofErr w:type="spellEnd"/>
      <w:r w:rsidRPr="00342F03">
        <w:rPr>
          <w:rFonts w:ascii="Arial" w:hAnsi="Arial" w:cs="Arial"/>
          <w:sz w:val="24"/>
          <w:szCs w:val="24"/>
        </w:rPr>
        <w:t>, P., Cho, S. and Meurs, J.A. (2015)</w:t>
      </w:r>
      <w:r>
        <w:rPr>
          <w:rFonts w:ascii="Arial" w:hAnsi="Arial" w:cs="Arial"/>
          <w:sz w:val="24"/>
          <w:szCs w:val="24"/>
        </w:rPr>
        <w:t xml:space="preserve">. </w:t>
      </w:r>
      <w:r w:rsidRPr="00342F03">
        <w:rPr>
          <w:rFonts w:ascii="Arial" w:hAnsi="Arial" w:cs="Arial"/>
          <w:sz w:val="24"/>
          <w:szCs w:val="24"/>
        </w:rPr>
        <w:t xml:space="preserve">Psychological contracts, perceived organizational and supervisor support: Investigating the impact on intent to leave among hospitality employees in India, </w:t>
      </w:r>
      <w:r w:rsidRPr="00342F03">
        <w:rPr>
          <w:rFonts w:ascii="Arial" w:hAnsi="Arial" w:cs="Arial"/>
          <w:i/>
          <w:iCs/>
          <w:sz w:val="24"/>
          <w:szCs w:val="24"/>
        </w:rPr>
        <w:t>Journal of Human Resources in Hospitality &amp; Tourism</w:t>
      </w:r>
      <w:r w:rsidRPr="00342F03">
        <w:rPr>
          <w:rFonts w:ascii="Arial" w:hAnsi="Arial" w:cs="Arial"/>
          <w:sz w:val="24"/>
          <w:szCs w:val="24"/>
        </w:rPr>
        <w:t xml:space="preserve">, 14(3), pp. 290–315. Available at: </w:t>
      </w:r>
      <w:hyperlink r:id="rId30" w:history="1">
        <w:r w:rsidRPr="00524AF7">
          <w:rPr>
            <w:rStyle w:val="Hyperlink"/>
            <w:rFonts w:ascii="Arial" w:hAnsi="Arial" w:cs="Arial"/>
            <w:sz w:val="24"/>
            <w:szCs w:val="24"/>
          </w:rPr>
          <w:t>https://doi.org/10.1080/15332845.2015.1002070</w:t>
        </w:r>
      </w:hyperlink>
      <w:r>
        <w:rPr>
          <w:rFonts w:ascii="Arial" w:hAnsi="Arial" w:cs="Arial"/>
          <w:sz w:val="24"/>
          <w:szCs w:val="24"/>
        </w:rPr>
        <w:t xml:space="preserve"> (Accessed: 29 Jan</w:t>
      </w:r>
      <w:r w:rsidR="00453673">
        <w:rPr>
          <w:rFonts w:ascii="Arial" w:hAnsi="Arial" w:cs="Arial"/>
          <w:sz w:val="24"/>
          <w:szCs w:val="24"/>
        </w:rPr>
        <w:t>uary</w:t>
      </w:r>
      <w:r>
        <w:rPr>
          <w:rFonts w:ascii="Arial" w:hAnsi="Arial" w:cs="Arial"/>
          <w:sz w:val="24"/>
          <w:szCs w:val="24"/>
        </w:rPr>
        <w:t xml:space="preserve"> 2026).</w:t>
      </w:r>
    </w:p>
    <w:p w14:paraId="27DB0F50" w14:textId="7A7338E8" w:rsidR="00820887" w:rsidRDefault="00820887" w:rsidP="00820887">
      <w:pPr>
        <w:spacing w:line="360" w:lineRule="auto"/>
        <w:jc w:val="both"/>
        <w:rPr>
          <w:rFonts w:ascii="Arial" w:hAnsi="Arial" w:cs="Arial"/>
          <w:sz w:val="24"/>
          <w:szCs w:val="24"/>
        </w:rPr>
      </w:pPr>
      <w:proofErr w:type="spellStart"/>
      <w:r w:rsidRPr="00820887">
        <w:rPr>
          <w:rFonts w:ascii="Arial" w:hAnsi="Arial" w:cs="Arial"/>
          <w:sz w:val="24"/>
          <w:szCs w:val="24"/>
        </w:rPr>
        <w:t>Guilding</w:t>
      </w:r>
      <w:proofErr w:type="spellEnd"/>
      <w:r w:rsidRPr="00820887">
        <w:rPr>
          <w:rFonts w:ascii="Arial" w:hAnsi="Arial" w:cs="Arial"/>
          <w:sz w:val="24"/>
          <w:szCs w:val="24"/>
        </w:rPr>
        <w:t xml:space="preserve">, C., </w:t>
      </w:r>
      <w:proofErr w:type="spellStart"/>
      <w:r w:rsidRPr="00820887">
        <w:rPr>
          <w:rFonts w:ascii="Arial" w:hAnsi="Arial" w:cs="Arial"/>
          <w:sz w:val="24"/>
          <w:szCs w:val="24"/>
        </w:rPr>
        <w:t>Lamminmaki</w:t>
      </w:r>
      <w:proofErr w:type="spellEnd"/>
      <w:r w:rsidRPr="00820887">
        <w:rPr>
          <w:rFonts w:ascii="Arial" w:hAnsi="Arial" w:cs="Arial"/>
          <w:sz w:val="24"/>
          <w:szCs w:val="24"/>
        </w:rPr>
        <w:t>, D. and McManus, L. (2014)</w:t>
      </w:r>
      <w:r>
        <w:rPr>
          <w:rFonts w:ascii="Arial" w:hAnsi="Arial" w:cs="Arial"/>
          <w:sz w:val="24"/>
          <w:szCs w:val="24"/>
        </w:rPr>
        <w:t xml:space="preserve">. </w:t>
      </w:r>
      <w:r w:rsidRPr="00820887">
        <w:rPr>
          <w:rFonts w:ascii="Arial" w:hAnsi="Arial" w:cs="Arial"/>
          <w:sz w:val="24"/>
          <w:szCs w:val="24"/>
        </w:rPr>
        <w:t xml:space="preserve">Staff turnover costs: In search of accountability, </w:t>
      </w:r>
      <w:r w:rsidRPr="00820887">
        <w:rPr>
          <w:rFonts w:ascii="Arial" w:hAnsi="Arial" w:cs="Arial"/>
          <w:i/>
          <w:iCs/>
          <w:sz w:val="24"/>
          <w:szCs w:val="24"/>
        </w:rPr>
        <w:t>International Journal of Hospitality Management</w:t>
      </w:r>
      <w:r w:rsidRPr="00820887">
        <w:rPr>
          <w:rFonts w:ascii="Arial" w:hAnsi="Arial" w:cs="Arial"/>
          <w:sz w:val="24"/>
          <w:szCs w:val="24"/>
        </w:rPr>
        <w:t xml:space="preserve">, 36, pp. 231–243. Available at: </w:t>
      </w:r>
      <w:hyperlink r:id="rId31" w:history="1">
        <w:r w:rsidRPr="008A1654">
          <w:rPr>
            <w:rStyle w:val="Hyperlink"/>
            <w:rFonts w:ascii="Arial" w:hAnsi="Arial" w:cs="Arial"/>
            <w:sz w:val="24"/>
            <w:szCs w:val="24"/>
          </w:rPr>
          <w:t>https://doi.org/10.1016/j.ijhm.2013.10.001</w:t>
        </w:r>
      </w:hyperlink>
      <w:r>
        <w:rPr>
          <w:rFonts w:ascii="Arial" w:hAnsi="Arial" w:cs="Arial"/>
          <w:sz w:val="24"/>
          <w:szCs w:val="24"/>
        </w:rPr>
        <w:t xml:space="preserve"> </w:t>
      </w:r>
      <w:r w:rsidRPr="00820887">
        <w:rPr>
          <w:rFonts w:ascii="Arial" w:hAnsi="Arial" w:cs="Arial"/>
          <w:sz w:val="24"/>
          <w:szCs w:val="24"/>
        </w:rPr>
        <w:t xml:space="preserve">(Accessed: </w:t>
      </w:r>
      <w:r>
        <w:rPr>
          <w:rFonts w:ascii="Arial" w:hAnsi="Arial" w:cs="Arial"/>
          <w:sz w:val="24"/>
          <w:szCs w:val="24"/>
        </w:rPr>
        <w:t>10</w:t>
      </w:r>
      <w:r w:rsidRPr="00820887">
        <w:rPr>
          <w:rFonts w:ascii="Arial" w:hAnsi="Arial" w:cs="Arial"/>
          <w:sz w:val="24"/>
          <w:szCs w:val="24"/>
        </w:rPr>
        <w:t xml:space="preserve"> Feb</w:t>
      </w:r>
      <w:r w:rsidR="00453673">
        <w:rPr>
          <w:rFonts w:ascii="Arial" w:hAnsi="Arial" w:cs="Arial"/>
          <w:sz w:val="24"/>
          <w:szCs w:val="24"/>
        </w:rPr>
        <w:t>ruary</w:t>
      </w:r>
      <w:r w:rsidRPr="00820887">
        <w:rPr>
          <w:rFonts w:ascii="Arial" w:hAnsi="Arial" w:cs="Arial"/>
          <w:sz w:val="24"/>
          <w:szCs w:val="24"/>
        </w:rPr>
        <w:t xml:space="preserve"> 2026).</w:t>
      </w:r>
    </w:p>
    <w:p w14:paraId="2FAADD26" w14:textId="232B5E30" w:rsidR="000A1911" w:rsidRDefault="000A1911" w:rsidP="00DA583C">
      <w:pPr>
        <w:spacing w:line="360" w:lineRule="auto"/>
        <w:jc w:val="both"/>
        <w:rPr>
          <w:rFonts w:ascii="Arial" w:hAnsi="Arial" w:cs="Arial"/>
          <w:sz w:val="24"/>
          <w:szCs w:val="24"/>
        </w:rPr>
      </w:pPr>
      <w:r w:rsidRPr="000A1911">
        <w:rPr>
          <w:rFonts w:ascii="Arial" w:hAnsi="Arial" w:cs="Arial"/>
          <w:sz w:val="24"/>
          <w:szCs w:val="24"/>
        </w:rPr>
        <w:t xml:space="preserve">Halbesleben, J.R.B. (2006). Sources of social support and burnout: A meta-analytic test of the conservation of resources model, Journal of Applied Psychology, 91(5), pp. 1134–1145. Available at: </w:t>
      </w:r>
      <w:hyperlink r:id="rId32" w:history="1">
        <w:r w:rsidRPr="00524AF7">
          <w:rPr>
            <w:rStyle w:val="Hyperlink"/>
            <w:rFonts w:ascii="Arial" w:hAnsi="Arial" w:cs="Arial"/>
            <w:sz w:val="24"/>
            <w:szCs w:val="24"/>
          </w:rPr>
          <w:t>https://doi.org/10.1037/0021-9010.91.5.1134</w:t>
        </w:r>
      </w:hyperlink>
      <w:r>
        <w:rPr>
          <w:rFonts w:ascii="Arial" w:hAnsi="Arial" w:cs="Arial"/>
          <w:sz w:val="24"/>
          <w:szCs w:val="24"/>
        </w:rPr>
        <w:t xml:space="preserve"> </w:t>
      </w:r>
      <w:r w:rsidRPr="000A1911">
        <w:rPr>
          <w:rFonts w:ascii="Arial" w:hAnsi="Arial" w:cs="Arial"/>
          <w:sz w:val="24"/>
          <w:szCs w:val="24"/>
        </w:rPr>
        <w:t>(Accessed 23 Jan</w:t>
      </w:r>
      <w:r w:rsidR="00453673">
        <w:rPr>
          <w:rFonts w:ascii="Arial" w:hAnsi="Arial" w:cs="Arial"/>
          <w:sz w:val="24"/>
          <w:szCs w:val="24"/>
        </w:rPr>
        <w:t>uary</w:t>
      </w:r>
      <w:r w:rsidRPr="000A1911">
        <w:rPr>
          <w:rFonts w:ascii="Arial" w:hAnsi="Arial" w:cs="Arial"/>
          <w:sz w:val="24"/>
          <w:szCs w:val="24"/>
        </w:rPr>
        <w:t xml:space="preserve"> 2026).</w:t>
      </w:r>
    </w:p>
    <w:p w14:paraId="7F13534D" w14:textId="48384748" w:rsidR="000A1911" w:rsidRDefault="000A1911" w:rsidP="000A1911">
      <w:pPr>
        <w:spacing w:line="360" w:lineRule="auto"/>
        <w:jc w:val="both"/>
        <w:rPr>
          <w:rFonts w:ascii="Arial" w:hAnsi="Arial" w:cs="Arial"/>
          <w:sz w:val="24"/>
          <w:szCs w:val="24"/>
        </w:rPr>
      </w:pPr>
      <w:r w:rsidRPr="000A1911">
        <w:rPr>
          <w:rFonts w:ascii="Arial" w:hAnsi="Arial" w:cs="Arial"/>
          <w:sz w:val="24"/>
          <w:szCs w:val="24"/>
        </w:rPr>
        <w:t>Han, S.J., Bonn, M.A. and Cho, M. (2016)</w:t>
      </w:r>
      <w:r>
        <w:rPr>
          <w:rFonts w:ascii="Arial" w:hAnsi="Arial" w:cs="Arial"/>
          <w:sz w:val="24"/>
          <w:szCs w:val="24"/>
        </w:rPr>
        <w:t xml:space="preserve">. </w:t>
      </w:r>
      <w:r w:rsidRPr="000A1911">
        <w:rPr>
          <w:rFonts w:ascii="Arial" w:hAnsi="Arial" w:cs="Arial"/>
          <w:sz w:val="24"/>
          <w:szCs w:val="24"/>
        </w:rPr>
        <w:t xml:space="preserve">The relationship between customer incivility, restaurant frontline service employee burnout and turnover intention, </w:t>
      </w:r>
      <w:r w:rsidRPr="000A1911">
        <w:rPr>
          <w:rFonts w:ascii="Arial" w:hAnsi="Arial" w:cs="Arial"/>
          <w:i/>
          <w:iCs/>
          <w:sz w:val="24"/>
          <w:szCs w:val="24"/>
        </w:rPr>
        <w:t>International Journal of Hospitality Management</w:t>
      </w:r>
      <w:r w:rsidRPr="000A1911">
        <w:rPr>
          <w:rFonts w:ascii="Arial" w:hAnsi="Arial" w:cs="Arial"/>
          <w:sz w:val="24"/>
          <w:szCs w:val="24"/>
        </w:rPr>
        <w:t xml:space="preserve">, 52, pp. 97–106. Available at: </w:t>
      </w:r>
      <w:hyperlink r:id="rId33" w:history="1">
        <w:r w:rsidRPr="00524AF7">
          <w:rPr>
            <w:rStyle w:val="Hyperlink"/>
            <w:rFonts w:ascii="Arial" w:hAnsi="Arial" w:cs="Arial"/>
            <w:sz w:val="24"/>
            <w:szCs w:val="24"/>
          </w:rPr>
          <w:t>https://doi.org/10.1016/j.ijhm.2015.10.002</w:t>
        </w:r>
      </w:hyperlink>
      <w:r>
        <w:rPr>
          <w:rFonts w:ascii="Arial" w:hAnsi="Arial" w:cs="Arial"/>
          <w:sz w:val="24"/>
          <w:szCs w:val="24"/>
        </w:rPr>
        <w:t xml:space="preserve"> </w:t>
      </w:r>
      <w:r w:rsidRPr="000A1911">
        <w:rPr>
          <w:rFonts w:ascii="Arial" w:hAnsi="Arial" w:cs="Arial"/>
          <w:sz w:val="24"/>
          <w:szCs w:val="24"/>
        </w:rPr>
        <w:t>(Accessed: 2</w:t>
      </w:r>
      <w:r>
        <w:rPr>
          <w:rFonts w:ascii="Arial" w:hAnsi="Arial" w:cs="Arial"/>
          <w:sz w:val="24"/>
          <w:szCs w:val="24"/>
        </w:rPr>
        <w:t>5</w:t>
      </w:r>
      <w:r w:rsidRPr="000A1911">
        <w:rPr>
          <w:rFonts w:ascii="Arial" w:hAnsi="Arial" w:cs="Arial"/>
          <w:sz w:val="24"/>
          <w:szCs w:val="24"/>
        </w:rPr>
        <w:t xml:space="preserve"> </w:t>
      </w:r>
      <w:r>
        <w:rPr>
          <w:rFonts w:ascii="Arial" w:hAnsi="Arial" w:cs="Arial"/>
          <w:sz w:val="24"/>
          <w:szCs w:val="24"/>
        </w:rPr>
        <w:t>Jan</w:t>
      </w:r>
      <w:r w:rsidR="00453673">
        <w:rPr>
          <w:rFonts w:ascii="Arial" w:hAnsi="Arial" w:cs="Arial"/>
          <w:sz w:val="24"/>
          <w:szCs w:val="24"/>
        </w:rPr>
        <w:t>uary</w:t>
      </w:r>
      <w:r w:rsidRPr="000A1911">
        <w:rPr>
          <w:rFonts w:ascii="Arial" w:hAnsi="Arial" w:cs="Arial"/>
          <w:sz w:val="24"/>
          <w:szCs w:val="24"/>
        </w:rPr>
        <w:t xml:space="preserve"> 2026).</w:t>
      </w:r>
    </w:p>
    <w:p w14:paraId="0E6D3D29" w14:textId="27BE92D6" w:rsidR="005B0B9D" w:rsidRDefault="005B0B9D" w:rsidP="005B0B9D">
      <w:pPr>
        <w:spacing w:line="360" w:lineRule="auto"/>
        <w:jc w:val="both"/>
        <w:rPr>
          <w:rFonts w:ascii="Arial" w:hAnsi="Arial" w:cs="Arial"/>
          <w:sz w:val="24"/>
          <w:szCs w:val="24"/>
        </w:rPr>
      </w:pPr>
      <w:r w:rsidRPr="005B0B9D">
        <w:rPr>
          <w:rFonts w:ascii="Arial" w:hAnsi="Arial" w:cs="Arial"/>
          <w:sz w:val="24"/>
          <w:szCs w:val="24"/>
        </w:rPr>
        <w:t>Harter, J.K., Schmidt, F.L. and Hayes, T.L. (2002)</w:t>
      </w:r>
      <w:r>
        <w:rPr>
          <w:rFonts w:ascii="Arial" w:hAnsi="Arial" w:cs="Arial"/>
          <w:sz w:val="24"/>
          <w:szCs w:val="24"/>
        </w:rPr>
        <w:t xml:space="preserve">. </w:t>
      </w:r>
      <w:r w:rsidRPr="005B0B9D">
        <w:rPr>
          <w:rFonts w:ascii="Arial" w:hAnsi="Arial" w:cs="Arial"/>
          <w:sz w:val="24"/>
          <w:szCs w:val="24"/>
        </w:rPr>
        <w:t xml:space="preserve">Business-unit-level relationship between employee satisfaction and business outcomes, </w:t>
      </w:r>
      <w:r w:rsidRPr="005B0B9D">
        <w:rPr>
          <w:rFonts w:ascii="Arial" w:hAnsi="Arial" w:cs="Arial"/>
          <w:i/>
          <w:iCs/>
          <w:sz w:val="24"/>
          <w:szCs w:val="24"/>
        </w:rPr>
        <w:t>Journal of Applied Psychology</w:t>
      </w:r>
      <w:r w:rsidRPr="005B0B9D">
        <w:rPr>
          <w:rFonts w:ascii="Arial" w:hAnsi="Arial" w:cs="Arial"/>
          <w:sz w:val="24"/>
          <w:szCs w:val="24"/>
        </w:rPr>
        <w:t>, 87(2), pp. 268–279.</w:t>
      </w:r>
      <w:r>
        <w:rPr>
          <w:rFonts w:ascii="Arial" w:hAnsi="Arial" w:cs="Arial"/>
          <w:sz w:val="24"/>
          <w:szCs w:val="24"/>
        </w:rPr>
        <w:t xml:space="preserve"> Available at: </w:t>
      </w:r>
      <w:hyperlink r:id="rId34" w:history="1">
        <w:r w:rsidRPr="00524AF7">
          <w:rPr>
            <w:rStyle w:val="Hyperlink"/>
            <w:rFonts w:ascii="Arial" w:hAnsi="Arial" w:cs="Arial"/>
            <w:sz w:val="24"/>
            <w:szCs w:val="24"/>
          </w:rPr>
          <w:t>https://doi.org/10.1037/0021-9010.87.2.268</w:t>
        </w:r>
      </w:hyperlink>
      <w:r>
        <w:rPr>
          <w:rFonts w:ascii="Arial" w:hAnsi="Arial" w:cs="Arial"/>
          <w:sz w:val="24"/>
          <w:szCs w:val="24"/>
        </w:rPr>
        <w:t xml:space="preserve"> (Accessed 21 Jan</w:t>
      </w:r>
      <w:r w:rsidR="00453673">
        <w:rPr>
          <w:rFonts w:ascii="Arial" w:hAnsi="Arial" w:cs="Arial"/>
          <w:sz w:val="24"/>
          <w:szCs w:val="24"/>
        </w:rPr>
        <w:t>uary</w:t>
      </w:r>
      <w:r>
        <w:rPr>
          <w:rFonts w:ascii="Arial" w:hAnsi="Arial" w:cs="Arial"/>
          <w:sz w:val="24"/>
          <w:szCs w:val="24"/>
        </w:rPr>
        <w:t xml:space="preserve"> 2026).</w:t>
      </w:r>
    </w:p>
    <w:p w14:paraId="5568E29C" w14:textId="7E9DE6F4" w:rsidR="008F29AE" w:rsidRDefault="008F29AE" w:rsidP="005B0B9D">
      <w:pPr>
        <w:spacing w:line="360" w:lineRule="auto"/>
        <w:jc w:val="both"/>
        <w:rPr>
          <w:rFonts w:ascii="Arial" w:hAnsi="Arial" w:cs="Arial"/>
          <w:sz w:val="24"/>
          <w:szCs w:val="24"/>
        </w:rPr>
      </w:pPr>
      <w:r w:rsidRPr="008F29AE">
        <w:rPr>
          <w:rFonts w:ascii="Arial" w:hAnsi="Arial" w:cs="Arial"/>
          <w:sz w:val="24"/>
          <w:szCs w:val="24"/>
        </w:rPr>
        <w:t>Herzberg, F. (1959)</w:t>
      </w:r>
      <w:r>
        <w:rPr>
          <w:rFonts w:ascii="Arial" w:hAnsi="Arial" w:cs="Arial"/>
          <w:sz w:val="24"/>
          <w:szCs w:val="24"/>
        </w:rPr>
        <w:t>.</w:t>
      </w:r>
      <w:r w:rsidRPr="008F29AE">
        <w:rPr>
          <w:rFonts w:ascii="Arial" w:hAnsi="Arial" w:cs="Arial"/>
          <w:sz w:val="24"/>
          <w:szCs w:val="24"/>
        </w:rPr>
        <w:t xml:space="preserve"> </w:t>
      </w:r>
      <w:r w:rsidRPr="008F29AE">
        <w:rPr>
          <w:rFonts w:ascii="Arial" w:hAnsi="Arial" w:cs="Arial"/>
          <w:i/>
          <w:iCs/>
          <w:sz w:val="24"/>
          <w:szCs w:val="24"/>
        </w:rPr>
        <w:t>The Motivation to Work</w:t>
      </w:r>
      <w:r w:rsidRPr="008F29AE">
        <w:rPr>
          <w:rFonts w:ascii="Arial" w:hAnsi="Arial" w:cs="Arial"/>
          <w:sz w:val="24"/>
          <w:szCs w:val="24"/>
        </w:rPr>
        <w:t>. New York: Wiley.</w:t>
      </w:r>
    </w:p>
    <w:p w14:paraId="1652C528" w14:textId="648F9A53" w:rsidR="002A625A" w:rsidRDefault="002A625A" w:rsidP="005B0B9D">
      <w:pPr>
        <w:spacing w:line="360" w:lineRule="auto"/>
        <w:jc w:val="both"/>
        <w:rPr>
          <w:rFonts w:ascii="Arial" w:hAnsi="Arial" w:cs="Arial"/>
          <w:sz w:val="24"/>
          <w:szCs w:val="24"/>
        </w:rPr>
      </w:pPr>
      <w:r w:rsidRPr="002A625A">
        <w:rPr>
          <w:rFonts w:ascii="Arial" w:hAnsi="Arial" w:cs="Arial"/>
          <w:sz w:val="24"/>
          <w:szCs w:val="24"/>
        </w:rPr>
        <w:t>Hinkin, T.R. and Tracey, J.B. (2000)</w:t>
      </w:r>
      <w:r>
        <w:rPr>
          <w:rFonts w:ascii="Arial" w:hAnsi="Arial" w:cs="Arial"/>
          <w:sz w:val="24"/>
          <w:szCs w:val="24"/>
        </w:rPr>
        <w:t xml:space="preserve">. </w:t>
      </w:r>
      <w:r w:rsidRPr="002A625A">
        <w:rPr>
          <w:rFonts w:ascii="Arial" w:hAnsi="Arial" w:cs="Arial"/>
          <w:sz w:val="24"/>
          <w:szCs w:val="24"/>
        </w:rPr>
        <w:t xml:space="preserve">The cost of turnover: Putting a price on the learning curve, </w:t>
      </w:r>
      <w:r w:rsidRPr="002A625A">
        <w:rPr>
          <w:rFonts w:ascii="Arial" w:hAnsi="Arial" w:cs="Arial"/>
          <w:i/>
          <w:iCs/>
          <w:sz w:val="24"/>
          <w:szCs w:val="24"/>
        </w:rPr>
        <w:t>Cornell Hotel and Restaurant Administration Quarterly</w:t>
      </w:r>
      <w:r w:rsidRPr="002A625A">
        <w:rPr>
          <w:rFonts w:ascii="Arial" w:hAnsi="Arial" w:cs="Arial"/>
          <w:sz w:val="24"/>
          <w:szCs w:val="24"/>
        </w:rPr>
        <w:t xml:space="preserve">, 41(3), pp. 14–21. Available at: </w:t>
      </w:r>
      <w:hyperlink r:id="rId35" w:history="1">
        <w:r w:rsidRPr="0087784B">
          <w:rPr>
            <w:rStyle w:val="Hyperlink"/>
            <w:rFonts w:ascii="Arial" w:hAnsi="Arial" w:cs="Arial"/>
            <w:sz w:val="24"/>
            <w:szCs w:val="24"/>
          </w:rPr>
          <w:t>https://doi.org/10.1177/001088040004100313</w:t>
        </w:r>
      </w:hyperlink>
      <w:r>
        <w:rPr>
          <w:rFonts w:ascii="Arial" w:hAnsi="Arial" w:cs="Arial"/>
          <w:sz w:val="24"/>
          <w:szCs w:val="24"/>
        </w:rPr>
        <w:t xml:space="preserve"> (Accessed</w:t>
      </w:r>
      <w:r w:rsidR="00606CB6">
        <w:rPr>
          <w:rFonts w:ascii="Arial" w:hAnsi="Arial" w:cs="Arial"/>
          <w:sz w:val="24"/>
          <w:szCs w:val="24"/>
        </w:rPr>
        <w:t>:</w:t>
      </w:r>
      <w:r>
        <w:rPr>
          <w:rFonts w:ascii="Arial" w:hAnsi="Arial" w:cs="Arial"/>
          <w:sz w:val="24"/>
          <w:szCs w:val="24"/>
        </w:rPr>
        <w:t xml:space="preserve"> 14 Feb</w:t>
      </w:r>
      <w:r w:rsidR="00453673">
        <w:rPr>
          <w:rFonts w:ascii="Arial" w:hAnsi="Arial" w:cs="Arial"/>
          <w:sz w:val="24"/>
          <w:szCs w:val="24"/>
        </w:rPr>
        <w:t>ruary</w:t>
      </w:r>
      <w:r>
        <w:rPr>
          <w:rFonts w:ascii="Arial" w:hAnsi="Arial" w:cs="Arial"/>
          <w:sz w:val="24"/>
          <w:szCs w:val="24"/>
        </w:rPr>
        <w:t xml:space="preserve"> 2026).</w:t>
      </w:r>
    </w:p>
    <w:p w14:paraId="3D34D915" w14:textId="36DE5FB4" w:rsidR="007930D8" w:rsidRPr="00DA583C" w:rsidRDefault="007930D8" w:rsidP="005B0B9D">
      <w:pPr>
        <w:spacing w:line="360" w:lineRule="auto"/>
        <w:jc w:val="both"/>
        <w:rPr>
          <w:rFonts w:ascii="Arial" w:hAnsi="Arial" w:cs="Arial"/>
          <w:sz w:val="24"/>
          <w:szCs w:val="24"/>
        </w:rPr>
      </w:pPr>
      <w:proofErr w:type="spellStart"/>
      <w:r w:rsidRPr="007930D8">
        <w:rPr>
          <w:rFonts w:ascii="Arial" w:hAnsi="Arial" w:cs="Arial"/>
          <w:sz w:val="24"/>
          <w:szCs w:val="24"/>
        </w:rPr>
        <w:t>Hobfoll</w:t>
      </w:r>
      <w:proofErr w:type="spellEnd"/>
      <w:r w:rsidRPr="007930D8">
        <w:rPr>
          <w:rFonts w:ascii="Arial" w:hAnsi="Arial" w:cs="Arial"/>
          <w:sz w:val="24"/>
          <w:szCs w:val="24"/>
        </w:rPr>
        <w:t>, S.E. (1989)</w:t>
      </w:r>
      <w:r>
        <w:rPr>
          <w:rFonts w:ascii="Arial" w:hAnsi="Arial" w:cs="Arial"/>
          <w:sz w:val="24"/>
          <w:szCs w:val="24"/>
        </w:rPr>
        <w:t xml:space="preserve">. </w:t>
      </w:r>
      <w:r w:rsidRPr="007930D8">
        <w:rPr>
          <w:rFonts w:ascii="Arial" w:hAnsi="Arial" w:cs="Arial"/>
          <w:sz w:val="24"/>
          <w:szCs w:val="24"/>
        </w:rPr>
        <w:t xml:space="preserve">Conservation of resources: A new attempt at conceptualizing stress, </w:t>
      </w:r>
      <w:r w:rsidRPr="00A306BF">
        <w:rPr>
          <w:rFonts w:ascii="Arial" w:hAnsi="Arial" w:cs="Arial"/>
          <w:i/>
          <w:iCs/>
          <w:sz w:val="24"/>
          <w:szCs w:val="24"/>
        </w:rPr>
        <w:t>American Psychologist</w:t>
      </w:r>
      <w:r w:rsidRPr="007930D8">
        <w:rPr>
          <w:rFonts w:ascii="Arial" w:hAnsi="Arial" w:cs="Arial"/>
          <w:sz w:val="24"/>
          <w:szCs w:val="24"/>
        </w:rPr>
        <w:t>, 44(3), pp. 513–524.</w:t>
      </w:r>
    </w:p>
    <w:p w14:paraId="32583A01" w14:textId="35854FC2" w:rsidR="00A21E63" w:rsidRDefault="00670A99" w:rsidP="0055692B">
      <w:pPr>
        <w:spacing w:line="360" w:lineRule="auto"/>
        <w:jc w:val="both"/>
        <w:rPr>
          <w:rFonts w:ascii="Arial" w:hAnsi="Arial" w:cs="Arial"/>
          <w:sz w:val="24"/>
          <w:szCs w:val="24"/>
        </w:rPr>
      </w:pPr>
      <w:r w:rsidRPr="00670A99">
        <w:rPr>
          <w:rFonts w:ascii="Arial" w:hAnsi="Arial" w:cs="Arial"/>
          <w:sz w:val="24"/>
          <w:szCs w:val="24"/>
        </w:rPr>
        <w:t>Hochschild, A.R. (1983)</w:t>
      </w:r>
      <w:r>
        <w:rPr>
          <w:rFonts w:ascii="Arial" w:hAnsi="Arial" w:cs="Arial"/>
          <w:sz w:val="24"/>
          <w:szCs w:val="24"/>
        </w:rPr>
        <w:t>.</w:t>
      </w:r>
      <w:r w:rsidRPr="00670A99">
        <w:rPr>
          <w:rFonts w:ascii="Arial" w:hAnsi="Arial" w:cs="Arial"/>
          <w:sz w:val="24"/>
          <w:szCs w:val="24"/>
        </w:rPr>
        <w:t xml:space="preserve"> </w:t>
      </w:r>
      <w:r w:rsidRPr="00670A99">
        <w:rPr>
          <w:rFonts w:ascii="Arial" w:hAnsi="Arial" w:cs="Arial"/>
          <w:i/>
          <w:iCs/>
          <w:sz w:val="24"/>
          <w:szCs w:val="24"/>
        </w:rPr>
        <w:t>The Managed Heart: Commercialization of Human Feeling</w:t>
      </w:r>
      <w:r w:rsidRPr="00670A99">
        <w:rPr>
          <w:rFonts w:ascii="Arial" w:hAnsi="Arial" w:cs="Arial"/>
          <w:sz w:val="24"/>
          <w:szCs w:val="24"/>
        </w:rPr>
        <w:t>. Berkeley: University of California Press.</w:t>
      </w:r>
    </w:p>
    <w:p w14:paraId="4953EC21" w14:textId="671CDA77" w:rsidR="00620C2E" w:rsidRDefault="00620C2E" w:rsidP="0055692B">
      <w:pPr>
        <w:spacing w:line="360" w:lineRule="auto"/>
        <w:jc w:val="both"/>
        <w:rPr>
          <w:rFonts w:ascii="Arial" w:hAnsi="Arial" w:cs="Arial"/>
          <w:sz w:val="24"/>
          <w:szCs w:val="24"/>
        </w:rPr>
      </w:pPr>
      <w:r w:rsidRPr="00620C2E">
        <w:rPr>
          <w:rFonts w:ascii="Arial" w:hAnsi="Arial" w:cs="Arial"/>
          <w:sz w:val="24"/>
          <w:szCs w:val="24"/>
        </w:rPr>
        <w:lastRenderedPageBreak/>
        <w:t>Holtom, B.C., Mitchell, T.R., Lee, T.W. and Eberly, M.B. (2008)</w:t>
      </w:r>
      <w:r>
        <w:rPr>
          <w:rFonts w:ascii="Arial" w:hAnsi="Arial" w:cs="Arial"/>
          <w:sz w:val="24"/>
          <w:szCs w:val="24"/>
        </w:rPr>
        <w:t xml:space="preserve">. </w:t>
      </w:r>
      <w:r w:rsidRPr="00620C2E">
        <w:rPr>
          <w:rFonts w:ascii="Arial" w:hAnsi="Arial" w:cs="Arial"/>
          <w:sz w:val="24"/>
          <w:szCs w:val="24"/>
        </w:rPr>
        <w:t xml:space="preserve">Turnover and retention research: A glance at the past, a closer review of the present, and a venture into the future, </w:t>
      </w:r>
      <w:r w:rsidRPr="00620C2E">
        <w:rPr>
          <w:rFonts w:ascii="Arial" w:hAnsi="Arial" w:cs="Arial"/>
          <w:i/>
          <w:iCs/>
          <w:sz w:val="24"/>
          <w:szCs w:val="24"/>
        </w:rPr>
        <w:t>Academy of Management Annals</w:t>
      </w:r>
      <w:r w:rsidRPr="00620C2E">
        <w:rPr>
          <w:rFonts w:ascii="Arial" w:hAnsi="Arial" w:cs="Arial"/>
          <w:sz w:val="24"/>
          <w:szCs w:val="24"/>
        </w:rPr>
        <w:t xml:space="preserve">, 2(1), pp. 231–274. </w:t>
      </w:r>
      <w:r>
        <w:rPr>
          <w:rFonts w:ascii="Arial" w:hAnsi="Arial" w:cs="Arial"/>
          <w:sz w:val="24"/>
          <w:szCs w:val="24"/>
        </w:rPr>
        <w:t xml:space="preserve">Available at: </w:t>
      </w:r>
      <w:hyperlink r:id="rId36" w:history="1">
        <w:r w:rsidRPr="00794026">
          <w:rPr>
            <w:rStyle w:val="Hyperlink"/>
            <w:rFonts w:ascii="Arial" w:hAnsi="Arial" w:cs="Arial"/>
            <w:sz w:val="24"/>
            <w:szCs w:val="24"/>
          </w:rPr>
          <w:t>https://doi.org/10.5465/19416520802211552</w:t>
        </w:r>
      </w:hyperlink>
      <w:r>
        <w:rPr>
          <w:rFonts w:ascii="Arial" w:hAnsi="Arial" w:cs="Arial"/>
          <w:sz w:val="24"/>
          <w:szCs w:val="24"/>
        </w:rPr>
        <w:t xml:space="preserve"> (Accessed: 19 Jan</w:t>
      </w:r>
      <w:r w:rsidR="00453673">
        <w:rPr>
          <w:rFonts w:ascii="Arial" w:hAnsi="Arial" w:cs="Arial"/>
          <w:sz w:val="24"/>
          <w:szCs w:val="24"/>
        </w:rPr>
        <w:t>uary</w:t>
      </w:r>
      <w:r>
        <w:rPr>
          <w:rFonts w:ascii="Arial" w:hAnsi="Arial" w:cs="Arial"/>
          <w:sz w:val="24"/>
          <w:szCs w:val="24"/>
        </w:rPr>
        <w:t xml:space="preserve"> 2026).</w:t>
      </w:r>
    </w:p>
    <w:p w14:paraId="0127F004" w14:textId="7C3B237B" w:rsidR="00EC3603" w:rsidRPr="00EC3603" w:rsidRDefault="00EC3603" w:rsidP="00EC3603">
      <w:pPr>
        <w:spacing w:line="360" w:lineRule="auto"/>
        <w:jc w:val="both"/>
        <w:rPr>
          <w:rFonts w:ascii="Arial" w:hAnsi="Arial" w:cs="Arial"/>
          <w:sz w:val="24"/>
          <w:szCs w:val="24"/>
        </w:rPr>
      </w:pPr>
      <w:r w:rsidRPr="00EC3603">
        <w:rPr>
          <w:rFonts w:ascii="Arial" w:hAnsi="Arial" w:cs="Arial"/>
          <w:sz w:val="24"/>
          <w:szCs w:val="24"/>
        </w:rPr>
        <w:t>Jiang, K., Lepak, D.P., Hu, J. and Baer, J.C. (2012)</w:t>
      </w:r>
      <w:r>
        <w:rPr>
          <w:rFonts w:ascii="Arial" w:hAnsi="Arial" w:cs="Arial"/>
          <w:sz w:val="24"/>
          <w:szCs w:val="24"/>
        </w:rPr>
        <w:t xml:space="preserve">. </w:t>
      </w:r>
      <w:r w:rsidRPr="00EC3603">
        <w:rPr>
          <w:rFonts w:ascii="Arial" w:hAnsi="Arial" w:cs="Arial"/>
          <w:sz w:val="24"/>
          <w:szCs w:val="24"/>
        </w:rPr>
        <w:t xml:space="preserve">How does human resource management influence organisational outcomes?, </w:t>
      </w:r>
      <w:r w:rsidRPr="00EC3603">
        <w:rPr>
          <w:rFonts w:ascii="Arial" w:hAnsi="Arial" w:cs="Arial"/>
          <w:i/>
          <w:iCs/>
          <w:sz w:val="24"/>
          <w:szCs w:val="24"/>
        </w:rPr>
        <w:t>Academy of Management Journal</w:t>
      </w:r>
      <w:r w:rsidRPr="00EC3603">
        <w:rPr>
          <w:rFonts w:ascii="Arial" w:hAnsi="Arial" w:cs="Arial"/>
          <w:sz w:val="24"/>
          <w:szCs w:val="24"/>
        </w:rPr>
        <w:t>, 55(6), pp. 1264–1294.</w:t>
      </w:r>
      <w:r>
        <w:rPr>
          <w:rFonts w:ascii="Arial" w:hAnsi="Arial" w:cs="Arial"/>
          <w:sz w:val="24"/>
          <w:szCs w:val="24"/>
        </w:rPr>
        <w:t xml:space="preserve"> Available at:</w:t>
      </w:r>
      <w:r w:rsidRPr="00EC3603">
        <w:rPr>
          <w:rFonts w:ascii="Arial" w:hAnsi="Arial" w:cs="Arial"/>
          <w:sz w:val="24"/>
          <w:szCs w:val="24"/>
        </w:rPr>
        <w:t xml:space="preserve"> </w:t>
      </w:r>
      <w:hyperlink r:id="rId37" w:history="1">
        <w:r w:rsidRPr="009237A0">
          <w:rPr>
            <w:rStyle w:val="Hyperlink"/>
            <w:rFonts w:ascii="Arial" w:hAnsi="Arial" w:cs="Arial"/>
            <w:sz w:val="24"/>
            <w:szCs w:val="24"/>
          </w:rPr>
          <w:t>https://doi.org/10.5465/amj.2011.0088</w:t>
        </w:r>
      </w:hyperlink>
      <w:r w:rsidRPr="009237A0">
        <w:rPr>
          <w:rFonts w:ascii="Arial" w:hAnsi="Arial" w:cs="Arial"/>
          <w:sz w:val="24"/>
          <w:szCs w:val="24"/>
        </w:rPr>
        <w:t xml:space="preserve"> (Accessed: 3 Feb</w:t>
      </w:r>
      <w:r w:rsidR="00453673">
        <w:rPr>
          <w:rFonts w:ascii="Arial" w:hAnsi="Arial" w:cs="Arial"/>
          <w:sz w:val="24"/>
          <w:szCs w:val="24"/>
        </w:rPr>
        <w:t>ruary</w:t>
      </w:r>
      <w:r w:rsidRPr="009237A0">
        <w:rPr>
          <w:rFonts w:ascii="Arial" w:hAnsi="Arial" w:cs="Arial"/>
          <w:sz w:val="24"/>
          <w:szCs w:val="24"/>
        </w:rPr>
        <w:t xml:space="preserve"> 2026).</w:t>
      </w:r>
    </w:p>
    <w:p w14:paraId="0D0F5208" w14:textId="1B227F20" w:rsidR="00654B4F" w:rsidRDefault="00654B4F" w:rsidP="0055692B">
      <w:pPr>
        <w:spacing w:line="360" w:lineRule="auto"/>
        <w:jc w:val="both"/>
        <w:rPr>
          <w:rFonts w:ascii="Arial" w:hAnsi="Arial" w:cs="Arial"/>
          <w:sz w:val="24"/>
          <w:szCs w:val="24"/>
        </w:rPr>
      </w:pPr>
      <w:r w:rsidRPr="00654B4F">
        <w:rPr>
          <w:rFonts w:ascii="Arial" w:hAnsi="Arial" w:cs="Arial"/>
          <w:sz w:val="24"/>
          <w:szCs w:val="24"/>
        </w:rPr>
        <w:t>Jolly, P.M., McDowell, C., Dawson, M. and Abbott, J. (2021)</w:t>
      </w:r>
      <w:r>
        <w:rPr>
          <w:rFonts w:ascii="Arial" w:hAnsi="Arial" w:cs="Arial"/>
          <w:sz w:val="24"/>
          <w:szCs w:val="24"/>
        </w:rPr>
        <w:t xml:space="preserve">. </w:t>
      </w:r>
      <w:r w:rsidRPr="00654B4F">
        <w:rPr>
          <w:rFonts w:ascii="Arial" w:hAnsi="Arial" w:cs="Arial"/>
          <w:sz w:val="24"/>
          <w:szCs w:val="24"/>
        </w:rPr>
        <w:t xml:space="preserve">Pay and benefit satisfaction, perceived organizational support, and turnover intentions: The moderating role of job variety, International Journal of Hospitality Management, 95, 102921. Available at: </w:t>
      </w:r>
      <w:hyperlink r:id="rId38" w:history="1">
        <w:r w:rsidRPr="00524AF7">
          <w:rPr>
            <w:rStyle w:val="Hyperlink"/>
            <w:rFonts w:ascii="Arial" w:hAnsi="Arial" w:cs="Arial"/>
            <w:sz w:val="24"/>
            <w:szCs w:val="24"/>
          </w:rPr>
          <w:t>https://doi.org/10.1016/j.ijhm.2021.102921</w:t>
        </w:r>
      </w:hyperlink>
      <w:r>
        <w:rPr>
          <w:rFonts w:ascii="Arial" w:hAnsi="Arial" w:cs="Arial"/>
          <w:sz w:val="24"/>
          <w:szCs w:val="24"/>
        </w:rPr>
        <w:t xml:space="preserve"> (Accessed: 29 Jan</w:t>
      </w:r>
      <w:r w:rsidR="00453673">
        <w:rPr>
          <w:rFonts w:ascii="Arial" w:hAnsi="Arial" w:cs="Arial"/>
          <w:sz w:val="24"/>
          <w:szCs w:val="24"/>
        </w:rPr>
        <w:t>uary</w:t>
      </w:r>
      <w:r>
        <w:rPr>
          <w:rFonts w:ascii="Arial" w:hAnsi="Arial" w:cs="Arial"/>
          <w:sz w:val="24"/>
          <w:szCs w:val="24"/>
        </w:rPr>
        <w:t xml:space="preserve"> 2026).</w:t>
      </w:r>
    </w:p>
    <w:p w14:paraId="269C42A2" w14:textId="618B69D3" w:rsidR="006B28DA" w:rsidRDefault="006B28DA" w:rsidP="006B28DA">
      <w:pPr>
        <w:spacing w:line="360" w:lineRule="auto"/>
        <w:jc w:val="both"/>
        <w:rPr>
          <w:rFonts w:ascii="Arial" w:hAnsi="Arial" w:cs="Arial"/>
          <w:sz w:val="24"/>
          <w:szCs w:val="24"/>
        </w:rPr>
      </w:pPr>
      <w:r w:rsidRPr="006B28DA">
        <w:rPr>
          <w:rFonts w:ascii="Arial" w:hAnsi="Arial" w:cs="Arial"/>
          <w:sz w:val="24"/>
          <w:szCs w:val="24"/>
        </w:rPr>
        <w:t>Jung, H.S. and Yoon, H.H. (2015)</w:t>
      </w:r>
      <w:r w:rsidR="00230553">
        <w:rPr>
          <w:rFonts w:ascii="Arial" w:hAnsi="Arial" w:cs="Arial"/>
          <w:sz w:val="24"/>
          <w:szCs w:val="24"/>
        </w:rPr>
        <w:t xml:space="preserve">. </w:t>
      </w:r>
      <w:r w:rsidRPr="006B28DA">
        <w:rPr>
          <w:rFonts w:ascii="Arial" w:hAnsi="Arial" w:cs="Arial"/>
          <w:sz w:val="24"/>
          <w:szCs w:val="24"/>
        </w:rPr>
        <w:t xml:space="preserve">Understanding pay satisfaction: The impacts of pay satisfaction on employees’ job engagement and withdrawal in deluxe hotel, </w:t>
      </w:r>
      <w:r w:rsidRPr="00230553">
        <w:rPr>
          <w:rFonts w:ascii="Arial" w:hAnsi="Arial" w:cs="Arial"/>
          <w:i/>
          <w:iCs/>
          <w:sz w:val="24"/>
          <w:szCs w:val="24"/>
        </w:rPr>
        <w:t>International Journal of Hospitality Management</w:t>
      </w:r>
      <w:r w:rsidRPr="006B28DA">
        <w:rPr>
          <w:rFonts w:ascii="Arial" w:hAnsi="Arial" w:cs="Arial"/>
          <w:sz w:val="24"/>
          <w:szCs w:val="24"/>
        </w:rPr>
        <w:t>, 48, pp. 22–26.</w:t>
      </w:r>
      <w:r w:rsidR="00230553">
        <w:rPr>
          <w:rFonts w:ascii="Arial" w:hAnsi="Arial" w:cs="Arial"/>
          <w:sz w:val="24"/>
          <w:szCs w:val="24"/>
        </w:rPr>
        <w:t xml:space="preserve"> </w:t>
      </w:r>
      <w:r w:rsidR="007035C4">
        <w:rPr>
          <w:rFonts w:ascii="Arial" w:hAnsi="Arial" w:cs="Arial"/>
          <w:sz w:val="24"/>
          <w:szCs w:val="24"/>
        </w:rPr>
        <w:t xml:space="preserve">Available at: </w:t>
      </w:r>
      <w:hyperlink r:id="rId39" w:history="1">
        <w:r w:rsidR="007035C4" w:rsidRPr="00524AF7">
          <w:rPr>
            <w:rStyle w:val="Hyperlink"/>
            <w:rFonts w:ascii="Arial" w:hAnsi="Arial" w:cs="Arial"/>
            <w:sz w:val="24"/>
            <w:szCs w:val="24"/>
          </w:rPr>
          <w:t>https://doi.org/10.1016/j.ijhm.2015.04.004</w:t>
        </w:r>
      </w:hyperlink>
      <w:r w:rsidR="007035C4">
        <w:rPr>
          <w:rFonts w:ascii="Arial" w:hAnsi="Arial" w:cs="Arial"/>
          <w:sz w:val="24"/>
          <w:szCs w:val="24"/>
        </w:rPr>
        <w:t xml:space="preserve"> (Accessed: </w:t>
      </w:r>
      <w:r w:rsidR="00230553">
        <w:rPr>
          <w:rFonts w:ascii="Arial" w:hAnsi="Arial" w:cs="Arial"/>
          <w:sz w:val="24"/>
          <w:szCs w:val="24"/>
        </w:rPr>
        <w:t>1 Feb</w:t>
      </w:r>
      <w:r w:rsidR="00453673">
        <w:rPr>
          <w:rFonts w:ascii="Arial" w:hAnsi="Arial" w:cs="Arial"/>
          <w:sz w:val="24"/>
          <w:szCs w:val="24"/>
        </w:rPr>
        <w:t>ruary</w:t>
      </w:r>
      <w:r w:rsidR="00230553">
        <w:rPr>
          <w:rFonts w:ascii="Arial" w:hAnsi="Arial" w:cs="Arial"/>
          <w:sz w:val="24"/>
          <w:szCs w:val="24"/>
        </w:rPr>
        <w:t xml:space="preserve"> 2026).</w:t>
      </w:r>
    </w:p>
    <w:p w14:paraId="3B4B2FC1" w14:textId="1D8590F8" w:rsidR="00231B05" w:rsidRDefault="00231B05" w:rsidP="006B28DA">
      <w:pPr>
        <w:spacing w:line="360" w:lineRule="auto"/>
        <w:jc w:val="both"/>
        <w:rPr>
          <w:rFonts w:ascii="Arial" w:hAnsi="Arial" w:cs="Arial"/>
          <w:sz w:val="24"/>
          <w:szCs w:val="24"/>
        </w:rPr>
      </w:pPr>
      <w:r w:rsidRPr="00231B05">
        <w:rPr>
          <w:rFonts w:ascii="Arial" w:hAnsi="Arial" w:cs="Arial"/>
          <w:sz w:val="24"/>
          <w:szCs w:val="24"/>
        </w:rPr>
        <w:t>Kang, H.J.A., Busser, J.A. and Choi, H. (2018)</w:t>
      </w:r>
      <w:r>
        <w:rPr>
          <w:rFonts w:ascii="Arial" w:hAnsi="Arial" w:cs="Arial"/>
          <w:sz w:val="24"/>
          <w:szCs w:val="24"/>
        </w:rPr>
        <w:t xml:space="preserve">. </w:t>
      </w:r>
      <w:r w:rsidRPr="00231B05">
        <w:rPr>
          <w:rFonts w:ascii="Arial" w:hAnsi="Arial" w:cs="Arial"/>
          <w:sz w:val="24"/>
          <w:szCs w:val="24"/>
        </w:rPr>
        <w:t xml:space="preserve">Service climate: How does it affect turnover intention?, </w:t>
      </w:r>
      <w:r w:rsidRPr="00231B05">
        <w:rPr>
          <w:rFonts w:ascii="Arial" w:hAnsi="Arial" w:cs="Arial"/>
          <w:i/>
          <w:iCs/>
          <w:sz w:val="24"/>
          <w:szCs w:val="24"/>
        </w:rPr>
        <w:t>International Journal of Contemporary Hospitality Management</w:t>
      </w:r>
      <w:r w:rsidRPr="00231B05">
        <w:rPr>
          <w:rFonts w:ascii="Arial" w:hAnsi="Arial" w:cs="Arial"/>
          <w:sz w:val="24"/>
          <w:szCs w:val="24"/>
        </w:rPr>
        <w:t xml:space="preserve">, 30(3), pp. 1578–1597. Available at: </w:t>
      </w:r>
      <w:hyperlink r:id="rId40" w:history="1">
        <w:r w:rsidRPr="0087784B">
          <w:rPr>
            <w:rStyle w:val="Hyperlink"/>
            <w:rFonts w:ascii="Arial" w:hAnsi="Arial" w:cs="Arial"/>
            <w:sz w:val="24"/>
            <w:szCs w:val="24"/>
          </w:rPr>
          <w:t>https://doi.org/10.1108/IJCHM-04-2016-0185</w:t>
        </w:r>
      </w:hyperlink>
      <w:r>
        <w:rPr>
          <w:rFonts w:ascii="Arial" w:hAnsi="Arial" w:cs="Arial"/>
          <w:sz w:val="24"/>
          <w:szCs w:val="24"/>
        </w:rPr>
        <w:t xml:space="preserve"> (Accessed: </w:t>
      </w:r>
      <w:r w:rsidR="008B4013">
        <w:rPr>
          <w:rFonts w:ascii="Arial" w:hAnsi="Arial" w:cs="Arial"/>
          <w:sz w:val="24"/>
          <w:szCs w:val="24"/>
        </w:rPr>
        <w:t>20 Feb</w:t>
      </w:r>
      <w:r w:rsidR="00453673">
        <w:rPr>
          <w:rFonts w:ascii="Arial" w:hAnsi="Arial" w:cs="Arial"/>
          <w:sz w:val="24"/>
          <w:szCs w:val="24"/>
        </w:rPr>
        <w:t>ruary</w:t>
      </w:r>
      <w:r w:rsidR="008B4013">
        <w:rPr>
          <w:rFonts w:ascii="Arial" w:hAnsi="Arial" w:cs="Arial"/>
          <w:sz w:val="24"/>
          <w:szCs w:val="24"/>
        </w:rPr>
        <w:t xml:space="preserve"> 2026).</w:t>
      </w:r>
    </w:p>
    <w:p w14:paraId="1A2C3E83" w14:textId="29610250" w:rsidR="00C92DED" w:rsidRDefault="00C92DED" w:rsidP="006B28DA">
      <w:pPr>
        <w:spacing w:line="360" w:lineRule="auto"/>
        <w:jc w:val="both"/>
        <w:rPr>
          <w:rFonts w:ascii="Arial" w:hAnsi="Arial" w:cs="Arial"/>
          <w:sz w:val="24"/>
          <w:szCs w:val="24"/>
        </w:rPr>
      </w:pPr>
      <w:r w:rsidRPr="00C92DED">
        <w:rPr>
          <w:rFonts w:ascii="Arial" w:hAnsi="Arial" w:cs="Arial"/>
          <w:sz w:val="24"/>
          <w:szCs w:val="24"/>
        </w:rPr>
        <w:t>Karatepe, O.M. (2011)</w:t>
      </w:r>
      <w:r>
        <w:rPr>
          <w:rFonts w:ascii="Arial" w:hAnsi="Arial" w:cs="Arial"/>
          <w:sz w:val="24"/>
          <w:szCs w:val="24"/>
        </w:rPr>
        <w:t xml:space="preserve">. </w:t>
      </w:r>
      <w:r w:rsidRPr="00C92DED">
        <w:rPr>
          <w:rFonts w:ascii="Arial" w:hAnsi="Arial" w:cs="Arial"/>
          <w:sz w:val="24"/>
          <w:szCs w:val="24"/>
        </w:rPr>
        <w:t xml:space="preserve">The effects of coworker and perceived organizational support on hotel employee outcomes: The moderating role of job embeddedness, </w:t>
      </w:r>
      <w:r w:rsidRPr="00C92DED">
        <w:rPr>
          <w:rFonts w:ascii="Arial" w:hAnsi="Arial" w:cs="Arial"/>
          <w:i/>
          <w:iCs/>
          <w:sz w:val="24"/>
          <w:szCs w:val="24"/>
        </w:rPr>
        <w:t>Journal of Hospitality &amp; Tourism Research</w:t>
      </w:r>
      <w:r w:rsidRPr="00C92DED">
        <w:rPr>
          <w:rFonts w:ascii="Arial" w:hAnsi="Arial" w:cs="Arial"/>
          <w:sz w:val="24"/>
          <w:szCs w:val="24"/>
        </w:rPr>
        <w:t xml:space="preserve">, 36(4), pp. 495–516. Available at: </w:t>
      </w:r>
      <w:hyperlink r:id="rId41" w:history="1">
        <w:r w:rsidRPr="0087784B">
          <w:rPr>
            <w:rStyle w:val="Hyperlink"/>
            <w:rFonts w:ascii="Arial" w:hAnsi="Arial" w:cs="Arial"/>
            <w:sz w:val="24"/>
            <w:szCs w:val="24"/>
          </w:rPr>
          <w:t>https://doi.org/10.1177/1096348011413592</w:t>
        </w:r>
      </w:hyperlink>
      <w:r>
        <w:rPr>
          <w:rFonts w:ascii="Arial" w:hAnsi="Arial" w:cs="Arial"/>
          <w:sz w:val="24"/>
          <w:szCs w:val="24"/>
        </w:rPr>
        <w:t xml:space="preserve"> (Accessed: 18 Feb</w:t>
      </w:r>
      <w:r w:rsidR="00453673">
        <w:rPr>
          <w:rFonts w:ascii="Arial" w:hAnsi="Arial" w:cs="Arial"/>
          <w:sz w:val="24"/>
          <w:szCs w:val="24"/>
        </w:rPr>
        <w:t>ruary</w:t>
      </w:r>
      <w:r>
        <w:rPr>
          <w:rFonts w:ascii="Arial" w:hAnsi="Arial" w:cs="Arial"/>
          <w:sz w:val="24"/>
          <w:szCs w:val="24"/>
        </w:rPr>
        <w:t xml:space="preserve"> 2026).</w:t>
      </w:r>
    </w:p>
    <w:p w14:paraId="00C5B12E" w14:textId="3500E201" w:rsidR="00390AE7" w:rsidRPr="006B28DA" w:rsidRDefault="00390AE7" w:rsidP="006B28DA">
      <w:pPr>
        <w:spacing w:line="360" w:lineRule="auto"/>
        <w:jc w:val="both"/>
        <w:rPr>
          <w:rFonts w:ascii="Arial" w:hAnsi="Arial" w:cs="Arial"/>
          <w:sz w:val="24"/>
          <w:szCs w:val="24"/>
        </w:rPr>
      </w:pPr>
      <w:r w:rsidRPr="00390AE7">
        <w:rPr>
          <w:rFonts w:ascii="Arial" w:hAnsi="Arial" w:cs="Arial"/>
          <w:sz w:val="24"/>
          <w:szCs w:val="24"/>
        </w:rPr>
        <w:t>Karatepe, O.M. (2013)</w:t>
      </w:r>
      <w:r>
        <w:rPr>
          <w:rFonts w:ascii="Arial" w:hAnsi="Arial" w:cs="Arial"/>
          <w:sz w:val="24"/>
          <w:szCs w:val="24"/>
        </w:rPr>
        <w:t xml:space="preserve">. </w:t>
      </w:r>
      <w:r w:rsidRPr="00390AE7">
        <w:rPr>
          <w:rFonts w:ascii="Arial" w:hAnsi="Arial" w:cs="Arial"/>
          <w:sz w:val="24"/>
          <w:szCs w:val="24"/>
        </w:rPr>
        <w:t xml:space="preserve">High-performance work practices and hotel employee performance: The mediation of work engagement, </w:t>
      </w:r>
      <w:r w:rsidRPr="00390AE7">
        <w:rPr>
          <w:rFonts w:ascii="Arial" w:hAnsi="Arial" w:cs="Arial"/>
          <w:i/>
          <w:iCs/>
          <w:sz w:val="24"/>
          <w:szCs w:val="24"/>
        </w:rPr>
        <w:t>International Journal of Hospitality Management</w:t>
      </w:r>
      <w:r w:rsidRPr="00390AE7">
        <w:rPr>
          <w:rFonts w:ascii="Arial" w:hAnsi="Arial" w:cs="Arial"/>
          <w:sz w:val="24"/>
          <w:szCs w:val="24"/>
        </w:rPr>
        <w:t xml:space="preserve">, 32, pp. 132–140. Available at: </w:t>
      </w:r>
      <w:hyperlink r:id="rId42" w:history="1">
        <w:r w:rsidRPr="00524AF7">
          <w:rPr>
            <w:rStyle w:val="Hyperlink"/>
            <w:rFonts w:ascii="Arial" w:hAnsi="Arial" w:cs="Arial"/>
            <w:sz w:val="24"/>
            <w:szCs w:val="24"/>
          </w:rPr>
          <w:t>https://doi.org/10.1016/j.ijhm.2012.05.003</w:t>
        </w:r>
      </w:hyperlink>
      <w:r>
        <w:rPr>
          <w:rFonts w:ascii="Arial" w:hAnsi="Arial" w:cs="Arial"/>
          <w:sz w:val="24"/>
          <w:szCs w:val="24"/>
        </w:rPr>
        <w:t xml:space="preserve"> (Accessed: 1 Feb</w:t>
      </w:r>
      <w:r w:rsidR="00453673">
        <w:rPr>
          <w:rFonts w:ascii="Arial" w:hAnsi="Arial" w:cs="Arial"/>
          <w:sz w:val="24"/>
          <w:szCs w:val="24"/>
        </w:rPr>
        <w:t>ruary</w:t>
      </w:r>
      <w:r>
        <w:rPr>
          <w:rFonts w:ascii="Arial" w:hAnsi="Arial" w:cs="Arial"/>
          <w:sz w:val="24"/>
          <w:szCs w:val="24"/>
        </w:rPr>
        <w:t xml:space="preserve"> 2026).</w:t>
      </w:r>
    </w:p>
    <w:p w14:paraId="225D0223" w14:textId="44DED3C0" w:rsidR="00F17CBC" w:rsidRDefault="00F17CBC" w:rsidP="0055692B">
      <w:pPr>
        <w:spacing w:line="360" w:lineRule="auto"/>
        <w:jc w:val="both"/>
        <w:rPr>
          <w:rFonts w:ascii="Arial" w:hAnsi="Arial" w:cs="Arial"/>
          <w:sz w:val="24"/>
          <w:szCs w:val="24"/>
        </w:rPr>
      </w:pPr>
      <w:r w:rsidRPr="00F17CBC">
        <w:rPr>
          <w:rFonts w:ascii="Arial" w:hAnsi="Arial" w:cs="Arial"/>
          <w:sz w:val="24"/>
          <w:szCs w:val="24"/>
        </w:rPr>
        <w:t xml:space="preserve">Karatepe, O.M. and </w:t>
      </w:r>
      <w:proofErr w:type="spellStart"/>
      <w:r w:rsidRPr="00F17CBC">
        <w:rPr>
          <w:rFonts w:ascii="Arial" w:hAnsi="Arial" w:cs="Arial"/>
          <w:sz w:val="24"/>
          <w:szCs w:val="24"/>
        </w:rPr>
        <w:t>Olugbade</w:t>
      </w:r>
      <w:proofErr w:type="spellEnd"/>
      <w:r w:rsidRPr="00F17CBC">
        <w:rPr>
          <w:rFonts w:ascii="Arial" w:hAnsi="Arial" w:cs="Arial"/>
          <w:sz w:val="24"/>
          <w:szCs w:val="24"/>
        </w:rPr>
        <w:t>, O.A. (2009)</w:t>
      </w:r>
      <w:r>
        <w:rPr>
          <w:rFonts w:ascii="Arial" w:hAnsi="Arial" w:cs="Arial"/>
          <w:sz w:val="24"/>
          <w:szCs w:val="24"/>
        </w:rPr>
        <w:t xml:space="preserve">. </w:t>
      </w:r>
      <w:r w:rsidRPr="00F17CBC">
        <w:rPr>
          <w:rFonts w:ascii="Arial" w:hAnsi="Arial" w:cs="Arial"/>
          <w:sz w:val="24"/>
          <w:szCs w:val="24"/>
        </w:rPr>
        <w:t xml:space="preserve">The effects of job and personal resources on hotel employees’ work engagement, </w:t>
      </w:r>
      <w:r w:rsidRPr="00F17CBC">
        <w:rPr>
          <w:rFonts w:ascii="Arial" w:hAnsi="Arial" w:cs="Arial"/>
          <w:i/>
          <w:iCs/>
          <w:sz w:val="24"/>
          <w:szCs w:val="24"/>
        </w:rPr>
        <w:t xml:space="preserve">International Journal of Hospitality </w:t>
      </w:r>
      <w:r w:rsidRPr="00F17CBC">
        <w:rPr>
          <w:rFonts w:ascii="Arial" w:hAnsi="Arial" w:cs="Arial"/>
          <w:i/>
          <w:iCs/>
          <w:sz w:val="24"/>
          <w:szCs w:val="24"/>
        </w:rPr>
        <w:lastRenderedPageBreak/>
        <w:t>Management</w:t>
      </w:r>
      <w:r w:rsidRPr="00F17CBC">
        <w:rPr>
          <w:rFonts w:ascii="Arial" w:hAnsi="Arial" w:cs="Arial"/>
          <w:sz w:val="24"/>
          <w:szCs w:val="24"/>
        </w:rPr>
        <w:t xml:space="preserve">, 28(4), pp. 504–512. Available at: </w:t>
      </w:r>
      <w:hyperlink r:id="rId43" w:history="1">
        <w:r w:rsidRPr="00524AF7">
          <w:rPr>
            <w:rStyle w:val="Hyperlink"/>
            <w:rFonts w:ascii="Arial" w:hAnsi="Arial" w:cs="Arial"/>
            <w:sz w:val="24"/>
            <w:szCs w:val="24"/>
          </w:rPr>
          <w:t>https://doi.org/10.1016/j.ijhm.2009.02.003</w:t>
        </w:r>
      </w:hyperlink>
      <w:r>
        <w:rPr>
          <w:rFonts w:ascii="Arial" w:hAnsi="Arial" w:cs="Arial"/>
          <w:sz w:val="24"/>
          <w:szCs w:val="24"/>
        </w:rPr>
        <w:t xml:space="preserve"> (Accessed: 19 Jan</w:t>
      </w:r>
      <w:r w:rsidR="00453673">
        <w:rPr>
          <w:rFonts w:ascii="Arial" w:hAnsi="Arial" w:cs="Arial"/>
          <w:sz w:val="24"/>
          <w:szCs w:val="24"/>
        </w:rPr>
        <w:t>uary</w:t>
      </w:r>
      <w:r>
        <w:rPr>
          <w:rFonts w:ascii="Arial" w:hAnsi="Arial" w:cs="Arial"/>
          <w:sz w:val="24"/>
          <w:szCs w:val="24"/>
        </w:rPr>
        <w:t xml:space="preserve"> 2026).</w:t>
      </w:r>
    </w:p>
    <w:p w14:paraId="576E02FD" w14:textId="7CE8AC7D" w:rsidR="00BB71EE" w:rsidRDefault="00BB71EE" w:rsidP="0055692B">
      <w:pPr>
        <w:spacing w:line="360" w:lineRule="auto"/>
        <w:jc w:val="both"/>
        <w:rPr>
          <w:rFonts w:ascii="Arial" w:hAnsi="Arial" w:cs="Arial"/>
          <w:sz w:val="24"/>
          <w:szCs w:val="24"/>
        </w:rPr>
      </w:pPr>
      <w:r w:rsidRPr="009237A0">
        <w:rPr>
          <w:rFonts w:ascii="Arial" w:hAnsi="Arial" w:cs="Arial"/>
          <w:sz w:val="24"/>
          <w:szCs w:val="24"/>
        </w:rPr>
        <w:t xml:space="preserve">Karatepe, O. M., &amp; </w:t>
      </w:r>
      <w:proofErr w:type="spellStart"/>
      <w:r w:rsidRPr="009237A0">
        <w:rPr>
          <w:rFonts w:ascii="Arial" w:hAnsi="Arial" w:cs="Arial"/>
          <w:sz w:val="24"/>
          <w:szCs w:val="24"/>
        </w:rPr>
        <w:t>Uludag</w:t>
      </w:r>
      <w:proofErr w:type="spellEnd"/>
      <w:r w:rsidRPr="009237A0">
        <w:rPr>
          <w:rFonts w:ascii="Arial" w:hAnsi="Arial" w:cs="Arial"/>
          <w:sz w:val="24"/>
          <w:szCs w:val="24"/>
        </w:rPr>
        <w:t xml:space="preserve">, O. (2008). </w:t>
      </w:r>
      <w:r w:rsidRPr="00BB71EE">
        <w:rPr>
          <w:rFonts w:ascii="Arial" w:hAnsi="Arial" w:cs="Arial"/>
          <w:sz w:val="24"/>
          <w:szCs w:val="24"/>
        </w:rPr>
        <w:t xml:space="preserve">Role stress, burnout and their effects on frontline hotel employees' job performance: Evidence from Northern Cyprus. </w:t>
      </w:r>
      <w:r w:rsidRPr="00BB71EE">
        <w:rPr>
          <w:rFonts w:ascii="Arial" w:hAnsi="Arial" w:cs="Arial"/>
          <w:i/>
          <w:iCs/>
          <w:sz w:val="24"/>
          <w:szCs w:val="24"/>
        </w:rPr>
        <w:t>International Journal of Tourism Research</w:t>
      </w:r>
      <w:r w:rsidRPr="00BB71EE">
        <w:rPr>
          <w:rFonts w:ascii="Arial" w:hAnsi="Arial" w:cs="Arial"/>
          <w:sz w:val="24"/>
          <w:szCs w:val="24"/>
        </w:rPr>
        <w:t xml:space="preserve">, 10(2), 111-126. </w:t>
      </w:r>
      <w:r>
        <w:rPr>
          <w:rFonts w:ascii="Arial" w:hAnsi="Arial" w:cs="Arial"/>
          <w:sz w:val="24"/>
          <w:szCs w:val="24"/>
        </w:rPr>
        <w:t xml:space="preserve">Available at: </w:t>
      </w:r>
      <w:hyperlink r:id="rId44" w:history="1">
        <w:r w:rsidRPr="00524AF7">
          <w:rPr>
            <w:rStyle w:val="Hyperlink"/>
            <w:rFonts w:ascii="Arial" w:hAnsi="Arial" w:cs="Arial"/>
            <w:sz w:val="24"/>
            <w:szCs w:val="24"/>
          </w:rPr>
          <w:t>https://doi.org/10.1002/jtr.645</w:t>
        </w:r>
      </w:hyperlink>
      <w:r>
        <w:rPr>
          <w:rFonts w:ascii="Arial" w:hAnsi="Arial" w:cs="Arial"/>
          <w:sz w:val="24"/>
          <w:szCs w:val="24"/>
        </w:rPr>
        <w:t xml:space="preserve"> (Accessed: 24 Jan</w:t>
      </w:r>
      <w:r w:rsidR="00453673">
        <w:rPr>
          <w:rFonts w:ascii="Arial" w:hAnsi="Arial" w:cs="Arial"/>
          <w:sz w:val="24"/>
          <w:szCs w:val="24"/>
        </w:rPr>
        <w:t>uary</w:t>
      </w:r>
      <w:r>
        <w:rPr>
          <w:rFonts w:ascii="Arial" w:hAnsi="Arial" w:cs="Arial"/>
          <w:sz w:val="24"/>
          <w:szCs w:val="24"/>
        </w:rPr>
        <w:t xml:space="preserve"> 2026).</w:t>
      </w:r>
    </w:p>
    <w:p w14:paraId="419F24C0" w14:textId="640B4DBD" w:rsidR="00ED11DB" w:rsidRDefault="00ED11DB" w:rsidP="0055692B">
      <w:pPr>
        <w:spacing w:line="360" w:lineRule="auto"/>
        <w:jc w:val="both"/>
        <w:rPr>
          <w:rFonts w:ascii="Arial" w:hAnsi="Arial" w:cs="Arial"/>
          <w:sz w:val="24"/>
          <w:szCs w:val="24"/>
        </w:rPr>
      </w:pPr>
      <w:r w:rsidRPr="00ED11DB">
        <w:rPr>
          <w:rFonts w:ascii="Arial" w:hAnsi="Arial" w:cs="Arial"/>
          <w:sz w:val="24"/>
          <w:szCs w:val="24"/>
        </w:rPr>
        <w:t>Kim, H. and Qu, H. (2019)</w:t>
      </w:r>
      <w:r>
        <w:rPr>
          <w:rFonts w:ascii="Arial" w:hAnsi="Arial" w:cs="Arial"/>
          <w:sz w:val="24"/>
          <w:szCs w:val="24"/>
        </w:rPr>
        <w:t xml:space="preserve">. </w:t>
      </w:r>
      <w:r w:rsidRPr="00ED11DB">
        <w:rPr>
          <w:rFonts w:ascii="Arial" w:hAnsi="Arial" w:cs="Arial"/>
          <w:sz w:val="24"/>
          <w:szCs w:val="24"/>
        </w:rPr>
        <w:t xml:space="preserve">The effects of experienced customer incivility on employees’ </w:t>
      </w:r>
      <w:proofErr w:type="spellStart"/>
      <w:r w:rsidRPr="00ED11DB">
        <w:rPr>
          <w:rFonts w:ascii="Arial" w:hAnsi="Arial" w:cs="Arial"/>
          <w:sz w:val="24"/>
          <w:szCs w:val="24"/>
        </w:rPr>
        <w:t>behavior</w:t>
      </w:r>
      <w:proofErr w:type="spellEnd"/>
      <w:r w:rsidRPr="00ED11DB">
        <w:rPr>
          <w:rFonts w:ascii="Arial" w:hAnsi="Arial" w:cs="Arial"/>
          <w:sz w:val="24"/>
          <w:szCs w:val="24"/>
        </w:rPr>
        <w:t xml:space="preserve"> toward customers and coworkers, </w:t>
      </w:r>
      <w:r w:rsidRPr="00ED11DB">
        <w:rPr>
          <w:rFonts w:ascii="Arial" w:hAnsi="Arial" w:cs="Arial"/>
          <w:i/>
          <w:iCs/>
          <w:sz w:val="24"/>
          <w:szCs w:val="24"/>
        </w:rPr>
        <w:t>Journal of Hospitality &amp; Tourism Research,</w:t>
      </w:r>
      <w:r w:rsidRPr="00ED11DB">
        <w:rPr>
          <w:rFonts w:ascii="Arial" w:hAnsi="Arial" w:cs="Arial"/>
          <w:sz w:val="24"/>
          <w:szCs w:val="24"/>
        </w:rPr>
        <w:t xml:space="preserve"> 43(1), pp. 58–77. Available at: </w:t>
      </w:r>
      <w:hyperlink r:id="rId45" w:history="1">
        <w:r w:rsidRPr="00524AF7">
          <w:rPr>
            <w:rStyle w:val="Hyperlink"/>
            <w:rFonts w:ascii="Arial" w:hAnsi="Arial" w:cs="Arial"/>
            <w:sz w:val="24"/>
            <w:szCs w:val="24"/>
          </w:rPr>
          <w:t>https://doi.org/10.1177/1096348018764583</w:t>
        </w:r>
      </w:hyperlink>
      <w:r>
        <w:rPr>
          <w:rFonts w:ascii="Arial" w:hAnsi="Arial" w:cs="Arial"/>
          <w:sz w:val="24"/>
          <w:szCs w:val="24"/>
        </w:rPr>
        <w:t xml:space="preserve"> (Accessed: 25 Jan</w:t>
      </w:r>
      <w:r w:rsidR="00453673">
        <w:rPr>
          <w:rFonts w:ascii="Arial" w:hAnsi="Arial" w:cs="Arial"/>
          <w:sz w:val="24"/>
          <w:szCs w:val="24"/>
        </w:rPr>
        <w:t>uary</w:t>
      </w:r>
      <w:r>
        <w:rPr>
          <w:rFonts w:ascii="Arial" w:hAnsi="Arial" w:cs="Arial"/>
          <w:sz w:val="24"/>
          <w:szCs w:val="24"/>
        </w:rPr>
        <w:t xml:space="preserve"> 2026).</w:t>
      </w:r>
    </w:p>
    <w:p w14:paraId="43974B62" w14:textId="25A834A1" w:rsidR="00670A99" w:rsidRDefault="004F1AFE" w:rsidP="004F1AFE">
      <w:pPr>
        <w:spacing w:line="360" w:lineRule="auto"/>
        <w:jc w:val="both"/>
        <w:rPr>
          <w:rFonts w:ascii="Arial" w:hAnsi="Arial" w:cs="Arial"/>
          <w:sz w:val="24"/>
          <w:szCs w:val="24"/>
        </w:rPr>
      </w:pPr>
      <w:r w:rsidRPr="004F1AFE">
        <w:rPr>
          <w:rFonts w:ascii="Arial" w:hAnsi="Arial" w:cs="Arial"/>
          <w:sz w:val="24"/>
          <w:szCs w:val="24"/>
        </w:rPr>
        <w:t xml:space="preserve">Kim, K. and </w:t>
      </w:r>
      <w:proofErr w:type="spellStart"/>
      <w:r w:rsidRPr="004F1AFE">
        <w:rPr>
          <w:rFonts w:ascii="Arial" w:hAnsi="Arial" w:cs="Arial"/>
          <w:sz w:val="24"/>
          <w:szCs w:val="24"/>
        </w:rPr>
        <w:t>Jogaratnam</w:t>
      </w:r>
      <w:proofErr w:type="spellEnd"/>
      <w:r w:rsidRPr="004F1AFE">
        <w:rPr>
          <w:rFonts w:ascii="Arial" w:hAnsi="Arial" w:cs="Arial"/>
          <w:sz w:val="24"/>
          <w:szCs w:val="24"/>
        </w:rPr>
        <w:t>, G. (2010)</w:t>
      </w:r>
      <w:r>
        <w:rPr>
          <w:rFonts w:ascii="Arial" w:hAnsi="Arial" w:cs="Arial"/>
          <w:sz w:val="24"/>
          <w:szCs w:val="24"/>
        </w:rPr>
        <w:t xml:space="preserve">. </w:t>
      </w:r>
      <w:r w:rsidRPr="004F1AFE">
        <w:rPr>
          <w:rFonts w:ascii="Arial" w:hAnsi="Arial" w:cs="Arial"/>
          <w:sz w:val="24"/>
          <w:szCs w:val="24"/>
        </w:rPr>
        <w:t xml:space="preserve">Effects of individual and organizational factors on job satisfaction and intent to stay in the hotel and restaurant industry, </w:t>
      </w:r>
      <w:r w:rsidRPr="004F1AFE">
        <w:rPr>
          <w:rFonts w:ascii="Arial" w:hAnsi="Arial" w:cs="Arial"/>
          <w:i/>
          <w:iCs/>
          <w:sz w:val="24"/>
          <w:szCs w:val="24"/>
        </w:rPr>
        <w:t>Journal of Human Resources in Hospitality &amp; Tourism</w:t>
      </w:r>
      <w:r w:rsidRPr="004F1AFE">
        <w:rPr>
          <w:rFonts w:ascii="Arial" w:hAnsi="Arial" w:cs="Arial"/>
          <w:sz w:val="24"/>
          <w:szCs w:val="24"/>
        </w:rPr>
        <w:t xml:space="preserve">, 9(3), pp. 318–339. Available at: </w:t>
      </w:r>
      <w:hyperlink r:id="rId46" w:history="1">
        <w:r w:rsidRPr="00524AF7">
          <w:rPr>
            <w:rStyle w:val="Hyperlink"/>
            <w:rFonts w:ascii="Arial" w:hAnsi="Arial" w:cs="Arial"/>
            <w:sz w:val="24"/>
            <w:szCs w:val="24"/>
          </w:rPr>
          <w:t>https://doi.org/10.1080/15332845.2010.487043</w:t>
        </w:r>
      </w:hyperlink>
      <w:r>
        <w:rPr>
          <w:rFonts w:ascii="Arial" w:hAnsi="Arial" w:cs="Arial"/>
          <w:sz w:val="24"/>
          <w:szCs w:val="24"/>
        </w:rPr>
        <w:t xml:space="preserve"> </w:t>
      </w:r>
      <w:r w:rsidRPr="004F1AFE">
        <w:rPr>
          <w:rFonts w:ascii="Arial" w:hAnsi="Arial" w:cs="Arial"/>
          <w:sz w:val="24"/>
          <w:szCs w:val="24"/>
        </w:rPr>
        <w:t xml:space="preserve">(Accessed: </w:t>
      </w:r>
      <w:r>
        <w:rPr>
          <w:rFonts w:ascii="Arial" w:hAnsi="Arial" w:cs="Arial"/>
          <w:sz w:val="24"/>
          <w:szCs w:val="24"/>
        </w:rPr>
        <w:t>18</w:t>
      </w:r>
      <w:r w:rsidRPr="004F1AFE">
        <w:rPr>
          <w:rFonts w:ascii="Arial" w:hAnsi="Arial" w:cs="Arial"/>
          <w:sz w:val="24"/>
          <w:szCs w:val="24"/>
        </w:rPr>
        <w:t xml:space="preserve"> </w:t>
      </w:r>
      <w:r>
        <w:rPr>
          <w:rFonts w:ascii="Arial" w:hAnsi="Arial" w:cs="Arial"/>
          <w:sz w:val="24"/>
          <w:szCs w:val="24"/>
        </w:rPr>
        <w:t>Jan</w:t>
      </w:r>
      <w:r w:rsidR="00453673">
        <w:rPr>
          <w:rFonts w:ascii="Arial" w:hAnsi="Arial" w:cs="Arial"/>
          <w:sz w:val="24"/>
          <w:szCs w:val="24"/>
        </w:rPr>
        <w:t>uary</w:t>
      </w:r>
      <w:r w:rsidRPr="004F1AFE">
        <w:rPr>
          <w:rFonts w:ascii="Arial" w:hAnsi="Arial" w:cs="Arial"/>
          <w:sz w:val="24"/>
          <w:szCs w:val="24"/>
        </w:rPr>
        <w:t xml:space="preserve"> 2026).</w:t>
      </w:r>
    </w:p>
    <w:p w14:paraId="46200658" w14:textId="552B5BC7" w:rsidR="00813ADD" w:rsidRDefault="00813ADD" w:rsidP="004F1AFE">
      <w:pPr>
        <w:spacing w:line="360" w:lineRule="auto"/>
        <w:jc w:val="both"/>
        <w:rPr>
          <w:rFonts w:ascii="Arial" w:hAnsi="Arial" w:cs="Arial"/>
          <w:sz w:val="24"/>
          <w:szCs w:val="24"/>
        </w:rPr>
      </w:pPr>
      <w:r w:rsidRPr="00813ADD">
        <w:rPr>
          <w:rFonts w:ascii="Arial" w:hAnsi="Arial" w:cs="Arial"/>
          <w:sz w:val="24"/>
          <w:szCs w:val="24"/>
        </w:rPr>
        <w:t>Lee, R.T. and Ashforth, B.E. (1996)</w:t>
      </w:r>
      <w:r>
        <w:rPr>
          <w:rFonts w:ascii="Arial" w:hAnsi="Arial" w:cs="Arial"/>
          <w:sz w:val="24"/>
          <w:szCs w:val="24"/>
        </w:rPr>
        <w:t xml:space="preserve">. </w:t>
      </w:r>
      <w:r w:rsidRPr="00813ADD">
        <w:rPr>
          <w:rFonts w:ascii="Arial" w:hAnsi="Arial" w:cs="Arial"/>
          <w:sz w:val="24"/>
          <w:szCs w:val="24"/>
        </w:rPr>
        <w:t xml:space="preserve">A meta-analytic examination of burnout dimensions, </w:t>
      </w:r>
      <w:r w:rsidRPr="00813ADD">
        <w:rPr>
          <w:rFonts w:ascii="Arial" w:hAnsi="Arial" w:cs="Arial"/>
          <w:i/>
          <w:iCs/>
          <w:sz w:val="24"/>
          <w:szCs w:val="24"/>
        </w:rPr>
        <w:t>Journal of Applied Psychology</w:t>
      </w:r>
      <w:r w:rsidRPr="00813ADD">
        <w:rPr>
          <w:rFonts w:ascii="Arial" w:hAnsi="Arial" w:cs="Arial"/>
          <w:sz w:val="24"/>
          <w:szCs w:val="24"/>
        </w:rPr>
        <w:t>, 81(2), pp. 123–133.</w:t>
      </w:r>
    </w:p>
    <w:p w14:paraId="5A473AAA" w14:textId="23605179" w:rsidR="00F82401" w:rsidRDefault="00F82401" w:rsidP="004F1AFE">
      <w:pPr>
        <w:spacing w:line="360" w:lineRule="auto"/>
        <w:jc w:val="both"/>
        <w:rPr>
          <w:rFonts w:ascii="Arial" w:hAnsi="Arial" w:cs="Arial"/>
          <w:sz w:val="24"/>
          <w:szCs w:val="24"/>
        </w:rPr>
      </w:pPr>
      <w:r w:rsidRPr="00F82401">
        <w:rPr>
          <w:rFonts w:ascii="Arial" w:hAnsi="Arial" w:cs="Arial"/>
          <w:sz w:val="24"/>
          <w:szCs w:val="24"/>
        </w:rPr>
        <w:t>Lincoln, Y.S. and Guba, E.G. (1985)</w:t>
      </w:r>
      <w:r>
        <w:rPr>
          <w:rFonts w:ascii="Arial" w:hAnsi="Arial" w:cs="Arial"/>
          <w:sz w:val="24"/>
          <w:szCs w:val="24"/>
        </w:rPr>
        <w:t xml:space="preserve">. </w:t>
      </w:r>
      <w:r w:rsidRPr="00F82401">
        <w:rPr>
          <w:rFonts w:ascii="Arial" w:hAnsi="Arial" w:cs="Arial"/>
          <w:i/>
          <w:iCs/>
          <w:sz w:val="24"/>
          <w:szCs w:val="24"/>
        </w:rPr>
        <w:t>Naturalistic Inquiry</w:t>
      </w:r>
      <w:r w:rsidRPr="00F82401">
        <w:rPr>
          <w:rFonts w:ascii="Arial" w:hAnsi="Arial" w:cs="Arial"/>
          <w:sz w:val="24"/>
          <w:szCs w:val="24"/>
        </w:rPr>
        <w:t>. Beverly Hills, CA: Sage.</w:t>
      </w:r>
    </w:p>
    <w:p w14:paraId="04C03258" w14:textId="1CC6B4A0" w:rsidR="00C34464" w:rsidRDefault="00C34464" w:rsidP="00C34464">
      <w:pPr>
        <w:spacing w:line="360" w:lineRule="auto"/>
        <w:jc w:val="both"/>
        <w:rPr>
          <w:rFonts w:ascii="Arial" w:hAnsi="Arial" w:cs="Arial"/>
          <w:sz w:val="24"/>
          <w:szCs w:val="24"/>
        </w:rPr>
      </w:pPr>
      <w:r w:rsidRPr="00C34464">
        <w:rPr>
          <w:rFonts w:ascii="Arial" w:hAnsi="Arial" w:cs="Arial"/>
          <w:sz w:val="24"/>
          <w:szCs w:val="24"/>
        </w:rPr>
        <w:t>McGinley, S.P., Hanks, L. and Line, N.D. (2017)</w:t>
      </w:r>
      <w:r>
        <w:rPr>
          <w:rFonts w:ascii="Arial" w:hAnsi="Arial" w:cs="Arial"/>
          <w:sz w:val="24"/>
          <w:szCs w:val="24"/>
        </w:rPr>
        <w:t xml:space="preserve">. </w:t>
      </w:r>
      <w:r w:rsidRPr="00C34464">
        <w:rPr>
          <w:rFonts w:ascii="Arial" w:hAnsi="Arial" w:cs="Arial"/>
          <w:sz w:val="24"/>
          <w:szCs w:val="24"/>
        </w:rPr>
        <w:t xml:space="preserve">Constraints to attracting new hotel workers: A study on industrial recruitment, </w:t>
      </w:r>
      <w:r w:rsidRPr="00C34464">
        <w:rPr>
          <w:rFonts w:ascii="Arial" w:hAnsi="Arial" w:cs="Arial"/>
          <w:i/>
          <w:iCs/>
          <w:sz w:val="24"/>
          <w:szCs w:val="24"/>
        </w:rPr>
        <w:t>International Journal of Hospitality Management</w:t>
      </w:r>
      <w:r w:rsidRPr="00C34464">
        <w:rPr>
          <w:rFonts w:ascii="Arial" w:hAnsi="Arial" w:cs="Arial"/>
          <w:sz w:val="24"/>
          <w:szCs w:val="24"/>
        </w:rPr>
        <w:t xml:space="preserve">, 60, pp. 114–122. Available at: </w:t>
      </w:r>
      <w:hyperlink r:id="rId47" w:history="1">
        <w:r w:rsidRPr="008A1654">
          <w:rPr>
            <w:rStyle w:val="Hyperlink"/>
            <w:rFonts w:ascii="Arial" w:hAnsi="Arial" w:cs="Arial"/>
            <w:sz w:val="24"/>
            <w:szCs w:val="24"/>
          </w:rPr>
          <w:t>https://doi.org/10.1016/j.ijhm.2016.10.010</w:t>
        </w:r>
      </w:hyperlink>
      <w:r>
        <w:rPr>
          <w:rFonts w:ascii="Arial" w:hAnsi="Arial" w:cs="Arial"/>
          <w:sz w:val="24"/>
          <w:szCs w:val="24"/>
        </w:rPr>
        <w:t xml:space="preserve"> </w:t>
      </w:r>
      <w:r w:rsidRPr="00C34464">
        <w:rPr>
          <w:rFonts w:ascii="Arial" w:hAnsi="Arial" w:cs="Arial"/>
          <w:sz w:val="24"/>
          <w:szCs w:val="24"/>
        </w:rPr>
        <w:t xml:space="preserve">(Accessed: </w:t>
      </w:r>
      <w:r>
        <w:rPr>
          <w:rFonts w:ascii="Arial" w:hAnsi="Arial" w:cs="Arial"/>
          <w:sz w:val="24"/>
          <w:szCs w:val="24"/>
        </w:rPr>
        <w:t>9</w:t>
      </w:r>
      <w:r w:rsidRPr="00C34464">
        <w:rPr>
          <w:rFonts w:ascii="Arial" w:hAnsi="Arial" w:cs="Arial"/>
          <w:sz w:val="24"/>
          <w:szCs w:val="24"/>
        </w:rPr>
        <w:t xml:space="preserve"> Feb</w:t>
      </w:r>
      <w:r w:rsidR="00453673">
        <w:rPr>
          <w:rFonts w:ascii="Arial" w:hAnsi="Arial" w:cs="Arial"/>
          <w:sz w:val="24"/>
          <w:szCs w:val="24"/>
        </w:rPr>
        <w:t>ruary</w:t>
      </w:r>
      <w:r w:rsidRPr="00C34464">
        <w:rPr>
          <w:rFonts w:ascii="Arial" w:hAnsi="Arial" w:cs="Arial"/>
          <w:sz w:val="24"/>
          <w:szCs w:val="24"/>
        </w:rPr>
        <w:t xml:space="preserve"> 2026)</w:t>
      </w:r>
      <w:r w:rsidR="00301E4F">
        <w:rPr>
          <w:rFonts w:ascii="Arial" w:hAnsi="Arial" w:cs="Arial"/>
          <w:sz w:val="24"/>
          <w:szCs w:val="24"/>
        </w:rPr>
        <w:t>.</w:t>
      </w:r>
    </w:p>
    <w:p w14:paraId="502C6826" w14:textId="496B1620" w:rsidR="00635F75" w:rsidRDefault="00635F75" w:rsidP="00C34464">
      <w:pPr>
        <w:spacing w:line="360" w:lineRule="auto"/>
        <w:jc w:val="both"/>
        <w:rPr>
          <w:rFonts w:ascii="Arial" w:hAnsi="Arial" w:cs="Arial"/>
          <w:sz w:val="24"/>
          <w:szCs w:val="24"/>
        </w:rPr>
      </w:pPr>
      <w:r w:rsidRPr="00C5705F">
        <w:rPr>
          <w:rFonts w:ascii="Arial" w:hAnsi="Arial" w:cs="Arial"/>
          <w:sz w:val="24"/>
          <w:szCs w:val="24"/>
        </w:rPr>
        <w:t xml:space="preserve">McNamara, M., Bohle, P. and Quinlan, M. (2011). </w:t>
      </w:r>
      <w:r w:rsidRPr="00635F75">
        <w:rPr>
          <w:rFonts w:ascii="Arial" w:hAnsi="Arial" w:cs="Arial"/>
          <w:sz w:val="24"/>
          <w:szCs w:val="24"/>
        </w:rPr>
        <w:t xml:space="preserve">Precarious employment, working hours, work–life conflict and health in hotel work, </w:t>
      </w:r>
      <w:r w:rsidRPr="00635F75">
        <w:rPr>
          <w:rFonts w:ascii="Arial" w:hAnsi="Arial" w:cs="Arial"/>
          <w:i/>
          <w:iCs/>
          <w:sz w:val="24"/>
          <w:szCs w:val="24"/>
        </w:rPr>
        <w:t>Applied Ergonomics</w:t>
      </w:r>
      <w:r w:rsidRPr="00635F75">
        <w:rPr>
          <w:rFonts w:ascii="Arial" w:hAnsi="Arial" w:cs="Arial"/>
          <w:sz w:val="24"/>
          <w:szCs w:val="24"/>
        </w:rPr>
        <w:t xml:space="preserve">, 42(2), pp. 225–232. </w:t>
      </w:r>
      <w:r>
        <w:rPr>
          <w:rFonts w:ascii="Arial" w:hAnsi="Arial" w:cs="Arial"/>
          <w:sz w:val="24"/>
          <w:szCs w:val="24"/>
        </w:rPr>
        <w:t xml:space="preserve">Available at: </w:t>
      </w:r>
      <w:hyperlink r:id="rId48" w:history="1">
        <w:r w:rsidRPr="00794026">
          <w:rPr>
            <w:rStyle w:val="Hyperlink"/>
            <w:rFonts w:ascii="Arial" w:hAnsi="Arial" w:cs="Arial"/>
            <w:sz w:val="24"/>
            <w:szCs w:val="24"/>
          </w:rPr>
          <w:t>https://doi.org/10.1016/j.apergo.2010.06.013</w:t>
        </w:r>
      </w:hyperlink>
      <w:r>
        <w:rPr>
          <w:rFonts w:ascii="Arial" w:hAnsi="Arial" w:cs="Arial"/>
          <w:sz w:val="24"/>
          <w:szCs w:val="24"/>
        </w:rPr>
        <w:t xml:space="preserve"> (Accessed 21 </w:t>
      </w:r>
      <w:r w:rsidR="00453673">
        <w:rPr>
          <w:rFonts w:ascii="Arial" w:hAnsi="Arial" w:cs="Arial"/>
          <w:sz w:val="24"/>
          <w:szCs w:val="24"/>
        </w:rPr>
        <w:t>January</w:t>
      </w:r>
      <w:r>
        <w:rPr>
          <w:rFonts w:ascii="Arial" w:hAnsi="Arial" w:cs="Arial"/>
          <w:sz w:val="24"/>
          <w:szCs w:val="24"/>
        </w:rPr>
        <w:t xml:space="preserve"> 2026).</w:t>
      </w:r>
    </w:p>
    <w:p w14:paraId="577C8B87" w14:textId="3002FD96" w:rsidR="000B0B1E" w:rsidRDefault="000B0B1E" w:rsidP="000B0B1E">
      <w:pPr>
        <w:spacing w:line="360" w:lineRule="auto"/>
        <w:jc w:val="both"/>
        <w:rPr>
          <w:rFonts w:ascii="Arial" w:hAnsi="Arial" w:cs="Arial"/>
          <w:sz w:val="24"/>
          <w:szCs w:val="24"/>
        </w:rPr>
      </w:pPr>
      <w:r w:rsidRPr="000B0B1E">
        <w:rPr>
          <w:rFonts w:ascii="Arial" w:hAnsi="Arial" w:cs="Arial"/>
          <w:sz w:val="24"/>
          <w:szCs w:val="24"/>
        </w:rPr>
        <w:t xml:space="preserve">Mitchell, T. R., Holtom, B. C., Lee, T. W., Sablynski, C. J., &amp; Erez, M. (2001). Why people stay: Using job embeddedness to predict voluntary turnover. </w:t>
      </w:r>
      <w:r w:rsidRPr="000B0B1E">
        <w:rPr>
          <w:rFonts w:ascii="Arial" w:hAnsi="Arial" w:cs="Arial"/>
          <w:i/>
          <w:iCs/>
          <w:sz w:val="24"/>
          <w:szCs w:val="24"/>
        </w:rPr>
        <w:t>Academy of Management Journal</w:t>
      </w:r>
      <w:r w:rsidRPr="000B0B1E">
        <w:rPr>
          <w:rFonts w:ascii="Arial" w:hAnsi="Arial" w:cs="Arial"/>
          <w:sz w:val="24"/>
          <w:szCs w:val="24"/>
        </w:rPr>
        <w:t>, 44(6), 1102–1121. DOI: 10.5465/3069391</w:t>
      </w:r>
      <w:r>
        <w:rPr>
          <w:rFonts w:ascii="Arial" w:hAnsi="Arial" w:cs="Arial"/>
          <w:sz w:val="24"/>
          <w:szCs w:val="24"/>
        </w:rPr>
        <w:t xml:space="preserve">. Available at: </w:t>
      </w:r>
      <w:hyperlink r:id="rId49" w:history="1">
        <w:r w:rsidRPr="00794026">
          <w:rPr>
            <w:rStyle w:val="Hyperlink"/>
            <w:rFonts w:ascii="Arial" w:hAnsi="Arial" w:cs="Arial"/>
            <w:sz w:val="24"/>
            <w:szCs w:val="24"/>
          </w:rPr>
          <w:t>https://scholarlycommons.pacific.edu/esob-facarticles/209</w:t>
        </w:r>
      </w:hyperlink>
      <w:r>
        <w:rPr>
          <w:rFonts w:ascii="Arial" w:hAnsi="Arial" w:cs="Arial"/>
          <w:sz w:val="24"/>
          <w:szCs w:val="24"/>
        </w:rPr>
        <w:t xml:space="preserve"> </w:t>
      </w:r>
      <w:r w:rsidR="00DE0AF7">
        <w:rPr>
          <w:rFonts w:ascii="Arial" w:hAnsi="Arial" w:cs="Arial"/>
          <w:sz w:val="24"/>
          <w:szCs w:val="24"/>
        </w:rPr>
        <w:t>(Accessed: 22 Jan</w:t>
      </w:r>
      <w:r w:rsidR="00453673">
        <w:rPr>
          <w:rFonts w:ascii="Arial" w:hAnsi="Arial" w:cs="Arial"/>
          <w:sz w:val="24"/>
          <w:szCs w:val="24"/>
        </w:rPr>
        <w:t>uary</w:t>
      </w:r>
      <w:r w:rsidR="00DE0AF7">
        <w:rPr>
          <w:rFonts w:ascii="Arial" w:hAnsi="Arial" w:cs="Arial"/>
          <w:sz w:val="24"/>
          <w:szCs w:val="24"/>
        </w:rPr>
        <w:t xml:space="preserve"> 2026).</w:t>
      </w:r>
    </w:p>
    <w:p w14:paraId="3FA03D1F" w14:textId="23FA7515" w:rsidR="00525917" w:rsidRDefault="00525917" w:rsidP="00525917">
      <w:pPr>
        <w:spacing w:line="360" w:lineRule="auto"/>
        <w:jc w:val="both"/>
        <w:rPr>
          <w:rFonts w:ascii="Arial" w:hAnsi="Arial" w:cs="Arial"/>
          <w:sz w:val="24"/>
          <w:szCs w:val="24"/>
        </w:rPr>
      </w:pPr>
      <w:r w:rsidRPr="00525917">
        <w:rPr>
          <w:rFonts w:ascii="Arial" w:hAnsi="Arial" w:cs="Arial"/>
          <w:sz w:val="24"/>
          <w:szCs w:val="24"/>
        </w:rPr>
        <w:lastRenderedPageBreak/>
        <w:t xml:space="preserve">Mohsin, A., </w:t>
      </w:r>
      <w:proofErr w:type="spellStart"/>
      <w:r w:rsidRPr="00525917">
        <w:rPr>
          <w:rFonts w:ascii="Arial" w:hAnsi="Arial" w:cs="Arial"/>
          <w:sz w:val="24"/>
          <w:szCs w:val="24"/>
        </w:rPr>
        <w:t>Lengler</w:t>
      </w:r>
      <w:proofErr w:type="spellEnd"/>
      <w:r w:rsidRPr="00525917">
        <w:rPr>
          <w:rFonts w:ascii="Arial" w:hAnsi="Arial" w:cs="Arial"/>
          <w:sz w:val="24"/>
          <w:szCs w:val="24"/>
        </w:rPr>
        <w:t xml:space="preserve">, J. and </w:t>
      </w:r>
      <w:proofErr w:type="spellStart"/>
      <w:r w:rsidRPr="00525917">
        <w:rPr>
          <w:rFonts w:ascii="Arial" w:hAnsi="Arial" w:cs="Arial"/>
          <w:sz w:val="24"/>
          <w:szCs w:val="24"/>
        </w:rPr>
        <w:t>Aguzzoli</w:t>
      </w:r>
      <w:proofErr w:type="spellEnd"/>
      <w:r w:rsidRPr="00525917">
        <w:rPr>
          <w:rFonts w:ascii="Arial" w:hAnsi="Arial" w:cs="Arial"/>
          <w:sz w:val="24"/>
          <w:szCs w:val="24"/>
        </w:rPr>
        <w:t>, R. (2015)</w:t>
      </w:r>
      <w:r>
        <w:rPr>
          <w:rFonts w:ascii="Arial" w:hAnsi="Arial" w:cs="Arial"/>
          <w:sz w:val="24"/>
          <w:szCs w:val="24"/>
        </w:rPr>
        <w:t xml:space="preserve">. </w:t>
      </w:r>
      <w:r w:rsidRPr="00525917">
        <w:rPr>
          <w:rFonts w:ascii="Arial" w:hAnsi="Arial" w:cs="Arial"/>
          <w:sz w:val="24"/>
          <w:szCs w:val="24"/>
        </w:rPr>
        <w:t xml:space="preserve">Staff turnover in hotels: Exploring the quadratic and linear relationships, </w:t>
      </w:r>
      <w:r w:rsidRPr="00525917">
        <w:rPr>
          <w:rFonts w:ascii="Arial" w:hAnsi="Arial" w:cs="Arial"/>
          <w:i/>
          <w:iCs/>
          <w:sz w:val="24"/>
          <w:szCs w:val="24"/>
        </w:rPr>
        <w:t>Tourism Management</w:t>
      </w:r>
      <w:r w:rsidRPr="00525917">
        <w:rPr>
          <w:rFonts w:ascii="Arial" w:hAnsi="Arial" w:cs="Arial"/>
          <w:sz w:val="24"/>
          <w:szCs w:val="24"/>
        </w:rPr>
        <w:t xml:space="preserve">, 51, pp. 35–48. Available at: </w:t>
      </w:r>
      <w:hyperlink r:id="rId50" w:history="1">
        <w:r w:rsidRPr="008A1654">
          <w:rPr>
            <w:rStyle w:val="Hyperlink"/>
            <w:rFonts w:ascii="Arial" w:hAnsi="Arial" w:cs="Arial"/>
            <w:sz w:val="24"/>
            <w:szCs w:val="24"/>
          </w:rPr>
          <w:t>https://doi.org/10.1016/j.tourman.2015.04.005</w:t>
        </w:r>
      </w:hyperlink>
      <w:r>
        <w:rPr>
          <w:rFonts w:ascii="Arial" w:hAnsi="Arial" w:cs="Arial"/>
          <w:sz w:val="24"/>
          <w:szCs w:val="24"/>
        </w:rPr>
        <w:t xml:space="preserve"> </w:t>
      </w:r>
      <w:r w:rsidRPr="00525917">
        <w:rPr>
          <w:rFonts w:ascii="Arial" w:hAnsi="Arial" w:cs="Arial"/>
          <w:sz w:val="24"/>
          <w:szCs w:val="24"/>
        </w:rPr>
        <w:t xml:space="preserve">(Accessed: </w:t>
      </w:r>
      <w:r>
        <w:rPr>
          <w:rFonts w:ascii="Arial" w:hAnsi="Arial" w:cs="Arial"/>
          <w:sz w:val="24"/>
          <w:szCs w:val="24"/>
        </w:rPr>
        <w:t>10</w:t>
      </w:r>
      <w:r w:rsidRPr="00525917">
        <w:rPr>
          <w:rFonts w:ascii="Arial" w:hAnsi="Arial" w:cs="Arial"/>
          <w:sz w:val="24"/>
          <w:szCs w:val="24"/>
        </w:rPr>
        <w:t xml:space="preserve"> Feb</w:t>
      </w:r>
      <w:r w:rsidR="00453673">
        <w:rPr>
          <w:rFonts w:ascii="Arial" w:hAnsi="Arial" w:cs="Arial"/>
          <w:sz w:val="24"/>
          <w:szCs w:val="24"/>
        </w:rPr>
        <w:t>ruary</w:t>
      </w:r>
      <w:r w:rsidRPr="00525917">
        <w:rPr>
          <w:rFonts w:ascii="Arial" w:hAnsi="Arial" w:cs="Arial"/>
          <w:sz w:val="24"/>
          <w:szCs w:val="24"/>
        </w:rPr>
        <w:t xml:space="preserve"> 2026).</w:t>
      </w:r>
    </w:p>
    <w:p w14:paraId="454376F0" w14:textId="117B15F9" w:rsidR="00200434" w:rsidRDefault="00200434" w:rsidP="00200434">
      <w:pPr>
        <w:spacing w:line="360" w:lineRule="auto"/>
        <w:jc w:val="both"/>
        <w:rPr>
          <w:rFonts w:ascii="Arial" w:hAnsi="Arial" w:cs="Arial"/>
          <w:sz w:val="24"/>
          <w:szCs w:val="24"/>
        </w:rPr>
      </w:pPr>
      <w:r w:rsidRPr="00834F24">
        <w:rPr>
          <w:rFonts w:ascii="Arial" w:hAnsi="Arial" w:cs="Arial"/>
          <w:sz w:val="24"/>
          <w:szCs w:val="24"/>
        </w:rPr>
        <w:t xml:space="preserve">Nadiri, H. and </w:t>
      </w:r>
      <w:proofErr w:type="spellStart"/>
      <w:r w:rsidRPr="00834F24">
        <w:rPr>
          <w:rFonts w:ascii="Arial" w:hAnsi="Arial" w:cs="Arial"/>
          <w:sz w:val="24"/>
          <w:szCs w:val="24"/>
        </w:rPr>
        <w:t>Tanova</w:t>
      </w:r>
      <w:proofErr w:type="spellEnd"/>
      <w:r w:rsidRPr="00834F24">
        <w:rPr>
          <w:rFonts w:ascii="Arial" w:hAnsi="Arial" w:cs="Arial"/>
          <w:sz w:val="24"/>
          <w:szCs w:val="24"/>
        </w:rPr>
        <w:t>, C. (2010)</w:t>
      </w:r>
      <w:r w:rsidR="0001071E" w:rsidRPr="00834F24">
        <w:rPr>
          <w:rFonts w:ascii="Arial" w:hAnsi="Arial" w:cs="Arial"/>
          <w:sz w:val="24"/>
          <w:szCs w:val="24"/>
        </w:rPr>
        <w:t xml:space="preserve">. </w:t>
      </w:r>
      <w:r w:rsidRPr="00200434">
        <w:rPr>
          <w:rFonts w:ascii="Arial" w:hAnsi="Arial" w:cs="Arial"/>
          <w:sz w:val="24"/>
          <w:szCs w:val="24"/>
        </w:rPr>
        <w:t xml:space="preserve">An investigation of the role of justice in turnover intentions, job satisfaction, and organizational citizenship </w:t>
      </w:r>
      <w:proofErr w:type="spellStart"/>
      <w:r w:rsidRPr="00200434">
        <w:rPr>
          <w:rFonts w:ascii="Arial" w:hAnsi="Arial" w:cs="Arial"/>
          <w:sz w:val="24"/>
          <w:szCs w:val="24"/>
        </w:rPr>
        <w:t>behavior</w:t>
      </w:r>
      <w:proofErr w:type="spellEnd"/>
      <w:r w:rsidRPr="00200434">
        <w:rPr>
          <w:rFonts w:ascii="Arial" w:hAnsi="Arial" w:cs="Arial"/>
          <w:sz w:val="24"/>
          <w:szCs w:val="24"/>
        </w:rPr>
        <w:t xml:space="preserve"> in hospitality industry, </w:t>
      </w:r>
      <w:r w:rsidRPr="0001071E">
        <w:rPr>
          <w:rFonts w:ascii="Arial" w:hAnsi="Arial" w:cs="Arial"/>
          <w:i/>
          <w:iCs/>
          <w:sz w:val="24"/>
          <w:szCs w:val="24"/>
        </w:rPr>
        <w:t>International Journal of Hospitality Management</w:t>
      </w:r>
      <w:r w:rsidRPr="00200434">
        <w:rPr>
          <w:rFonts w:ascii="Arial" w:hAnsi="Arial" w:cs="Arial"/>
          <w:sz w:val="24"/>
          <w:szCs w:val="24"/>
        </w:rPr>
        <w:t>, 29(1), pp. 33–41.</w:t>
      </w:r>
      <w:r w:rsidR="0001071E">
        <w:rPr>
          <w:rFonts w:ascii="Arial" w:hAnsi="Arial" w:cs="Arial"/>
          <w:sz w:val="24"/>
          <w:szCs w:val="24"/>
        </w:rPr>
        <w:t xml:space="preserve"> Available at: </w:t>
      </w:r>
      <w:hyperlink r:id="rId51" w:history="1">
        <w:r w:rsidR="0001071E" w:rsidRPr="00524AF7">
          <w:rPr>
            <w:rStyle w:val="Hyperlink"/>
            <w:rFonts w:ascii="Arial" w:hAnsi="Arial" w:cs="Arial"/>
            <w:sz w:val="24"/>
            <w:szCs w:val="24"/>
          </w:rPr>
          <w:t>https://doi.org/10.1016/j.ijhm.2009.05.001</w:t>
        </w:r>
      </w:hyperlink>
      <w:r w:rsidR="0001071E">
        <w:rPr>
          <w:rFonts w:ascii="Arial" w:hAnsi="Arial" w:cs="Arial"/>
          <w:sz w:val="24"/>
          <w:szCs w:val="24"/>
        </w:rPr>
        <w:t xml:space="preserve"> (Accessed: 26 Jan</w:t>
      </w:r>
      <w:r w:rsidR="00453673">
        <w:rPr>
          <w:rFonts w:ascii="Arial" w:hAnsi="Arial" w:cs="Arial"/>
          <w:sz w:val="24"/>
          <w:szCs w:val="24"/>
        </w:rPr>
        <w:t>uary</w:t>
      </w:r>
      <w:r w:rsidR="0001071E">
        <w:rPr>
          <w:rFonts w:ascii="Arial" w:hAnsi="Arial" w:cs="Arial"/>
          <w:sz w:val="24"/>
          <w:szCs w:val="24"/>
        </w:rPr>
        <w:t xml:space="preserve"> 2026).</w:t>
      </w:r>
    </w:p>
    <w:p w14:paraId="4F1FE3B9" w14:textId="71BDD91E" w:rsidR="00BE4191" w:rsidRDefault="00BE4191" w:rsidP="00200434">
      <w:pPr>
        <w:spacing w:line="360" w:lineRule="auto"/>
        <w:jc w:val="both"/>
        <w:rPr>
          <w:rFonts w:ascii="Arial" w:hAnsi="Arial" w:cs="Arial"/>
          <w:sz w:val="24"/>
          <w:szCs w:val="24"/>
        </w:rPr>
      </w:pPr>
      <w:r w:rsidRPr="00BE4191">
        <w:rPr>
          <w:rFonts w:ascii="Arial" w:hAnsi="Arial" w:cs="Arial"/>
          <w:sz w:val="24"/>
          <w:szCs w:val="24"/>
        </w:rPr>
        <w:t>Nguyen, C.N., Hoang, G. and Luu, T.T. (2023)</w:t>
      </w:r>
      <w:r>
        <w:rPr>
          <w:rFonts w:ascii="Arial" w:hAnsi="Arial" w:cs="Arial"/>
          <w:sz w:val="24"/>
          <w:szCs w:val="24"/>
        </w:rPr>
        <w:t xml:space="preserve">. </w:t>
      </w:r>
      <w:r w:rsidRPr="00BE4191">
        <w:rPr>
          <w:rFonts w:ascii="Arial" w:hAnsi="Arial" w:cs="Arial"/>
          <w:sz w:val="24"/>
          <w:szCs w:val="24"/>
        </w:rPr>
        <w:t xml:space="preserve">Frontline employees’ turnover intentions in tourism and hospitality sectors: A systematic literature review and research agenda, </w:t>
      </w:r>
      <w:r w:rsidRPr="00BE4191">
        <w:rPr>
          <w:rFonts w:ascii="Arial" w:hAnsi="Arial" w:cs="Arial"/>
          <w:i/>
          <w:iCs/>
          <w:sz w:val="24"/>
          <w:szCs w:val="24"/>
        </w:rPr>
        <w:t>Tourism management perspectives</w:t>
      </w:r>
      <w:r w:rsidRPr="00BE4191">
        <w:rPr>
          <w:rFonts w:ascii="Arial" w:hAnsi="Arial" w:cs="Arial"/>
          <w:sz w:val="24"/>
          <w:szCs w:val="24"/>
        </w:rPr>
        <w:t xml:space="preserve">, 49. Available at: </w:t>
      </w:r>
      <w:hyperlink r:id="rId52" w:history="1">
        <w:r w:rsidRPr="00794026">
          <w:rPr>
            <w:rStyle w:val="Hyperlink"/>
            <w:rFonts w:ascii="Arial" w:hAnsi="Arial" w:cs="Arial"/>
            <w:sz w:val="24"/>
            <w:szCs w:val="24"/>
          </w:rPr>
          <w:t>https://doi.org/10.1016/j.tmp.2023.101197</w:t>
        </w:r>
      </w:hyperlink>
      <w:r>
        <w:rPr>
          <w:rFonts w:ascii="Arial" w:hAnsi="Arial" w:cs="Arial"/>
          <w:sz w:val="24"/>
          <w:szCs w:val="24"/>
        </w:rPr>
        <w:t xml:space="preserve"> (Accessed: </w:t>
      </w:r>
      <w:r w:rsidR="001A4211">
        <w:rPr>
          <w:rFonts w:ascii="Arial" w:hAnsi="Arial" w:cs="Arial"/>
          <w:sz w:val="24"/>
          <w:szCs w:val="24"/>
        </w:rPr>
        <w:t>14 Feb</w:t>
      </w:r>
      <w:r w:rsidR="00453673">
        <w:rPr>
          <w:rFonts w:ascii="Arial" w:hAnsi="Arial" w:cs="Arial"/>
          <w:sz w:val="24"/>
          <w:szCs w:val="24"/>
        </w:rPr>
        <w:t>ruary</w:t>
      </w:r>
      <w:r w:rsidR="001A4211">
        <w:rPr>
          <w:rFonts w:ascii="Arial" w:hAnsi="Arial" w:cs="Arial"/>
          <w:sz w:val="24"/>
          <w:szCs w:val="24"/>
        </w:rPr>
        <w:t xml:space="preserve"> 2026).</w:t>
      </w:r>
    </w:p>
    <w:p w14:paraId="4958CF6E" w14:textId="7EDBC95A" w:rsidR="00A21E63" w:rsidRDefault="000D2C3C" w:rsidP="000D2C3C">
      <w:pPr>
        <w:spacing w:line="360" w:lineRule="auto"/>
        <w:jc w:val="both"/>
        <w:rPr>
          <w:rFonts w:ascii="Arial" w:hAnsi="Arial" w:cs="Arial"/>
          <w:sz w:val="24"/>
          <w:szCs w:val="24"/>
        </w:rPr>
      </w:pPr>
      <w:r w:rsidRPr="000D2C3C">
        <w:rPr>
          <w:rFonts w:ascii="Arial" w:hAnsi="Arial" w:cs="Arial"/>
          <w:sz w:val="24"/>
          <w:szCs w:val="24"/>
        </w:rPr>
        <w:t>Office for National Statistics (2023)</w:t>
      </w:r>
      <w:r>
        <w:rPr>
          <w:rFonts w:ascii="Arial" w:hAnsi="Arial" w:cs="Arial"/>
          <w:sz w:val="24"/>
          <w:szCs w:val="24"/>
        </w:rPr>
        <w:t>.</w:t>
      </w:r>
      <w:r w:rsidRPr="000D2C3C">
        <w:rPr>
          <w:rFonts w:ascii="Arial" w:hAnsi="Arial" w:cs="Arial"/>
          <w:sz w:val="24"/>
          <w:szCs w:val="24"/>
        </w:rPr>
        <w:t xml:space="preserve"> </w:t>
      </w:r>
      <w:r w:rsidRPr="000D2C3C">
        <w:rPr>
          <w:rFonts w:ascii="Arial" w:hAnsi="Arial" w:cs="Arial"/>
          <w:i/>
          <w:iCs/>
          <w:sz w:val="24"/>
          <w:szCs w:val="24"/>
        </w:rPr>
        <w:t>Workforce jobs by industry (SIC 2007), Accommodation and food service activities</w:t>
      </w:r>
      <w:r w:rsidRPr="000D2C3C">
        <w:rPr>
          <w:rFonts w:ascii="Arial" w:hAnsi="Arial" w:cs="Arial"/>
          <w:sz w:val="24"/>
          <w:szCs w:val="24"/>
        </w:rPr>
        <w:t xml:space="preserve">. Available at: </w:t>
      </w:r>
      <w:hyperlink r:id="rId53" w:history="1">
        <w:r w:rsidRPr="00524AF7">
          <w:rPr>
            <w:rStyle w:val="Hyperlink"/>
            <w:rFonts w:ascii="Arial" w:hAnsi="Arial" w:cs="Arial"/>
            <w:sz w:val="24"/>
            <w:szCs w:val="24"/>
          </w:rPr>
          <w:t>https://www.ons.gov.uk/employmentandlabourmarket/peopleinwork/employmentandemployeetypes/datasets/workforcejobsbyindustryjobs02</w:t>
        </w:r>
      </w:hyperlink>
      <w:r w:rsidRPr="000D2C3C">
        <w:rPr>
          <w:rFonts w:ascii="Arial" w:hAnsi="Arial" w:cs="Arial"/>
          <w:sz w:val="24"/>
          <w:szCs w:val="24"/>
        </w:rPr>
        <w:t xml:space="preserve"> (Accessed</w:t>
      </w:r>
      <w:r w:rsidR="002417E6">
        <w:rPr>
          <w:rFonts w:ascii="Arial" w:hAnsi="Arial" w:cs="Arial"/>
          <w:sz w:val="24"/>
          <w:szCs w:val="24"/>
        </w:rPr>
        <w:t>:</w:t>
      </w:r>
      <w:r>
        <w:rPr>
          <w:rFonts w:ascii="Arial" w:hAnsi="Arial" w:cs="Arial"/>
          <w:sz w:val="24"/>
          <w:szCs w:val="24"/>
        </w:rPr>
        <w:t xml:space="preserve"> </w:t>
      </w:r>
      <w:r w:rsidRPr="000D2C3C">
        <w:rPr>
          <w:rFonts w:ascii="Arial" w:hAnsi="Arial" w:cs="Arial"/>
          <w:sz w:val="24"/>
          <w:szCs w:val="24"/>
        </w:rPr>
        <w:t xml:space="preserve">18 </w:t>
      </w:r>
      <w:r w:rsidR="00323BCD">
        <w:rPr>
          <w:rFonts w:ascii="Arial" w:hAnsi="Arial" w:cs="Arial"/>
          <w:sz w:val="24"/>
          <w:szCs w:val="24"/>
        </w:rPr>
        <w:t>Jan</w:t>
      </w:r>
      <w:r w:rsidR="00453673">
        <w:rPr>
          <w:rFonts w:ascii="Arial" w:hAnsi="Arial" w:cs="Arial"/>
          <w:sz w:val="24"/>
          <w:szCs w:val="24"/>
        </w:rPr>
        <w:t>uary</w:t>
      </w:r>
      <w:r w:rsidRPr="000D2C3C">
        <w:rPr>
          <w:rFonts w:ascii="Arial" w:hAnsi="Arial" w:cs="Arial"/>
          <w:sz w:val="24"/>
          <w:szCs w:val="24"/>
        </w:rPr>
        <w:t xml:space="preserve"> 2026).</w:t>
      </w:r>
    </w:p>
    <w:p w14:paraId="0B379389" w14:textId="370A8E6C" w:rsidR="00CE2560" w:rsidRDefault="00CE2560" w:rsidP="00CE2560">
      <w:pPr>
        <w:spacing w:line="360" w:lineRule="auto"/>
        <w:jc w:val="both"/>
        <w:rPr>
          <w:rFonts w:ascii="Arial" w:hAnsi="Arial" w:cs="Arial"/>
          <w:sz w:val="24"/>
          <w:szCs w:val="24"/>
        </w:rPr>
      </w:pPr>
      <w:r w:rsidRPr="00CE2560">
        <w:rPr>
          <w:rFonts w:ascii="Arial" w:hAnsi="Arial" w:cs="Arial"/>
          <w:sz w:val="24"/>
          <w:szCs w:val="24"/>
        </w:rPr>
        <w:t xml:space="preserve">Office for National Statistics (2023b) Labour market overview, UK: May 2023. London: ONS. Available at: </w:t>
      </w:r>
      <w:hyperlink r:id="rId54" w:history="1">
        <w:r w:rsidR="00A65759" w:rsidRPr="003230FC">
          <w:rPr>
            <w:rStyle w:val="Hyperlink"/>
            <w:rFonts w:ascii="Arial" w:hAnsi="Arial" w:cs="Arial"/>
            <w:sz w:val="24"/>
            <w:szCs w:val="24"/>
          </w:rPr>
          <w:t>https://www.ons.gov.uk/employmentandlabourmarket/peopleinwork/employmentandemployeetypes/bulletins/uklabourmarket/may2023</w:t>
        </w:r>
      </w:hyperlink>
      <w:r w:rsidRPr="00CE2560">
        <w:rPr>
          <w:rFonts w:ascii="Arial" w:hAnsi="Arial" w:cs="Arial"/>
          <w:sz w:val="24"/>
          <w:szCs w:val="24"/>
        </w:rPr>
        <w:t xml:space="preserve"> (Accessed:</w:t>
      </w:r>
      <w:r w:rsidR="00A65759">
        <w:rPr>
          <w:rFonts w:ascii="Arial" w:hAnsi="Arial" w:cs="Arial"/>
          <w:sz w:val="24"/>
          <w:szCs w:val="24"/>
        </w:rPr>
        <w:t xml:space="preserve"> 15 Jan</w:t>
      </w:r>
      <w:r w:rsidR="00453673">
        <w:rPr>
          <w:rFonts w:ascii="Arial" w:hAnsi="Arial" w:cs="Arial"/>
          <w:sz w:val="24"/>
          <w:szCs w:val="24"/>
        </w:rPr>
        <w:t>uary</w:t>
      </w:r>
      <w:r w:rsidR="00A65759">
        <w:rPr>
          <w:rFonts w:ascii="Arial" w:hAnsi="Arial" w:cs="Arial"/>
          <w:sz w:val="24"/>
          <w:szCs w:val="24"/>
        </w:rPr>
        <w:t xml:space="preserve"> 2026).</w:t>
      </w:r>
    </w:p>
    <w:p w14:paraId="65747BF2" w14:textId="1553B973" w:rsidR="00DA6D32" w:rsidRDefault="00DA6D32" w:rsidP="00DA6D32">
      <w:pPr>
        <w:spacing w:line="360" w:lineRule="auto"/>
        <w:jc w:val="both"/>
        <w:rPr>
          <w:rFonts w:ascii="Arial" w:hAnsi="Arial" w:cs="Arial"/>
          <w:sz w:val="24"/>
          <w:szCs w:val="24"/>
        </w:rPr>
      </w:pPr>
      <w:r w:rsidRPr="00DA6D32">
        <w:rPr>
          <w:rFonts w:ascii="Arial" w:hAnsi="Arial" w:cs="Arial"/>
          <w:sz w:val="24"/>
          <w:szCs w:val="24"/>
        </w:rPr>
        <w:t>O’Neill, J.W. and Follmer, K. (2020)</w:t>
      </w:r>
      <w:r>
        <w:rPr>
          <w:rFonts w:ascii="Arial" w:hAnsi="Arial" w:cs="Arial"/>
          <w:sz w:val="24"/>
          <w:szCs w:val="24"/>
        </w:rPr>
        <w:t xml:space="preserve">. </w:t>
      </w:r>
      <w:r w:rsidRPr="00DA6D32">
        <w:rPr>
          <w:rFonts w:ascii="Arial" w:hAnsi="Arial" w:cs="Arial"/>
          <w:sz w:val="24"/>
          <w:szCs w:val="24"/>
        </w:rPr>
        <w:t xml:space="preserve">A multilevel review of hospitality industry work–family conflict research and a strategy for future research, </w:t>
      </w:r>
      <w:r w:rsidRPr="00DA6D32">
        <w:rPr>
          <w:rFonts w:ascii="Arial" w:hAnsi="Arial" w:cs="Arial"/>
          <w:i/>
          <w:iCs/>
          <w:sz w:val="24"/>
          <w:szCs w:val="24"/>
        </w:rPr>
        <w:t>Journal of Hospitality &amp; Tourism Research</w:t>
      </w:r>
      <w:r w:rsidRPr="00DA6D32">
        <w:rPr>
          <w:rFonts w:ascii="Arial" w:hAnsi="Arial" w:cs="Arial"/>
          <w:sz w:val="24"/>
          <w:szCs w:val="24"/>
        </w:rPr>
        <w:t>, 44(1), pp. 3–38.</w:t>
      </w:r>
      <w:r>
        <w:rPr>
          <w:rFonts w:ascii="Arial" w:hAnsi="Arial" w:cs="Arial"/>
          <w:sz w:val="24"/>
          <w:szCs w:val="24"/>
        </w:rPr>
        <w:t xml:space="preserve"> Available at:</w:t>
      </w:r>
      <w:r w:rsidR="00B60FF7">
        <w:rPr>
          <w:rFonts w:ascii="Arial" w:hAnsi="Arial" w:cs="Arial"/>
          <w:sz w:val="24"/>
          <w:szCs w:val="24"/>
        </w:rPr>
        <w:t xml:space="preserve"> </w:t>
      </w:r>
      <w:r w:rsidRPr="00DA6D32">
        <w:rPr>
          <w:rFonts w:ascii="Arial" w:hAnsi="Arial" w:cs="Arial"/>
          <w:sz w:val="24"/>
          <w:szCs w:val="24"/>
        </w:rPr>
        <w:t xml:space="preserve"> </w:t>
      </w:r>
      <w:hyperlink r:id="rId55" w:history="1">
        <w:r w:rsidR="00B60FF7" w:rsidRPr="0087784B">
          <w:rPr>
            <w:rStyle w:val="Hyperlink"/>
            <w:rFonts w:ascii="Arial" w:hAnsi="Arial" w:cs="Arial"/>
            <w:sz w:val="24"/>
            <w:szCs w:val="24"/>
          </w:rPr>
          <w:t>https://doi.org/10.1177/1096348019864653</w:t>
        </w:r>
      </w:hyperlink>
      <w:r w:rsidR="00B60FF7">
        <w:rPr>
          <w:rFonts w:ascii="Arial" w:hAnsi="Arial" w:cs="Arial"/>
          <w:sz w:val="24"/>
          <w:szCs w:val="24"/>
        </w:rPr>
        <w:t xml:space="preserve"> (Accessed: 21 Feb</w:t>
      </w:r>
      <w:r w:rsidR="00453673">
        <w:rPr>
          <w:rFonts w:ascii="Arial" w:hAnsi="Arial" w:cs="Arial"/>
          <w:sz w:val="24"/>
          <w:szCs w:val="24"/>
        </w:rPr>
        <w:t>ruary</w:t>
      </w:r>
      <w:r w:rsidR="00B60FF7">
        <w:rPr>
          <w:rFonts w:ascii="Arial" w:hAnsi="Arial" w:cs="Arial"/>
          <w:sz w:val="24"/>
          <w:szCs w:val="24"/>
        </w:rPr>
        <w:t xml:space="preserve"> 2026).</w:t>
      </w:r>
    </w:p>
    <w:p w14:paraId="144101EF" w14:textId="1FE6DE61" w:rsidR="00B80801" w:rsidRDefault="00B80801" w:rsidP="00B80801">
      <w:pPr>
        <w:spacing w:line="360" w:lineRule="auto"/>
        <w:jc w:val="both"/>
        <w:rPr>
          <w:rFonts w:ascii="Arial" w:hAnsi="Arial" w:cs="Arial"/>
          <w:sz w:val="24"/>
          <w:szCs w:val="24"/>
        </w:rPr>
      </w:pPr>
      <w:r w:rsidRPr="00B80801">
        <w:rPr>
          <w:rFonts w:ascii="Arial" w:hAnsi="Arial" w:cs="Arial"/>
          <w:sz w:val="24"/>
          <w:szCs w:val="24"/>
        </w:rPr>
        <w:t>Park, J. and Min, H. (2020)</w:t>
      </w:r>
      <w:r>
        <w:rPr>
          <w:rFonts w:ascii="Arial" w:hAnsi="Arial" w:cs="Arial"/>
          <w:sz w:val="24"/>
          <w:szCs w:val="24"/>
        </w:rPr>
        <w:t xml:space="preserve">. </w:t>
      </w:r>
      <w:r w:rsidRPr="00B80801">
        <w:rPr>
          <w:rFonts w:ascii="Arial" w:hAnsi="Arial" w:cs="Arial"/>
          <w:sz w:val="24"/>
          <w:szCs w:val="24"/>
        </w:rPr>
        <w:t xml:space="preserve">Turnover intention in the hospitality industry: A meta-analysis, </w:t>
      </w:r>
      <w:r w:rsidRPr="00B80801">
        <w:rPr>
          <w:rFonts w:ascii="Arial" w:hAnsi="Arial" w:cs="Arial"/>
          <w:i/>
          <w:iCs/>
          <w:sz w:val="24"/>
          <w:szCs w:val="24"/>
        </w:rPr>
        <w:t>International Journal of Hospitality Management</w:t>
      </w:r>
      <w:r w:rsidRPr="00B80801">
        <w:rPr>
          <w:rFonts w:ascii="Arial" w:hAnsi="Arial" w:cs="Arial"/>
          <w:sz w:val="24"/>
          <w:szCs w:val="24"/>
        </w:rPr>
        <w:t xml:space="preserve">, 90, 102599. Available at: </w:t>
      </w:r>
      <w:hyperlink r:id="rId56" w:history="1">
        <w:r w:rsidRPr="008A1654">
          <w:rPr>
            <w:rStyle w:val="Hyperlink"/>
            <w:rFonts w:ascii="Arial" w:hAnsi="Arial" w:cs="Arial"/>
            <w:sz w:val="24"/>
            <w:szCs w:val="24"/>
          </w:rPr>
          <w:t>https://doi.org/10.1016/j.ijhm.2020.102599</w:t>
        </w:r>
      </w:hyperlink>
      <w:r>
        <w:rPr>
          <w:rFonts w:ascii="Arial" w:hAnsi="Arial" w:cs="Arial"/>
          <w:sz w:val="24"/>
          <w:szCs w:val="24"/>
        </w:rPr>
        <w:t xml:space="preserve"> </w:t>
      </w:r>
      <w:r w:rsidRPr="00B80801">
        <w:rPr>
          <w:rFonts w:ascii="Arial" w:hAnsi="Arial" w:cs="Arial"/>
          <w:sz w:val="24"/>
          <w:szCs w:val="24"/>
        </w:rPr>
        <w:t xml:space="preserve">(Accessed: </w:t>
      </w:r>
      <w:r>
        <w:rPr>
          <w:rFonts w:ascii="Arial" w:hAnsi="Arial" w:cs="Arial"/>
          <w:sz w:val="24"/>
          <w:szCs w:val="24"/>
        </w:rPr>
        <w:t>6</w:t>
      </w:r>
      <w:r w:rsidRPr="00B80801">
        <w:rPr>
          <w:rFonts w:ascii="Arial" w:hAnsi="Arial" w:cs="Arial"/>
          <w:sz w:val="24"/>
          <w:szCs w:val="24"/>
        </w:rPr>
        <w:t xml:space="preserve"> Feb</w:t>
      </w:r>
      <w:r w:rsidR="00453673">
        <w:rPr>
          <w:rFonts w:ascii="Arial" w:hAnsi="Arial" w:cs="Arial"/>
          <w:sz w:val="24"/>
          <w:szCs w:val="24"/>
        </w:rPr>
        <w:t>ruary</w:t>
      </w:r>
      <w:r w:rsidRPr="00B80801">
        <w:rPr>
          <w:rFonts w:ascii="Arial" w:hAnsi="Arial" w:cs="Arial"/>
          <w:sz w:val="24"/>
          <w:szCs w:val="24"/>
        </w:rPr>
        <w:t xml:space="preserve"> 2026).</w:t>
      </w:r>
    </w:p>
    <w:p w14:paraId="6EF9B92F" w14:textId="7EDCFB6E" w:rsidR="00FF74B0" w:rsidRDefault="00FF74B0" w:rsidP="00FF74B0">
      <w:pPr>
        <w:spacing w:line="360" w:lineRule="auto"/>
        <w:jc w:val="both"/>
        <w:rPr>
          <w:rFonts w:ascii="Arial" w:hAnsi="Arial" w:cs="Arial"/>
          <w:sz w:val="24"/>
          <w:szCs w:val="24"/>
        </w:rPr>
      </w:pPr>
      <w:r w:rsidRPr="00FF74B0">
        <w:rPr>
          <w:rFonts w:ascii="Arial" w:hAnsi="Arial" w:cs="Arial"/>
          <w:sz w:val="24"/>
          <w:szCs w:val="24"/>
        </w:rPr>
        <w:t>Rasheed, M.I., Okumus, F., Weng, Q., Hameed, Z. and Nawaz, M.S. (2020)</w:t>
      </w:r>
      <w:r>
        <w:rPr>
          <w:rFonts w:ascii="Arial" w:hAnsi="Arial" w:cs="Arial"/>
          <w:sz w:val="24"/>
          <w:szCs w:val="24"/>
        </w:rPr>
        <w:t xml:space="preserve">. </w:t>
      </w:r>
      <w:r w:rsidRPr="00FF74B0">
        <w:rPr>
          <w:rFonts w:ascii="Arial" w:hAnsi="Arial" w:cs="Arial"/>
          <w:sz w:val="24"/>
          <w:szCs w:val="24"/>
        </w:rPr>
        <w:t xml:space="preserve">Career adaptability and employee turnover intentions: The role of perceived career opportunities and orientation to happiness in the hospitality industry, </w:t>
      </w:r>
      <w:r w:rsidRPr="00FF74B0">
        <w:rPr>
          <w:rFonts w:ascii="Arial" w:hAnsi="Arial" w:cs="Arial"/>
          <w:i/>
          <w:iCs/>
          <w:sz w:val="24"/>
          <w:szCs w:val="24"/>
        </w:rPr>
        <w:t>Journal of Hospitality and Tourism Management</w:t>
      </w:r>
      <w:r w:rsidRPr="00FF74B0">
        <w:rPr>
          <w:rFonts w:ascii="Arial" w:hAnsi="Arial" w:cs="Arial"/>
          <w:sz w:val="24"/>
          <w:szCs w:val="24"/>
        </w:rPr>
        <w:t xml:space="preserve">, 44, pp. 98–107. Available at: </w:t>
      </w:r>
      <w:hyperlink r:id="rId57" w:history="1">
        <w:r w:rsidRPr="008A1654">
          <w:rPr>
            <w:rStyle w:val="Hyperlink"/>
            <w:rFonts w:ascii="Arial" w:hAnsi="Arial" w:cs="Arial"/>
            <w:sz w:val="24"/>
            <w:szCs w:val="24"/>
          </w:rPr>
          <w:t>https://doi.org/10.1016/j.jhtm.2020.05.006</w:t>
        </w:r>
      </w:hyperlink>
      <w:r>
        <w:rPr>
          <w:rFonts w:ascii="Arial" w:hAnsi="Arial" w:cs="Arial"/>
          <w:sz w:val="24"/>
          <w:szCs w:val="24"/>
        </w:rPr>
        <w:t xml:space="preserve"> </w:t>
      </w:r>
      <w:r w:rsidRPr="00FF74B0">
        <w:rPr>
          <w:rFonts w:ascii="Arial" w:hAnsi="Arial" w:cs="Arial"/>
          <w:sz w:val="24"/>
          <w:szCs w:val="24"/>
        </w:rPr>
        <w:t xml:space="preserve">(Accessed: </w:t>
      </w:r>
      <w:r>
        <w:rPr>
          <w:rFonts w:ascii="Arial" w:hAnsi="Arial" w:cs="Arial"/>
          <w:sz w:val="24"/>
          <w:szCs w:val="24"/>
        </w:rPr>
        <w:t>1</w:t>
      </w:r>
      <w:r w:rsidRPr="00FF74B0">
        <w:rPr>
          <w:rFonts w:ascii="Arial" w:hAnsi="Arial" w:cs="Arial"/>
          <w:sz w:val="24"/>
          <w:szCs w:val="24"/>
        </w:rPr>
        <w:t>1 Feb</w:t>
      </w:r>
      <w:r w:rsidR="00453673">
        <w:rPr>
          <w:rFonts w:ascii="Arial" w:hAnsi="Arial" w:cs="Arial"/>
          <w:sz w:val="24"/>
          <w:szCs w:val="24"/>
        </w:rPr>
        <w:t>ruary</w:t>
      </w:r>
      <w:r w:rsidRPr="00FF74B0">
        <w:rPr>
          <w:rFonts w:ascii="Arial" w:hAnsi="Arial" w:cs="Arial"/>
          <w:sz w:val="24"/>
          <w:szCs w:val="24"/>
        </w:rPr>
        <w:t xml:space="preserve"> 2026).</w:t>
      </w:r>
    </w:p>
    <w:p w14:paraId="43A64BE9" w14:textId="3C624809" w:rsidR="005E7058" w:rsidRDefault="005E7058" w:rsidP="005E7058">
      <w:pPr>
        <w:spacing w:line="360" w:lineRule="auto"/>
        <w:jc w:val="both"/>
        <w:rPr>
          <w:rFonts w:ascii="Arial" w:hAnsi="Arial" w:cs="Arial"/>
          <w:sz w:val="24"/>
          <w:szCs w:val="24"/>
        </w:rPr>
      </w:pPr>
      <w:r w:rsidRPr="005E7058">
        <w:rPr>
          <w:rFonts w:ascii="Arial" w:hAnsi="Arial" w:cs="Arial"/>
          <w:sz w:val="24"/>
          <w:szCs w:val="24"/>
        </w:rPr>
        <w:lastRenderedPageBreak/>
        <w:t xml:space="preserve">Robinson, R.N.S., Kralj, A., </w:t>
      </w:r>
      <w:proofErr w:type="spellStart"/>
      <w:r w:rsidRPr="005E7058">
        <w:rPr>
          <w:rFonts w:ascii="Arial" w:hAnsi="Arial" w:cs="Arial"/>
          <w:sz w:val="24"/>
          <w:szCs w:val="24"/>
        </w:rPr>
        <w:t>Solnet</w:t>
      </w:r>
      <w:proofErr w:type="spellEnd"/>
      <w:r w:rsidRPr="005E7058">
        <w:rPr>
          <w:rFonts w:ascii="Arial" w:hAnsi="Arial" w:cs="Arial"/>
          <w:sz w:val="24"/>
          <w:szCs w:val="24"/>
        </w:rPr>
        <w:t>, D.J., Goh, E. and Callan, V. (2014)</w:t>
      </w:r>
      <w:r>
        <w:rPr>
          <w:rFonts w:ascii="Arial" w:hAnsi="Arial" w:cs="Arial"/>
          <w:sz w:val="24"/>
          <w:szCs w:val="24"/>
        </w:rPr>
        <w:t xml:space="preserve">. </w:t>
      </w:r>
      <w:r w:rsidRPr="005E7058">
        <w:rPr>
          <w:rFonts w:ascii="Arial" w:hAnsi="Arial" w:cs="Arial"/>
          <w:sz w:val="24"/>
          <w:szCs w:val="24"/>
        </w:rPr>
        <w:t xml:space="preserve">Thinking job embeddedness not turnover: Towards a better understanding of frontline hotel worker retention, </w:t>
      </w:r>
      <w:r w:rsidRPr="005E7058">
        <w:rPr>
          <w:rFonts w:ascii="Arial" w:hAnsi="Arial" w:cs="Arial"/>
          <w:i/>
          <w:iCs/>
          <w:sz w:val="24"/>
          <w:szCs w:val="24"/>
        </w:rPr>
        <w:t>International Journal of Hospitality Management</w:t>
      </w:r>
      <w:r w:rsidRPr="005E7058">
        <w:rPr>
          <w:rFonts w:ascii="Arial" w:hAnsi="Arial" w:cs="Arial"/>
          <w:sz w:val="24"/>
          <w:szCs w:val="24"/>
        </w:rPr>
        <w:t xml:space="preserve">, 36, pp. 101–109. Available at: </w:t>
      </w:r>
      <w:hyperlink r:id="rId58" w:history="1">
        <w:r w:rsidRPr="008A1654">
          <w:rPr>
            <w:rStyle w:val="Hyperlink"/>
            <w:rFonts w:ascii="Arial" w:hAnsi="Arial" w:cs="Arial"/>
            <w:sz w:val="24"/>
            <w:szCs w:val="24"/>
          </w:rPr>
          <w:t>https://doi.org/10.1016/j.ijhm.2013.08.008</w:t>
        </w:r>
      </w:hyperlink>
      <w:r>
        <w:rPr>
          <w:rFonts w:ascii="Arial" w:hAnsi="Arial" w:cs="Arial"/>
          <w:sz w:val="24"/>
          <w:szCs w:val="24"/>
        </w:rPr>
        <w:t xml:space="preserve"> </w:t>
      </w:r>
      <w:r w:rsidRPr="005E7058">
        <w:rPr>
          <w:rFonts w:ascii="Arial" w:hAnsi="Arial" w:cs="Arial"/>
          <w:sz w:val="24"/>
          <w:szCs w:val="24"/>
        </w:rPr>
        <w:t xml:space="preserve">(Accessed: </w:t>
      </w:r>
      <w:r>
        <w:rPr>
          <w:rFonts w:ascii="Arial" w:hAnsi="Arial" w:cs="Arial"/>
          <w:sz w:val="24"/>
          <w:szCs w:val="24"/>
        </w:rPr>
        <w:t>8</w:t>
      </w:r>
      <w:r w:rsidRPr="005E7058">
        <w:rPr>
          <w:rFonts w:ascii="Arial" w:hAnsi="Arial" w:cs="Arial"/>
          <w:sz w:val="24"/>
          <w:szCs w:val="24"/>
        </w:rPr>
        <w:t xml:space="preserve"> Feb</w:t>
      </w:r>
      <w:r w:rsidR="00453673">
        <w:rPr>
          <w:rFonts w:ascii="Arial" w:hAnsi="Arial" w:cs="Arial"/>
          <w:sz w:val="24"/>
          <w:szCs w:val="24"/>
        </w:rPr>
        <w:t>ruary</w:t>
      </w:r>
      <w:r w:rsidRPr="005E7058">
        <w:rPr>
          <w:rFonts w:ascii="Arial" w:hAnsi="Arial" w:cs="Arial"/>
          <w:sz w:val="24"/>
          <w:szCs w:val="24"/>
        </w:rPr>
        <w:t xml:space="preserve"> 2026).</w:t>
      </w:r>
    </w:p>
    <w:p w14:paraId="0A95AE02" w14:textId="2E76C5E5" w:rsidR="00E63562" w:rsidRDefault="00E63562" w:rsidP="000D2C3C">
      <w:pPr>
        <w:spacing w:line="360" w:lineRule="auto"/>
        <w:jc w:val="both"/>
        <w:rPr>
          <w:rFonts w:ascii="Arial" w:hAnsi="Arial" w:cs="Arial"/>
          <w:sz w:val="24"/>
          <w:szCs w:val="24"/>
        </w:rPr>
      </w:pPr>
      <w:r w:rsidRPr="00E63562">
        <w:rPr>
          <w:rFonts w:ascii="Arial" w:hAnsi="Arial" w:cs="Arial"/>
          <w:sz w:val="24"/>
          <w:szCs w:val="24"/>
        </w:rPr>
        <w:t>Saunders, M., Lewis, P. and Thornhill, A. (2019)</w:t>
      </w:r>
      <w:r>
        <w:rPr>
          <w:rFonts w:ascii="Arial" w:hAnsi="Arial" w:cs="Arial"/>
          <w:sz w:val="24"/>
          <w:szCs w:val="24"/>
        </w:rPr>
        <w:t>.</w:t>
      </w:r>
      <w:r w:rsidRPr="00E63562">
        <w:rPr>
          <w:rFonts w:ascii="Arial" w:hAnsi="Arial" w:cs="Arial"/>
          <w:sz w:val="24"/>
          <w:szCs w:val="24"/>
        </w:rPr>
        <w:t xml:space="preserve"> </w:t>
      </w:r>
      <w:r w:rsidRPr="00E63562">
        <w:rPr>
          <w:rFonts w:ascii="Arial" w:hAnsi="Arial" w:cs="Arial"/>
          <w:i/>
          <w:iCs/>
          <w:sz w:val="24"/>
          <w:szCs w:val="24"/>
        </w:rPr>
        <w:t>Research Methods for Business Students</w:t>
      </w:r>
      <w:r w:rsidRPr="00E63562">
        <w:rPr>
          <w:rFonts w:ascii="Arial" w:hAnsi="Arial" w:cs="Arial"/>
          <w:sz w:val="24"/>
          <w:szCs w:val="24"/>
        </w:rPr>
        <w:t xml:space="preserve">. 8th </w:t>
      </w:r>
      <w:proofErr w:type="spellStart"/>
      <w:r w:rsidRPr="00E63562">
        <w:rPr>
          <w:rFonts w:ascii="Arial" w:hAnsi="Arial" w:cs="Arial"/>
          <w:sz w:val="24"/>
          <w:szCs w:val="24"/>
        </w:rPr>
        <w:t>edn</w:t>
      </w:r>
      <w:proofErr w:type="spellEnd"/>
      <w:r w:rsidRPr="00E63562">
        <w:rPr>
          <w:rFonts w:ascii="Arial" w:hAnsi="Arial" w:cs="Arial"/>
          <w:sz w:val="24"/>
          <w:szCs w:val="24"/>
        </w:rPr>
        <w:t>. Harlow: Pearson.</w:t>
      </w:r>
    </w:p>
    <w:p w14:paraId="3E0BA1BA" w14:textId="3C4C8DDF" w:rsidR="00831DFE" w:rsidRDefault="00831DFE" w:rsidP="000D2C3C">
      <w:pPr>
        <w:spacing w:line="360" w:lineRule="auto"/>
        <w:jc w:val="both"/>
        <w:rPr>
          <w:rFonts w:ascii="Arial" w:hAnsi="Arial" w:cs="Arial"/>
          <w:sz w:val="24"/>
          <w:szCs w:val="24"/>
        </w:rPr>
      </w:pPr>
      <w:r w:rsidRPr="00831DFE">
        <w:rPr>
          <w:rFonts w:ascii="Arial" w:hAnsi="Arial" w:cs="Arial"/>
          <w:sz w:val="24"/>
          <w:szCs w:val="24"/>
        </w:rPr>
        <w:t>Schaufeli, W.B. and Taris, T.W. (2014)</w:t>
      </w:r>
      <w:r>
        <w:rPr>
          <w:rFonts w:ascii="Arial" w:hAnsi="Arial" w:cs="Arial"/>
          <w:sz w:val="24"/>
          <w:szCs w:val="24"/>
        </w:rPr>
        <w:t xml:space="preserve">. </w:t>
      </w:r>
      <w:r w:rsidRPr="00831DFE">
        <w:rPr>
          <w:rFonts w:ascii="Arial" w:hAnsi="Arial" w:cs="Arial"/>
          <w:sz w:val="24"/>
          <w:szCs w:val="24"/>
        </w:rPr>
        <w:t xml:space="preserve">A critical review of the Job Demands–Resources model: Implications for improving work and health, in Bauer, G.F. and </w:t>
      </w:r>
      <w:proofErr w:type="spellStart"/>
      <w:r w:rsidRPr="00831DFE">
        <w:rPr>
          <w:rFonts w:ascii="Arial" w:hAnsi="Arial" w:cs="Arial"/>
          <w:sz w:val="24"/>
          <w:szCs w:val="24"/>
        </w:rPr>
        <w:t>Hämmig</w:t>
      </w:r>
      <w:proofErr w:type="spellEnd"/>
      <w:r w:rsidRPr="00831DFE">
        <w:rPr>
          <w:rFonts w:ascii="Arial" w:hAnsi="Arial" w:cs="Arial"/>
          <w:sz w:val="24"/>
          <w:szCs w:val="24"/>
        </w:rPr>
        <w:t xml:space="preserve">, O. (eds.) </w:t>
      </w:r>
      <w:r w:rsidRPr="00187936">
        <w:rPr>
          <w:rFonts w:ascii="Arial" w:hAnsi="Arial" w:cs="Arial"/>
          <w:i/>
          <w:iCs/>
          <w:sz w:val="24"/>
          <w:szCs w:val="24"/>
        </w:rPr>
        <w:t>Bridging Occupational, Organizational and Public Health: A Transdisciplinary Approach</w:t>
      </w:r>
      <w:r w:rsidRPr="00831DFE">
        <w:rPr>
          <w:rFonts w:ascii="Arial" w:hAnsi="Arial" w:cs="Arial"/>
          <w:sz w:val="24"/>
          <w:szCs w:val="24"/>
        </w:rPr>
        <w:t xml:space="preserve">. Dordrecht: Springer, pp. 43–68. Available at: </w:t>
      </w:r>
      <w:hyperlink r:id="rId59" w:history="1">
        <w:r w:rsidR="007712A2" w:rsidRPr="00524AF7">
          <w:rPr>
            <w:rStyle w:val="Hyperlink"/>
            <w:rFonts w:ascii="Arial" w:hAnsi="Arial" w:cs="Arial"/>
            <w:sz w:val="24"/>
            <w:szCs w:val="24"/>
          </w:rPr>
          <w:t>https://doi.org/10.1007/978-94-007-5640-3_4</w:t>
        </w:r>
      </w:hyperlink>
      <w:r w:rsidR="007712A2">
        <w:rPr>
          <w:rFonts w:ascii="Arial" w:hAnsi="Arial" w:cs="Arial"/>
          <w:sz w:val="24"/>
          <w:szCs w:val="24"/>
        </w:rPr>
        <w:t xml:space="preserve"> (Accessed: 22 Jan</w:t>
      </w:r>
      <w:r w:rsidR="00453673">
        <w:rPr>
          <w:rFonts w:ascii="Arial" w:hAnsi="Arial" w:cs="Arial"/>
          <w:sz w:val="24"/>
          <w:szCs w:val="24"/>
        </w:rPr>
        <w:t>uary</w:t>
      </w:r>
      <w:r w:rsidR="007712A2">
        <w:rPr>
          <w:rFonts w:ascii="Arial" w:hAnsi="Arial" w:cs="Arial"/>
          <w:sz w:val="24"/>
          <w:szCs w:val="24"/>
        </w:rPr>
        <w:t xml:space="preserve"> 2026).</w:t>
      </w:r>
    </w:p>
    <w:p w14:paraId="06F7E25D" w14:textId="22EB146C" w:rsidR="00606CB6" w:rsidRDefault="00606CB6" w:rsidP="000D2C3C">
      <w:pPr>
        <w:spacing w:line="360" w:lineRule="auto"/>
        <w:jc w:val="both"/>
        <w:rPr>
          <w:rFonts w:ascii="Arial" w:hAnsi="Arial" w:cs="Arial"/>
          <w:sz w:val="24"/>
          <w:szCs w:val="24"/>
        </w:rPr>
      </w:pPr>
      <w:r w:rsidRPr="00606CB6">
        <w:rPr>
          <w:rFonts w:ascii="Arial" w:hAnsi="Arial" w:cs="Arial"/>
          <w:sz w:val="24"/>
          <w:szCs w:val="24"/>
        </w:rPr>
        <w:t>Shi, X., Gordon, S. and Tang, C.H.H. (2021)</w:t>
      </w:r>
      <w:r>
        <w:rPr>
          <w:rFonts w:ascii="Arial" w:hAnsi="Arial" w:cs="Arial"/>
          <w:sz w:val="24"/>
          <w:szCs w:val="24"/>
        </w:rPr>
        <w:t xml:space="preserve">. </w:t>
      </w:r>
      <w:r w:rsidRPr="00606CB6">
        <w:rPr>
          <w:rFonts w:ascii="Arial" w:hAnsi="Arial" w:cs="Arial"/>
          <w:sz w:val="24"/>
          <w:szCs w:val="24"/>
        </w:rPr>
        <w:t xml:space="preserve">Momentary well-being matters: Daily fluctuations in hotel employees’ turnover intention, </w:t>
      </w:r>
      <w:r w:rsidRPr="00606CB6">
        <w:rPr>
          <w:rFonts w:ascii="Arial" w:hAnsi="Arial" w:cs="Arial"/>
          <w:i/>
          <w:iCs/>
          <w:sz w:val="24"/>
          <w:szCs w:val="24"/>
        </w:rPr>
        <w:t>Tourism Management</w:t>
      </w:r>
      <w:r w:rsidRPr="00606CB6">
        <w:rPr>
          <w:rFonts w:ascii="Arial" w:hAnsi="Arial" w:cs="Arial"/>
          <w:sz w:val="24"/>
          <w:szCs w:val="24"/>
        </w:rPr>
        <w:t xml:space="preserve">, 83, 104212. Available at: </w:t>
      </w:r>
      <w:hyperlink r:id="rId60" w:history="1">
        <w:r w:rsidRPr="0087784B">
          <w:rPr>
            <w:rStyle w:val="Hyperlink"/>
            <w:rFonts w:ascii="Arial" w:hAnsi="Arial" w:cs="Arial"/>
            <w:sz w:val="24"/>
            <w:szCs w:val="24"/>
          </w:rPr>
          <w:t>https://doi.org/10.1016/j.tourman.2020.104212</w:t>
        </w:r>
      </w:hyperlink>
      <w:r>
        <w:rPr>
          <w:rFonts w:ascii="Arial" w:hAnsi="Arial" w:cs="Arial"/>
          <w:sz w:val="24"/>
          <w:szCs w:val="24"/>
        </w:rPr>
        <w:t xml:space="preserve"> (Accessed: 16 Feb</w:t>
      </w:r>
      <w:r w:rsidR="00453673">
        <w:rPr>
          <w:rFonts w:ascii="Arial" w:hAnsi="Arial" w:cs="Arial"/>
          <w:sz w:val="24"/>
          <w:szCs w:val="24"/>
        </w:rPr>
        <w:t>ruary</w:t>
      </w:r>
      <w:r>
        <w:rPr>
          <w:rFonts w:ascii="Arial" w:hAnsi="Arial" w:cs="Arial"/>
          <w:sz w:val="24"/>
          <w:szCs w:val="24"/>
        </w:rPr>
        <w:t xml:space="preserve"> 2026).</w:t>
      </w:r>
    </w:p>
    <w:p w14:paraId="30A010D8" w14:textId="76E1DC20" w:rsidR="00514F60" w:rsidRDefault="00514F60" w:rsidP="000D2C3C">
      <w:pPr>
        <w:spacing w:line="360" w:lineRule="auto"/>
        <w:jc w:val="both"/>
        <w:rPr>
          <w:rFonts w:ascii="Arial" w:hAnsi="Arial" w:cs="Arial"/>
          <w:sz w:val="24"/>
          <w:szCs w:val="24"/>
        </w:rPr>
      </w:pPr>
      <w:r w:rsidRPr="00514F60">
        <w:rPr>
          <w:rFonts w:ascii="Arial" w:hAnsi="Arial" w:cs="Arial"/>
          <w:sz w:val="24"/>
          <w:szCs w:val="24"/>
        </w:rPr>
        <w:t xml:space="preserve">Simons, T. and </w:t>
      </w:r>
      <w:proofErr w:type="spellStart"/>
      <w:r w:rsidRPr="00514F60">
        <w:rPr>
          <w:rFonts w:ascii="Arial" w:hAnsi="Arial" w:cs="Arial"/>
          <w:sz w:val="24"/>
          <w:szCs w:val="24"/>
        </w:rPr>
        <w:t>Hinkin</w:t>
      </w:r>
      <w:proofErr w:type="spellEnd"/>
      <w:r w:rsidRPr="00514F60">
        <w:rPr>
          <w:rFonts w:ascii="Arial" w:hAnsi="Arial" w:cs="Arial"/>
          <w:sz w:val="24"/>
          <w:szCs w:val="24"/>
        </w:rPr>
        <w:t>, T. (2001)</w:t>
      </w:r>
      <w:r>
        <w:rPr>
          <w:rFonts w:ascii="Arial" w:hAnsi="Arial" w:cs="Arial"/>
          <w:sz w:val="24"/>
          <w:szCs w:val="24"/>
        </w:rPr>
        <w:t xml:space="preserve">. </w:t>
      </w:r>
      <w:r w:rsidRPr="00514F60">
        <w:rPr>
          <w:rFonts w:ascii="Arial" w:hAnsi="Arial" w:cs="Arial"/>
          <w:sz w:val="24"/>
          <w:szCs w:val="24"/>
        </w:rPr>
        <w:t xml:space="preserve">The Effect of Employee Turnover on Hotel Profits: A Test Across Multiple Hotels, </w:t>
      </w:r>
      <w:r w:rsidRPr="0011495A">
        <w:rPr>
          <w:rFonts w:ascii="Arial" w:hAnsi="Arial" w:cs="Arial"/>
          <w:i/>
          <w:iCs/>
          <w:sz w:val="24"/>
          <w:szCs w:val="24"/>
        </w:rPr>
        <w:t>Cornell Hotel and Restaurant Administration Quarterly</w:t>
      </w:r>
      <w:r w:rsidRPr="00514F60">
        <w:rPr>
          <w:rFonts w:ascii="Arial" w:hAnsi="Arial" w:cs="Arial"/>
          <w:sz w:val="24"/>
          <w:szCs w:val="24"/>
        </w:rPr>
        <w:t xml:space="preserve">, 42(4), pp. 65–69. Available at: </w:t>
      </w:r>
      <w:hyperlink r:id="rId61" w:history="1">
        <w:r w:rsidR="0011495A" w:rsidRPr="008A1654">
          <w:rPr>
            <w:rStyle w:val="Hyperlink"/>
            <w:rFonts w:ascii="Arial" w:hAnsi="Arial" w:cs="Arial"/>
            <w:sz w:val="24"/>
            <w:szCs w:val="24"/>
          </w:rPr>
          <w:t>https://doi.org/10.1177/0010880401424006</w:t>
        </w:r>
      </w:hyperlink>
      <w:r w:rsidR="0011495A">
        <w:rPr>
          <w:rFonts w:ascii="Arial" w:hAnsi="Arial" w:cs="Arial"/>
          <w:sz w:val="24"/>
          <w:szCs w:val="24"/>
        </w:rPr>
        <w:t xml:space="preserve"> (Accessed: 10 Feb</w:t>
      </w:r>
      <w:r w:rsidR="00453673">
        <w:rPr>
          <w:rFonts w:ascii="Arial" w:hAnsi="Arial" w:cs="Arial"/>
          <w:sz w:val="24"/>
          <w:szCs w:val="24"/>
        </w:rPr>
        <w:t>ruary</w:t>
      </w:r>
      <w:r w:rsidR="0011495A">
        <w:rPr>
          <w:rFonts w:ascii="Arial" w:hAnsi="Arial" w:cs="Arial"/>
          <w:sz w:val="24"/>
          <w:szCs w:val="24"/>
        </w:rPr>
        <w:t xml:space="preserve"> 2026)</w:t>
      </w:r>
      <w:r w:rsidRPr="00514F60">
        <w:rPr>
          <w:rFonts w:ascii="Arial" w:hAnsi="Arial" w:cs="Arial"/>
          <w:sz w:val="24"/>
          <w:szCs w:val="24"/>
        </w:rPr>
        <w:t>.</w:t>
      </w:r>
    </w:p>
    <w:p w14:paraId="03479B6D" w14:textId="23630C49" w:rsidR="00EE05D9" w:rsidRDefault="00EE05D9" w:rsidP="000D2C3C">
      <w:pPr>
        <w:spacing w:line="360" w:lineRule="auto"/>
        <w:jc w:val="both"/>
        <w:rPr>
          <w:rFonts w:ascii="Arial" w:hAnsi="Arial" w:cs="Arial"/>
          <w:sz w:val="24"/>
          <w:szCs w:val="24"/>
        </w:rPr>
      </w:pPr>
      <w:r w:rsidRPr="00EE05D9">
        <w:rPr>
          <w:rFonts w:ascii="Arial" w:hAnsi="Arial" w:cs="Arial"/>
          <w:sz w:val="24"/>
          <w:szCs w:val="24"/>
        </w:rPr>
        <w:t>Stake, R.E. (1995)</w:t>
      </w:r>
      <w:r>
        <w:rPr>
          <w:rFonts w:ascii="Arial" w:hAnsi="Arial" w:cs="Arial"/>
          <w:sz w:val="24"/>
          <w:szCs w:val="24"/>
        </w:rPr>
        <w:t>.</w:t>
      </w:r>
      <w:r w:rsidRPr="00EE05D9">
        <w:rPr>
          <w:rFonts w:ascii="Arial" w:hAnsi="Arial" w:cs="Arial"/>
          <w:sz w:val="24"/>
          <w:szCs w:val="24"/>
        </w:rPr>
        <w:t xml:space="preserve"> </w:t>
      </w:r>
      <w:r w:rsidRPr="00EE05D9">
        <w:rPr>
          <w:rFonts w:ascii="Arial" w:hAnsi="Arial" w:cs="Arial"/>
          <w:i/>
          <w:iCs/>
          <w:sz w:val="24"/>
          <w:szCs w:val="24"/>
        </w:rPr>
        <w:t>The Art of Case Study Research</w:t>
      </w:r>
      <w:r w:rsidRPr="00EE05D9">
        <w:rPr>
          <w:rFonts w:ascii="Arial" w:hAnsi="Arial" w:cs="Arial"/>
          <w:sz w:val="24"/>
          <w:szCs w:val="24"/>
        </w:rPr>
        <w:t>. Thousand Oaks, CA: Sage.</w:t>
      </w:r>
    </w:p>
    <w:p w14:paraId="398B87D2" w14:textId="5210D472" w:rsidR="00CA5C14" w:rsidRDefault="00CA5C14" w:rsidP="000D2C3C">
      <w:pPr>
        <w:spacing w:line="360" w:lineRule="auto"/>
        <w:jc w:val="both"/>
        <w:rPr>
          <w:rFonts w:ascii="Arial" w:hAnsi="Arial" w:cs="Arial"/>
          <w:sz w:val="24"/>
          <w:szCs w:val="24"/>
        </w:rPr>
      </w:pPr>
      <w:r w:rsidRPr="00CA5C14">
        <w:rPr>
          <w:rFonts w:ascii="Arial" w:hAnsi="Arial" w:cs="Arial"/>
          <w:sz w:val="24"/>
          <w:szCs w:val="24"/>
        </w:rPr>
        <w:t>Steel, R.P. and Ovalle, N.K. (1984)</w:t>
      </w:r>
      <w:r>
        <w:rPr>
          <w:rFonts w:ascii="Arial" w:hAnsi="Arial" w:cs="Arial"/>
          <w:sz w:val="24"/>
          <w:szCs w:val="24"/>
        </w:rPr>
        <w:t xml:space="preserve">. </w:t>
      </w:r>
      <w:r w:rsidRPr="00CA5C14">
        <w:rPr>
          <w:rFonts w:ascii="Arial" w:hAnsi="Arial" w:cs="Arial"/>
          <w:sz w:val="24"/>
          <w:szCs w:val="24"/>
        </w:rPr>
        <w:t xml:space="preserve">A review and meta-analysis of the relationship between behavioural intentions and employee turnover, </w:t>
      </w:r>
      <w:r w:rsidRPr="00CA5C14">
        <w:rPr>
          <w:rFonts w:ascii="Arial" w:hAnsi="Arial" w:cs="Arial"/>
          <w:i/>
          <w:iCs/>
          <w:sz w:val="24"/>
          <w:szCs w:val="24"/>
        </w:rPr>
        <w:t>Journal of Applied Psychology</w:t>
      </w:r>
      <w:r w:rsidRPr="00CA5C14">
        <w:rPr>
          <w:rFonts w:ascii="Arial" w:hAnsi="Arial" w:cs="Arial"/>
          <w:sz w:val="24"/>
          <w:szCs w:val="24"/>
        </w:rPr>
        <w:t xml:space="preserve">, 69(4), pp. 673–686. Available at: </w:t>
      </w:r>
      <w:hyperlink r:id="rId62" w:history="1">
        <w:r w:rsidRPr="003230FC">
          <w:rPr>
            <w:rStyle w:val="Hyperlink"/>
            <w:rFonts w:ascii="Arial" w:hAnsi="Arial" w:cs="Arial"/>
            <w:sz w:val="24"/>
            <w:szCs w:val="24"/>
          </w:rPr>
          <w:t>https://doi.org/10.1037/0021-9010.69.4.673</w:t>
        </w:r>
      </w:hyperlink>
      <w:r>
        <w:rPr>
          <w:rFonts w:ascii="Arial" w:hAnsi="Arial" w:cs="Arial"/>
          <w:sz w:val="24"/>
          <w:szCs w:val="24"/>
        </w:rPr>
        <w:t xml:space="preserve"> (Accessed 2 Feb</w:t>
      </w:r>
      <w:r w:rsidR="00453673">
        <w:rPr>
          <w:rFonts w:ascii="Arial" w:hAnsi="Arial" w:cs="Arial"/>
          <w:sz w:val="24"/>
          <w:szCs w:val="24"/>
        </w:rPr>
        <w:t>ruary</w:t>
      </w:r>
      <w:r>
        <w:rPr>
          <w:rFonts w:ascii="Arial" w:hAnsi="Arial" w:cs="Arial"/>
          <w:sz w:val="24"/>
          <w:szCs w:val="24"/>
        </w:rPr>
        <w:t xml:space="preserve"> 2026).</w:t>
      </w:r>
    </w:p>
    <w:p w14:paraId="41578AAC" w14:textId="66DEC81A" w:rsidR="00F55819" w:rsidRDefault="00F55819" w:rsidP="00F55819">
      <w:pPr>
        <w:spacing w:line="360" w:lineRule="auto"/>
        <w:jc w:val="both"/>
        <w:rPr>
          <w:rFonts w:ascii="Arial" w:hAnsi="Arial" w:cs="Arial"/>
          <w:sz w:val="24"/>
          <w:szCs w:val="24"/>
        </w:rPr>
      </w:pPr>
      <w:r w:rsidRPr="00F55819">
        <w:rPr>
          <w:rFonts w:ascii="Arial" w:hAnsi="Arial" w:cs="Arial"/>
          <w:sz w:val="24"/>
          <w:szCs w:val="24"/>
        </w:rPr>
        <w:t>Tews, M.J., Michel, J.W. and Stafford, K. (2013)</w:t>
      </w:r>
      <w:r>
        <w:rPr>
          <w:rFonts w:ascii="Arial" w:hAnsi="Arial" w:cs="Arial"/>
          <w:sz w:val="24"/>
          <w:szCs w:val="24"/>
        </w:rPr>
        <w:t xml:space="preserve">. </w:t>
      </w:r>
      <w:r w:rsidRPr="00F55819">
        <w:rPr>
          <w:rFonts w:ascii="Arial" w:hAnsi="Arial" w:cs="Arial"/>
          <w:sz w:val="24"/>
          <w:szCs w:val="24"/>
        </w:rPr>
        <w:t xml:space="preserve">Does fun pay? The impact of workplace fun on employee turnover and performance, </w:t>
      </w:r>
      <w:r w:rsidRPr="00F55819">
        <w:rPr>
          <w:rFonts w:ascii="Arial" w:hAnsi="Arial" w:cs="Arial"/>
          <w:i/>
          <w:iCs/>
          <w:sz w:val="24"/>
          <w:szCs w:val="24"/>
        </w:rPr>
        <w:t>Cornell Hospitality Quarterly</w:t>
      </w:r>
      <w:r w:rsidRPr="00F55819">
        <w:rPr>
          <w:rFonts w:ascii="Arial" w:hAnsi="Arial" w:cs="Arial"/>
          <w:sz w:val="24"/>
          <w:szCs w:val="24"/>
        </w:rPr>
        <w:t xml:space="preserve">, 54(4), pp. 370–382. Available at: </w:t>
      </w:r>
      <w:hyperlink r:id="rId63" w:history="1">
        <w:r w:rsidRPr="008A1654">
          <w:rPr>
            <w:rStyle w:val="Hyperlink"/>
            <w:rFonts w:ascii="Arial" w:hAnsi="Arial" w:cs="Arial"/>
            <w:sz w:val="24"/>
            <w:szCs w:val="24"/>
          </w:rPr>
          <w:t>https://doi.org/10.1177/1938965513505355</w:t>
        </w:r>
      </w:hyperlink>
      <w:r>
        <w:rPr>
          <w:rFonts w:ascii="Arial" w:hAnsi="Arial" w:cs="Arial"/>
          <w:sz w:val="24"/>
          <w:szCs w:val="24"/>
        </w:rPr>
        <w:t xml:space="preserve"> </w:t>
      </w:r>
      <w:r w:rsidRPr="00F55819">
        <w:rPr>
          <w:rFonts w:ascii="Arial" w:hAnsi="Arial" w:cs="Arial"/>
          <w:sz w:val="24"/>
          <w:szCs w:val="24"/>
        </w:rPr>
        <w:t xml:space="preserve">(Accessed: </w:t>
      </w:r>
      <w:r>
        <w:rPr>
          <w:rFonts w:ascii="Arial" w:hAnsi="Arial" w:cs="Arial"/>
          <w:sz w:val="24"/>
          <w:szCs w:val="24"/>
        </w:rPr>
        <w:t>1</w:t>
      </w:r>
      <w:r w:rsidRPr="00F55819">
        <w:rPr>
          <w:rFonts w:ascii="Arial" w:hAnsi="Arial" w:cs="Arial"/>
          <w:sz w:val="24"/>
          <w:szCs w:val="24"/>
        </w:rPr>
        <w:t>1 Feb</w:t>
      </w:r>
      <w:r w:rsidR="00453673">
        <w:rPr>
          <w:rFonts w:ascii="Arial" w:hAnsi="Arial" w:cs="Arial"/>
          <w:sz w:val="24"/>
          <w:szCs w:val="24"/>
        </w:rPr>
        <w:t>ruary</w:t>
      </w:r>
      <w:r w:rsidRPr="00F55819">
        <w:rPr>
          <w:rFonts w:ascii="Arial" w:hAnsi="Arial" w:cs="Arial"/>
          <w:sz w:val="24"/>
          <w:szCs w:val="24"/>
        </w:rPr>
        <w:t xml:space="preserve"> 2026)</w:t>
      </w:r>
      <w:r w:rsidR="00453673">
        <w:rPr>
          <w:rFonts w:ascii="Arial" w:hAnsi="Arial" w:cs="Arial"/>
          <w:sz w:val="24"/>
          <w:szCs w:val="24"/>
        </w:rPr>
        <w:t>.</w:t>
      </w:r>
    </w:p>
    <w:p w14:paraId="37970248" w14:textId="70C4D54E" w:rsidR="001E6E0C" w:rsidRDefault="001E6E0C" w:rsidP="001E6E0C">
      <w:pPr>
        <w:spacing w:line="360" w:lineRule="auto"/>
        <w:jc w:val="both"/>
        <w:rPr>
          <w:rFonts w:ascii="Arial" w:hAnsi="Arial" w:cs="Arial"/>
          <w:sz w:val="24"/>
          <w:szCs w:val="24"/>
        </w:rPr>
      </w:pPr>
      <w:r w:rsidRPr="001E6E0C">
        <w:rPr>
          <w:rFonts w:ascii="Arial" w:hAnsi="Arial" w:cs="Arial"/>
          <w:sz w:val="24"/>
          <w:szCs w:val="24"/>
        </w:rPr>
        <w:lastRenderedPageBreak/>
        <w:t>Tracey, J.B. and Hinkin, T.R. (2008)</w:t>
      </w:r>
      <w:r>
        <w:rPr>
          <w:rFonts w:ascii="Arial" w:hAnsi="Arial" w:cs="Arial"/>
          <w:sz w:val="24"/>
          <w:szCs w:val="24"/>
        </w:rPr>
        <w:t xml:space="preserve">. </w:t>
      </w:r>
      <w:r w:rsidRPr="001E6E0C">
        <w:rPr>
          <w:rFonts w:ascii="Arial" w:hAnsi="Arial" w:cs="Arial"/>
          <w:sz w:val="24"/>
          <w:szCs w:val="24"/>
        </w:rPr>
        <w:t xml:space="preserve">Contextual factors and cost profiles associated with employee turnover, </w:t>
      </w:r>
      <w:r w:rsidRPr="001E6E0C">
        <w:rPr>
          <w:rFonts w:ascii="Arial" w:hAnsi="Arial" w:cs="Arial"/>
          <w:i/>
          <w:iCs/>
          <w:sz w:val="24"/>
          <w:szCs w:val="24"/>
        </w:rPr>
        <w:t>Cornell Hospitality Quarterly</w:t>
      </w:r>
      <w:r w:rsidRPr="001E6E0C">
        <w:rPr>
          <w:rFonts w:ascii="Arial" w:hAnsi="Arial" w:cs="Arial"/>
          <w:sz w:val="24"/>
          <w:szCs w:val="24"/>
        </w:rPr>
        <w:t xml:space="preserve">, 49(1), pp. 12–27. Available at: </w:t>
      </w:r>
      <w:hyperlink r:id="rId64" w:history="1">
        <w:r w:rsidRPr="00524AF7">
          <w:rPr>
            <w:rStyle w:val="Hyperlink"/>
            <w:rFonts w:ascii="Arial" w:hAnsi="Arial" w:cs="Arial"/>
            <w:sz w:val="24"/>
            <w:szCs w:val="24"/>
          </w:rPr>
          <w:t>https://doi.org/10.1177/0010880407310191</w:t>
        </w:r>
      </w:hyperlink>
      <w:r>
        <w:rPr>
          <w:rFonts w:ascii="Arial" w:hAnsi="Arial" w:cs="Arial"/>
          <w:sz w:val="24"/>
          <w:szCs w:val="24"/>
        </w:rPr>
        <w:t xml:space="preserve"> </w:t>
      </w:r>
      <w:r w:rsidRPr="001E6E0C">
        <w:rPr>
          <w:rFonts w:ascii="Arial" w:hAnsi="Arial" w:cs="Arial"/>
          <w:sz w:val="24"/>
          <w:szCs w:val="24"/>
        </w:rPr>
        <w:t>(Accessed: 2</w:t>
      </w:r>
      <w:r>
        <w:rPr>
          <w:rFonts w:ascii="Arial" w:hAnsi="Arial" w:cs="Arial"/>
          <w:sz w:val="24"/>
          <w:szCs w:val="24"/>
        </w:rPr>
        <w:t>0</w:t>
      </w:r>
      <w:r w:rsidRPr="001E6E0C">
        <w:rPr>
          <w:rFonts w:ascii="Arial" w:hAnsi="Arial" w:cs="Arial"/>
          <w:sz w:val="24"/>
          <w:szCs w:val="24"/>
        </w:rPr>
        <w:t xml:space="preserve"> </w:t>
      </w:r>
      <w:r>
        <w:rPr>
          <w:rFonts w:ascii="Arial" w:hAnsi="Arial" w:cs="Arial"/>
          <w:sz w:val="24"/>
          <w:szCs w:val="24"/>
        </w:rPr>
        <w:t>Jan</w:t>
      </w:r>
      <w:r w:rsidR="00453673">
        <w:rPr>
          <w:rFonts w:ascii="Arial" w:hAnsi="Arial" w:cs="Arial"/>
          <w:sz w:val="24"/>
          <w:szCs w:val="24"/>
        </w:rPr>
        <w:t>uary</w:t>
      </w:r>
      <w:r w:rsidRPr="001E6E0C">
        <w:rPr>
          <w:rFonts w:ascii="Arial" w:hAnsi="Arial" w:cs="Arial"/>
          <w:sz w:val="24"/>
          <w:szCs w:val="24"/>
        </w:rPr>
        <w:t xml:space="preserve"> 2026).</w:t>
      </w:r>
    </w:p>
    <w:p w14:paraId="5776187D" w14:textId="1E396224" w:rsidR="0063292D" w:rsidRDefault="0063292D" w:rsidP="0063292D">
      <w:pPr>
        <w:spacing w:line="360" w:lineRule="auto"/>
        <w:jc w:val="both"/>
        <w:rPr>
          <w:rFonts w:ascii="Arial" w:hAnsi="Arial" w:cs="Arial"/>
          <w:sz w:val="24"/>
          <w:szCs w:val="24"/>
        </w:rPr>
      </w:pPr>
      <w:proofErr w:type="spellStart"/>
      <w:r w:rsidRPr="0063292D">
        <w:rPr>
          <w:rFonts w:ascii="Arial" w:hAnsi="Arial" w:cs="Arial"/>
          <w:sz w:val="24"/>
          <w:szCs w:val="24"/>
        </w:rPr>
        <w:t>Tranfield</w:t>
      </w:r>
      <w:proofErr w:type="spellEnd"/>
      <w:r w:rsidRPr="0063292D">
        <w:rPr>
          <w:rFonts w:ascii="Arial" w:hAnsi="Arial" w:cs="Arial"/>
          <w:sz w:val="24"/>
          <w:szCs w:val="24"/>
        </w:rPr>
        <w:t>, D., Denyer, D. and Smart, P. (2003)</w:t>
      </w:r>
      <w:r>
        <w:rPr>
          <w:rFonts w:ascii="Arial" w:hAnsi="Arial" w:cs="Arial"/>
          <w:sz w:val="24"/>
          <w:szCs w:val="24"/>
        </w:rPr>
        <w:t xml:space="preserve">. </w:t>
      </w:r>
      <w:r w:rsidRPr="0063292D">
        <w:rPr>
          <w:rFonts w:ascii="Arial" w:hAnsi="Arial" w:cs="Arial"/>
          <w:sz w:val="24"/>
          <w:szCs w:val="24"/>
        </w:rPr>
        <w:t xml:space="preserve">Towards a methodology for developing evidence-informed management knowledge by means of systematic review, </w:t>
      </w:r>
      <w:r w:rsidRPr="0063292D">
        <w:rPr>
          <w:rFonts w:ascii="Arial" w:hAnsi="Arial" w:cs="Arial"/>
          <w:i/>
          <w:iCs/>
          <w:sz w:val="24"/>
          <w:szCs w:val="24"/>
        </w:rPr>
        <w:t>British Journal of Management</w:t>
      </w:r>
      <w:r w:rsidRPr="0063292D">
        <w:rPr>
          <w:rFonts w:ascii="Arial" w:hAnsi="Arial" w:cs="Arial"/>
          <w:sz w:val="24"/>
          <w:szCs w:val="24"/>
        </w:rPr>
        <w:t>, 14(3), pp. 207–222.</w:t>
      </w:r>
      <w:r>
        <w:rPr>
          <w:rFonts w:ascii="Arial" w:hAnsi="Arial" w:cs="Arial"/>
          <w:sz w:val="24"/>
          <w:szCs w:val="24"/>
        </w:rPr>
        <w:t xml:space="preserve">  Available at: </w:t>
      </w:r>
      <w:hyperlink r:id="rId65" w:history="1">
        <w:r w:rsidRPr="002D6CBA">
          <w:rPr>
            <w:rStyle w:val="Hyperlink"/>
            <w:rFonts w:ascii="Arial" w:hAnsi="Arial" w:cs="Arial"/>
            <w:sz w:val="24"/>
            <w:szCs w:val="24"/>
          </w:rPr>
          <w:t>https://doi.org/10.1111/1467-8551.00375</w:t>
        </w:r>
      </w:hyperlink>
      <w:r>
        <w:rPr>
          <w:rFonts w:ascii="Arial" w:hAnsi="Arial" w:cs="Arial"/>
          <w:sz w:val="24"/>
          <w:szCs w:val="24"/>
        </w:rPr>
        <w:t xml:space="preserve"> (Accessed</w:t>
      </w:r>
      <w:r w:rsidR="009648DC">
        <w:rPr>
          <w:rFonts w:ascii="Arial" w:hAnsi="Arial" w:cs="Arial"/>
          <w:sz w:val="24"/>
          <w:szCs w:val="24"/>
        </w:rPr>
        <w:t>: 5 Feb</w:t>
      </w:r>
      <w:r w:rsidR="00453673">
        <w:rPr>
          <w:rFonts w:ascii="Arial" w:hAnsi="Arial" w:cs="Arial"/>
          <w:sz w:val="24"/>
          <w:szCs w:val="24"/>
        </w:rPr>
        <w:t>ruary</w:t>
      </w:r>
      <w:r w:rsidR="009648DC">
        <w:rPr>
          <w:rFonts w:ascii="Arial" w:hAnsi="Arial" w:cs="Arial"/>
          <w:sz w:val="24"/>
          <w:szCs w:val="24"/>
        </w:rPr>
        <w:t xml:space="preserve"> 2026).</w:t>
      </w:r>
    </w:p>
    <w:p w14:paraId="7B737348" w14:textId="7A2B74AA" w:rsidR="00A902E7" w:rsidRDefault="00A902E7" w:rsidP="00A902E7">
      <w:pPr>
        <w:spacing w:line="360" w:lineRule="auto"/>
        <w:jc w:val="both"/>
        <w:rPr>
          <w:rFonts w:ascii="Arial" w:hAnsi="Arial" w:cs="Arial"/>
          <w:sz w:val="24"/>
          <w:szCs w:val="24"/>
        </w:rPr>
      </w:pPr>
      <w:proofErr w:type="spellStart"/>
      <w:r w:rsidRPr="00A902E7">
        <w:rPr>
          <w:rFonts w:ascii="Arial" w:hAnsi="Arial" w:cs="Arial"/>
          <w:sz w:val="24"/>
          <w:szCs w:val="24"/>
        </w:rPr>
        <w:t>UKHospitality</w:t>
      </w:r>
      <w:proofErr w:type="spellEnd"/>
      <w:r w:rsidRPr="00A902E7">
        <w:rPr>
          <w:rFonts w:ascii="Arial" w:hAnsi="Arial" w:cs="Arial"/>
          <w:sz w:val="24"/>
          <w:szCs w:val="24"/>
        </w:rPr>
        <w:t xml:space="preserve"> (2023)</w:t>
      </w:r>
      <w:r>
        <w:rPr>
          <w:rFonts w:ascii="Arial" w:hAnsi="Arial" w:cs="Arial"/>
          <w:sz w:val="24"/>
          <w:szCs w:val="24"/>
        </w:rPr>
        <w:t>.</w:t>
      </w:r>
      <w:r w:rsidRPr="00A902E7">
        <w:rPr>
          <w:rFonts w:ascii="Arial" w:hAnsi="Arial" w:cs="Arial"/>
          <w:sz w:val="24"/>
          <w:szCs w:val="24"/>
        </w:rPr>
        <w:t xml:space="preserve"> </w:t>
      </w:r>
      <w:r w:rsidRPr="00A902E7">
        <w:rPr>
          <w:rFonts w:ascii="Arial" w:hAnsi="Arial" w:cs="Arial"/>
          <w:i/>
          <w:iCs/>
          <w:sz w:val="24"/>
          <w:szCs w:val="24"/>
        </w:rPr>
        <w:t>Hospitality Workforce Strategy: one year on</w:t>
      </w:r>
      <w:r w:rsidRPr="00A902E7">
        <w:rPr>
          <w:rFonts w:ascii="Arial" w:hAnsi="Arial" w:cs="Arial"/>
          <w:sz w:val="24"/>
          <w:szCs w:val="24"/>
        </w:rPr>
        <w:t xml:space="preserve">. Available at: </w:t>
      </w:r>
      <w:hyperlink r:id="rId66" w:history="1">
        <w:r w:rsidR="002417E6" w:rsidRPr="00524AF7">
          <w:rPr>
            <w:rStyle w:val="Hyperlink"/>
            <w:rFonts w:ascii="Arial" w:hAnsi="Arial" w:cs="Arial"/>
            <w:sz w:val="24"/>
            <w:szCs w:val="24"/>
          </w:rPr>
          <w:t>https://www.ukhospitality.org.uk/insight/hospitality-workforce-strategy-one-year-on/</w:t>
        </w:r>
      </w:hyperlink>
      <w:r w:rsidR="002417E6">
        <w:rPr>
          <w:rFonts w:ascii="Arial" w:hAnsi="Arial" w:cs="Arial"/>
          <w:sz w:val="24"/>
          <w:szCs w:val="24"/>
        </w:rPr>
        <w:t xml:space="preserve"> </w:t>
      </w:r>
      <w:r w:rsidRPr="00A902E7">
        <w:rPr>
          <w:rFonts w:ascii="Arial" w:hAnsi="Arial" w:cs="Arial"/>
          <w:sz w:val="24"/>
          <w:szCs w:val="24"/>
        </w:rPr>
        <w:t>(Accessed</w:t>
      </w:r>
      <w:r w:rsidR="002417E6">
        <w:rPr>
          <w:rFonts w:ascii="Arial" w:hAnsi="Arial" w:cs="Arial"/>
          <w:sz w:val="24"/>
          <w:szCs w:val="24"/>
        </w:rPr>
        <w:t>:</w:t>
      </w:r>
      <w:r w:rsidRPr="00A902E7">
        <w:rPr>
          <w:rFonts w:ascii="Arial" w:hAnsi="Arial" w:cs="Arial"/>
          <w:sz w:val="24"/>
          <w:szCs w:val="24"/>
        </w:rPr>
        <w:t xml:space="preserve"> </w:t>
      </w:r>
      <w:r w:rsidR="002417E6">
        <w:rPr>
          <w:rFonts w:ascii="Arial" w:hAnsi="Arial" w:cs="Arial"/>
          <w:sz w:val="24"/>
          <w:szCs w:val="24"/>
        </w:rPr>
        <w:t>18</w:t>
      </w:r>
      <w:r w:rsidRPr="00A902E7">
        <w:rPr>
          <w:rFonts w:ascii="Arial" w:hAnsi="Arial" w:cs="Arial"/>
          <w:sz w:val="24"/>
          <w:szCs w:val="24"/>
        </w:rPr>
        <w:t xml:space="preserve"> </w:t>
      </w:r>
      <w:r w:rsidR="002417E6">
        <w:rPr>
          <w:rFonts w:ascii="Arial" w:hAnsi="Arial" w:cs="Arial"/>
          <w:sz w:val="24"/>
          <w:szCs w:val="24"/>
        </w:rPr>
        <w:t>Jan</w:t>
      </w:r>
      <w:r w:rsidR="00453673">
        <w:rPr>
          <w:rFonts w:ascii="Arial" w:hAnsi="Arial" w:cs="Arial"/>
          <w:sz w:val="24"/>
          <w:szCs w:val="24"/>
        </w:rPr>
        <w:t>uary</w:t>
      </w:r>
      <w:r w:rsidRPr="00A902E7">
        <w:rPr>
          <w:rFonts w:ascii="Arial" w:hAnsi="Arial" w:cs="Arial"/>
          <w:sz w:val="24"/>
          <w:szCs w:val="24"/>
        </w:rPr>
        <w:t xml:space="preserve"> 2026).</w:t>
      </w:r>
    </w:p>
    <w:p w14:paraId="44CF0166" w14:textId="42126A8B" w:rsidR="00CA17A3" w:rsidRDefault="00CA17A3" w:rsidP="00A902E7">
      <w:pPr>
        <w:spacing w:line="360" w:lineRule="auto"/>
        <w:jc w:val="both"/>
        <w:rPr>
          <w:rFonts w:ascii="Arial" w:hAnsi="Arial" w:cs="Arial"/>
          <w:sz w:val="24"/>
          <w:szCs w:val="24"/>
        </w:rPr>
      </w:pPr>
      <w:r w:rsidRPr="00CA17A3">
        <w:rPr>
          <w:rFonts w:ascii="Arial" w:hAnsi="Arial" w:cs="Arial"/>
          <w:sz w:val="24"/>
          <w:szCs w:val="24"/>
        </w:rPr>
        <w:t>Veal, A.J. (2018)</w:t>
      </w:r>
      <w:r>
        <w:rPr>
          <w:rFonts w:ascii="Arial" w:hAnsi="Arial" w:cs="Arial"/>
          <w:sz w:val="24"/>
          <w:szCs w:val="24"/>
        </w:rPr>
        <w:t>.</w:t>
      </w:r>
      <w:r w:rsidRPr="00CA17A3">
        <w:rPr>
          <w:rFonts w:ascii="Arial" w:hAnsi="Arial" w:cs="Arial"/>
          <w:sz w:val="24"/>
          <w:szCs w:val="24"/>
        </w:rPr>
        <w:t xml:space="preserve"> </w:t>
      </w:r>
      <w:r w:rsidRPr="00CA17A3">
        <w:rPr>
          <w:rFonts w:ascii="Arial" w:hAnsi="Arial" w:cs="Arial"/>
          <w:i/>
          <w:iCs/>
          <w:sz w:val="24"/>
          <w:szCs w:val="24"/>
        </w:rPr>
        <w:t>Research Methods for Leisure and Tourism</w:t>
      </w:r>
      <w:r w:rsidRPr="00CA17A3">
        <w:rPr>
          <w:rFonts w:ascii="Arial" w:hAnsi="Arial" w:cs="Arial"/>
          <w:sz w:val="24"/>
          <w:szCs w:val="24"/>
        </w:rPr>
        <w:t xml:space="preserve">. 5th </w:t>
      </w:r>
      <w:proofErr w:type="spellStart"/>
      <w:r w:rsidRPr="00CA17A3">
        <w:rPr>
          <w:rFonts w:ascii="Arial" w:hAnsi="Arial" w:cs="Arial"/>
          <w:sz w:val="24"/>
          <w:szCs w:val="24"/>
        </w:rPr>
        <w:t>edn</w:t>
      </w:r>
      <w:proofErr w:type="spellEnd"/>
      <w:r w:rsidRPr="00CA17A3">
        <w:rPr>
          <w:rFonts w:ascii="Arial" w:hAnsi="Arial" w:cs="Arial"/>
          <w:sz w:val="24"/>
          <w:szCs w:val="24"/>
        </w:rPr>
        <w:t>. Harlow: Pearson.</w:t>
      </w:r>
    </w:p>
    <w:p w14:paraId="300710B7" w14:textId="0F75E1D1" w:rsidR="00581320" w:rsidRDefault="00581320" w:rsidP="00581320">
      <w:pPr>
        <w:spacing w:line="360" w:lineRule="auto"/>
        <w:jc w:val="both"/>
        <w:rPr>
          <w:rFonts w:ascii="Arial" w:hAnsi="Arial" w:cs="Arial"/>
          <w:sz w:val="24"/>
          <w:szCs w:val="24"/>
        </w:rPr>
      </w:pPr>
      <w:r w:rsidRPr="00581320">
        <w:rPr>
          <w:rFonts w:ascii="Arial" w:hAnsi="Arial" w:cs="Arial"/>
          <w:sz w:val="24"/>
          <w:szCs w:val="24"/>
        </w:rPr>
        <w:t>Wen, B., Zhou, X., Hu, Y. and Zhang, X. (2020)</w:t>
      </w:r>
      <w:r>
        <w:rPr>
          <w:rFonts w:ascii="Arial" w:hAnsi="Arial" w:cs="Arial"/>
          <w:sz w:val="24"/>
          <w:szCs w:val="24"/>
        </w:rPr>
        <w:t xml:space="preserve">. </w:t>
      </w:r>
      <w:r w:rsidRPr="00581320">
        <w:rPr>
          <w:rFonts w:ascii="Arial" w:hAnsi="Arial" w:cs="Arial"/>
          <w:sz w:val="24"/>
          <w:szCs w:val="24"/>
        </w:rPr>
        <w:t xml:space="preserve">Role Stress and Turnover Intention of Front-Line Hotel Employees: The Roles of Burnout and Service Climate, </w:t>
      </w:r>
      <w:r w:rsidRPr="00581320">
        <w:rPr>
          <w:rFonts w:ascii="Arial" w:hAnsi="Arial" w:cs="Arial"/>
          <w:i/>
          <w:iCs/>
          <w:sz w:val="24"/>
          <w:szCs w:val="24"/>
        </w:rPr>
        <w:t>Frontiers in Psychology</w:t>
      </w:r>
      <w:r w:rsidRPr="00581320">
        <w:rPr>
          <w:rFonts w:ascii="Arial" w:hAnsi="Arial" w:cs="Arial"/>
          <w:sz w:val="24"/>
          <w:szCs w:val="24"/>
        </w:rPr>
        <w:t xml:space="preserve">, 11, 36. Available at: </w:t>
      </w:r>
      <w:hyperlink r:id="rId67" w:history="1">
        <w:r w:rsidRPr="008A1654">
          <w:rPr>
            <w:rStyle w:val="Hyperlink"/>
            <w:rFonts w:ascii="Arial" w:hAnsi="Arial" w:cs="Arial"/>
            <w:sz w:val="24"/>
            <w:szCs w:val="24"/>
          </w:rPr>
          <w:t>https://doi.org/10.3389/fpsyg.2020.00036</w:t>
        </w:r>
      </w:hyperlink>
      <w:r>
        <w:rPr>
          <w:rFonts w:ascii="Arial" w:hAnsi="Arial" w:cs="Arial"/>
          <w:sz w:val="24"/>
          <w:szCs w:val="24"/>
        </w:rPr>
        <w:t xml:space="preserve"> </w:t>
      </w:r>
      <w:r w:rsidRPr="00581320">
        <w:rPr>
          <w:rFonts w:ascii="Arial" w:hAnsi="Arial" w:cs="Arial"/>
          <w:sz w:val="24"/>
          <w:szCs w:val="24"/>
        </w:rPr>
        <w:t xml:space="preserve">(Accessed: </w:t>
      </w:r>
      <w:r>
        <w:rPr>
          <w:rFonts w:ascii="Arial" w:hAnsi="Arial" w:cs="Arial"/>
          <w:sz w:val="24"/>
          <w:szCs w:val="24"/>
        </w:rPr>
        <w:t>7</w:t>
      </w:r>
      <w:r w:rsidRPr="00581320">
        <w:rPr>
          <w:rFonts w:ascii="Arial" w:hAnsi="Arial" w:cs="Arial"/>
          <w:sz w:val="24"/>
          <w:szCs w:val="24"/>
        </w:rPr>
        <w:t xml:space="preserve"> Feb</w:t>
      </w:r>
      <w:r w:rsidR="00453673">
        <w:rPr>
          <w:rFonts w:ascii="Arial" w:hAnsi="Arial" w:cs="Arial"/>
          <w:sz w:val="24"/>
          <w:szCs w:val="24"/>
        </w:rPr>
        <w:t>ruary</w:t>
      </w:r>
      <w:r w:rsidRPr="00581320">
        <w:rPr>
          <w:rFonts w:ascii="Arial" w:hAnsi="Arial" w:cs="Arial"/>
          <w:sz w:val="24"/>
          <w:szCs w:val="24"/>
        </w:rPr>
        <w:t xml:space="preserve"> 2026).</w:t>
      </w:r>
    </w:p>
    <w:p w14:paraId="30318D09" w14:textId="22EDBD3E" w:rsidR="00A67C77" w:rsidRDefault="00A67C77" w:rsidP="00A67C77">
      <w:pPr>
        <w:spacing w:line="360" w:lineRule="auto"/>
        <w:jc w:val="both"/>
        <w:rPr>
          <w:rFonts w:ascii="Arial" w:hAnsi="Arial" w:cs="Arial"/>
          <w:sz w:val="24"/>
          <w:szCs w:val="24"/>
        </w:rPr>
      </w:pPr>
      <w:r w:rsidRPr="00F23E55">
        <w:rPr>
          <w:rFonts w:ascii="Arial" w:hAnsi="Arial" w:cs="Arial"/>
          <w:sz w:val="24"/>
          <w:szCs w:val="24"/>
        </w:rPr>
        <w:t xml:space="preserve">Xie, K.L., Zhang, Z. and Zhang, Z. (2014). </w:t>
      </w:r>
      <w:r w:rsidRPr="00A67C77">
        <w:rPr>
          <w:rFonts w:ascii="Arial" w:hAnsi="Arial" w:cs="Arial"/>
          <w:sz w:val="24"/>
          <w:szCs w:val="24"/>
        </w:rPr>
        <w:t xml:space="preserve">The business value of online consumer reviews and management response to hotel performance, </w:t>
      </w:r>
      <w:r w:rsidRPr="00A67C77">
        <w:rPr>
          <w:rFonts w:ascii="Arial" w:hAnsi="Arial" w:cs="Arial"/>
          <w:i/>
          <w:iCs/>
          <w:sz w:val="24"/>
          <w:szCs w:val="24"/>
        </w:rPr>
        <w:t>International Journal of Hospitality Management</w:t>
      </w:r>
      <w:r w:rsidRPr="00A67C77">
        <w:rPr>
          <w:rFonts w:ascii="Arial" w:hAnsi="Arial" w:cs="Arial"/>
          <w:sz w:val="24"/>
          <w:szCs w:val="24"/>
        </w:rPr>
        <w:t xml:space="preserve">, 43, pp. 1–12. Available at: </w:t>
      </w:r>
      <w:hyperlink r:id="rId68" w:history="1">
        <w:r w:rsidRPr="00524AF7">
          <w:rPr>
            <w:rStyle w:val="Hyperlink"/>
            <w:rFonts w:ascii="Arial" w:hAnsi="Arial" w:cs="Arial"/>
            <w:sz w:val="24"/>
            <w:szCs w:val="24"/>
          </w:rPr>
          <w:t>https://doi.org/10.1016/j.ijhm.2014.07.007</w:t>
        </w:r>
      </w:hyperlink>
      <w:r>
        <w:rPr>
          <w:rFonts w:ascii="Arial" w:hAnsi="Arial" w:cs="Arial"/>
          <w:sz w:val="24"/>
          <w:szCs w:val="24"/>
        </w:rPr>
        <w:t xml:space="preserve"> </w:t>
      </w:r>
      <w:r w:rsidRPr="00A67C77">
        <w:rPr>
          <w:rFonts w:ascii="Arial" w:hAnsi="Arial" w:cs="Arial"/>
          <w:sz w:val="24"/>
          <w:szCs w:val="24"/>
        </w:rPr>
        <w:t xml:space="preserve">(Accessed: </w:t>
      </w:r>
      <w:r>
        <w:rPr>
          <w:rFonts w:ascii="Arial" w:hAnsi="Arial" w:cs="Arial"/>
          <w:sz w:val="24"/>
          <w:szCs w:val="24"/>
        </w:rPr>
        <w:t>3</w:t>
      </w:r>
      <w:r w:rsidRPr="00A67C77">
        <w:rPr>
          <w:rFonts w:ascii="Arial" w:hAnsi="Arial" w:cs="Arial"/>
          <w:sz w:val="24"/>
          <w:szCs w:val="24"/>
        </w:rPr>
        <w:t xml:space="preserve"> February 2026).</w:t>
      </w:r>
    </w:p>
    <w:p w14:paraId="03B9D363" w14:textId="25A417E4" w:rsidR="00DD3287" w:rsidRPr="00161511" w:rsidRDefault="00DD3287" w:rsidP="00A67C77">
      <w:pPr>
        <w:spacing w:line="360" w:lineRule="auto"/>
        <w:jc w:val="both"/>
        <w:rPr>
          <w:rFonts w:ascii="Arial" w:hAnsi="Arial" w:cs="Arial"/>
          <w:sz w:val="24"/>
          <w:szCs w:val="24"/>
        </w:rPr>
      </w:pPr>
      <w:r w:rsidRPr="00DD3287">
        <w:rPr>
          <w:rFonts w:ascii="Arial" w:hAnsi="Arial" w:cs="Arial"/>
          <w:sz w:val="24"/>
          <w:szCs w:val="24"/>
        </w:rPr>
        <w:t>Yin, R.K. (2018)</w:t>
      </w:r>
      <w:r>
        <w:rPr>
          <w:rFonts w:ascii="Arial" w:hAnsi="Arial" w:cs="Arial"/>
          <w:sz w:val="24"/>
          <w:szCs w:val="24"/>
        </w:rPr>
        <w:t>.</w:t>
      </w:r>
      <w:r w:rsidRPr="00DD3287">
        <w:rPr>
          <w:rFonts w:ascii="Arial" w:hAnsi="Arial" w:cs="Arial"/>
          <w:sz w:val="24"/>
          <w:szCs w:val="24"/>
        </w:rPr>
        <w:t xml:space="preserve"> </w:t>
      </w:r>
      <w:r w:rsidRPr="005F304B">
        <w:rPr>
          <w:rFonts w:ascii="Arial" w:hAnsi="Arial" w:cs="Arial"/>
          <w:i/>
          <w:iCs/>
          <w:sz w:val="24"/>
          <w:szCs w:val="24"/>
        </w:rPr>
        <w:t>Case Study Research and Applications: Design and Methods</w:t>
      </w:r>
      <w:r w:rsidRPr="00DD3287">
        <w:rPr>
          <w:rFonts w:ascii="Arial" w:hAnsi="Arial" w:cs="Arial"/>
          <w:sz w:val="24"/>
          <w:szCs w:val="24"/>
        </w:rPr>
        <w:t xml:space="preserve">. 6th </w:t>
      </w:r>
      <w:proofErr w:type="spellStart"/>
      <w:r w:rsidRPr="00DD3287">
        <w:rPr>
          <w:rFonts w:ascii="Arial" w:hAnsi="Arial" w:cs="Arial"/>
          <w:sz w:val="24"/>
          <w:szCs w:val="24"/>
        </w:rPr>
        <w:t>edn</w:t>
      </w:r>
      <w:proofErr w:type="spellEnd"/>
      <w:r w:rsidRPr="00DD3287">
        <w:rPr>
          <w:rFonts w:ascii="Arial" w:hAnsi="Arial" w:cs="Arial"/>
          <w:sz w:val="24"/>
          <w:szCs w:val="24"/>
        </w:rPr>
        <w:t>. Thousand Oaks, CA: Sage.</w:t>
      </w:r>
    </w:p>
    <w:sectPr w:rsidR="00DD3287" w:rsidRPr="00161511" w:rsidSect="00E3244B">
      <w:footerReference w:type="default" r:id="rId6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C18F2" w14:textId="77777777" w:rsidR="007B1A11" w:rsidRDefault="007B1A11" w:rsidP="00BF1F64">
      <w:pPr>
        <w:spacing w:after="0" w:line="240" w:lineRule="auto"/>
      </w:pPr>
      <w:r>
        <w:separator/>
      </w:r>
    </w:p>
  </w:endnote>
  <w:endnote w:type="continuationSeparator" w:id="0">
    <w:p w14:paraId="58E80A26" w14:textId="77777777" w:rsidR="007B1A11" w:rsidRDefault="007B1A11" w:rsidP="00BF1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7807368"/>
      <w:docPartObj>
        <w:docPartGallery w:val="Page Numbers (Bottom of Page)"/>
        <w:docPartUnique/>
      </w:docPartObj>
    </w:sdtPr>
    <w:sdtEndPr>
      <w:rPr>
        <w:noProof/>
      </w:rPr>
    </w:sdtEndPr>
    <w:sdtContent>
      <w:p w14:paraId="6732ABCB" w14:textId="714C4AE1" w:rsidR="0019157D" w:rsidRDefault="001915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3FB11E" w14:textId="77777777" w:rsidR="00BF1F64" w:rsidRDefault="00BF1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8392B" w14:textId="77777777" w:rsidR="007B1A11" w:rsidRDefault="007B1A11" w:rsidP="00BF1F64">
      <w:pPr>
        <w:spacing w:after="0" w:line="240" w:lineRule="auto"/>
      </w:pPr>
      <w:r>
        <w:separator/>
      </w:r>
    </w:p>
  </w:footnote>
  <w:footnote w:type="continuationSeparator" w:id="0">
    <w:p w14:paraId="6B3E7834" w14:textId="77777777" w:rsidR="007B1A11" w:rsidRDefault="007B1A11" w:rsidP="00BF1F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546"/>
    <w:multiLevelType w:val="hybridMultilevel"/>
    <w:tmpl w:val="0FFA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45DA9"/>
    <w:multiLevelType w:val="hybridMultilevel"/>
    <w:tmpl w:val="8DE03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02FDE"/>
    <w:multiLevelType w:val="hybridMultilevel"/>
    <w:tmpl w:val="9E20A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63503"/>
    <w:multiLevelType w:val="hybridMultilevel"/>
    <w:tmpl w:val="32E04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60C26"/>
    <w:multiLevelType w:val="hybridMultilevel"/>
    <w:tmpl w:val="86587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B1BED"/>
    <w:multiLevelType w:val="hybridMultilevel"/>
    <w:tmpl w:val="F7A64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2E60CA"/>
    <w:multiLevelType w:val="hybridMultilevel"/>
    <w:tmpl w:val="F3722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DF7A06"/>
    <w:multiLevelType w:val="hybridMultilevel"/>
    <w:tmpl w:val="928A3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3C0A99"/>
    <w:multiLevelType w:val="hybridMultilevel"/>
    <w:tmpl w:val="73FE6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704A65"/>
    <w:multiLevelType w:val="hybridMultilevel"/>
    <w:tmpl w:val="5FC6A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DE2D84"/>
    <w:multiLevelType w:val="hybridMultilevel"/>
    <w:tmpl w:val="9528C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DC19F2"/>
    <w:multiLevelType w:val="hybridMultilevel"/>
    <w:tmpl w:val="889A2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9B1FB5"/>
    <w:multiLevelType w:val="hybridMultilevel"/>
    <w:tmpl w:val="4252BDC0"/>
    <w:lvl w:ilvl="0" w:tplc="E44E28E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266876"/>
    <w:multiLevelType w:val="hybridMultilevel"/>
    <w:tmpl w:val="DEFA9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1524243">
    <w:abstractNumId w:val="6"/>
  </w:num>
  <w:num w:numId="2" w16cid:durableId="455104089">
    <w:abstractNumId w:val="11"/>
  </w:num>
  <w:num w:numId="3" w16cid:durableId="1876500133">
    <w:abstractNumId w:val="9"/>
  </w:num>
  <w:num w:numId="4" w16cid:durableId="1229920300">
    <w:abstractNumId w:val="0"/>
  </w:num>
  <w:num w:numId="5" w16cid:durableId="772477481">
    <w:abstractNumId w:val="10"/>
  </w:num>
  <w:num w:numId="6" w16cid:durableId="1604681302">
    <w:abstractNumId w:val="2"/>
  </w:num>
  <w:num w:numId="7" w16cid:durableId="85663021">
    <w:abstractNumId w:val="12"/>
  </w:num>
  <w:num w:numId="8" w16cid:durableId="736167834">
    <w:abstractNumId w:val="8"/>
  </w:num>
  <w:num w:numId="9" w16cid:durableId="657153630">
    <w:abstractNumId w:val="1"/>
  </w:num>
  <w:num w:numId="10" w16cid:durableId="688140821">
    <w:abstractNumId w:val="13"/>
  </w:num>
  <w:num w:numId="11" w16cid:durableId="1926719348">
    <w:abstractNumId w:val="3"/>
  </w:num>
  <w:num w:numId="12" w16cid:durableId="1074667418">
    <w:abstractNumId w:val="4"/>
  </w:num>
  <w:num w:numId="13" w16cid:durableId="1508255697">
    <w:abstractNumId w:val="7"/>
  </w:num>
  <w:num w:numId="14" w16cid:durableId="11522851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303"/>
    <w:rsid w:val="0001071E"/>
    <w:rsid w:val="0001666B"/>
    <w:rsid w:val="0003160A"/>
    <w:rsid w:val="00064E08"/>
    <w:rsid w:val="00067994"/>
    <w:rsid w:val="00067D80"/>
    <w:rsid w:val="000729A5"/>
    <w:rsid w:val="00074874"/>
    <w:rsid w:val="00082C65"/>
    <w:rsid w:val="00090F8F"/>
    <w:rsid w:val="00093AF3"/>
    <w:rsid w:val="000951E3"/>
    <w:rsid w:val="000952AB"/>
    <w:rsid w:val="000A1911"/>
    <w:rsid w:val="000A2D25"/>
    <w:rsid w:val="000B0B1E"/>
    <w:rsid w:val="000B131C"/>
    <w:rsid w:val="000D2C3C"/>
    <w:rsid w:val="000E574C"/>
    <w:rsid w:val="000F0744"/>
    <w:rsid w:val="0010291F"/>
    <w:rsid w:val="001039F4"/>
    <w:rsid w:val="00105185"/>
    <w:rsid w:val="0011495A"/>
    <w:rsid w:val="00142B26"/>
    <w:rsid w:val="00153B6A"/>
    <w:rsid w:val="00161511"/>
    <w:rsid w:val="00161705"/>
    <w:rsid w:val="00171F7A"/>
    <w:rsid w:val="00175C1E"/>
    <w:rsid w:val="001866D6"/>
    <w:rsid w:val="00187936"/>
    <w:rsid w:val="0019157D"/>
    <w:rsid w:val="001A4211"/>
    <w:rsid w:val="001B3510"/>
    <w:rsid w:val="001C3E31"/>
    <w:rsid w:val="001E1BB5"/>
    <w:rsid w:val="001E1E97"/>
    <w:rsid w:val="001E6E0C"/>
    <w:rsid w:val="001E79C7"/>
    <w:rsid w:val="001F2705"/>
    <w:rsid w:val="00200434"/>
    <w:rsid w:val="00200BF4"/>
    <w:rsid w:val="00210EDA"/>
    <w:rsid w:val="002278A4"/>
    <w:rsid w:val="00230553"/>
    <w:rsid w:val="00231B05"/>
    <w:rsid w:val="0024050E"/>
    <w:rsid w:val="002417E6"/>
    <w:rsid w:val="00243227"/>
    <w:rsid w:val="002519E2"/>
    <w:rsid w:val="002614B3"/>
    <w:rsid w:val="00261FB9"/>
    <w:rsid w:val="002677EE"/>
    <w:rsid w:val="00275394"/>
    <w:rsid w:val="00287925"/>
    <w:rsid w:val="00294FE5"/>
    <w:rsid w:val="0029564C"/>
    <w:rsid w:val="002975B5"/>
    <w:rsid w:val="002A2053"/>
    <w:rsid w:val="002A625A"/>
    <w:rsid w:val="002B5C1B"/>
    <w:rsid w:val="002B5D69"/>
    <w:rsid w:val="002B63EE"/>
    <w:rsid w:val="002B7A2C"/>
    <w:rsid w:val="002F48E5"/>
    <w:rsid w:val="00301E4F"/>
    <w:rsid w:val="0030250B"/>
    <w:rsid w:val="00323BCD"/>
    <w:rsid w:val="00327242"/>
    <w:rsid w:val="00333B75"/>
    <w:rsid w:val="00342F03"/>
    <w:rsid w:val="003512B9"/>
    <w:rsid w:val="0035437F"/>
    <w:rsid w:val="00364354"/>
    <w:rsid w:val="00381959"/>
    <w:rsid w:val="00381AC8"/>
    <w:rsid w:val="00385A80"/>
    <w:rsid w:val="003867D6"/>
    <w:rsid w:val="00390AE7"/>
    <w:rsid w:val="00396A56"/>
    <w:rsid w:val="003A0359"/>
    <w:rsid w:val="003A1496"/>
    <w:rsid w:val="003A3A6F"/>
    <w:rsid w:val="003D0F8E"/>
    <w:rsid w:val="003E3237"/>
    <w:rsid w:val="004011B4"/>
    <w:rsid w:val="00414960"/>
    <w:rsid w:val="00424429"/>
    <w:rsid w:val="00426435"/>
    <w:rsid w:val="00427BF0"/>
    <w:rsid w:val="00430EAB"/>
    <w:rsid w:val="00433B75"/>
    <w:rsid w:val="004369BC"/>
    <w:rsid w:val="00453673"/>
    <w:rsid w:val="0045731D"/>
    <w:rsid w:val="004613DE"/>
    <w:rsid w:val="0046312C"/>
    <w:rsid w:val="00465BFF"/>
    <w:rsid w:val="0046698D"/>
    <w:rsid w:val="00467035"/>
    <w:rsid w:val="00482A21"/>
    <w:rsid w:val="0048440C"/>
    <w:rsid w:val="00491206"/>
    <w:rsid w:val="00492C68"/>
    <w:rsid w:val="00494446"/>
    <w:rsid w:val="00495FDE"/>
    <w:rsid w:val="004D3ABA"/>
    <w:rsid w:val="004F1AFE"/>
    <w:rsid w:val="004F43C8"/>
    <w:rsid w:val="004F5B43"/>
    <w:rsid w:val="00514F60"/>
    <w:rsid w:val="005213BA"/>
    <w:rsid w:val="00525917"/>
    <w:rsid w:val="00530A43"/>
    <w:rsid w:val="0053227D"/>
    <w:rsid w:val="005512C5"/>
    <w:rsid w:val="0055692B"/>
    <w:rsid w:val="00557688"/>
    <w:rsid w:val="0056654A"/>
    <w:rsid w:val="00570D3C"/>
    <w:rsid w:val="005734D0"/>
    <w:rsid w:val="00581320"/>
    <w:rsid w:val="00585BCE"/>
    <w:rsid w:val="00597BD1"/>
    <w:rsid w:val="005A35C8"/>
    <w:rsid w:val="005A5C8D"/>
    <w:rsid w:val="005B0B9D"/>
    <w:rsid w:val="005D361F"/>
    <w:rsid w:val="005E7058"/>
    <w:rsid w:val="005E7101"/>
    <w:rsid w:val="005F304B"/>
    <w:rsid w:val="005F7B41"/>
    <w:rsid w:val="006061EC"/>
    <w:rsid w:val="00606CB6"/>
    <w:rsid w:val="00620C2E"/>
    <w:rsid w:val="0062231D"/>
    <w:rsid w:val="0063292D"/>
    <w:rsid w:val="00635F75"/>
    <w:rsid w:val="00636F22"/>
    <w:rsid w:val="00654B4F"/>
    <w:rsid w:val="00665C66"/>
    <w:rsid w:val="00670A99"/>
    <w:rsid w:val="00673792"/>
    <w:rsid w:val="00673DA4"/>
    <w:rsid w:val="00676588"/>
    <w:rsid w:val="00676D40"/>
    <w:rsid w:val="006B28DA"/>
    <w:rsid w:val="006D180C"/>
    <w:rsid w:val="006D1B12"/>
    <w:rsid w:val="006E2444"/>
    <w:rsid w:val="006F03A0"/>
    <w:rsid w:val="006F68B7"/>
    <w:rsid w:val="007035C4"/>
    <w:rsid w:val="00703C5A"/>
    <w:rsid w:val="00717293"/>
    <w:rsid w:val="007211B4"/>
    <w:rsid w:val="00721E04"/>
    <w:rsid w:val="0073467C"/>
    <w:rsid w:val="00752EF8"/>
    <w:rsid w:val="00753701"/>
    <w:rsid w:val="00764184"/>
    <w:rsid w:val="00765EC4"/>
    <w:rsid w:val="007712A2"/>
    <w:rsid w:val="00780C20"/>
    <w:rsid w:val="007930D8"/>
    <w:rsid w:val="007A6DE1"/>
    <w:rsid w:val="007B1A11"/>
    <w:rsid w:val="007B7C8D"/>
    <w:rsid w:val="007D1158"/>
    <w:rsid w:val="007E7C61"/>
    <w:rsid w:val="007F75EE"/>
    <w:rsid w:val="00813713"/>
    <w:rsid w:val="00813ADD"/>
    <w:rsid w:val="00820887"/>
    <w:rsid w:val="008238E6"/>
    <w:rsid w:val="00831DFE"/>
    <w:rsid w:val="00834F24"/>
    <w:rsid w:val="0085382C"/>
    <w:rsid w:val="00857454"/>
    <w:rsid w:val="008578D4"/>
    <w:rsid w:val="00860ADF"/>
    <w:rsid w:val="008700E4"/>
    <w:rsid w:val="00875B4B"/>
    <w:rsid w:val="008A29C5"/>
    <w:rsid w:val="008A3D1E"/>
    <w:rsid w:val="008B2CA2"/>
    <w:rsid w:val="008B4013"/>
    <w:rsid w:val="008C49E5"/>
    <w:rsid w:val="008D303C"/>
    <w:rsid w:val="008D7EFF"/>
    <w:rsid w:val="008F29AE"/>
    <w:rsid w:val="008F4461"/>
    <w:rsid w:val="00903C94"/>
    <w:rsid w:val="00903F70"/>
    <w:rsid w:val="0092001D"/>
    <w:rsid w:val="009210F5"/>
    <w:rsid w:val="009237A0"/>
    <w:rsid w:val="00943953"/>
    <w:rsid w:val="009513F9"/>
    <w:rsid w:val="0095355D"/>
    <w:rsid w:val="0095729D"/>
    <w:rsid w:val="00960D91"/>
    <w:rsid w:val="009648DC"/>
    <w:rsid w:val="0098295D"/>
    <w:rsid w:val="009B00EF"/>
    <w:rsid w:val="009B0F9F"/>
    <w:rsid w:val="009D6B29"/>
    <w:rsid w:val="009E058D"/>
    <w:rsid w:val="009E0694"/>
    <w:rsid w:val="009F2B6F"/>
    <w:rsid w:val="009F4EAF"/>
    <w:rsid w:val="00A00816"/>
    <w:rsid w:val="00A10BC3"/>
    <w:rsid w:val="00A11593"/>
    <w:rsid w:val="00A12882"/>
    <w:rsid w:val="00A202E5"/>
    <w:rsid w:val="00A21757"/>
    <w:rsid w:val="00A21E63"/>
    <w:rsid w:val="00A306BF"/>
    <w:rsid w:val="00A4027D"/>
    <w:rsid w:val="00A406C0"/>
    <w:rsid w:val="00A4070C"/>
    <w:rsid w:val="00A43CF1"/>
    <w:rsid w:val="00A47F85"/>
    <w:rsid w:val="00A65759"/>
    <w:rsid w:val="00A67C77"/>
    <w:rsid w:val="00A67DD2"/>
    <w:rsid w:val="00A7657B"/>
    <w:rsid w:val="00A854C3"/>
    <w:rsid w:val="00A86174"/>
    <w:rsid w:val="00A902E7"/>
    <w:rsid w:val="00A9501B"/>
    <w:rsid w:val="00AB4385"/>
    <w:rsid w:val="00AB6DE0"/>
    <w:rsid w:val="00AC4D14"/>
    <w:rsid w:val="00AC5F8F"/>
    <w:rsid w:val="00AD41B8"/>
    <w:rsid w:val="00AF3EBA"/>
    <w:rsid w:val="00B1268B"/>
    <w:rsid w:val="00B22F5C"/>
    <w:rsid w:val="00B517BB"/>
    <w:rsid w:val="00B525E1"/>
    <w:rsid w:val="00B60FF7"/>
    <w:rsid w:val="00B80801"/>
    <w:rsid w:val="00B85CC5"/>
    <w:rsid w:val="00BA1D0C"/>
    <w:rsid w:val="00BA1E03"/>
    <w:rsid w:val="00BA3237"/>
    <w:rsid w:val="00BB105D"/>
    <w:rsid w:val="00BB378C"/>
    <w:rsid w:val="00BB71EE"/>
    <w:rsid w:val="00BC6A38"/>
    <w:rsid w:val="00BE0407"/>
    <w:rsid w:val="00BE4191"/>
    <w:rsid w:val="00BF1F64"/>
    <w:rsid w:val="00BF7C64"/>
    <w:rsid w:val="00C24665"/>
    <w:rsid w:val="00C34464"/>
    <w:rsid w:val="00C34838"/>
    <w:rsid w:val="00C379DD"/>
    <w:rsid w:val="00C52786"/>
    <w:rsid w:val="00C5705F"/>
    <w:rsid w:val="00C638E7"/>
    <w:rsid w:val="00C63E7A"/>
    <w:rsid w:val="00C8499F"/>
    <w:rsid w:val="00C92DED"/>
    <w:rsid w:val="00CA17A3"/>
    <w:rsid w:val="00CA5C14"/>
    <w:rsid w:val="00CA6C26"/>
    <w:rsid w:val="00CB2669"/>
    <w:rsid w:val="00CC3917"/>
    <w:rsid w:val="00CC6023"/>
    <w:rsid w:val="00CD105E"/>
    <w:rsid w:val="00CE2560"/>
    <w:rsid w:val="00D067C7"/>
    <w:rsid w:val="00D130C0"/>
    <w:rsid w:val="00D14F9D"/>
    <w:rsid w:val="00D17BF7"/>
    <w:rsid w:val="00D20263"/>
    <w:rsid w:val="00D2095F"/>
    <w:rsid w:val="00D21784"/>
    <w:rsid w:val="00D252F2"/>
    <w:rsid w:val="00D3578E"/>
    <w:rsid w:val="00D54B40"/>
    <w:rsid w:val="00D61212"/>
    <w:rsid w:val="00D653BF"/>
    <w:rsid w:val="00DA583C"/>
    <w:rsid w:val="00DA6D32"/>
    <w:rsid w:val="00DB4516"/>
    <w:rsid w:val="00DB53CD"/>
    <w:rsid w:val="00DD3287"/>
    <w:rsid w:val="00DD36DE"/>
    <w:rsid w:val="00DD5DB6"/>
    <w:rsid w:val="00DE0303"/>
    <w:rsid w:val="00DE0AF7"/>
    <w:rsid w:val="00DF0775"/>
    <w:rsid w:val="00DF41C3"/>
    <w:rsid w:val="00E01DE5"/>
    <w:rsid w:val="00E16F75"/>
    <w:rsid w:val="00E25D08"/>
    <w:rsid w:val="00E3244B"/>
    <w:rsid w:val="00E46CFB"/>
    <w:rsid w:val="00E54500"/>
    <w:rsid w:val="00E55979"/>
    <w:rsid w:val="00E57024"/>
    <w:rsid w:val="00E57AB7"/>
    <w:rsid w:val="00E60428"/>
    <w:rsid w:val="00E63562"/>
    <w:rsid w:val="00E64F35"/>
    <w:rsid w:val="00E71098"/>
    <w:rsid w:val="00E75F1B"/>
    <w:rsid w:val="00E76312"/>
    <w:rsid w:val="00E76774"/>
    <w:rsid w:val="00E7775D"/>
    <w:rsid w:val="00E96B5B"/>
    <w:rsid w:val="00EB1C71"/>
    <w:rsid w:val="00EB56C7"/>
    <w:rsid w:val="00EC3603"/>
    <w:rsid w:val="00EC514B"/>
    <w:rsid w:val="00ED11DB"/>
    <w:rsid w:val="00EE05D9"/>
    <w:rsid w:val="00EE4759"/>
    <w:rsid w:val="00EE695D"/>
    <w:rsid w:val="00F06547"/>
    <w:rsid w:val="00F1623F"/>
    <w:rsid w:val="00F17CBC"/>
    <w:rsid w:val="00F23E55"/>
    <w:rsid w:val="00F3332F"/>
    <w:rsid w:val="00F3557D"/>
    <w:rsid w:val="00F367A4"/>
    <w:rsid w:val="00F46967"/>
    <w:rsid w:val="00F55819"/>
    <w:rsid w:val="00F762C4"/>
    <w:rsid w:val="00F77307"/>
    <w:rsid w:val="00F82401"/>
    <w:rsid w:val="00F87F89"/>
    <w:rsid w:val="00F956FF"/>
    <w:rsid w:val="00FC528C"/>
    <w:rsid w:val="00FD460F"/>
    <w:rsid w:val="00FE324B"/>
    <w:rsid w:val="00FF4E2C"/>
    <w:rsid w:val="00FF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4D0CB"/>
  <w15:chartTrackingRefBased/>
  <w15:docId w15:val="{47995963-4D8A-46C5-A2A3-C18F871D5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3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E03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E03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E03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03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0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3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E03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E03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DE03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03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0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303"/>
    <w:rPr>
      <w:rFonts w:eastAsiaTheme="majorEastAsia" w:cstheme="majorBidi"/>
      <w:color w:val="272727" w:themeColor="text1" w:themeTint="D8"/>
    </w:rPr>
  </w:style>
  <w:style w:type="paragraph" w:styleId="Title">
    <w:name w:val="Title"/>
    <w:basedOn w:val="Normal"/>
    <w:next w:val="Normal"/>
    <w:link w:val="TitleChar"/>
    <w:uiPriority w:val="10"/>
    <w:qFormat/>
    <w:rsid w:val="00DE0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303"/>
    <w:pPr>
      <w:spacing w:before="160"/>
      <w:jc w:val="center"/>
    </w:pPr>
    <w:rPr>
      <w:i/>
      <w:iCs/>
      <w:color w:val="404040" w:themeColor="text1" w:themeTint="BF"/>
    </w:rPr>
  </w:style>
  <w:style w:type="character" w:customStyle="1" w:styleId="QuoteChar">
    <w:name w:val="Quote Char"/>
    <w:basedOn w:val="DefaultParagraphFont"/>
    <w:link w:val="Quote"/>
    <w:uiPriority w:val="29"/>
    <w:rsid w:val="00DE0303"/>
    <w:rPr>
      <w:i/>
      <w:iCs/>
      <w:color w:val="404040" w:themeColor="text1" w:themeTint="BF"/>
    </w:rPr>
  </w:style>
  <w:style w:type="paragraph" w:styleId="ListParagraph">
    <w:name w:val="List Paragraph"/>
    <w:basedOn w:val="Normal"/>
    <w:uiPriority w:val="34"/>
    <w:qFormat/>
    <w:rsid w:val="00DE0303"/>
    <w:pPr>
      <w:ind w:left="720"/>
      <w:contextualSpacing/>
    </w:pPr>
  </w:style>
  <w:style w:type="character" w:styleId="IntenseEmphasis">
    <w:name w:val="Intense Emphasis"/>
    <w:basedOn w:val="DefaultParagraphFont"/>
    <w:uiPriority w:val="21"/>
    <w:qFormat/>
    <w:rsid w:val="00DE0303"/>
    <w:rPr>
      <w:i/>
      <w:iCs/>
      <w:color w:val="2F5496" w:themeColor="accent1" w:themeShade="BF"/>
    </w:rPr>
  </w:style>
  <w:style w:type="paragraph" w:styleId="IntenseQuote">
    <w:name w:val="Intense Quote"/>
    <w:basedOn w:val="Normal"/>
    <w:next w:val="Normal"/>
    <w:link w:val="IntenseQuoteChar"/>
    <w:uiPriority w:val="30"/>
    <w:qFormat/>
    <w:rsid w:val="00DE03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0303"/>
    <w:rPr>
      <w:i/>
      <w:iCs/>
      <w:color w:val="2F5496" w:themeColor="accent1" w:themeShade="BF"/>
    </w:rPr>
  </w:style>
  <w:style w:type="character" w:styleId="IntenseReference">
    <w:name w:val="Intense Reference"/>
    <w:basedOn w:val="DefaultParagraphFont"/>
    <w:uiPriority w:val="32"/>
    <w:qFormat/>
    <w:rsid w:val="00DE0303"/>
    <w:rPr>
      <w:b/>
      <w:bCs/>
      <w:smallCaps/>
      <w:color w:val="2F5496" w:themeColor="accent1" w:themeShade="BF"/>
      <w:spacing w:val="5"/>
    </w:rPr>
  </w:style>
  <w:style w:type="paragraph" w:styleId="NoSpacing">
    <w:name w:val="No Spacing"/>
    <w:link w:val="NoSpacingChar"/>
    <w:uiPriority w:val="1"/>
    <w:qFormat/>
    <w:rsid w:val="00E324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3244B"/>
    <w:rPr>
      <w:rFonts w:eastAsiaTheme="minorEastAsia"/>
      <w:kern w:val="0"/>
      <w:lang w:val="en-US"/>
      <w14:ligatures w14:val="none"/>
    </w:rPr>
  </w:style>
  <w:style w:type="paragraph" w:styleId="TOCHeading">
    <w:name w:val="TOC Heading"/>
    <w:basedOn w:val="Heading1"/>
    <w:next w:val="Normal"/>
    <w:uiPriority w:val="39"/>
    <w:unhideWhenUsed/>
    <w:qFormat/>
    <w:rsid w:val="00A21E6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21E63"/>
    <w:pPr>
      <w:spacing w:after="100"/>
    </w:pPr>
  </w:style>
  <w:style w:type="character" w:styleId="Hyperlink">
    <w:name w:val="Hyperlink"/>
    <w:basedOn w:val="DefaultParagraphFont"/>
    <w:uiPriority w:val="99"/>
    <w:unhideWhenUsed/>
    <w:rsid w:val="00A21E63"/>
    <w:rPr>
      <w:color w:val="0563C1" w:themeColor="hyperlink"/>
      <w:u w:val="single"/>
    </w:rPr>
  </w:style>
  <w:style w:type="paragraph" w:styleId="TOC2">
    <w:name w:val="toc 2"/>
    <w:basedOn w:val="Normal"/>
    <w:next w:val="Normal"/>
    <w:autoRedefine/>
    <w:uiPriority w:val="39"/>
    <w:unhideWhenUsed/>
    <w:rsid w:val="00A21E63"/>
    <w:pPr>
      <w:spacing w:after="100"/>
      <w:ind w:left="220"/>
    </w:pPr>
  </w:style>
  <w:style w:type="character" w:styleId="UnresolvedMention">
    <w:name w:val="Unresolved Mention"/>
    <w:basedOn w:val="DefaultParagraphFont"/>
    <w:uiPriority w:val="99"/>
    <w:semiHidden/>
    <w:unhideWhenUsed/>
    <w:rsid w:val="000D2C3C"/>
    <w:rPr>
      <w:color w:val="605E5C"/>
      <w:shd w:val="clear" w:color="auto" w:fill="E1DFDD"/>
    </w:rPr>
  </w:style>
  <w:style w:type="paragraph" w:styleId="TOC3">
    <w:name w:val="toc 3"/>
    <w:basedOn w:val="Normal"/>
    <w:next w:val="Normal"/>
    <w:autoRedefine/>
    <w:uiPriority w:val="39"/>
    <w:unhideWhenUsed/>
    <w:rsid w:val="008B2CA2"/>
    <w:pPr>
      <w:spacing w:after="100"/>
      <w:ind w:left="440"/>
    </w:pPr>
  </w:style>
  <w:style w:type="character" w:styleId="FollowedHyperlink">
    <w:name w:val="FollowedHyperlink"/>
    <w:basedOn w:val="DefaultParagraphFont"/>
    <w:uiPriority w:val="99"/>
    <w:semiHidden/>
    <w:unhideWhenUsed/>
    <w:rsid w:val="00BB71EE"/>
    <w:rPr>
      <w:color w:val="954F72" w:themeColor="followedHyperlink"/>
      <w:u w:val="single"/>
    </w:rPr>
  </w:style>
  <w:style w:type="paragraph" w:styleId="Header">
    <w:name w:val="header"/>
    <w:basedOn w:val="Normal"/>
    <w:link w:val="HeaderChar"/>
    <w:uiPriority w:val="99"/>
    <w:unhideWhenUsed/>
    <w:rsid w:val="00BF1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F64"/>
  </w:style>
  <w:style w:type="paragraph" w:styleId="Footer">
    <w:name w:val="footer"/>
    <w:basedOn w:val="Normal"/>
    <w:link w:val="FooterChar"/>
    <w:uiPriority w:val="99"/>
    <w:unhideWhenUsed/>
    <w:rsid w:val="00BF1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F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8/IJCHM-12-2013-0538" TargetMode="External"/><Relationship Id="rId21" Type="http://schemas.openxmlformats.org/officeDocument/2006/relationships/hyperlink" Target="https://doi.org/10.1016/j.ijhm.2009.04.005" TargetMode="External"/><Relationship Id="rId42" Type="http://schemas.openxmlformats.org/officeDocument/2006/relationships/hyperlink" Target="https://doi.org/10.1016/j.ijhm.2012.05.003" TargetMode="External"/><Relationship Id="rId47" Type="http://schemas.openxmlformats.org/officeDocument/2006/relationships/hyperlink" Target="https://doi.org/10.1016/j.ijhm.2016.10.010" TargetMode="External"/><Relationship Id="rId63" Type="http://schemas.openxmlformats.org/officeDocument/2006/relationships/hyperlink" Target="https://doi.org/10.1177/1938965513505355" TargetMode="External"/><Relationship Id="rId68" Type="http://schemas.openxmlformats.org/officeDocument/2006/relationships/hyperlink" Target="https://doi.org/10.1016/j.ijhm.2014.07.007"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08/IJCHM-04-2020-0314" TargetMode="External"/><Relationship Id="rId29" Type="http://schemas.openxmlformats.org/officeDocument/2006/relationships/hyperlink" Target="https://doi.org/10.1177/014920630002600305" TargetMode="External"/><Relationship Id="rId11" Type="http://schemas.openxmlformats.org/officeDocument/2006/relationships/hyperlink" Target="https://doi.org/10.1108/IJCHM-11-2016-0633" TargetMode="External"/><Relationship Id="rId24" Type="http://schemas.openxmlformats.org/officeDocument/2006/relationships/hyperlink" Target="https://doi.org/10.5465/amp.2007.27895338" TargetMode="External"/><Relationship Id="rId32" Type="http://schemas.openxmlformats.org/officeDocument/2006/relationships/hyperlink" Target="https://doi.org/10.1037/0021-9010.91.5.1134" TargetMode="External"/><Relationship Id="rId37" Type="http://schemas.openxmlformats.org/officeDocument/2006/relationships/hyperlink" Target="https://doi.org/10.5465/amj.2011.0088" TargetMode="External"/><Relationship Id="rId40" Type="http://schemas.openxmlformats.org/officeDocument/2006/relationships/hyperlink" Target="https://doi.org/10.1108/IJCHM-04-2016-0185" TargetMode="External"/><Relationship Id="rId45" Type="http://schemas.openxmlformats.org/officeDocument/2006/relationships/hyperlink" Target="https://doi.org/10.1177/1096348018764583" TargetMode="External"/><Relationship Id="rId53" Type="http://schemas.openxmlformats.org/officeDocument/2006/relationships/hyperlink" Target="https://www.ons.gov.uk/employmentandlabourmarket/peopleinwork/employmentandemployeetypes/datasets/workforcejobsbyindustryjobs02" TargetMode="External"/><Relationship Id="rId58" Type="http://schemas.openxmlformats.org/officeDocument/2006/relationships/hyperlink" Target="https://doi.org/10.1016/j.ijhm.2013.08.008" TargetMode="External"/><Relationship Id="rId66" Type="http://schemas.openxmlformats.org/officeDocument/2006/relationships/hyperlink" Target="https://www.ukhospitality.org.uk/insight/hospitality-workforce-strategy-one-year-on/" TargetMode="External"/><Relationship Id="rId5" Type="http://schemas.openxmlformats.org/officeDocument/2006/relationships/webSettings" Target="webSettings.xml"/><Relationship Id="rId61" Type="http://schemas.openxmlformats.org/officeDocument/2006/relationships/hyperlink" Target="https://doi.org/10.1177/0010880401424006" TargetMode="External"/><Relationship Id="rId19" Type="http://schemas.openxmlformats.org/officeDocument/2006/relationships/hyperlink" Target="https://doi.org/10.1016/j.ijhm.2015.01.011" TargetMode="External"/><Relationship Id="rId14" Type="http://schemas.openxmlformats.org/officeDocument/2006/relationships/hyperlink" Target="https://doi.org/10.1108/02683940710733115" TargetMode="External"/><Relationship Id="rId22" Type="http://schemas.openxmlformats.org/officeDocument/2006/relationships/hyperlink" Target="https://doi.org/10.1016/j.tourman.2005.12.011" TargetMode="External"/><Relationship Id="rId27" Type="http://schemas.openxmlformats.org/officeDocument/2006/relationships/hyperlink" Target="https://doi.org/10.1108/IJCHM-10-2016-0565" TargetMode="External"/><Relationship Id="rId30" Type="http://schemas.openxmlformats.org/officeDocument/2006/relationships/hyperlink" Target="https://doi.org/10.1080/15332845.2015.1002070" TargetMode="External"/><Relationship Id="rId35" Type="http://schemas.openxmlformats.org/officeDocument/2006/relationships/hyperlink" Target="https://doi.org/10.1177/001088040004100313" TargetMode="External"/><Relationship Id="rId43" Type="http://schemas.openxmlformats.org/officeDocument/2006/relationships/hyperlink" Target="https://doi.org/10.1016/j.ijhm.2009.02.003" TargetMode="External"/><Relationship Id="rId48" Type="http://schemas.openxmlformats.org/officeDocument/2006/relationships/hyperlink" Target="https://doi.org/10.1016/j.apergo.2010.06.013" TargetMode="External"/><Relationship Id="rId56" Type="http://schemas.openxmlformats.org/officeDocument/2006/relationships/hyperlink" Target="https://doi.org/10.1016/j.ijhm.2020.102599" TargetMode="External"/><Relationship Id="rId64" Type="http://schemas.openxmlformats.org/officeDocument/2006/relationships/hyperlink" Target="https://doi.org/10.1177/0010880407310191"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016/j.ijhm.2009.05.001" TargetMode="External"/><Relationship Id="rId3" Type="http://schemas.openxmlformats.org/officeDocument/2006/relationships/styles" Target="styles.xml"/><Relationship Id="rId12" Type="http://schemas.openxmlformats.org/officeDocument/2006/relationships/hyperlink" Target="https://doi.org/10.1016/j.jhtm.2016.12.002" TargetMode="External"/><Relationship Id="rId17" Type="http://schemas.openxmlformats.org/officeDocument/2006/relationships/hyperlink" Target="https://doi.org/10.1057/thr.2010.15" TargetMode="External"/><Relationship Id="rId25" Type="http://schemas.openxmlformats.org/officeDocument/2006/relationships/hyperlink" Target="https://doi.org/10.1108/09596111011042686" TargetMode="External"/><Relationship Id="rId33" Type="http://schemas.openxmlformats.org/officeDocument/2006/relationships/hyperlink" Target="https://doi.org/10.1016/j.ijhm.2015.10.002" TargetMode="External"/><Relationship Id="rId38" Type="http://schemas.openxmlformats.org/officeDocument/2006/relationships/hyperlink" Target="https://doi.org/10.1016/j.ijhm.2021.102921" TargetMode="External"/><Relationship Id="rId46" Type="http://schemas.openxmlformats.org/officeDocument/2006/relationships/hyperlink" Target="https://doi.org/10.1080/15332845.2010.487043" TargetMode="External"/><Relationship Id="rId59" Type="http://schemas.openxmlformats.org/officeDocument/2006/relationships/hyperlink" Target="https://doi.org/10.1007/978-94-007-5640-3_4" TargetMode="External"/><Relationship Id="rId67" Type="http://schemas.openxmlformats.org/officeDocument/2006/relationships/hyperlink" Target="https://doi.org/10.3389/fpsyg.2020.00036" TargetMode="External"/><Relationship Id="rId20" Type="http://schemas.openxmlformats.org/officeDocument/2006/relationships/hyperlink" Target="https://doi.org/10.1016/j.ijhm.2009.11.005" TargetMode="External"/><Relationship Id="rId41" Type="http://schemas.openxmlformats.org/officeDocument/2006/relationships/hyperlink" Target="https://doi.org/10.1177/1096348011413592" TargetMode="External"/><Relationship Id="rId54" Type="http://schemas.openxmlformats.org/officeDocument/2006/relationships/hyperlink" Target="https://www.ons.gov.uk/employmentandlabourmarket/peopleinwork/employmentandemployeetypes/bulletins/uklabourmarket/may2023" TargetMode="External"/><Relationship Id="rId62" Type="http://schemas.openxmlformats.org/officeDocument/2006/relationships/hyperlink" Target="https://doi.org/10.1037/0021-9010.69.4.673"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IJCHM-10-2018-0805" TargetMode="External"/><Relationship Id="rId23" Type="http://schemas.openxmlformats.org/officeDocument/2006/relationships/hyperlink" Target="https://www.cipd.org/uk/knowledge/factsheets/turnover-retention-factsheet/" TargetMode="External"/><Relationship Id="rId28" Type="http://schemas.openxmlformats.org/officeDocument/2006/relationships/hyperlink" Target="https://doi.org/10.1037/1076-8998.5.1.95" TargetMode="External"/><Relationship Id="rId36" Type="http://schemas.openxmlformats.org/officeDocument/2006/relationships/hyperlink" Target="https://doi.org/10.5465/19416520802211552" TargetMode="External"/><Relationship Id="rId49" Type="http://schemas.openxmlformats.org/officeDocument/2006/relationships/hyperlink" Target="https://scholarlycommons.pacific.edu/esob-facarticles/209" TargetMode="External"/><Relationship Id="rId57" Type="http://schemas.openxmlformats.org/officeDocument/2006/relationships/hyperlink" Target="https://doi.org/10.1016/j.jhtm.2020.05.006" TargetMode="External"/><Relationship Id="rId10" Type="http://schemas.openxmlformats.org/officeDocument/2006/relationships/hyperlink" Target="https://doi.org/10.1016/S0065-2601(08)60108-2" TargetMode="External"/><Relationship Id="rId31" Type="http://schemas.openxmlformats.org/officeDocument/2006/relationships/hyperlink" Target="https://doi.org/10.1016/j.ijhm.2013.10.001" TargetMode="External"/><Relationship Id="rId44" Type="http://schemas.openxmlformats.org/officeDocument/2006/relationships/hyperlink" Target="https://doi.org/10.1002/jtr.645" TargetMode="External"/><Relationship Id="rId52" Type="http://schemas.openxmlformats.org/officeDocument/2006/relationships/hyperlink" Target="https://doi.org/10.1016/j.tmp.2023.101197" TargetMode="External"/><Relationship Id="rId60" Type="http://schemas.openxmlformats.org/officeDocument/2006/relationships/hyperlink" Target="https://doi.org/10.1016/j.tourman.2020.104212" TargetMode="External"/><Relationship Id="rId65" Type="http://schemas.openxmlformats.org/officeDocument/2006/relationships/hyperlink" Target="https://doi.org/10.1111/1467-8551.00375"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1016/j.tmp.2018.10.004" TargetMode="External"/><Relationship Id="rId18" Type="http://schemas.openxmlformats.org/officeDocument/2006/relationships/hyperlink" Target="https://doi.org/10.1191/1478088706qp063oa" TargetMode="External"/><Relationship Id="rId39" Type="http://schemas.openxmlformats.org/officeDocument/2006/relationships/hyperlink" Target="https://doi.org/10.1016/j.ijhm.2015.04.004" TargetMode="External"/><Relationship Id="rId34" Type="http://schemas.openxmlformats.org/officeDocument/2006/relationships/hyperlink" Target="https://doi.org/10.1037/0021-9010.87.2.268" TargetMode="External"/><Relationship Id="rId50" Type="http://schemas.openxmlformats.org/officeDocument/2006/relationships/hyperlink" Target="https://doi.org/10.1016/j.tourman.2015.04.005" TargetMode="External"/><Relationship Id="rId55" Type="http://schemas.openxmlformats.org/officeDocument/2006/relationships/hyperlink" Target="https://doi.org/10.1177/10963480198646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46ED5-72C6-48E1-A07B-B9564920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13129</Words>
  <Characters>74839</Characters>
  <Application>Microsoft Office Word</Application>
  <DocSecurity>0</DocSecurity>
  <Lines>623</Lines>
  <Paragraphs>175</Paragraphs>
  <ScaleCrop>false</ScaleCrop>
  <Company/>
  <LinksUpToDate>false</LinksUpToDate>
  <CharactersWithSpaces>87793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Gherasim</dc:creator>
  <cp:keywords/>
  <dc:description/>
  <cp:lastModifiedBy>Beatrice Gherasim</cp:lastModifiedBy>
  <cp:revision>326</cp:revision>
  <dcterms:created xsi:type="dcterms:W3CDTF">2026-02-21T10:48:00Z</dcterms:created>
  <dcterms:modified xsi:type="dcterms:W3CDTF">2026-02-22T17:52:00Z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8a85a866-94c7-4752-bed9-b435ddde6755</vt:lpwstr>
  </property>
</Properties>
</file>