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D0D6F" w14:textId="77777777" w:rsidR="00D260C7" w:rsidRPr="00D260C7" w:rsidRDefault="00D260C7" w:rsidP="005C1D96">
      <w:pPr>
        <w:spacing w:line="360" w:lineRule="auto"/>
        <w:jc w:val="both"/>
        <w:rPr>
          <w:rFonts w:ascii="Arial" w:hAnsi="Arial" w:cs="Arial"/>
          <w:b/>
          <w:bCs/>
        </w:rPr>
      </w:pPr>
    </w:p>
    <w:p w14:paraId="389EB1D9" w14:textId="46302A53" w:rsidR="00D260C7" w:rsidRPr="00D260C7" w:rsidRDefault="00987C75" w:rsidP="005C1D96">
      <w:pPr>
        <w:spacing w:line="360" w:lineRule="auto"/>
        <w:jc w:val="center"/>
        <w:rPr>
          <w:rFonts w:ascii="Arial" w:hAnsi="Arial" w:cs="Arial"/>
          <w:b/>
          <w:bCs/>
          <w:sz w:val="44"/>
          <w:szCs w:val="44"/>
        </w:rPr>
      </w:pPr>
      <w:r w:rsidRPr="005C1D96">
        <w:rPr>
          <w:rFonts w:ascii="Arial" w:hAnsi="Arial" w:cs="Arial"/>
          <w:b/>
          <w:bCs/>
          <w:sz w:val="44"/>
          <w:szCs w:val="44"/>
        </w:rPr>
        <w:t>Celebrating Parenthood in Hospitality</w:t>
      </w:r>
    </w:p>
    <w:p w14:paraId="3B1999B0" w14:textId="77777777" w:rsidR="00D260C7" w:rsidRPr="00D260C7" w:rsidRDefault="00D260C7" w:rsidP="005C1D96">
      <w:pPr>
        <w:spacing w:line="360" w:lineRule="auto"/>
        <w:jc w:val="center"/>
        <w:rPr>
          <w:rFonts w:ascii="Arial" w:hAnsi="Arial" w:cs="Arial"/>
          <w:b/>
          <w:bCs/>
        </w:rPr>
      </w:pPr>
    </w:p>
    <w:p w14:paraId="693B79B2" w14:textId="77777777" w:rsidR="00D260C7" w:rsidRPr="00D260C7" w:rsidRDefault="00D260C7" w:rsidP="005C1D96">
      <w:pPr>
        <w:spacing w:line="360" w:lineRule="auto"/>
        <w:jc w:val="center"/>
        <w:rPr>
          <w:rFonts w:ascii="Arial" w:hAnsi="Arial" w:cs="Arial"/>
          <w:b/>
          <w:bCs/>
        </w:rPr>
      </w:pPr>
    </w:p>
    <w:p w14:paraId="29B87DFA" w14:textId="77777777" w:rsidR="00D260C7" w:rsidRPr="00D260C7" w:rsidRDefault="00D260C7" w:rsidP="005C1D96">
      <w:pPr>
        <w:spacing w:line="360" w:lineRule="auto"/>
        <w:jc w:val="center"/>
        <w:rPr>
          <w:rFonts w:ascii="Arial" w:hAnsi="Arial" w:cs="Arial"/>
          <w:b/>
          <w:bCs/>
        </w:rPr>
      </w:pPr>
    </w:p>
    <w:p w14:paraId="25C5B145" w14:textId="77777777" w:rsidR="00D260C7" w:rsidRPr="00D260C7" w:rsidRDefault="00D260C7" w:rsidP="005C1D96">
      <w:pPr>
        <w:spacing w:line="360" w:lineRule="auto"/>
        <w:jc w:val="center"/>
        <w:rPr>
          <w:rFonts w:ascii="Arial" w:hAnsi="Arial" w:cs="Arial"/>
          <w:b/>
          <w:bCs/>
        </w:rPr>
      </w:pPr>
    </w:p>
    <w:p w14:paraId="2C2E688D" w14:textId="77777777" w:rsidR="00D260C7" w:rsidRPr="00D260C7" w:rsidRDefault="00D260C7" w:rsidP="005C1D96">
      <w:pPr>
        <w:spacing w:line="360" w:lineRule="auto"/>
        <w:jc w:val="center"/>
        <w:rPr>
          <w:rFonts w:ascii="Arial" w:hAnsi="Arial" w:cs="Arial"/>
          <w:b/>
          <w:bCs/>
        </w:rPr>
      </w:pPr>
    </w:p>
    <w:p w14:paraId="0B6DC3D1" w14:textId="77777777" w:rsidR="00D260C7" w:rsidRPr="00D260C7" w:rsidRDefault="00D260C7" w:rsidP="005C1D96">
      <w:pPr>
        <w:spacing w:line="360" w:lineRule="auto"/>
        <w:jc w:val="center"/>
        <w:rPr>
          <w:rFonts w:ascii="Arial" w:hAnsi="Arial" w:cs="Arial"/>
          <w:b/>
          <w:bCs/>
        </w:rPr>
      </w:pPr>
    </w:p>
    <w:p w14:paraId="0CFDCD32" w14:textId="77777777" w:rsidR="00D260C7" w:rsidRPr="00D260C7" w:rsidRDefault="00D260C7" w:rsidP="005C1D96">
      <w:pPr>
        <w:spacing w:line="360" w:lineRule="auto"/>
        <w:jc w:val="center"/>
        <w:rPr>
          <w:rFonts w:ascii="Arial" w:hAnsi="Arial" w:cs="Arial"/>
          <w:b/>
          <w:bCs/>
        </w:rPr>
      </w:pPr>
    </w:p>
    <w:p w14:paraId="7FB5A757" w14:textId="77777777" w:rsidR="00D260C7" w:rsidRPr="00D260C7" w:rsidRDefault="00D260C7" w:rsidP="005C1D96">
      <w:pPr>
        <w:spacing w:line="360" w:lineRule="auto"/>
        <w:jc w:val="center"/>
        <w:rPr>
          <w:rFonts w:ascii="Arial" w:hAnsi="Arial" w:cs="Arial"/>
          <w:b/>
          <w:bCs/>
          <w:sz w:val="28"/>
          <w:szCs w:val="28"/>
        </w:rPr>
      </w:pPr>
    </w:p>
    <w:p w14:paraId="76E1ACF0" w14:textId="0EB0DE9A" w:rsidR="00D260C7" w:rsidRPr="00D260C7" w:rsidRDefault="00D260C7" w:rsidP="005C1D96">
      <w:pPr>
        <w:spacing w:line="360" w:lineRule="auto"/>
        <w:jc w:val="center"/>
        <w:rPr>
          <w:rFonts w:ascii="Arial" w:hAnsi="Arial" w:cs="Arial"/>
          <w:b/>
          <w:bCs/>
          <w:sz w:val="28"/>
          <w:szCs w:val="28"/>
        </w:rPr>
      </w:pPr>
      <w:r w:rsidRPr="00D260C7">
        <w:rPr>
          <w:rFonts w:ascii="Arial" w:hAnsi="Arial" w:cs="Arial"/>
          <w:b/>
          <w:bCs/>
          <w:sz w:val="28"/>
          <w:szCs w:val="28"/>
        </w:rPr>
        <w:t>International Meetings Management for the Hotel Industry, BMIH6007</w:t>
      </w:r>
    </w:p>
    <w:p w14:paraId="4AB4689A" w14:textId="77777777" w:rsidR="00D260C7" w:rsidRPr="00D260C7" w:rsidRDefault="00D260C7" w:rsidP="005C1D96">
      <w:pPr>
        <w:spacing w:line="360" w:lineRule="auto"/>
        <w:jc w:val="center"/>
        <w:rPr>
          <w:rFonts w:ascii="Arial" w:hAnsi="Arial" w:cs="Arial"/>
          <w:b/>
          <w:bCs/>
          <w:sz w:val="28"/>
          <w:szCs w:val="28"/>
        </w:rPr>
      </w:pPr>
    </w:p>
    <w:p w14:paraId="061DA7B4" w14:textId="3258701F" w:rsidR="00D260C7" w:rsidRPr="00D260C7" w:rsidRDefault="00D260C7" w:rsidP="005C1D96">
      <w:pPr>
        <w:spacing w:line="360" w:lineRule="auto"/>
        <w:jc w:val="center"/>
        <w:rPr>
          <w:rFonts w:ascii="Arial" w:hAnsi="Arial" w:cs="Arial"/>
          <w:b/>
          <w:bCs/>
          <w:sz w:val="28"/>
          <w:szCs w:val="28"/>
        </w:rPr>
      </w:pPr>
      <w:r w:rsidRPr="00D260C7">
        <w:rPr>
          <w:rFonts w:ascii="Arial" w:hAnsi="Arial" w:cs="Arial"/>
          <w:b/>
          <w:bCs/>
          <w:sz w:val="28"/>
          <w:szCs w:val="28"/>
        </w:rPr>
        <w:t>Kathryn Flynn</w:t>
      </w:r>
    </w:p>
    <w:p w14:paraId="3AB74A01" w14:textId="77777777" w:rsidR="00D260C7" w:rsidRPr="00D260C7" w:rsidRDefault="00D260C7" w:rsidP="005C1D96">
      <w:pPr>
        <w:spacing w:line="360" w:lineRule="auto"/>
        <w:jc w:val="center"/>
        <w:rPr>
          <w:rFonts w:ascii="Arial" w:hAnsi="Arial" w:cs="Arial"/>
          <w:b/>
          <w:bCs/>
        </w:rPr>
      </w:pPr>
    </w:p>
    <w:p w14:paraId="249EE93F" w14:textId="77777777" w:rsidR="00D260C7" w:rsidRPr="00D260C7" w:rsidRDefault="00D260C7" w:rsidP="005C1D96">
      <w:pPr>
        <w:spacing w:line="360" w:lineRule="auto"/>
        <w:jc w:val="center"/>
        <w:rPr>
          <w:rFonts w:ascii="Arial" w:hAnsi="Arial" w:cs="Arial"/>
          <w:b/>
          <w:bCs/>
        </w:rPr>
      </w:pPr>
    </w:p>
    <w:p w14:paraId="7F66EA67" w14:textId="77777777" w:rsidR="00D260C7" w:rsidRPr="00D260C7" w:rsidRDefault="00D260C7" w:rsidP="005C1D96">
      <w:pPr>
        <w:spacing w:line="360" w:lineRule="auto"/>
        <w:jc w:val="center"/>
        <w:rPr>
          <w:rFonts w:ascii="Arial" w:hAnsi="Arial" w:cs="Arial"/>
          <w:b/>
          <w:bCs/>
        </w:rPr>
      </w:pPr>
    </w:p>
    <w:p w14:paraId="2A3B6D6D" w14:textId="77777777" w:rsidR="00D260C7" w:rsidRPr="00D260C7" w:rsidRDefault="00D260C7" w:rsidP="005C1D96">
      <w:pPr>
        <w:spacing w:line="360" w:lineRule="auto"/>
        <w:jc w:val="center"/>
        <w:rPr>
          <w:rFonts w:ascii="Arial" w:hAnsi="Arial" w:cs="Arial"/>
          <w:b/>
          <w:bCs/>
        </w:rPr>
      </w:pPr>
    </w:p>
    <w:p w14:paraId="44E1B9C0" w14:textId="77777777" w:rsidR="00D260C7" w:rsidRPr="00D260C7" w:rsidRDefault="00D260C7" w:rsidP="005C1D96">
      <w:pPr>
        <w:spacing w:line="360" w:lineRule="auto"/>
        <w:jc w:val="center"/>
        <w:rPr>
          <w:rFonts w:ascii="Arial" w:hAnsi="Arial" w:cs="Arial"/>
          <w:b/>
          <w:bCs/>
        </w:rPr>
      </w:pPr>
    </w:p>
    <w:p w14:paraId="229FDBB6" w14:textId="77777777" w:rsidR="00D260C7" w:rsidRPr="00D260C7" w:rsidRDefault="00D260C7" w:rsidP="005C1D96">
      <w:pPr>
        <w:spacing w:line="360" w:lineRule="auto"/>
        <w:jc w:val="center"/>
        <w:rPr>
          <w:rFonts w:ascii="Arial" w:hAnsi="Arial" w:cs="Arial"/>
          <w:b/>
          <w:bCs/>
        </w:rPr>
      </w:pPr>
    </w:p>
    <w:p w14:paraId="67291DCF" w14:textId="77777777" w:rsidR="00D260C7" w:rsidRPr="00D260C7" w:rsidRDefault="00D260C7" w:rsidP="005C1D96">
      <w:pPr>
        <w:spacing w:line="360" w:lineRule="auto"/>
        <w:jc w:val="center"/>
        <w:rPr>
          <w:rFonts w:ascii="Arial" w:hAnsi="Arial" w:cs="Arial"/>
          <w:b/>
          <w:bCs/>
        </w:rPr>
      </w:pPr>
    </w:p>
    <w:p w14:paraId="18DA2ACD" w14:textId="05D21541" w:rsidR="00D260C7" w:rsidRPr="00D260C7" w:rsidRDefault="00201FC2" w:rsidP="005C1D96">
      <w:pPr>
        <w:spacing w:line="360" w:lineRule="auto"/>
        <w:jc w:val="center"/>
        <w:rPr>
          <w:rFonts w:ascii="Arial" w:hAnsi="Arial" w:cs="Arial"/>
          <w:b/>
          <w:bCs/>
        </w:rPr>
      </w:pPr>
      <w:r w:rsidRPr="005C1D96">
        <w:rPr>
          <w:rFonts w:ascii="Arial" w:hAnsi="Arial" w:cs="Arial"/>
          <w:b/>
          <w:bCs/>
        </w:rPr>
        <w:t>Liviu</w:t>
      </w:r>
      <w:r w:rsidR="00987C75" w:rsidRPr="005C1D96">
        <w:rPr>
          <w:rFonts w:ascii="Arial" w:hAnsi="Arial" w:cs="Arial"/>
          <w:b/>
          <w:bCs/>
        </w:rPr>
        <w:t xml:space="preserve"> Postelnicu</w:t>
      </w:r>
    </w:p>
    <w:p w14:paraId="04A8B479" w14:textId="4A98ED51" w:rsidR="00D260C7" w:rsidRPr="00D260C7" w:rsidRDefault="00300120" w:rsidP="005C1D96">
      <w:pPr>
        <w:spacing w:line="360" w:lineRule="auto"/>
        <w:jc w:val="center"/>
        <w:rPr>
          <w:rFonts w:ascii="Arial" w:hAnsi="Arial" w:cs="Arial"/>
          <w:b/>
          <w:bCs/>
        </w:rPr>
      </w:pPr>
      <w:r>
        <w:rPr>
          <w:rFonts w:ascii="Arial" w:hAnsi="Arial" w:cs="Arial"/>
          <w:b/>
          <w:bCs/>
        </w:rPr>
        <w:t>2224284</w:t>
      </w:r>
    </w:p>
    <w:p w14:paraId="572029B2" w14:textId="77777777" w:rsidR="00D260C7" w:rsidRPr="005C1D96" w:rsidRDefault="00D260C7" w:rsidP="005C1D96">
      <w:pPr>
        <w:spacing w:line="360" w:lineRule="auto"/>
        <w:jc w:val="both"/>
        <w:rPr>
          <w:rFonts w:ascii="Arial" w:hAnsi="Arial" w:cs="Arial"/>
          <w:b/>
          <w:bCs/>
        </w:rPr>
      </w:pPr>
    </w:p>
    <w:p w14:paraId="7E4A9BE4" w14:textId="77777777" w:rsidR="004E65DF" w:rsidRPr="005C1D96" w:rsidRDefault="004E65DF" w:rsidP="005C1D96">
      <w:pPr>
        <w:spacing w:line="360" w:lineRule="auto"/>
        <w:jc w:val="both"/>
        <w:rPr>
          <w:rFonts w:ascii="Arial" w:hAnsi="Arial" w:cs="Arial"/>
          <w:b/>
          <w:bCs/>
        </w:rPr>
      </w:pPr>
    </w:p>
    <w:p w14:paraId="5CBAE07B" w14:textId="77777777" w:rsidR="004E65DF" w:rsidRPr="005C1D96" w:rsidRDefault="004E65DF" w:rsidP="005C1D96">
      <w:pPr>
        <w:spacing w:line="360" w:lineRule="auto"/>
        <w:jc w:val="both"/>
        <w:rPr>
          <w:rFonts w:ascii="Arial" w:hAnsi="Arial" w:cs="Arial"/>
          <w:b/>
          <w:bCs/>
        </w:rPr>
      </w:pPr>
    </w:p>
    <w:p w14:paraId="0233783E" w14:textId="77777777" w:rsidR="004E65DF" w:rsidRPr="005C1D96" w:rsidRDefault="004E65DF" w:rsidP="005C1D96">
      <w:pPr>
        <w:spacing w:line="360" w:lineRule="auto"/>
        <w:jc w:val="both"/>
        <w:rPr>
          <w:rFonts w:ascii="Arial" w:hAnsi="Arial" w:cs="Arial"/>
          <w:b/>
          <w:bCs/>
        </w:rPr>
      </w:pPr>
    </w:p>
    <w:p w14:paraId="758EC8E4" w14:textId="77777777" w:rsidR="004E65DF" w:rsidRPr="005C1D96" w:rsidRDefault="004E65DF" w:rsidP="005C1D96">
      <w:pPr>
        <w:spacing w:line="360" w:lineRule="auto"/>
        <w:jc w:val="both"/>
        <w:rPr>
          <w:rFonts w:ascii="Arial" w:hAnsi="Arial" w:cs="Arial"/>
          <w:b/>
          <w:bCs/>
        </w:rPr>
      </w:pPr>
    </w:p>
    <w:p w14:paraId="67A92E6B" w14:textId="77777777" w:rsidR="004E65DF" w:rsidRPr="005C1D96" w:rsidRDefault="004E65DF" w:rsidP="005C1D96">
      <w:pPr>
        <w:spacing w:line="360" w:lineRule="auto"/>
        <w:jc w:val="both"/>
        <w:rPr>
          <w:rFonts w:ascii="Arial" w:hAnsi="Arial" w:cs="Arial"/>
          <w:b/>
          <w:bCs/>
        </w:rPr>
      </w:pPr>
    </w:p>
    <w:p w14:paraId="5EE899A8" w14:textId="77777777" w:rsidR="004E65DF" w:rsidRPr="005C1D96" w:rsidRDefault="004E65DF" w:rsidP="005C1D96">
      <w:pPr>
        <w:spacing w:line="360" w:lineRule="auto"/>
        <w:jc w:val="both"/>
        <w:rPr>
          <w:rFonts w:ascii="Arial" w:hAnsi="Arial" w:cs="Arial"/>
          <w:b/>
          <w:bCs/>
        </w:rPr>
      </w:pPr>
    </w:p>
    <w:p w14:paraId="02F8BA5C" w14:textId="77777777" w:rsidR="004E65DF" w:rsidRPr="005C1D96" w:rsidRDefault="004E65DF" w:rsidP="005C1D96">
      <w:pPr>
        <w:spacing w:line="360" w:lineRule="auto"/>
        <w:jc w:val="both"/>
        <w:rPr>
          <w:rFonts w:ascii="Arial" w:hAnsi="Arial" w:cs="Arial"/>
          <w:b/>
          <w:bCs/>
        </w:rPr>
      </w:pPr>
    </w:p>
    <w:p w14:paraId="1C7C7A22" w14:textId="77777777" w:rsidR="004E65DF" w:rsidRPr="005C1D96" w:rsidRDefault="004E65DF" w:rsidP="005C1D96">
      <w:pPr>
        <w:spacing w:line="360" w:lineRule="auto"/>
        <w:jc w:val="both"/>
        <w:rPr>
          <w:rFonts w:ascii="Arial" w:hAnsi="Arial" w:cs="Arial"/>
          <w:b/>
          <w:bCs/>
        </w:rPr>
      </w:pPr>
    </w:p>
    <w:p w14:paraId="5E2E8436" w14:textId="77777777" w:rsidR="004E65DF" w:rsidRPr="005C1D96" w:rsidRDefault="004E65DF" w:rsidP="005C1D96">
      <w:pPr>
        <w:spacing w:line="360" w:lineRule="auto"/>
        <w:jc w:val="both"/>
        <w:rPr>
          <w:rFonts w:ascii="Arial" w:hAnsi="Arial" w:cs="Arial"/>
          <w:b/>
          <w:bCs/>
        </w:rPr>
      </w:pPr>
    </w:p>
    <w:p w14:paraId="57C95983" w14:textId="77777777" w:rsidR="004E65DF" w:rsidRPr="005C1D96" w:rsidRDefault="004E65DF" w:rsidP="005C1D96">
      <w:pPr>
        <w:spacing w:line="360" w:lineRule="auto"/>
        <w:jc w:val="both"/>
        <w:rPr>
          <w:rFonts w:ascii="Arial" w:hAnsi="Arial" w:cs="Arial"/>
          <w:b/>
          <w:bCs/>
        </w:rPr>
      </w:pPr>
    </w:p>
    <w:p w14:paraId="47366CBF" w14:textId="77777777" w:rsidR="004E65DF" w:rsidRPr="005C1D96" w:rsidRDefault="004E65DF" w:rsidP="005C1D96">
      <w:pPr>
        <w:spacing w:line="360" w:lineRule="auto"/>
        <w:jc w:val="both"/>
        <w:rPr>
          <w:rFonts w:ascii="Arial" w:hAnsi="Arial" w:cs="Arial"/>
          <w:b/>
          <w:bCs/>
        </w:rPr>
      </w:pPr>
    </w:p>
    <w:p w14:paraId="4EC6AA65" w14:textId="77777777" w:rsidR="004E65DF" w:rsidRPr="005C1D96" w:rsidRDefault="004E65DF" w:rsidP="005C1D96">
      <w:pPr>
        <w:spacing w:line="360" w:lineRule="auto"/>
        <w:jc w:val="both"/>
        <w:rPr>
          <w:rFonts w:ascii="Arial" w:hAnsi="Arial" w:cs="Arial"/>
          <w:b/>
          <w:bCs/>
        </w:rPr>
      </w:pPr>
    </w:p>
    <w:p w14:paraId="76CF7D79" w14:textId="77777777" w:rsidR="004E65DF" w:rsidRPr="005C1D96" w:rsidRDefault="004E65DF" w:rsidP="005C1D96">
      <w:pPr>
        <w:spacing w:line="360" w:lineRule="auto"/>
        <w:jc w:val="both"/>
        <w:rPr>
          <w:rFonts w:ascii="Arial" w:hAnsi="Arial" w:cs="Arial"/>
          <w:b/>
          <w:bCs/>
        </w:rPr>
      </w:pPr>
    </w:p>
    <w:p w14:paraId="4D8F8D70" w14:textId="77777777" w:rsidR="004E65DF" w:rsidRPr="005C1D96" w:rsidRDefault="004E65DF" w:rsidP="005C1D96">
      <w:pPr>
        <w:spacing w:line="360" w:lineRule="auto"/>
        <w:jc w:val="both"/>
        <w:rPr>
          <w:rFonts w:ascii="Arial" w:hAnsi="Arial" w:cs="Arial"/>
          <w:b/>
          <w:bCs/>
        </w:rPr>
      </w:pPr>
    </w:p>
    <w:p w14:paraId="6E60BFFB" w14:textId="77777777" w:rsidR="004E65DF" w:rsidRPr="00D260C7" w:rsidRDefault="004E65DF" w:rsidP="005C1D96">
      <w:pPr>
        <w:spacing w:line="360" w:lineRule="auto"/>
        <w:jc w:val="both"/>
        <w:rPr>
          <w:rFonts w:ascii="Arial" w:hAnsi="Arial" w:cs="Arial"/>
          <w:b/>
          <w:bCs/>
        </w:rPr>
      </w:pPr>
    </w:p>
    <w:p w14:paraId="0C904831" w14:textId="3D72AC76" w:rsidR="00D260C7" w:rsidRPr="005C1D96" w:rsidRDefault="00D260C7" w:rsidP="005C1D96">
      <w:pPr>
        <w:spacing w:line="360" w:lineRule="auto"/>
        <w:jc w:val="center"/>
        <w:rPr>
          <w:rFonts w:ascii="Arial" w:hAnsi="Arial" w:cs="Arial"/>
          <w:b/>
          <w:bCs/>
        </w:rPr>
      </w:pPr>
      <w:r w:rsidRPr="00D260C7">
        <w:rPr>
          <w:rFonts w:ascii="Arial" w:hAnsi="Arial" w:cs="Arial"/>
          <w:b/>
          <w:bCs/>
        </w:rPr>
        <w:t>I acknowledge using the Grammarly App on 2</w:t>
      </w:r>
      <w:r w:rsidR="00201FC2" w:rsidRPr="005C1D96">
        <w:rPr>
          <w:rFonts w:ascii="Arial" w:hAnsi="Arial" w:cs="Arial"/>
          <w:b/>
          <w:bCs/>
        </w:rPr>
        <w:t>2</w:t>
      </w:r>
      <w:r w:rsidRPr="00D260C7">
        <w:rPr>
          <w:rFonts w:ascii="Arial" w:hAnsi="Arial" w:cs="Arial"/>
          <w:b/>
          <w:bCs/>
        </w:rPr>
        <w:t xml:space="preserve">.02.2025 to check my </w:t>
      </w:r>
      <w:r w:rsidR="00DB2EA0" w:rsidRPr="005C1D96">
        <w:rPr>
          <w:rFonts w:ascii="Arial" w:hAnsi="Arial" w:cs="Arial"/>
          <w:b/>
          <w:bCs/>
        </w:rPr>
        <w:t>assessment</w:t>
      </w:r>
      <w:r w:rsidR="00201FC2" w:rsidRPr="005C1D96">
        <w:rPr>
          <w:rFonts w:ascii="Arial" w:hAnsi="Arial" w:cs="Arial"/>
          <w:b/>
          <w:bCs/>
        </w:rPr>
        <w:t xml:space="preserve"> </w:t>
      </w:r>
      <w:r w:rsidRPr="00D260C7">
        <w:rPr>
          <w:rFonts w:ascii="Arial" w:hAnsi="Arial" w:cs="Arial"/>
          <w:b/>
          <w:bCs/>
        </w:rPr>
        <w:t xml:space="preserve">document for grammatical and syntactical </w:t>
      </w:r>
      <w:r w:rsidR="00E30DDC" w:rsidRPr="005C1D96">
        <w:rPr>
          <w:rFonts w:ascii="Arial" w:hAnsi="Arial" w:cs="Arial"/>
          <w:b/>
          <w:bCs/>
        </w:rPr>
        <w:t>errors</w:t>
      </w:r>
      <w:r w:rsidR="001A3166" w:rsidRPr="005C1D96">
        <w:rPr>
          <w:rFonts w:ascii="Arial" w:hAnsi="Arial" w:cs="Arial"/>
          <w:b/>
          <w:bCs/>
        </w:rPr>
        <w:t>.</w:t>
      </w:r>
    </w:p>
    <w:p w14:paraId="52A82039" w14:textId="77777777" w:rsidR="00E30DDC" w:rsidRPr="005C1D96" w:rsidRDefault="00E30DDC" w:rsidP="005C1D96">
      <w:pPr>
        <w:spacing w:line="360" w:lineRule="auto"/>
        <w:jc w:val="both"/>
        <w:rPr>
          <w:rFonts w:ascii="Arial" w:hAnsi="Arial" w:cs="Arial"/>
          <w:b/>
          <w:bCs/>
        </w:rPr>
      </w:pPr>
    </w:p>
    <w:p w14:paraId="6B605AE1" w14:textId="77777777" w:rsidR="00E30DDC" w:rsidRPr="005C1D96" w:rsidRDefault="00E30DDC" w:rsidP="005C1D96">
      <w:pPr>
        <w:spacing w:line="360" w:lineRule="auto"/>
        <w:jc w:val="both"/>
        <w:rPr>
          <w:rFonts w:ascii="Arial" w:hAnsi="Arial" w:cs="Arial"/>
          <w:b/>
          <w:bCs/>
        </w:rPr>
      </w:pPr>
    </w:p>
    <w:p w14:paraId="01D38FA5" w14:textId="77777777" w:rsidR="00E30DDC" w:rsidRPr="005C1D96" w:rsidRDefault="00E30DDC" w:rsidP="005C1D96">
      <w:pPr>
        <w:spacing w:line="360" w:lineRule="auto"/>
        <w:jc w:val="both"/>
        <w:rPr>
          <w:rFonts w:ascii="Arial" w:hAnsi="Arial" w:cs="Arial"/>
          <w:b/>
          <w:bCs/>
        </w:rPr>
      </w:pPr>
    </w:p>
    <w:p w14:paraId="5BF99B9F" w14:textId="77777777" w:rsidR="00E30DDC" w:rsidRPr="005C1D96" w:rsidRDefault="00E30DDC" w:rsidP="005C1D96">
      <w:pPr>
        <w:spacing w:line="360" w:lineRule="auto"/>
        <w:jc w:val="both"/>
        <w:rPr>
          <w:rFonts w:ascii="Arial" w:hAnsi="Arial" w:cs="Arial"/>
          <w:b/>
          <w:bCs/>
        </w:rPr>
      </w:pPr>
    </w:p>
    <w:p w14:paraId="686D4D29" w14:textId="77777777" w:rsidR="004E65DF" w:rsidRPr="005C1D96" w:rsidRDefault="004E65DF" w:rsidP="005C1D96">
      <w:pPr>
        <w:spacing w:line="360" w:lineRule="auto"/>
        <w:jc w:val="both"/>
        <w:rPr>
          <w:rFonts w:ascii="Arial" w:hAnsi="Arial" w:cs="Arial"/>
          <w:b/>
          <w:bCs/>
        </w:rPr>
      </w:pPr>
    </w:p>
    <w:p w14:paraId="626241BB" w14:textId="77777777" w:rsidR="00E30DDC" w:rsidRPr="00D260C7" w:rsidRDefault="00E30DDC" w:rsidP="005C1D96">
      <w:pPr>
        <w:spacing w:line="360" w:lineRule="auto"/>
        <w:jc w:val="both"/>
        <w:rPr>
          <w:rFonts w:ascii="Arial" w:hAnsi="Arial" w:cs="Arial"/>
          <w:b/>
          <w:bCs/>
        </w:rPr>
      </w:pPr>
    </w:p>
    <w:p w14:paraId="6ADC9E5C" w14:textId="0683D2C0" w:rsidR="004E65DF" w:rsidRPr="005C1D96" w:rsidRDefault="004E65DF" w:rsidP="005C1D96">
      <w:pPr>
        <w:spacing w:line="360" w:lineRule="auto"/>
        <w:jc w:val="center"/>
        <w:rPr>
          <w:rFonts w:ascii="Arial" w:hAnsi="Arial" w:cs="Arial"/>
          <w:b/>
          <w:bCs/>
        </w:rPr>
      </w:pPr>
      <w:r w:rsidRPr="005C1D96">
        <w:rPr>
          <w:rFonts w:ascii="Arial" w:hAnsi="Arial" w:cs="Arial"/>
          <w:b/>
          <w:bCs/>
        </w:rPr>
        <w:br w:type="page"/>
      </w:r>
      <w:r w:rsidRPr="005C1D96">
        <w:rPr>
          <w:rFonts w:ascii="Arial" w:hAnsi="Arial" w:cs="Arial"/>
          <w:b/>
          <w:bCs/>
        </w:rPr>
        <w:lastRenderedPageBreak/>
        <w:t>Executive summary</w:t>
      </w:r>
    </w:p>
    <w:p w14:paraId="02BBA79E" w14:textId="446FCF56" w:rsidR="00FC75A6" w:rsidRPr="005C1D96" w:rsidRDefault="00FC75A6" w:rsidP="005C1D96">
      <w:pPr>
        <w:spacing w:line="360" w:lineRule="auto"/>
        <w:jc w:val="both"/>
        <w:rPr>
          <w:rFonts w:ascii="Arial" w:hAnsi="Arial" w:cs="Arial"/>
        </w:rPr>
      </w:pPr>
      <w:r w:rsidRPr="005C1D96">
        <w:rPr>
          <w:rFonts w:ascii="Arial" w:hAnsi="Arial" w:cs="Arial"/>
        </w:rPr>
        <w:t xml:space="preserve">The "Celebrating Parenthood in Hospitality" Festival is an industry-first initiative </w:t>
      </w:r>
      <w:r w:rsidR="005C1D96" w:rsidRPr="005C1D96">
        <w:rPr>
          <w:rFonts w:ascii="Arial" w:hAnsi="Arial" w:cs="Arial"/>
        </w:rPr>
        <w:t>to promote</w:t>
      </w:r>
      <w:r w:rsidRPr="005C1D96">
        <w:rPr>
          <w:rFonts w:ascii="Arial" w:hAnsi="Arial" w:cs="Arial"/>
        </w:rPr>
        <w:t xml:space="preserve"> work-life balance and inclusivity in the hospitality sector. Hosted at </w:t>
      </w:r>
      <w:proofErr w:type="spellStart"/>
      <w:r w:rsidRPr="005C1D96">
        <w:rPr>
          <w:rFonts w:ascii="Arial" w:hAnsi="Arial" w:cs="Arial"/>
        </w:rPr>
        <w:t>ExCeL</w:t>
      </w:r>
      <w:proofErr w:type="spellEnd"/>
      <w:r w:rsidRPr="005C1D96">
        <w:rPr>
          <w:rFonts w:ascii="Arial" w:hAnsi="Arial" w:cs="Arial"/>
        </w:rPr>
        <w:t xml:space="preserve"> London, the event provides a structured platform for industry discussions, networking opportunities, and family-friendly engagement, addressing the challenges faced by working parents in this demanding field. The Event Cycle framework and EMBOK model guide the event’s planning, execution, and post-event evaluation, ensuring a strategic and efficient approach.</w:t>
      </w:r>
    </w:p>
    <w:p w14:paraId="741A05CD" w14:textId="77777777" w:rsidR="00FC75A6" w:rsidRPr="00FC75A6" w:rsidRDefault="00FC75A6" w:rsidP="005C1D96">
      <w:pPr>
        <w:spacing w:line="360" w:lineRule="auto"/>
        <w:jc w:val="both"/>
        <w:rPr>
          <w:rFonts w:ascii="Arial" w:hAnsi="Arial" w:cs="Arial"/>
          <w:b/>
          <w:bCs/>
        </w:rPr>
      </w:pPr>
      <w:r w:rsidRPr="00FC75A6">
        <w:rPr>
          <w:rFonts w:ascii="Arial" w:hAnsi="Arial" w:cs="Arial"/>
          <w:b/>
          <w:bCs/>
        </w:rPr>
        <w:t>Key Focus Areas</w:t>
      </w:r>
    </w:p>
    <w:p w14:paraId="255D8C87" w14:textId="77777777" w:rsidR="00FC75A6" w:rsidRPr="00FC75A6" w:rsidRDefault="00FC75A6" w:rsidP="005C1D96">
      <w:pPr>
        <w:numPr>
          <w:ilvl w:val="0"/>
          <w:numId w:val="21"/>
        </w:numPr>
        <w:spacing w:line="360" w:lineRule="auto"/>
        <w:jc w:val="both"/>
        <w:rPr>
          <w:rFonts w:ascii="Arial" w:hAnsi="Arial" w:cs="Arial"/>
          <w:b/>
          <w:bCs/>
        </w:rPr>
      </w:pPr>
      <w:r w:rsidRPr="00FC75A6">
        <w:rPr>
          <w:rFonts w:ascii="Arial" w:hAnsi="Arial" w:cs="Arial"/>
          <w:b/>
          <w:bCs/>
        </w:rPr>
        <w:t>Event Planning &amp; Execution</w:t>
      </w:r>
    </w:p>
    <w:p w14:paraId="10E4D59C"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 xml:space="preserve">Hosted at </w:t>
      </w:r>
      <w:proofErr w:type="spellStart"/>
      <w:r w:rsidRPr="00FC75A6">
        <w:rPr>
          <w:rFonts w:ascii="Arial" w:hAnsi="Arial" w:cs="Arial"/>
        </w:rPr>
        <w:t>ExCeL</w:t>
      </w:r>
      <w:proofErr w:type="spellEnd"/>
      <w:r w:rsidRPr="00FC75A6">
        <w:rPr>
          <w:rFonts w:ascii="Arial" w:hAnsi="Arial" w:cs="Arial"/>
        </w:rPr>
        <w:t xml:space="preserve"> London, a family-friendly, sustainable venue.</w:t>
      </w:r>
    </w:p>
    <w:p w14:paraId="35E38ED9"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Aligned with Event Cycle and EMBOK for operational efficiency.</w:t>
      </w:r>
    </w:p>
    <w:p w14:paraId="75EBF81D" w14:textId="77777777" w:rsidR="00FC75A6" w:rsidRPr="00FC75A6" w:rsidRDefault="00FC75A6" w:rsidP="005C1D96">
      <w:pPr>
        <w:numPr>
          <w:ilvl w:val="0"/>
          <w:numId w:val="21"/>
        </w:numPr>
        <w:spacing w:line="360" w:lineRule="auto"/>
        <w:jc w:val="both"/>
        <w:rPr>
          <w:rFonts w:ascii="Arial" w:hAnsi="Arial" w:cs="Arial"/>
          <w:b/>
          <w:bCs/>
        </w:rPr>
      </w:pPr>
      <w:r w:rsidRPr="00FC75A6">
        <w:rPr>
          <w:rFonts w:ascii="Arial" w:hAnsi="Arial" w:cs="Arial"/>
          <w:b/>
          <w:bCs/>
        </w:rPr>
        <w:t>Financial Sustainability</w:t>
      </w:r>
    </w:p>
    <w:p w14:paraId="789A7634"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£100,000 budget, with revenue from:</w:t>
      </w:r>
    </w:p>
    <w:p w14:paraId="58B5AAE4" w14:textId="77777777" w:rsidR="00FC75A6" w:rsidRPr="00FC75A6" w:rsidRDefault="00FC75A6" w:rsidP="005C1D96">
      <w:pPr>
        <w:numPr>
          <w:ilvl w:val="2"/>
          <w:numId w:val="21"/>
        </w:numPr>
        <w:tabs>
          <w:tab w:val="num" w:pos="2160"/>
        </w:tabs>
        <w:spacing w:line="360" w:lineRule="auto"/>
        <w:jc w:val="both"/>
        <w:rPr>
          <w:rFonts w:ascii="Arial" w:hAnsi="Arial" w:cs="Arial"/>
        </w:rPr>
      </w:pPr>
      <w:r w:rsidRPr="00FC75A6">
        <w:rPr>
          <w:rFonts w:ascii="Arial" w:hAnsi="Arial" w:cs="Arial"/>
        </w:rPr>
        <w:t>Sponsorships (£66,000)</w:t>
      </w:r>
    </w:p>
    <w:p w14:paraId="4C69CC5C" w14:textId="77777777" w:rsidR="00FC75A6" w:rsidRPr="00FC75A6" w:rsidRDefault="00FC75A6" w:rsidP="005C1D96">
      <w:pPr>
        <w:numPr>
          <w:ilvl w:val="2"/>
          <w:numId w:val="21"/>
        </w:numPr>
        <w:tabs>
          <w:tab w:val="num" w:pos="2160"/>
        </w:tabs>
        <w:spacing w:line="360" w:lineRule="auto"/>
        <w:jc w:val="both"/>
        <w:rPr>
          <w:rFonts w:ascii="Arial" w:hAnsi="Arial" w:cs="Arial"/>
        </w:rPr>
      </w:pPr>
      <w:r w:rsidRPr="00FC75A6">
        <w:rPr>
          <w:rFonts w:ascii="Arial" w:hAnsi="Arial" w:cs="Arial"/>
        </w:rPr>
        <w:t>Ticket sales (£96,000)</w:t>
      </w:r>
    </w:p>
    <w:p w14:paraId="11D1D5F8" w14:textId="77777777" w:rsidR="00FC75A6" w:rsidRPr="00FC75A6" w:rsidRDefault="00FC75A6" w:rsidP="005C1D96">
      <w:pPr>
        <w:numPr>
          <w:ilvl w:val="2"/>
          <w:numId w:val="21"/>
        </w:numPr>
        <w:tabs>
          <w:tab w:val="num" w:pos="2160"/>
        </w:tabs>
        <w:spacing w:line="360" w:lineRule="auto"/>
        <w:jc w:val="both"/>
        <w:rPr>
          <w:rFonts w:ascii="Arial" w:hAnsi="Arial" w:cs="Arial"/>
        </w:rPr>
      </w:pPr>
      <w:r w:rsidRPr="00FC75A6">
        <w:rPr>
          <w:rFonts w:ascii="Arial" w:hAnsi="Arial" w:cs="Arial"/>
        </w:rPr>
        <w:t>Merchandise &amp; grants (£12,000)</w:t>
      </w:r>
    </w:p>
    <w:p w14:paraId="3A0A37D4"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Projected profit of £74,000, ensuring financial viability.</w:t>
      </w:r>
    </w:p>
    <w:p w14:paraId="350C845A" w14:textId="77777777" w:rsidR="00FC75A6" w:rsidRPr="00FC75A6" w:rsidRDefault="00FC75A6" w:rsidP="005C1D96">
      <w:pPr>
        <w:numPr>
          <w:ilvl w:val="0"/>
          <w:numId w:val="21"/>
        </w:numPr>
        <w:spacing w:line="360" w:lineRule="auto"/>
        <w:jc w:val="both"/>
        <w:rPr>
          <w:rFonts w:ascii="Arial" w:hAnsi="Arial" w:cs="Arial"/>
          <w:b/>
          <w:bCs/>
        </w:rPr>
      </w:pPr>
      <w:r w:rsidRPr="00FC75A6">
        <w:rPr>
          <w:rFonts w:ascii="Arial" w:hAnsi="Arial" w:cs="Arial"/>
          <w:b/>
          <w:bCs/>
        </w:rPr>
        <w:t>Industry Trends &amp; Inclusivity</w:t>
      </w:r>
    </w:p>
    <w:p w14:paraId="3C3E3D59" w14:textId="168B91EA" w:rsidR="00FC75A6" w:rsidRPr="00FC75A6" w:rsidRDefault="001A3166" w:rsidP="005C1D96">
      <w:pPr>
        <w:spacing w:line="360" w:lineRule="auto"/>
        <w:ind w:left="1440"/>
        <w:jc w:val="both"/>
        <w:rPr>
          <w:rFonts w:ascii="Arial" w:hAnsi="Arial" w:cs="Arial"/>
        </w:rPr>
      </w:pPr>
      <w:r w:rsidRPr="005C1D96">
        <w:rPr>
          <w:rFonts w:ascii="Arial" w:hAnsi="Arial" w:cs="Arial"/>
        </w:rPr>
        <w:t xml:space="preserve">:: </w:t>
      </w:r>
      <w:r w:rsidR="00FC75A6" w:rsidRPr="00FC75A6">
        <w:rPr>
          <w:rFonts w:ascii="Arial" w:hAnsi="Arial" w:cs="Arial"/>
        </w:rPr>
        <w:t>Hybrid event options to expand accessibility.</w:t>
      </w:r>
    </w:p>
    <w:p w14:paraId="3AC45234"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Sustainable event management with eco-friendly practices.</w:t>
      </w:r>
    </w:p>
    <w:p w14:paraId="18926AB0" w14:textId="77777777" w:rsidR="00FC75A6" w:rsidRPr="00FC75A6" w:rsidRDefault="00FC75A6" w:rsidP="005C1D96">
      <w:pPr>
        <w:numPr>
          <w:ilvl w:val="1"/>
          <w:numId w:val="21"/>
        </w:numPr>
        <w:tabs>
          <w:tab w:val="num" w:pos="1440"/>
        </w:tabs>
        <w:spacing w:line="360" w:lineRule="auto"/>
        <w:jc w:val="both"/>
        <w:rPr>
          <w:rFonts w:ascii="Arial" w:hAnsi="Arial" w:cs="Arial"/>
        </w:rPr>
      </w:pPr>
      <w:r w:rsidRPr="00FC75A6">
        <w:rPr>
          <w:rFonts w:ascii="Arial" w:hAnsi="Arial" w:cs="Arial"/>
        </w:rPr>
        <w:t>Diverse speakers, childcare zones, and inclusive catering.</w:t>
      </w:r>
    </w:p>
    <w:p w14:paraId="44139497" w14:textId="734F126A" w:rsidR="00FC75A6" w:rsidRPr="00FC75A6" w:rsidRDefault="00FC75A6" w:rsidP="005C1D96">
      <w:pPr>
        <w:spacing w:line="360" w:lineRule="auto"/>
        <w:jc w:val="both"/>
        <w:rPr>
          <w:rFonts w:ascii="Arial" w:hAnsi="Arial" w:cs="Arial"/>
          <w:b/>
          <w:bCs/>
        </w:rPr>
      </w:pPr>
      <w:r w:rsidRPr="00FC75A6">
        <w:rPr>
          <w:rFonts w:ascii="Arial" w:hAnsi="Arial" w:cs="Arial"/>
        </w:rPr>
        <w:t>The festival fosters industry-wide advocacy for inclusive workplaces, combining innovative</w:t>
      </w:r>
      <w:r w:rsidRPr="00FC75A6">
        <w:rPr>
          <w:rFonts w:ascii="Arial" w:hAnsi="Arial" w:cs="Arial"/>
          <w:b/>
          <w:bCs/>
        </w:rPr>
        <w:t xml:space="preserve"> </w:t>
      </w:r>
      <w:r w:rsidRPr="00FC75A6">
        <w:rPr>
          <w:rFonts w:ascii="Arial" w:hAnsi="Arial" w:cs="Arial"/>
        </w:rPr>
        <w:t>event management, strategic planning, and stakeholder engagement. By reinforcing work-life balance as a priority, the event sets a new standard for hospitality events and encourages meaningful</w:t>
      </w:r>
      <w:r w:rsidR="001A3166" w:rsidRPr="005C1D96">
        <w:rPr>
          <w:rFonts w:ascii="Arial" w:hAnsi="Arial" w:cs="Arial"/>
        </w:rPr>
        <w:t>.</w:t>
      </w:r>
    </w:p>
    <w:p w14:paraId="173DA2C1" w14:textId="3E38369A" w:rsidR="004E65DF" w:rsidRPr="005C1D96" w:rsidRDefault="004E65DF" w:rsidP="005C1D96">
      <w:pPr>
        <w:spacing w:line="360" w:lineRule="auto"/>
        <w:jc w:val="both"/>
        <w:rPr>
          <w:rFonts w:ascii="Arial" w:hAnsi="Arial" w:cs="Arial"/>
          <w:b/>
          <w:bCs/>
        </w:rPr>
      </w:pPr>
    </w:p>
    <w:p w14:paraId="0BC151A6" w14:textId="77777777" w:rsidR="00FC75A6" w:rsidRPr="005C1D96" w:rsidRDefault="00FC75A6" w:rsidP="005C1D96">
      <w:pPr>
        <w:spacing w:line="360" w:lineRule="auto"/>
        <w:jc w:val="both"/>
        <w:rPr>
          <w:rFonts w:ascii="Arial" w:hAnsi="Arial" w:cs="Arial"/>
          <w:b/>
          <w:bCs/>
        </w:rPr>
      </w:pPr>
    </w:p>
    <w:p w14:paraId="625352C8" w14:textId="47F39EB3" w:rsidR="00F9145F" w:rsidRPr="005C1D96" w:rsidRDefault="004E65DF" w:rsidP="005C1D96">
      <w:pPr>
        <w:spacing w:line="360" w:lineRule="auto"/>
        <w:jc w:val="center"/>
        <w:rPr>
          <w:rFonts w:ascii="Arial" w:hAnsi="Arial" w:cs="Arial"/>
          <w:b/>
          <w:bCs/>
        </w:rPr>
      </w:pPr>
      <w:r w:rsidRPr="005C1D96">
        <w:rPr>
          <w:rFonts w:ascii="Arial" w:hAnsi="Arial" w:cs="Arial"/>
          <w:b/>
          <w:bCs/>
        </w:rPr>
        <w:lastRenderedPageBreak/>
        <w:t>Table Contents</w:t>
      </w:r>
    </w:p>
    <w:p w14:paraId="319BB7FF"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Executive Summary</w:t>
      </w:r>
    </w:p>
    <w:p w14:paraId="3DEE7659"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Introduction</w:t>
      </w:r>
    </w:p>
    <w:p w14:paraId="003EFD77"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The Event Cycle</w:t>
      </w:r>
    </w:p>
    <w:p w14:paraId="6A0E8490"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The EMBOK Model and Application</w:t>
      </w:r>
    </w:p>
    <w:p w14:paraId="310C4D23"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Event Concept</w:t>
      </w:r>
    </w:p>
    <w:p w14:paraId="640BD129"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Aim and Objectives</w:t>
      </w:r>
    </w:p>
    <w:p w14:paraId="7199299D"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Event Management</w:t>
      </w:r>
    </w:p>
    <w:p w14:paraId="240DC806"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Event Budget</w:t>
      </w:r>
    </w:p>
    <w:p w14:paraId="7EED33B2"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Industry Trends, Issues, and Impacts</w:t>
      </w:r>
    </w:p>
    <w:p w14:paraId="7B433C24"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Situational and Cultural Considerations</w:t>
      </w:r>
    </w:p>
    <w:p w14:paraId="2FD0EC4A"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Conclusion</w:t>
      </w:r>
    </w:p>
    <w:p w14:paraId="7D058E4C"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References</w:t>
      </w:r>
    </w:p>
    <w:p w14:paraId="5930FB62" w14:textId="77777777" w:rsidR="00F9145F" w:rsidRPr="00F9145F" w:rsidRDefault="00F9145F" w:rsidP="005C1D96">
      <w:pPr>
        <w:numPr>
          <w:ilvl w:val="0"/>
          <w:numId w:val="20"/>
        </w:numPr>
        <w:spacing w:line="360" w:lineRule="auto"/>
        <w:jc w:val="both"/>
        <w:rPr>
          <w:rFonts w:ascii="Arial" w:hAnsi="Arial" w:cs="Arial"/>
        </w:rPr>
      </w:pPr>
      <w:r w:rsidRPr="00F9145F">
        <w:rPr>
          <w:rFonts w:ascii="Arial" w:hAnsi="Arial" w:cs="Arial"/>
        </w:rPr>
        <w:t>Appendices</w:t>
      </w:r>
    </w:p>
    <w:p w14:paraId="4728CF85" w14:textId="77777777" w:rsidR="00F9145F" w:rsidRPr="00F9145F" w:rsidRDefault="00F9145F" w:rsidP="005C1D96">
      <w:pPr>
        <w:numPr>
          <w:ilvl w:val="1"/>
          <w:numId w:val="20"/>
        </w:numPr>
        <w:tabs>
          <w:tab w:val="num" w:pos="1440"/>
        </w:tabs>
        <w:spacing w:line="360" w:lineRule="auto"/>
        <w:jc w:val="both"/>
        <w:rPr>
          <w:rFonts w:ascii="Arial" w:hAnsi="Arial" w:cs="Arial"/>
        </w:rPr>
      </w:pPr>
      <w:r w:rsidRPr="00F9145F">
        <w:rPr>
          <w:rFonts w:ascii="Arial" w:hAnsi="Arial" w:cs="Arial"/>
        </w:rPr>
        <w:t>Appendix A: Full EMBOK Model Application</w:t>
      </w:r>
    </w:p>
    <w:p w14:paraId="03ADF0E5" w14:textId="77777777" w:rsidR="00F9145F" w:rsidRPr="00F9145F" w:rsidRDefault="00F9145F" w:rsidP="005C1D96">
      <w:pPr>
        <w:numPr>
          <w:ilvl w:val="1"/>
          <w:numId w:val="20"/>
        </w:numPr>
        <w:tabs>
          <w:tab w:val="num" w:pos="1440"/>
        </w:tabs>
        <w:spacing w:line="360" w:lineRule="auto"/>
        <w:jc w:val="both"/>
        <w:rPr>
          <w:rFonts w:ascii="Arial" w:hAnsi="Arial" w:cs="Arial"/>
        </w:rPr>
      </w:pPr>
      <w:r w:rsidRPr="00F9145F">
        <w:rPr>
          <w:rFonts w:ascii="Arial" w:hAnsi="Arial" w:cs="Arial"/>
        </w:rPr>
        <w:t>Appendix B: SOAR Analysis</w:t>
      </w:r>
    </w:p>
    <w:p w14:paraId="6B862A50" w14:textId="42FF30EC" w:rsidR="004E65DF" w:rsidRPr="005C1D96" w:rsidRDefault="004E65DF" w:rsidP="005C1D96">
      <w:pPr>
        <w:spacing w:line="360" w:lineRule="auto"/>
        <w:jc w:val="both"/>
        <w:rPr>
          <w:rFonts w:ascii="Arial" w:hAnsi="Arial" w:cs="Arial"/>
          <w:b/>
          <w:bCs/>
        </w:rPr>
      </w:pPr>
    </w:p>
    <w:p w14:paraId="69195280" w14:textId="77777777" w:rsidR="00F9145F" w:rsidRPr="005C1D96" w:rsidRDefault="00F9145F" w:rsidP="005C1D96">
      <w:pPr>
        <w:spacing w:line="360" w:lineRule="auto"/>
        <w:jc w:val="both"/>
        <w:rPr>
          <w:rFonts w:ascii="Arial" w:hAnsi="Arial" w:cs="Arial"/>
          <w:b/>
          <w:bCs/>
        </w:rPr>
      </w:pPr>
    </w:p>
    <w:p w14:paraId="1F6E7634" w14:textId="77777777" w:rsidR="00F9145F" w:rsidRPr="005C1D96" w:rsidRDefault="00F9145F" w:rsidP="005C1D96">
      <w:pPr>
        <w:spacing w:line="360" w:lineRule="auto"/>
        <w:jc w:val="both"/>
        <w:rPr>
          <w:rFonts w:ascii="Arial" w:hAnsi="Arial" w:cs="Arial"/>
          <w:b/>
          <w:bCs/>
        </w:rPr>
      </w:pPr>
    </w:p>
    <w:p w14:paraId="4632591B" w14:textId="77777777" w:rsidR="00F9145F" w:rsidRPr="005C1D96" w:rsidRDefault="00F9145F" w:rsidP="005C1D96">
      <w:pPr>
        <w:spacing w:line="360" w:lineRule="auto"/>
        <w:jc w:val="both"/>
        <w:rPr>
          <w:rFonts w:ascii="Arial" w:hAnsi="Arial" w:cs="Arial"/>
          <w:b/>
          <w:bCs/>
        </w:rPr>
      </w:pPr>
    </w:p>
    <w:p w14:paraId="23C5B57E" w14:textId="77777777" w:rsidR="00F9145F" w:rsidRPr="005C1D96" w:rsidRDefault="00F9145F" w:rsidP="005C1D96">
      <w:pPr>
        <w:spacing w:line="360" w:lineRule="auto"/>
        <w:jc w:val="both"/>
        <w:rPr>
          <w:rFonts w:ascii="Arial" w:hAnsi="Arial" w:cs="Arial"/>
          <w:b/>
          <w:bCs/>
        </w:rPr>
      </w:pPr>
    </w:p>
    <w:p w14:paraId="430A278D" w14:textId="77777777" w:rsidR="00F9145F" w:rsidRPr="005C1D96" w:rsidRDefault="00F9145F" w:rsidP="005C1D96">
      <w:pPr>
        <w:spacing w:line="360" w:lineRule="auto"/>
        <w:jc w:val="both"/>
        <w:rPr>
          <w:rFonts w:ascii="Arial" w:hAnsi="Arial" w:cs="Arial"/>
          <w:b/>
          <w:bCs/>
        </w:rPr>
      </w:pPr>
    </w:p>
    <w:p w14:paraId="3E726E35" w14:textId="77777777" w:rsidR="00F9145F" w:rsidRPr="005C1D96" w:rsidRDefault="00F9145F" w:rsidP="005C1D96">
      <w:pPr>
        <w:spacing w:line="360" w:lineRule="auto"/>
        <w:jc w:val="both"/>
        <w:rPr>
          <w:rFonts w:ascii="Arial" w:hAnsi="Arial" w:cs="Arial"/>
          <w:b/>
          <w:bCs/>
        </w:rPr>
      </w:pPr>
    </w:p>
    <w:p w14:paraId="025A4AEB" w14:textId="77777777" w:rsidR="00F9145F" w:rsidRPr="005C1D96" w:rsidRDefault="00F9145F" w:rsidP="005C1D96">
      <w:pPr>
        <w:spacing w:line="360" w:lineRule="auto"/>
        <w:jc w:val="both"/>
        <w:rPr>
          <w:rFonts w:ascii="Arial" w:hAnsi="Arial" w:cs="Arial"/>
          <w:b/>
          <w:bCs/>
        </w:rPr>
      </w:pPr>
    </w:p>
    <w:p w14:paraId="77633487" w14:textId="0AE0C22F" w:rsidR="00B1614F" w:rsidRPr="005C1D96" w:rsidRDefault="00B1614F" w:rsidP="005C1D96">
      <w:pPr>
        <w:spacing w:line="360" w:lineRule="auto"/>
        <w:jc w:val="center"/>
        <w:rPr>
          <w:rFonts w:ascii="Arial" w:hAnsi="Arial" w:cs="Arial"/>
          <w:b/>
          <w:bCs/>
        </w:rPr>
      </w:pPr>
      <w:r w:rsidRPr="005C1D96">
        <w:rPr>
          <w:rFonts w:ascii="Arial" w:hAnsi="Arial" w:cs="Arial"/>
          <w:b/>
          <w:bCs/>
        </w:rPr>
        <w:lastRenderedPageBreak/>
        <w:t>Introduction</w:t>
      </w:r>
    </w:p>
    <w:p w14:paraId="674F2754" w14:textId="1071E4B2" w:rsidR="00C84496" w:rsidRPr="005C1D96" w:rsidRDefault="009276E6" w:rsidP="005C1D96">
      <w:pPr>
        <w:spacing w:line="360" w:lineRule="auto"/>
        <w:jc w:val="both"/>
        <w:rPr>
          <w:rFonts w:ascii="Arial" w:hAnsi="Arial" w:cs="Arial"/>
        </w:rPr>
      </w:pPr>
      <w:r w:rsidRPr="005C1D96">
        <w:rPr>
          <w:rFonts w:ascii="Arial" w:hAnsi="Arial" w:cs="Arial"/>
          <w:noProof/>
        </w:rPr>
        <w:drawing>
          <wp:inline distT="0" distB="0" distL="0" distR="0" wp14:anchorId="3DECBB35" wp14:editId="0A36C41D">
            <wp:extent cx="5943600" cy="3971290"/>
            <wp:effectExtent l="114300" t="114300" r="114300" b="105410"/>
            <wp:docPr id="1308226114" name="Picture 1" descr="How Having Children Changed How These Hospitality Moms Run Their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Having Children Changed How These Hospitality Moms Run Their Busines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71290"/>
                    </a:xfrm>
                    <a:prstGeom prst="rect">
                      <a:avLst/>
                    </a:prstGeom>
                    <a:noFill/>
                    <a:ln>
                      <a:noFill/>
                    </a:ln>
                    <a:effectLst>
                      <a:outerShdw blurRad="63500" sx="102000" sy="102000" algn="ctr" rotWithShape="0">
                        <a:prstClr val="black">
                          <a:alpha val="40000"/>
                        </a:prstClr>
                      </a:outerShdw>
                    </a:effectLst>
                  </pic:spPr>
                </pic:pic>
              </a:graphicData>
            </a:graphic>
          </wp:inline>
        </w:drawing>
      </w:r>
      <w:r w:rsidR="00C84496" w:rsidRPr="005C1D96">
        <w:rPr>
          <w:rFonts w:ascii="Arial" w:hAnsi="Arial" w:cs="Arial"/>
        </w:rPr>
        <w:t xml:space="preserve">The "Celebrating Parenthood in Hospitality" Festival is a pioneering initiative to promote work-life balance and inclusivity in the hospitality industry. The event is designed to offer a platform for industry discussions, networking opportunities, and family-friendly engagement in recognition of the challenges that working parents encounter in this demanding industry. By incorporating the Event Cycle framework and the EMBOK (Event Management Body of Knowledge) model, the festival guarantees a strategic and structured approach to post-event evaluation, planning, and execution. The festival, which is held at </w:t>
      </w:r>
      <w:proofErr w:type="spellStart"/>
      <w:r w:rsidR="00C84496" w:rsidRPr="005C1D96">
        <w:rPr>
          <w:rFonts w:ascii="Arial" w:hAnsi="Arial" w:cs="Arial"/>
        </w:rPr>
        <w:t>ExCeL</w:t>
      </w:r>
      <w:proofErr w:type="spellEnd"/>
      <w:r w:rsidR="00C84496" w:rsidRPr="005C1D96">
        <w:rPr>
          <w:rFonts w:ascii="Arial" w:hAnsi="Arial" w:cs="Arial"/>
        </w:rPr>
        <w:t xml:space="preserve"> London, utilises its family-friendly infrastructure, sustainability initiatives, and accessibility to create a welcoming atmosphere that </w:t>
      </w:r>
      <w:r w:rsidR="005C1D96" w:rsidRPr="005C1D96">
        <w:rPr>
          <w:rFonts w:ascii="Arial" w:hAnsi="Arial" w:cs="Arial"/>
        </w:rPr>
        <w:t>includes</w:t>
      </w:r>
      <w:r w:rsidR="00C84496" w:rsidRPr="005C1D96">
        <w:rPr>
          <w:rFonts w:ascii="Arial" w:hAnsi="Arial" w:cs="Arial"/>
        </w:rPr>
        <w:t xml:space="preserve"> professionals, employers, and families.</w:t>
      </w:r>
    </w:p>
    <w:p w14:paraId="310C7D8C" w14:textId="05ED3F04" w:rsidR="00BF70B9" w:rsidRDefault="00C84496" w:rsidP="005C1D96">
      <w:pPr>
        <w:spacing w:line="360" w:lineRule="auto"/>
        <w:jc w:val="both"/>
        <w:rPr>
          <w:rFonts w:ascii="Arial" w:hAnsi="Arial" w:cs="Arial"/>
          <w:b/>
          <w:bCs/>
        </w:rPr>
      </w:pPr>
      <w:r w:rsidRPr="005C1D96">
        <w:rPr>
          <w:rFonts w:ascii="Arial" w:hAnsi="Arial" w:cs="Arial"/>
        </w:rPr>
        <w:t xml:space="preserve">This report offers an in-depth look </w:t>
      </w:r>
      <w:r w:rsidR="001A3166" w:rsidRPr="005C1D96">
        <w:rPr>
          <w:rFonts w:ascii="Arial" w:hAnsi="Arial" w:cs="Arial"/>
        </w:rPr>
        <w:t>at</w:t>
      </w:r>
      <w:r w:rsidRPr="005C1D96">
        <w:rPr>
          <w:rFonts w:ascii="Arial" w:hAnsi="Arial" w:cs="Arial"/>
        </w:rPr>
        <w:t xml:space="preserve"> the event's conceptualisation, strategic planning, and execution, </w:t>
      </w:r>
      <w:r w:rsidR="005C1D96" w:rsidRPr="005C1D96">
        <w:rPr>
          <w:rFonts w:ascii="Arial" w:hAnsi="Arial" w:cs="Arial"/>
        </w:rPr>
        <w:t>focusing</w:t>
      </w:r>
      <w:r w:rsidRPr="005C1D96">
        <w:rPr>
          <w:rFonts w:ascii="Arial" w:hAnsi="Arial" w:cs="Arial"/>
        </w:rPr>
        <w:t xml:space="preserve"> on its conformity with industry trends and best practices. The event's objectives, management strategies, budgetary considerations, and the broader situational and cultural factors that influence its success are among the key aspects that are addressed. The festival attempts to facilitate meaningful conversations regarding workplace inclusivity and </w:t>
      </w:r>
      <w:r w:rsidRPr="005C1D96">
        <w:rPr>
          <w:rFonts w:ascii="Arial" w:hAnsi="Arial" w:cs="Arial"/>
        </w:rPr>
        <w:lastRenderedPageBreak/>
        <w:t>provide attendants with an unforgettable experience by utilising advanced technology, creative event management practices, and sustainability measures.</w:t>
      </w:r>
    </w:p>
    <w:p w14:paraId="379814D3" w14:textId="77777777" w:rsidR="00BF70B9" w:rsidRPr="00BF70B9" w:rsidRDefault="00BF70B9" w:rsidP="005C1D96">
      <w:pPr>
        <w:spacing w:line="360" w:lineRule="auto"/>
        <w:jc w:val="both"/>
        <w:rPr>
          <w:rFonts w:ascii="Arial" w:hAnsi="Arial" w:cs="Arial"/>
          <w:b/>
          <w:bCs/>
        </w:rPr>
      </w:pPr>
    </w:p>
    <w:p w14:paraId="165399C3" w14:textId="7F35D8BE" w:rsidR="00A65760" w:rsidRPr="005C1D96" w:rsidRDefault="00A65760" w:rsidP="005C1D96">
      <w:pPr>
        <w:spacing w:line="360" w:lineRule="auto"/>
        <w:jc w:val="center"/>
        <w:rPr>
          <w:rFonts w:ascii="Arial" w:hAnsi="Arial" w:cs="Arial"/>
          <w:b/>
          <w:bCs/>
        </w:rPr>
      </w:pPr>
      <w:r w:rsidRPr="005C1D96">
        <w:rPr>
          <w:rFonts w:ascii="Arial" w:hAnsi="Arial" w:cs="Arial"/>
          <w:b/>
          <w:bCs/>
        </w:rPr>
        <w:t>The Event Cycle</w:t>
      </w:r>
    </w:p>
    <w:p w14:paraId="0AB8581E" w14:textId="216E7B44" w:rsidR="005B0D81" w:rsidRPr="005C1D96" w:rsidRDefault="006E3F34" w:rsidP="005C1D96">
      <w:pPr>
        <w:spacing w:line="360" w:lineRule="auto"/>
        <w:jc w:val="both"/>
        <w:rPr>
          <w:rFonts w:ascii="Arial" w:hAnsi="Arial" w:cs="Arial"/>
        </w:rPr>
      </w:pPr>
      <w:r w:rsidRPr="005C1D96">
        <w:rPr>
          <w:rFonts w:ascii="Arial" w:hAnsi="Arial" w:cs="Arial"/>
          <w:noProof/>
        </w:rPr>
        <w:drawing>
          <wp:anchor distT="0" distB="0" distL="114300" distR="114300" simplePos="0" relativeHeight="251658240" behindDoc="0" locked="0" layoutInCell="1" allowOverlap="1" wp14:anchorId="6ACF58C7" wp14:editId="06CC10CA">
            <wp:simplePos x="0" y="0"/>
            <wp:positionH relativeFrom="margin">
              <wp:posOffset>-349250</wp:posOffset>
            </wp:positionH>
            <wp:positionV relativeFrom="paragraph">
              <wp:posOffset>362246</wp:posOffset>
            </wp:positionV>
            <wp:extent cx="2383155" cy="2327275"/>
            <wp:effectExtent l="76200" t="95250" r="74295" b="92075"/>
            <wp:wrapSquare wrapText="bothSides"/>
            <wp:docPr id="37933478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34780" name="Picture 1" descr="A diagram of a diagram&#10;&#10;AI-generated content may be incorrect."/>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383155" cy="2327275"/>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0D81" w:rsidRPr="005C1D96">
        <w:rPr>
          <w:rFonts w:ascii="Arial" w:hAnsi="Arial" w:cs="Arial"/>
        </w:rPr>
        <w:t>The Event Cycle</w:t>
      </w:r>
      <w:r w:rsidR="00E956E3" w:rsidRPr="005C1D96">
        <w:rPr>
          <w:rFonts w:ascii="Arial" w:hAnsi="Arial" w:cs="Arial"/>
        </w:rPr>
        <w:t xml:space="preserve"> </w:t>
      </w:r>
      <w:r w:rsidR="005B0D81" w:rsidRPr="005C1D96">
        <w:rPr>
          <w:rFonts w:ascii="Arial" w:hAnsi="Arial" w:cs="Arial"/>
        </w:rPr>
        <w:t xml:space="preserve">is a time-based framework that divides event planning and delivery into three critical phases: Planning, Delivery, and Post-Event Evaluation. This cycle guarantees that strategic decisions are </w:t>
      </w:r>
      <w:r w:rsidR="005C1D96" w:rsidRPr="005C1D96">
        <w:rPr>
          <w:rFonts w:ascii="Arial" w:hAnsi="Arial" w:cs="Arial"/>
        </w:rPr>
        <w:t>made by</w:t>
      </w:r>
      <w:r w:rsidR="005B0D81" w:rsidRPr="005C1D96">
        <w:rPr>
          <w:rFonts w:ascii="Arial" w:hAnsi="Arial" w:cs="Arial"/>
        </w:rPr>
        <w:t xml:space="preserve"> feasibility and impact assessments for the "Celebrating Parenthood in Hospitality" Festival (</w:t>
      </w:r>
      <w:r w:rsidR="00244B5E" w:rsidRPr="005C1D96">
        <w:rPr>
          <w:rFonts w:ascii="Arial" w:hAnsi="Arial" w:cs="Arial"/>
        </w:rPr>
        <w:t>Getz and Page, 2024</w:t>
      </w:r>
      <w:r w:rsidR="005B0D81" w:rsidRPr="005C1D96">
        <w:rPr>
          <w:rFonts w:ascii="Arial" w:hAnsi="Arial" w:cs="Arial"/>
        </w:rPr>
        <w:t>).</w:t>
      </w:r>
    </w:p>
    <w:p w14:paraId="2C1541E8" w14:textId="77777777" w:rsidR="006E3F34" w:rsidRPr="005C1D96" w:rsidRDefault="00F8485E" w:rsidP="005C1D96">
      <w:pPr>
        <w:numPr>
          <w:ilvl w:val="0"/>
          <w:numId w:val="6"/>
        </w:numPr>
        <w:spacing w:line="360" w:lineRule="auto"/>
        <w:jc w:val="both"/>
        <w:rPr>
          <w:rFonts w:ascii="Arial" w:hAnsi="Arial" w:cs="Arial"/>
        </w:rPr>
      </w:pPr>
      <w:r w:rsidRPr="005C1D96">
        <w:rPr>
          <w:rFonts w:ascii="Arial" w:hAnsi="Arial" w:cs="Arial"/>
          <w:b/>
          <w:bCs/>
        </w:rPr>
        <w:t>Planning Phase</w:t>
      </w:r>
      <w:r w:rsidR="009A1D60" w:rsidRPr="005C1D96">
        <w:rPr>
          <w:rFonts w:ascii="Arial" w:hAnsi="Arial" w:cs="Arial"/>
          <w:b/>
          <w:bCs/>
        </w:rPr>
        <w:t xml:space="preserve"> </w:t>
      </w:r>
    </w:p>
    <w:p w14:paraId="427B49F3" w14:textId="61699F68" w:rsidR="009602D3" w:rsidRPr="005C1D96" w:rsidRDefault="009A1D60" w:rsidP="005C1D96">
      <w:pPr>
        <w:spacing w:line="360" w:lineRule="auto"/>
        <w:jc w:val="both"/>
        <w:rPr>
          <w:rFonts w:ascii="Arial" w:hAnsi="Arial" w:cs="Arial"/>
        </w:rPr>
      </w:pPr>
      <w:r w:rsidRPr="005C1D96">
        <w:rPr>
          <w:rFonts w:ascii="Arial" w:hAnsi="Arial" w:cs="Arial"/>
          <w:b/>
          <w:bCs/>
        </w:rPr>
        <w:t>(EMBOK: Administration, Design, Marketing)</w:t>
      </w:r>
    </w:p>
    <w:p w14:paraId="75AC8E5D" w14:textId="116460A8" w:rsidR="00CC0CF5" w:rsidRPr="005C1D96" w:rsidRDefault="00CC0CF5" w:rsidP="005C1D96">
      <w:pPr>
        <w:spacing w:line="360" w:lineRule="auto"/>
        <w:jc w:val="both"/>
        <w:rPr>
          <w:rFonts w:ascii="Arial" w:hAnsi="Arial" w:cs="Arial"/>
        </w:rPr>
      </w:pPr>
      <w:r w:rsidRPr="005C1D96">
        <w:rPr>
          <w:rFonts w:ascii="Arial" w:hAnsi="Arial" w:cs="Arial"/>
        </w:rPr>
        <w:t>The venue (</w:t>
      </w:r>
      <w:proofErr w:type="spellStart"/>
      <w:r w:rsidRPr="005C1D96">
        <w:rPr>
          <w:rFonts w:ascii="Arial" w:hAnsi="Arial" w:cs="Arial"/>
        </w:rPr>
        <w:t>ExCeL</w:t>
      </w:r>
      <w:proofErr w:type="spellEnd"/>
      <w:r w:rsidRPr="005C1D96">
        <w:rPr>
          <w:rFonts w:ascii="Arial" w:hAnsi="Arial" w:cs="Arial"/>
        </w:rPr>
        <w:t xml:space="preserve"> London), funding (sponsorships, ticket sales), and marketing (social media, PR, industry collaborations) are confirmed. The program is designed to maximise attendee engagement with keynote sessions, family-friendly zones, and networking spaces (Van Antwerpen, 2023).</w:t>
      </w:r>
    </w:p>
    <w:p w14:paraId="56BC6086" w14:textId="27B6B20A" w:rsidR="009602D3" w:rsidRPr="005C1D96" w:rsidRDefault="00F8485E" w:rsidP="005C1D96">
      <w:pPr>
        <w:numPr>
          <w:ilvl w:val="0"/>
          <w:numId w:val="6"/>
        </w:numPr>
        <w:spacing w:line="360" w:lineRule="auto"/>
        <w:jc w:val="both"/>
        <w:rPr>
          <w:rFonts w:ascii="Arial" w:hAnsi="Arial" w:cs="Arial"/>
        </w:rPr>
      </w:pPr>
      <w:r w:rsidRPr="005C1D96">
        <w:rPr>
          <w:rFonts w:ascii="Arial" w:hAnsi="Arial" w:cs="Arial"/>
          <w:b/>
          <w:bCs/>
        </w:rPr>
        <w:t>Delivery Phase</w:t>
      </w:r>
      <w:r w:rsidR="00C86602" w:rsidRPr="005C1D96">
        <w:rPr>
          <w:rFonts w:ascii="Arial" w:hAnsi="Arial" w:cs="Arial"/>
          <w:b/>
          <w:bCs/>
        </w:rPr>
        <w:t xml:space="preserve"> (EMBOK: Operations)</w:t>
      </w:r>
    </w:p>
    <w:p w14:paraId="5DC6E514" w14:textId="77777777" w:rsidR="00840430" w:rsidRPr="005C1D96" w:rsidRDefault="00840430" w:rsidP="005C1D96">
      <w:pPr>
        <w:spacing w:line="360" w:lineRule="auto"/>
        <w:jc w:val="both"/>
        <w:rPr>
          <w:rFonts w:ascii="Arial" w:hAnsi="Arial" w:cs="Arial"/>
        </w:rPr>
      </w:pPr>
      <w:r w:rsidRPr="005C1D96">
        <w:rPr>
          <w:rFonts w:ascii="Arial" w:hAnsi="Arial" w:cs="Arial"/>
        </w:rPr>
        <w:t>Efficient operations are made possible by digital check-ins, personnel coordination, on-site logistics, and attendee flow management. Real-time event monitoring, security, and health and safety protocols are indispensable components of execution (Arnott, 2020).</w:t>
      </w:r>
    </w:p>
    <w:p w14:paraId="1D495D9F" w14:textId="5B1FF82D" w:rsidR="009602D3" w:rsidRPr="005C1D96" w:rsidRDefault="00F8485E" w:rsidP="005C1D96">
      <w:pPr>
        <w:numPr>
          <w:ilvl w:val="0"/>
          <w:numId w:val="6"/>
        </w:numPr>
        <w:spacing w:line="360" w:lineRule="auto"/>
        <w:jc w:val="both"/>
        <w:rPr>
          <w:rFonts w:ascii="Arial" w:hAnsi="Arial" w:cs="Arial"/>
        </w:rPr>
      </w:pPr>
      <w:r w:rsidRPr="005C1D96">
        <w:rPr>
          <w:rFonts w:ascii="Arial" w:hAnsi="Arial" w:cs="Arial"/>
          <w:b/>
          <w:bCs/>
        </w:rPr>
        <w:t>Post-Event Evaluation</w:t>
      </w:r>
      <w:r w:rsidR="00C86602" w:rsidRPr="005C1D96">
        <w:rPr>
          <w:rFonts w:ascii="Arial" w:hAnsi="Arial" w:cs="Arial"/>
          <w:b/>
          <w:bCs/>
        </w:rPr>
        <w:t xml:space="preserve"> (EMBOK: Risk Management)</w:t>
      </w:r>
    </w:p>
    <w:p w14:paraId="408AFF40" w14:textId="6621BBBB" w:rsidR="00685332" w:rsidRPr="005C1D96" w:rsidRDefault="00685332" w:rsidP="005C1D96">
      <w:pPr>
        <w:spacing w:line="360" w:lineRule="auto"/>
        <w:jc w:val="both"/>
        <w:rPr>
          <w:rFonts w:ascii="Arial" w:hAnsi="Arial" w:cs="Arial"/>
        </w:rPr>
      </w:pPr>
      <w:r w:rsidRPr="005C1D96">
        <w:rPr>
          <w:rFonts w:ascii="Arial" w:hAnsi="Arial" w:cs="Arial"/>
        </w:rPr>
        <w:t>Feedback collection, financial reconciliation, and impact reporting are essential in evaluating success and informing future improvements (Kariuki et al., 2020).</w:t>
      </w:r>
    </w:p>
    <w:p w14:paraId="0EB94A18" w14:textId="7AE23CD8" w:rsidR="00685332" w:rsidRPr="005C1D96" w:rsidRDefault="00685332" w:rsidP="005C1D96">
      <w:pPr>
        <w:spacing w:line="360" w:lineRule="auto"/>
        <w:jc w:val="both"/>
        <w:rPr>
          <w:rFonts w:ascii="Arial" w:hAnsi="Arial" w:cs="Arial"/>
        </w:rPr>
      </w:pPr>
      <w:r w:rsidRPr="005C1D96">
        <w:rPr>
          <w:rFonts w:ascii="Arial" w:hAnsi="Arial" w:cs="Arial"/>
        </w:rPr>
        <w:t xml:space="preserve">The EMBOK (Event Management Body of Knowledge) Model </w:t>
      </w:r>
      <w:r w:rsidR="00E956E3" w:rsidRPr="005C1D96">
        <w:rPr>
          <w:rFonts w:ascii="Arial" w:hAnsi="Arial" w:cs="Arial"/>
        </w:rPr>
        <w:t xml:space="preserve"> (Silvers et al., 2006) </w:t>
      </w:r>
      <w:r w:rsidRPr="005C1D96">
        <w:rPr>
          <w:rFonts w:ascii="Arial" w:hAnsi="Arial" w:cs="Arial"/>
        </w:rPr>
        <w:t xml:space="preserve">offers a structured, multivariate framework for more in-depth analysis, in contrast to the Event Cycle, which prioritises time-based planning. EMBOK is a framework that divides event management into five functional domains (Administration, Design, Marketing, Operations, and Risk) and </w:t>
      </w:r>
      <w:r w:rsidRPr="005C1D96">
        <w:rPr>
          <w:rFonts w:ascii="Arial" w:hAnsi="Arial" w:cs="Arial"/>
        </w:rPr>
        <w:lastRenderedPageBreak/>
        <w:t xml:space="preserve">includes five phases (Initiation, Planning, Implementation, Event, and Closure) (Van Antwerpen, </w:t>
      </w:r>
      <w:r w:rsidR="00BF70B9" w:rsidRPr="005C1D96">
        <w:rPr>
          <w:rFonts w:ascii="Arial" w:hAnsi="Arial" w:cs="Arial"/>
          <w:noProof/>
        </w:rPr>
        <w:drawing>
          <wp:anchor distT="0" distB="0" distL="114300" distR="114300" simplePos="0" relativeHeight="251659264" behindDoc="0" locked="0" layoutInCell="1" allowOverlap="1" wp14:anchorId="008E486C" wp14:editId="79888E67">
            <wp:simplePos x="0" y="0"/>
            <wp:positionH relativeFrom="margin">
              <wp:posOffset>19050</wp:posOffset>
            </wp:positionH>
            <wp:positionV relativeFrom="paragraph">
              <wp:posOffset>514350</wp:posOffset>
            </wp:positionV>
            <wp:extent cx="5956300" cy="4312285"/>
            <wp:effectExtent l="19050" t="57150" r="101600" b="50165"/>
            <wp:wrapSquare wrapText="bothSides"/>
            <wp:docPr id="348848087" name="Picture 2" descr="EMBOK - Event Management Body of Knowledge - EMBO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BOK - Event Management Body of Knowledge - EMBOK Model"/>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56300" cy="4312285"/>
                    </a:xfrm>
                    <a:prstGeom prst="rect">
                      <a:avLst/>
                    </a:prstGeom>
                    <a:noFill/>
                    <a:ln>
                      <a:noFill/>
                    </a:ln>
                    <a:effectLst>
                      <a:outerShdw blurRad="50800" dist="38100" algn="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C1D96">
        <w:rPr>
          <w:rFonts w:ascii="Arial" w:hAnsi="Arial" w:cs="Arial"/>
        </w:rPr>
        <w:t>2023).</w:t>
      </w:r>
    </w:p>
    <w:p w14:paraId="625B24E3" w14:textId="12817DCC" w:rsidR="00F8485E" w:rsidRPr="005C1D96" w:rsidRDefault="00F8485E" w:rsidP="005C1D96">
      <w:pPr>
        <w:spacing w:line="360" w:lineRule="auto"/>
        <w:jc w:val="both"/>
        <w:rPr>
          <w:rFonts w:ascii="Arial" w:hAnsi="Arial" w:cs="Arial"/>
        </w:rPr>
      </w:pPr>
      <w:r w:rsidRPr="005C1D96">
        <w:rPr>
          <w:rFonts w:ascii="Arial" w:hAnsi="Arial" w:cs="Arial"/>
        </w:rPr>
        <w:t>For this event, EMBOK plays a critical role in strategic decision-making:</w:t>
      </w:r>
    </w:p>
    <w:p w14:paraId="5DA3003D" w14:textId="70C46F84" w:rsidR="00F8485E" w:rsidRPr="005C1D96" w:rsidRDefault="00F8485E" w:rsidP="005C1D96">
      <w:pPr>
        <w:numPr>
          <w:ilvl w:val="0"/>
          <w:numId w:val="7"/>
        </w:numPr>
        <w:spacing w:line="360" w:lineRule="auto"/>
        <w:jc w:val="both"/>
        <w:rPr>
          <w:rFonts w:ascii="Arial" w:hAnsi="Arial" w:cs="Arial"/>
        </w:rPr>
      </w:pPr>
      <w:r w:rsidRPr="005C1D96">
        <w:rPr>
          <w:rFonts w:ascii="Arial" w:hAnsi="Arial" w:cs="Arial"/>
          <w:b/>
          <w:bCs/>
        </w:rPr>
        <w:t>Administration:</w:t>
      </w:r>
      <w:r w:rsidRPr="005C1D96">
        <w:rPr>
          <w:rFonts w:ascii="Arial" w:hAnsi="Arial" w:cs="Arial"/>
        </w:rPr>
        <w:t xml:space="preserve"> Budgeting (£100,000), workforce planning (event personnel, childcare, security), and stakeholder engagement (hospitality groups, sponsors) (</w:t>
      </w:r>
      <w:r w:rsidR="00244B5E" w:rsidRPr="005C1D96">
        <w:rPr>
          <w:rFonts w:ascii="Arial" w:hAnsi="Arial" w:cs="Arial"/>
        </w:rPr>
        <w:t>Bowdin et al., 2011</w:t>
      </w:r>
      <w:r w:rsidRPr="005C1D96">
        <w:rPr>
          <w:rFonts w:ascii="Arial" w:hAnsi="Arial" w:cs="Arial"/>
        </w:rPr>
        <w:t>).</w:t>
      </w:r>
    </w:p>
    <w:p w14:paraId="514D13F4" w14:textId="77777777" w:rsidR="00F8485E" w:rsidRPr="005C1D96" w:rsidRDefault="00F8485E" w:rsidP="005C1D96">
      <w:pPr>
        <w:numPr>
          <w:ilvl w:val="0"/>
          <w:numId w:val="7"/>
        </w:numPr>
        <w:spacing w:line="360" w:lineRule="auto"/>
        <w:jc w:val="both"/>
        <w:rPr>
          <w:rFonts w:ascii="Arial" w:hAnsi="Arial" w:cs="Arial"/>
        </w:rPr>
      </w:pPr>
      <w:r w:rsidRPr="005C1D96">
        <w:rPr>
          <w:rFonts w:ascii="Arial" w:hAnsi="Arial" w:cs="Arial"/>
          <w:b/>
          <w:bCs/>
        </w:rPr>
        <w:t>Design:</w:t>
      </w:r>
      <w:r w:rsidRPr="005C1D96">
        <w:rPr>
          <w:rFonts w:ascii="Arial" w:hAnsi="Arial" w:cs="Arial"/>
        </w:rPr>
        <w:t xml:space="preserve"> Aligning the family-friendly theme with venue selection</w:t>
      </w:r>
      <w:r w:rsidRPr="005C1D96">
        <w:rPr>
          <w:rFonts w:ascii="Arial" w:hAnsi="Arial" w:cs="Arial"/>
          <w:b/>
          <w:bCs/>
        </w:rPr>
        <w:t xml:space="preserve">, </w:t>
      </w:r>
      <w:r w:rsidRPr="005C1D96">
        <w:rPr>
          <w:rFonts w:ascii="Arial" w:hAnsi="Arial" w:cs="Arial"/>
        </w:rPr>
        <w:t>entertainment, and catering (Arnott, 2020).</w:t>
      </w:r>
    </w:p>
    <w:p w14:paraId="150351C8" w14:textId="77777777" w:rsidR="00F8485E" w:rsidRPr="005C1D96" w:rsidRDefault="00F8485E" w:rsidP="005C1D96">
      <w:pPr>
        <w:numPr>
          <w:ilvl w:val="0"/>
          <w:numId w:val="7"/>
        </w:numPr>
        <w:spacing w:line="360" w:lineRule="auto"/>
        <w:jc w:val="both"/>
        <w:rPr>
          <w:rFonts w:ascii="Arial" w:hAnsi="Arial" w:cs="Arial"/>
        </w:rPr>
      </w:pPr>
      <w:r w:rsidRPr="005C1D96">
        <w:rPr>
          <w:rFonts w:ascii="Arial" w:hAnsi="Arial" w:cs="Arial"/>
          <w:b/>
          <w:bCs/>
        </w:rPr>
        <w:t>Marketing:</w:t>
      </w:r>
      <w:r w:rsidRPr="005C1D96">
        <w:rPr>
          <w:rFonts w:ascii="Arial" w:hAnsi="Arial" w:cs="Arial"/>
        </w:rPr>
        <w:t xml:space="preserve"> Targeted outreach, sponsorship strategies, and promotional materials (Kariuki et al., 2020).</w:t>
      </w:r>
    </w:p>
    <w:p w14:paraId="3B652CD7" w14:textId="7FC708AB" w:rsidR="00F8485E" w:rsidRPr="005C1D96" w:rsidRDefault="00F8485E" w:rsidP="005C1D96">
      <w:pPr>
        <w:numPr>
          <w:ilvl w:val="0"/>
          <w:numId w:val="7"/>
        </w:numPr>
        <w:spacing w:line="360" w:lineRule="auto"/>
        <w:jc w:val="both"/>
        <w:rPr>
          <w:rFonts w:ascii="Arial" w:hAnsi="Arial" w:cs="Arial"/>
        </w:rPr>
      </w:pPr>
      <w:r w:rsidRPr="005C1D96">
        <w:rPr>
          <w:rFonts w:ascii="Arial" w:hAnsi="Arial" w:cs="Arial"/>
          <w:b/>
          <w:bCs/>
        </w:rPr>
        <w:t>Operations:</w:t>
      </w:r>
      <w:r w:rsidRPr="005C1D96">
        <w:rPr>
          <w:rFonts w:ascii="Arial" w:hAnsi="Arial" w:cs="Arial"/>
        </w:rPr>
        <w:t xml:space="preserve"> Logistical coordination</w:t>
      </w:r>
      <w:r w:rsidRPr="005C1D96">
        <w:rPr>
          <w:rFonts w:ascii="Arial" w:hAnsi="Arial" w:cs="Arial"/>
          <w:b/>
          <w:bCs/>
        </w:rPr>
        <w:t xml:space="preserve">, </w:t>
      </w:r>
      <w:r w:rsidRPr="005C1D96">
        <w:rPr>
          <w:rFonts w:ascii="Arial" w:hAnsi="Arial" w:cs="Arial"/>
        </w:rPr>
        <w:t xml:space="preserve">health </w:t>
      </w:r>
      <w:r w:rsidR="005A46E4" w:rsidRPr="005C1D96">
        <w:rPr>
          <w:rFonts w:ascii="Arial" w:hAnsi="Arial" w:cs="Arial"/>
        </w:rPr>
        <w:t>and</w:t>
      </w:r>
      <w:r w:rsidRPr="005C1D96">
        <w:rPr>
          <w:rFonts w:ascii="Arial" w:hAnsi="Arial" w:cs="Arial"/>
        </w:rPr>
        <w:t xml:space="preserve"> safety measures, and waste management (</w:t>
      </w:r>
      <w:r w:rsidR="003D0C0E" w:rsidRPr="005C1D96">
        <w:rPr>
          <w:rFonts w:ascii="Arial" w:hAnsi="Arial" w:cs="Arial"/>
        </w:rPr>
        <w:t>Silvers et al., 2005</w:t>
      </w:r>
      <w:r w:rsidRPr="005C1D96">
        <w:rPr>
          <w:rFonts w:ascii="Arial" w:hAnsi="Arial" w:cs="Arial"/>
        </w:rPr>
        <w:t>).</w:t>
      </w:r>
    </w:p>
    <w:p w14:paraId="3375FD03" w14:textId="77777777" w:rsidR="00F8485E" w:rsidRPr="005C1D96" w:rsidRDefault="00F8485E" w:rsidP="005C1D96">
      <w:pPr>
        <w:numPr>
          <w:ilvl w:val="0"/>
          <w:numId w:val="7"/>
        </w:numPr>
        <w:spacing w:line="360" w:lineRule="auto"/>
        <w:jc w:val="both"/>
        <w:rPr>
          <w:rFonts w:ascii="Arial" w:hAnsi="Arial" w:cs="Arial"/>
        </w:rPr>
      </w:pPr>
      <w:r w:rsidRPr="005C1D96">
        <w:rPr>
          <w:rFonts w:ascii="Arial" w:hAnsi="Arial" w:cs="Arial"/>
          <w:b/>
          <w:bCs/>
        </w:rPr>
        <w:t>Risk:</w:t>
      </w:r>
      <w:r w:rsidRPr="005C1D96">
        <w:rPr>
          <w:rFonts w:ascii="Arial" w:hAnsi="Arial" w:cs="Arial"/>
        </w:rPr>
        <w:t xml:space="preserve"> Legal compliance, security planning, and insurance coverage (Van Antwerpen, 2023).</w:t>
      </w:r>
    </w:p>
    <w:p w14:paraId="0F281D91" w14:textId="11A77B9E" w:rsidR="00A65760" w:rsidRPr="005C1D96" w:rsidRDefault="006B240D" w:rsidP="005C1D96">
      <w:pPr>
        <w:spacing w:line="360" w:lineRule="auto"/>
        <w:jc w:val="both"/>
        <w:rPr>
          <w:rFonts w:ascii="Arial" w:hAnsi="Arial" w:cs="Arial"/>
        </w:rPr>
      </w:pPr>
      <w:r w:rsidRPr="005C1D96">
        <w:rPr>
          <w:rFonts w:ascii="Arial" w:hAnsi="Arial" w:cs="Arial"/>
        </w:rPr>
        <w:lastRenderedPageBreak/>
        <w:t xml:space="preserve">The Event Cycle guarantees an efficient timeline </w:t>
      </w:r>
      <w:r w:rsidR="005C1D96" w:rsidRPr="005C1D96">
        <w:rPr>
          <w:rFonts w:ascii="Arial" w:hAnsi="Arial" w:cs="Arial"/>
        </w:rPr>
        <w:t>by integrating</w:t>
      </w:r>
      <w:r w:rsidRPr="005C1D96">
        <w:rPr>
          <w:rFonts w:ascii="Arial" w:hAnsi="Arial" w:cs="Arial"/>
        </w:rPr>
        <w:t xml:space="preserve"> both frameworks, while EMBOK offers a structured dissection of event execution. The Appendix (Section A) </w:t>
      </w:r>
      <w:r w:rsidR="005C1D96" w:rsidRPr="005C1D96">
        <w:rPr>
          <w:rFonts w:ascii="Arial" w:hAnsi="Arial" w:cs="Arial"/>
        </w:rPr>
        <w:t>comprehensively analyses</w:t>
      </w:r>
      <w:r w:rsidRPr="005C1D96">
        <w:rPr>
          <w:rFonts w:ascii="Arial" w:hAnsi="Arial" w:cs="Arial"/>
        </w:rPr>
        <w:t xml:space="preserve"> the EMBOK model's application.</w:t>
      </w:r>
    </w:p>
    <w:p w14:paraId="3C73E673" w14:textId="77777777" w:rsidR="00A65760" w:rsidRPr="005C1D96" w:rsidRDefault="00A65760" w:rsidP="005C1D96">
      <w:pPr>
        <w:spacing w:line="360" w:lineRule="auto"/>
        <w:jc w:val="both"/>
        <w:rPr>
          <w:rFonts w:ascii="Arial" w:hAnsi="Arial" w:cs="Arial"/>
        </w:rPr>
      </w:pPr>
    </w:p>
    <w:p w14:paraId="6B367A40" w14:textId="13C9E5E7" w:rsidR="00A65760" w:rsidRPr="005C1D96" w:rsidRDefault="00A65760" w:rsidP="00BF70B9">
      <w:pPr>
        <w:spacing w:line="360" w:lineRule="auto"/>
        <w:jc w:val="center"/>
        <w:rPr>
          <w:rFonts w:ascii="Arial" w:hAnsi="Arial" w:cs="Arial"/>
          <w:b/>
          <w:bCs/>
        </w:rPr>
      </w:pPr>
      <w:r w:rsidRPr="005C1D96">
        <w:rPr>
          <w:rFonts w:ascii="Arial" w:hAnsi="Arial" w:cs="Arial"/>
          <w:b/>
          <w:bCs/>
        </w:rPr>
        <w:t>Event Concept</w:t>
      </w:r>
    </w:p>
    <w:p w14:paraId="13D2EB62" w14:textId="16DC0499" w:rsidR="004C22C1" w:rsidRPr="005C1D96" w:rsidRDefault="005E47CB" w:rsidP="005C1D96">
      <w:pPr>
        <w:spacing w:line="360" w:lineRule="auto"/>
        <w:jc w:val="both"/>
        <w:rPr>
          <w:rFonts w:ascii="Arial" w:hAnsi="Arial" w:cs="Arial"/>
        </w:rPr>
      </w:pPr>
      <w:r w:rsidRPr="005C1D96">
        <w:rPr>
          <w:rFonts w:ascii="Arial" w:hAnsi="Arial" w:cs="Arial"/>
          <w:noProof/>
        </w:rPr>
        <w:drawing>
          <wp:anchor distT="0" distB="0" distL="114300" distR="114300" simplePos="0" relativeHeight="251660288" behindDoc="0" locked="0" layoutInCell="1" allowOverlap="1" wp14:anchorId="010C6229" wp14:editId="5DFACC9D">
            <wp:simplePos x="0" y="0"/>
            <wp:positionH relativeFrom="column">
              <wp:posOffset>0</wp:posOffset>
            </wp:positionH>
            <wp:positionV relativeFrom="paragraph">
              <wp:posOffset>4223</wp:posOffset>
            </wp:positionV>
            <wp:extent cx="3710940" cy="2477387"/>
            <wp:effectExtent l="95250" t="95250" r="99060" b="94615"/>
            <wp:wrapSquare wrapText="bothSides"/>
            <wp:docPr id="1778025048" name="Picture 3" descr="Knowledge Power Photos, Images and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nowledge Power Photos, Images and Pictur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710940" cy="2477387"/>
                    </a:xfrm>
                    <a:prstGeom prst="rect">
                      <a:avLst/>
                    </a:prstGeom>
                    <a:noFill/>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anchor>
        </w:drawing>
      </w:r>
      <w:r w:rsidR="004C22C1" w:rsidRPr="005C1D96">
        <w:rPr>
          <w:rFonts w:ascii="Arial" w:hAnsi="Arial" w:cs="Arial"/>
        </w:rPr>
        <w:t xml:space="preserve">The festival </w:t>
      </w:r>
      <w:r w:rsidR="005C1D96" w:rsidRPr="005C1D96">
        <w:rPr>
          <w:rFonts w:ascii="Arial" w:hAnsi="Arial" w:cs="Arial"/>
        </w:rPr>
        <w:t xml:space="preserve">intends to offer attendees an interactive and engaging experience </w:t>
      </w:r>
      <w:r w:rsidR="004C22C1" w:rsidRPr="005C1D96">
        <w:rPr>
          <w:rFonts w:ascii="Arial" w:hAnsi="Arial" w:cs="Arial"/>
        </w:rPr>
        <w:t xml:space="preserve">by combining professional development with family-friendly initiatives. The event includes interactive workshops, keynote speeches, employer panels, and family-oriented activities over </w:t>
      </w:r>
      <w:r w:rsidR="005C1D96" w:rsidRPr="005C1D96">
        <w:rPr>
          <w:rFonts w:ascii="Arial" w:hAnsi="Arial" w:cs="Arial"/>
        </w:rPr>
        <w:t>two days, ensuring</w:t>
      </w:r>
      <w:r w:rsidR="004C22C1" w:rsidRPr="005C1D96">
        <w:rPr>
          <w:rFonts w:ascii="Arial" w:hAnsi="Arial" w:cs="Arial"/>
        </w:rPr>
        <w:t xml:space="preserve"> that both industry executives and working parents can take advantage of valuable networking opportunities and meaningful discussions.</w:t>
      </w:r>
    </w:p>
    <w:p w14:paraId="1D9CD44A" w14:textId="4F45A6F4" w:rsidR="004C22C1" w:rsidRPr="005C1D96" w:rsidRDefault="004C22C1" w:rsidP="005C1D96">
      <w:pPr>
        <w:spacing w:line="360" w:lineRule="auto"/>
        <w:jc w:val="both"/>
        <w:rPr>
          <w:rFonts w:ascii="Arial" w:hAnsi="Arial" w:cs="Arial"/>
        </w:rPr>
      </w:pPr>
      <w:r w:rsidRPr="005C1D96">
        <w:rPr>
          <w:rFonts w:ascii="Arial" w:hAnsi="Arial" w:cs="Arial"/>
        </w:rPr>
        <w:t xml:space="preserve">The event commences on Day 1 with keynote speeches and expert committees that include HR professionals, hospitality executives, and policymakers. These discussions will focus on the policies and best practices of work-life balance (Tag-Eldeen </w:t>
      </w:r>
      <w:r w:rsidR="003E0AF8" w:rsidRPr="005C1D96">
        <w:rPr>
          <w:rFonts w:ascii="Arial" w:hAnsi="Arial" w:cs="Arial"/>
        </w:rPr>
        <w:t>and</w:t>
      </w:r>
      <w:r w:rsidRPr="005C1D96">
        <w:rPr>
          <w:rFonts w:ascii="Arial" w:hAnsi="Arial" w:cs="Arial"/>
        </w:rPr>
        <w:t xml:space="preserve"> Shawky, 2013). Simultaneously, interactive play areas and specified childcare zones will allow parents to participate without worrying about their children's safety. Employer-employee engagement is promoted through a networking session that concludes the evening (</w:t>
      </w:r>
      <w:proofErr w:type="spellStart"/>
      <w:r w:rsidRPr="005C1D96">
        <w:rPr>
          <w:rFonts w:ascii="Arial" w:hAnsi="Arial" w:cs="Arial"/>
        </w:rPr>
        <w:t>Michopoulou</w:t>
      </w:r>
      <w:proofErr w:type="spellEnd"/>
      <w:r w:rsidRPr="005C1D96">
        <w:rPr>
          <w:rFonts w:ascii="Arial" w:hAnsi="Arial" w:cs="Arial"/>
        </w:rPr>
        <w:t xml:space="preserve">, Azara </w:t>
      </w:r>
      <w:r w:rsidR="003E0AF8" w:rsidRPr="005C1D96">
        <w:rPr>
          <w:rFonts w:ascii="Arial" w:hAnsi="Arial" w:cs="Arial"/>
        </w:rPr>
        <w:t>and</w:t>
      </w:r>
      <w:r w:rsidRPr="005C1D96">
        <w:rPr>
          <w:rFonts w:ascii="Arial" w:hAnsi="Arial" w:cs="Arial"/>
        </w:rPr>
        <w:t xml:space="preserve"> Russell, 2020).</w:t>
      </w:r>
    </w:p>
    <w:p w14:paraId="2488CB83" w14:textId="7C5F3AF4" w:rsidR="004C22C1" w:rsidRPr="005C1D96" w:rsidRDefault="004C22C1" w:rsidP="005C1D96">
      <w:pPr>
        <w:spacing w:line="360" w:lineRule="auto"/>
        <w:jc w:val="both"/>
        <w:rPr>
          <w:rFonts w:ascii="Arial" w:hAnsi="Arial" w:cs="Arial"/>
        </w:rPr>
      </w:pPr>
      <w:r w:rsidRPr="005C1D96">
        <w:rPr>
          <w:rFonts w:ascii="Arial" w:hAnsi="Arial" w:cs="Arial"/>
        </w:rPr>
        <w:t xml:space="preserve">On the second day, attendees are invited to engage in interactive workshops to provide practical strategies for reconciling work and family life. The sessions will concentrate on industry-specific solutions, mental health, and flexible scheduling (Knežević et al., 2023). Additionally, families will participate in engaging activities, including wellness zones, creative play areas, and narrative corners, which will reinforce inclusive and supportive work environments. Research has demonstrated that work-life balance initiatives increase employee productivity, engagement, and well-being (Marecki, 2024; Gowda </w:t>
      </w:r>
      <w:r w:rsidR="003E0AF8" w:rsidRPr="005C1D96">
        <w:rPr>
          <w:rFonts w:ascii="Arial" w:hAnsi="Arial" w:cs="Arial"/>
        </w:rPr>
        <w:t>and</w:t>
      </w:r>
      <w:r w:rsidRPr="005C1D96">
        <w:rPr>
          <w:rFonts w:ascii="Arial" w:hAnsi="Arial" w:cs="Arial"/>
        </w:rPr>
        <w:t xml:space="preserve"> Rajeshwari, 2024).</w:t>
      </w:r>
    </w:p>
    <w:p w14:paraId="2EF43602" w14:textId="34AEC9DD" w:rsidR="004C22C1" w:rsidRPr="005C1D96" w:rsidRDefault="004C22C1" w:rsidP="005C1D96">
      <w:pPr>
        <w:spacing w:line="360" w:lineRule="auto"/>
        <w:jc w:val="both"/>
        <w:rPr>
          <w:rFonts w:ascii="Arial" w:hAnsi="Arial" w:cs="Arial"/>
        </w:rPr>
      </w:pPr>
      <w:r w:rsidRPr="005C1D96">
        <w:rPr>
          <w:rFonts w:ascii="Arial" w:hAnsi="Arial" w:cs="Arial"/>
        </w:rPr>
        <w:lastRenderedPageBreak/>
        <w:t xml:space="preserve">The "Celebrating Parenthood in Hospitality" Festival is </w:t>
      </w:r>
      <w:r w:rsidR="00E41188" w:rsidRPr="005C1D96">
        <w:rPr>
          <w:rFonts w:ascii="Arial" w:hAnsi="Arial" w:cs="Arial"/>
        </w:rPr>
        <w:t>designed</w:t>
      </w:r>
      <w:r w:rsidRPr="005C1D96">
        <w:rPr>
          <w:rFonts w:ascii="Arial" w:hAnsi="Arial" w:cs="Arial"/>
        </w:rPr>
        <w:t xml:space="preserve"> to offer a complex and interactive experience that is thematically relevant, sustainable, and accessible. </w:t>
      </w:r>
      <w:proofErr w:type="spellStart"/>
      <w:r w:rsidRPr="005C1D96">
        <w:rPr>
          <w:rFonts w:ascii="Arial" w:hAnsi="Arial" w:cs="Arial"/>
        </w:rPr>
        <w:t>ExCeL</w:t>
      </w:r>
      <w:proofErr w:type="spellEnd"/>
      <w:r w:rsidRPr="005C1D96">
        <w:rPr>
          <w:rFonts w:ascii="Arial" w:hAnsi="Arial" w:cs="Arial"/>
        </w:rPr>
        <w:t xml:space="preserve"> London was selected due to its </w:t>
      </w:r>
      <w:r w:rsidR="005C1D96" w:rsidRPr="005C1D96">
        <w:rPr>
          <w:rFonts w:ascii="Arial" w:hAnsi="Arial" w:cs="Arial"/>
        </w:rPr>
        <w:t>firm</w:t>
      </w:r>
      <w:r w:rsidRPr="005C1D96">
        <w:rPr>
          <w:rFonts w:ascii="Arial" w:hAnsi="Arial" w:cs="Arial"/>
        </w:rPr>
        <w:t xml:space="preserve"> sustainability commitments, family-friendly infrastructure, and </w:t>
      </w:r>
      <w:r w:rsidR="005C1D96" w:rsidRPr="005C1D96">
        <w:rPr>
          <w:rFonts w:ascii="Arial" w:hAnsi="Arial" w:cs="Arial"/>
        </w:rPr>
        <w:t>excellent</w:t>
      </w:r>
      <w:r w:rsidRPr="005C1D96">
        <w:rPr>
          <w:rFonts w:ascii="Arial" w:hAnsi="Arial" w:cs="Arial"/>
        </w:rPr>
        <w:t xml:space="preserve"> transport connections (Doran et al., 2024). Speaker stages, interactive exhibit areas, and designated networking lounges are all part of the venue's arrangement, </w:t>
      </w:r>
      <w:r w:rsidR="005C1D96" w:rsidRPr="005C1D96">
        <w:rPr>
          <w:rFonts w:ascii="Arial" w:hAnsi="Arial" w:cs="Arial"/>
        </w:rPr>
        <w:t>guaranteeing</w:t>
      </w:r>
      <w:r w:rsidRPr="005C1D96">
        <w:rPr>
          <w:rFonts w:ascii="Arial" w:hAnsi="Arial" w:cs="Arial"/>
        </w:rPr>
        <w:t xml:space="preserve"> inclusive participation and a seamless flow of attendees. The event promotes meaningful interactions through </w:t>
      </w:r>
      <w:r w:rsidR="005C1D96" w:rsidRPr="005C1D96">
        <w:rPr>
          <w:rFonts w:ascii="Arial" w:hAnsi="Arial" w:cs="Arial"/>
        </w:rPr>
        <w:t>various</w:t>
      </w:r>
      <w:r w:rsidRPr="005C1D96">
        <w:rPr>
          <w:rFonts w:ascii="Arial" w:hAnsi="Arial" w:cs="Arial"/>
        </w:rPr>
        <w:t xml:space="preserve"> activities, including panel discussions, childcare-friendly spaces, and engaging networking zones </w:t>
      </w:r>
      <w:r w:rsidR="00786035" w:rsidRPr="005C1D96">
        <w:rPr>
          <w:rFonts w:ascii="Arial" w:hAnsi="Arial" w:cs="Arial"/>
        </w:rPr>
        <w:t>(Mair, Wood and Quinn, 2024)</w:t>
      </w:r>
      <w:r w:rsidRPr="005C1D96">
        <w:rPr>
          <w:rFonts w:ascii="Arial" w:hAnsi="Arial" w:cs="Arial"/>
        </w:rPr>
        <w:t xml:space="preserve">. Furthermore, attendees can personalise their schedules, receive notifications, and leverage AI-powered networking tools by utilising a dedicated event app, which improves real-time engagement </w:t>
      </w:r>
      <w:r w:rsidR="00313D0D" w:rsidRPr="005C1D96">
        <w:rPr>
          <w:rFonts w:ascii="Arial" w:hAnsi="Arial" w:cs="Arial"/>
        </w:rPr>
        <w:t>(</w:t>
      </w:r>
      <w:r w:rsidR="00790F3C" w:rsidRPr="005C1D96">
        <w:rPr>
          <w:rFonts w:ascii="Arial" w:hAnsi="Arial" w:cs="Arial"/>
        </w:rPr>
        <w:t>Salvatori, 2024</w:t>
      </w:r>
      <w:r w:rsidR="00313D0D" w:rsidRPr="005C1D96">
        <w:rPr>
          <w:rFonts w:ascii="Arial" w:hAnsi="Arial" w:cs="Arial"/>
        </w:rPr>
        <w:t>)</w:t>
      </w:r>
      <w:r w:rsidRPr="005C1D96">
        <w:rPr>
          <w:rFonts w:ascii="Arial" w:hAnsi="Arial" w:cs="Arial"/>
        </w:rPr>
        <w:t>.</w:t>
      </w:r>
    </w:p>
    <w:p w14:paraId="69C8C743" w14:textId="3DD7B019" w:rsidR="004C22C1" w:rsidRPr="005C1D96" w:rsidRDefault="004C22C1" w:rsidP="005C1D96">
      <w:pPr>
        <w:spacing w:line="360" w:lineRule="auto"/>
        <w:jc w:val="both"/>
        <w:rPr>
          <w:rFonts w:ascii="Arial" w:hAnsi="Arial" w:cs="Arial"/>
        </w:rPr>
      </w:pPr>
      <w:r w:rsidRPr="005C1D96">
        <w:rPr>
          <w:rFonts w:ascii="Arial" w:hAnsi="Arial" w:cs="Arial"/>
        </w:rPr>
        <w:t xml:space="preserve">Attendee engagement is boosted by the production and hospitality strategy. Entertainment, such as live storytelling, music performances, and mindfulness sessions, guarantees an immersive experience, while locally derived food options promote sustainability and cultural inclusivity. According to prior research, tension can be mitigated, professional development can be </w:t>
      </w:r>
      <w:r w:rsidR="005C1D96" w:rsidRPr="005C1D96">
        <w:rPr>
          <w:rFonts w:ascii="Arial" w:hAnsi="Arial" w:cs="Arial"/>
        </w:rPr>
        <w:t>encouraged</w:t>
      </w:r>
      <w:r w:rsidRPr="005C1D96">
        <w:rPr>
          <w:rFonts w:ascii="Arial" w:hAnsi="Arial" w:cs="Arial"/>
        </w:rPr>
        <w:t xml:space="preserve">, and employee satisfaction can be improved </w:t>
      </w:r>
      <w:r w:rsidR="005C1D96" w:rsidRPr="005C1D96">
        <w:rPr>
          <w:rFonts w:ascii="Arial" w:hAnsi="Arial" w:cs="Arial"/>
        </w:rPr>
        <w:t>by implementing</w:t>
      </w:r>
      <w:r w:rsidRPr="005C1D96">
        <w:rPr>
          <w:rFonts w:ascii="Arial" w:hAnsi="Arial" w:cs="Arial"/>
        </w:rPr>
        <w:t xml:space="preserve"> well-curated workplace events (</w:t>
      </w:r>
      <w:r w:rsidR="00BF672F" w:rsidRPr="005C1D96">
        <w:rPr>
          <w:rFonts w:ascii="Arial" w:hAnsi="Arial" w:cs="Arial"/>
        </w:rPr>
        <w:t>Ferreira et al., 2023</w:t>
      </w:r>
      <w:r w:rsidRPr="005C1D96">
        <w:rPr>
          <w:rFonts w:ascii="Arial" w:hAnsi="Arial" w:cs="Arial"/>
        </w:rPr>
        <w:t>).</w:t>
      </w:r>
    </w:p>
    <w:p w14:paraId="5D772BA1" w14:textId="0C0453B7" w:rsidR="004C22C1" w:rsidRPr="005C1D96" w:rsidRDefault="004C22C1" w:rsidP="005C1D96">
      <w:pPr>
        <w:spacing w:line="360" w:lineRule="auto"/>
        <w:jc w:val="both"/>
        <w:rPr>
          <w:rFonts w:ascii="Arial" w:hAnsi="Arial" w:cs="Arial"/>
        </w:rPr>
      </w:pPr>
      <w:r w:rsidRPr="005C1D96">
        <w:rPr>
          <w:rFonts w:ascii="Arial" w:hAnsi="Arial" w:cs="Arial"/>
        </w:rPr>
        <w:t>This festival establishes a transformative environment that promotes sustainable event management, employee well-being, and workplace inclusivity by combining industry insights with engaging, family-friendly experiences.</w:t>
      </w:r>
    </w:p>
    <w:p w14:paraId="0B9C48F0" w14:textId="0EC541ED" w:rsidR="004C22C1" w:rsidRPr="005C1D96" w:rsidRDefault="004C22C1" w:rsidP="005C1D96">
      <w:pPr>
        <w:spacing w:line="360" w:lineRule="auto"/>
        <w:jc w:val="both"/>
        <w:rPr>
          <w:rFonts w:ascii="Arial" w:hAnsi="Arial" w:cs="Arial"/>
        </w:rPr>
      </w:pPr>
    </w:p>
    <w:p w14:paraId="167E2B2C" w14:textId="6D435AA1" w:rsidR="00A65760" w:rsidRPr="005C1D96" w:rsidRDefault="00C47434" w:rsidP="00862421">
      <w:pPr>
        <w:spacing w:line="360" w:lineRule="auto"/>
        <w:jc w:val="center"/>
        <w:rPr>
          <w:rFonts w:ascii="Arial" w:hAnsi="Arial" w:cs="Arial"/>
          <w:b/>
          <w:bCs/>
        </w:rPr>
      </w:pPr>
      <w:r w:rsidRPr="005C1D96">
        <w:rPr>
          <w:rFonts w:ascii="Arial" w:hAnsi="Arial" w:cs="Arial"/>
          <w:noProof/>
        </w:rPr>
        <w:drawing>
          <wp:anchor distT="0" distB="0" distL="114300" distR="114300" simplePos="0" relativeHeight="251661312" behindDoc="0" locked="0" layoutInCell="1" allowOverlap="1" wp14:anchorId="12A1D211" wp14:editId="278615B0">
            <wp:simplePos x="0" y="0"/>
            <wp:positionH relativeFrom="margin">
              <wp:align>left</wp:align>
            </wp:positionH>
            <wp:positionV relativeFrom="paragraph">
              <wp:posOffset>269875</wp:posOffset>
            </wp:positionV>
            <wp:extent cx="2395220" cy="2402840"/>
            <wp:effectExtent l="0" t="0" r="5080" b="0"/>
            <wp:wrapSquare wrapText="bothSides"/>
            <wp:docPr id="1258381587" name="Picture 4" descr="Aim - definition and meaning with pictures | Picture Dictionary &amp;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im - definition and meaning with pictures | Picture Dictionary &amp; Boo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7191" cy="24047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5760" w:rsidRPr="005C1D96">
        <w:rPr>
          <w:rFonts w:ascii="Arial" w:hAnsi="Arial" w:cs="Arial"/>
          <w:b/>
          <w:bCs/>
        </w:rPr>
        <w:t>Aim and Objectives</w:t>
      </w:r>
    </w:p>
    <w:p w14:paraId="00C9A2AF" w14:textId="267BB233" w:rsidR="00526170" w:rsidRPr="005C1D96" w:rsidRDefault="00526170" w:rsidP="005C1D96">
      <w:pPr>
        <w:spacing w:line="360" w:lineRule="auto"/>
        <w:jc w:val="both"/>
        <w:rPr>
          <w:rFonts w:ascii="Arial" w:hAnsi="Arial" w:cs="Arial"/>
        </w:rPr>
      </w:pPr>
      <w:r w:rsidRPr="005C1D96">
        <w:rPr>
          <w:rFonts w:ascii="Arial" w:hAnsi="Arial" w:cs="Arial"/>
        </w:rPr>
        <w:t xml:space="preserve">The event is designed to address the distinctive challenges experienced by professionals in the sector </w:t>
      </w:r>
      <w:r w:rsidR="005C1D96" w:rsidRPr="005C1D96">
        <w:rPr>
          <w:rFonts w:ascii="Arial" w:hAnsi="Arial" w:cs="Arial"/>
        </w:rPr>
        <w:t>to promote</w:t>
      </w:r>
      <w:r w:rsidRPr="005C1D96">
        <w:rPr>
          <w:rFonts w:ascii="Arial" w:hAnsi="Arial" w:cs="Arial"/>
        </w:rPr>
        <w:t xml:space="preserve"> work-life balance and inclusivity for hospitality parents. </w:t>
      </w:r>
      <w:r w:rsidR="005C1D96" w:rsidRPr="005C1D96">
        <w:rPr>
          <w:rFonts w:ascii="Arial" w:hAnsi="Arial" w:cs="Arial"/>
        </w:rPr>
        <w:t>To</w:t>
      </w:r>
      <w:r w:rsidRPr="005C1D96">
        <w:rPr>
          <w:rFonts w:ascii="Arial" w:hAnsi="Arial" w:cs="Arial"/>
        </w:rPr>
        <w:t xml:space="preserve"> cultivate a more inclusive and supportive work environment, the event incorporates family-friendly activities, networking opportunities, and industry discussions (Tag-Eldeen </w:t>
      </w:r>
      <w:r w:rsidR="003E0AF8" w:rsidRPr="005C1D96">
        <w:rPr>
          <w:rFonts w:ascii="Arial" w:hAnsi="Arial" w:cs="Arial"/>
        </w:rPr>
        <w:t>and</w:t>
      </w:r>
      <w:r w:rsidRPr="005C1D96">
        <w:rPr>
          <w:rFonts w:ascii="Arial" w:hAnsi="Arial" w:cs="Arial"/>
        </w:rPr>
        <w:t xml:space="preserve"> Shawky, 2013).</w:t>
      </w:r>
    </w:p>
    <w:p w14:paraId="332B35DE" w14:textId="77777777" w:rsidR="00A65760" w:rsidRPr="005C1D96" w:rsidRDefault="00A65760" w:rsidP="005C1D96">
      <w:pPr>
        <w:spacing w:line="360" w:lineRule="auto"/>
        <w:jc w:val="both"/>
        <w:rPr>
          <w:rFonts w:ascii="Arial" w:hAnsi="Arial" w:cs="Arial"/>
        </w:rPr>
      </w:pPr>
      <w:r w:rsidRPr="005C1D96">
        <w:rPr>
          <w:rFonts w:ascii="Arial" w:hAnsi="Arial" w:cs="Arial"/>
        </w:rPr>
        <w:t>To achieve this, the following SMART objectives have been set:</w:t>
      </w:r>
    </w:p>
    <w:p w14:paraId="1BBE4AD0" w14:textId="77777777" w:rsidR="00A65760" w:rsidRPr="005C1D96" w:rsidRDefault="00A65760" w:rsidP="005C1D96">
      <w:pPr>
        <w:numPr>
          <w:ilvl w:val="0"/>
          <w:numId w:val="8"/>
        </w:numPr>
        <w:spacing w:line="360" w:lineRule="auto"/>
        <w:jc w:val="both"/>
        <w:rPr>
          <w:rFonts w:ascii="Arial" w:hAnsi="Arial" w:cs="Arial"/>
        </w:rPr>
      </w:pPr>
      <w:r w:rsidRPr="005C1D96">
        <w:rPr>
          <w:rFonts w:ascii="Arial" w:hAnsi="Arial" w:cs="Arial"/>
        </w:rPr>
        <w:lastRenderedPageBreak/>
        <w:t>Engage 1,000+ attendees in discussions on work-life integration through interactive panels, employer sessions, and guest speaker presentations (Knežević et al., 2023).</w:t>
      </w:r>
    </w:p>
    <w:p w14:paraId="6E48BF46" w14:textId="58F0CFEB" w:rsidR="00A65760" w:rsidRPr="005C1D96" w:rsidRDefault="00A65760" w:rsidP="005C1D96">
      <w:pPr>
        <w:numPr>
          <w:ilvl w:val="0"/>
          <w:numId w:val="8"/>
        </w:numPr>
        <w:spacing w:line="360" w:lineRule="auto"/>
        <w:jc w:val="both"/>
        <w:rPr>
          <w:rFonts w:ascii="Arial" w:hAnsi="Arial" w:cs="Arial"/>
        </w:rPr>
      </w:pPr>
      <w:r w:rsidRPr="005C1D96">
        <w:rPr>
          <w:rFonts w:ascii="Arial" w:hAnsi="Arial" w:cs="Arial"/>
        </w:rPr>
        <w:t xml:space="preserve">Advocate for family-friendly workplace policies by </w:t>
      </w:r>
      <w:r w:rsidR="00526170" w:rsidRPr="005C1D96">
        <w:rPr>
          <w:rFonts w:ascii="Arial" w:hAnsi="Arial" w:cs="Arial"/>
        </w:rPr>
        <w:t>presenting</w:t>
      </w:r>
      <w:r w:rsidRPr="005C1D96">
        <w:rPr>
          <w:rFonts w:ascii="Arial" w:hAnsi="Arial" w:cs="Arial"/>
        </w:rPr>
        <w:t xml:space="preserve"> industry panels with HR professionals and hospitality leaders, </w:t>
      </w:r>
      <w:r w:rsidR="00526170" w:rsidRPr="005C1D96">
        <w:rPr>
          <w:rFonts w:ascii="Arial" w:hAnsi="Arial" w:cs="Arial"/>
        </w:rPr>
        <w:t>highlighting</w:t>
      </w:r>
      <w:r w:rsidRPr="005C1D96">
        <w:rPr>
          <w:rFonts w:ascii="Arial" w:hAnsi="Arial" w:cs="Arial"/>
        </w:rPr>
        <w:t xml:space="preserve"> best practices and policy recommendations (</w:t>
      </w:r>
      <w:proofErr w:type="spellStart"/>
      <w:r w:rsidRPr="005C1D96">
        <w:rPr>
          <w:rFonts w:ascii="Arial" w:hAnsi="Arial" w:cs="Arial"/>
        </w:rPr>
        <w:t>Michopoulou</w:t>
      </w:r>
      <w:proofErr w:type="spellEnd"/>
      <w:r w:rsidRPr="005C1D96">
        <w:rPr>
          <w:rFonts w:ascii="Arial" w:hAnsi="Arial" w:cs="Arial"/>
        </w:rPr>
        <w:t xml:space="preserve">, Azara </w:t>
      </w:r>
      <w:r w:rsidR="003E0AF8" w:rsidRPr="005C1D96">
        <w:rPr>
          <w:rFonts w:ascii="Arial" w:hAnsi="Arial" w:cs="Arial"/>
        </w:rPr>
        <w:t>and</w:t>
      </w:r>
      <w:r w:rsidRPr="005C1D96">
        <w:rPr>
          <w:rFonts w:ascii="Arial" w:hAnsi="Arial" w:cs="Arial"/>
        </w:rPr>
        <w:t xml:space="preserve"> Russell, 2020).</w:t>
      </w:r>
    </w:p>
    <w:p w14:paraId="77DEE157" w14:textId="50E76C29" w:rsidR="00A65760" w:rsidRPr="005C1D96" w:rsidRDefault="00A65760" w:rsidP="005C1D96">
      <w:pPr>
        <w:numPr>
          <w:ilvl w:val="0"/>
          <w:numId w:val="8"/>
        </w:numPr>
        <w:spacing w:line="360" w:lineRule="auto"/>
        <w:jc w:val="both"/>
        <w:rPr>
          <w:rFonts w:ascii="Arial" w:hAnsi="Arial" w:cs="Arial"/>
        </w:rPr>
      </w:pPr>
      <w:r w:rsidRPr="005C1D96">
        <w:rPr>
          <w:rFonts w:ascii="Arial" w:hAnsi="Arial" w:cs="Arial"/>
        </w:rPr>
        <w:t>Facilitate meaningful networking opportunities for hospitality professionals, HR leaders, and employers to build support systems and career pathways (</w:t>
      </w:r>
      <w:r w:rsidR="004C042B" w:rsidRPr="005C1D96">
        <w:rPr>
          <w:rFonts w:ascii="Arial" w:hAnsi="Arial" w:cs="Arial"/>
        </w:rPr>
        <w:t>Cassel et al., 2018</w:t>
      </w:r>
      <w:r w:rsidRPr="005C1D96">
        <w:rPr>
          <w:rFonts w:ascii="Arial" w:hAnsi="Arial" w:cs="Arial"/>
        </w:rPr>
        <w:t>).</w:t>
      </w:r>
    </w:p>
    <w:p w14:paraId="3CD8E744" w14:textId="54678F71" w:rsidR="00A65760" w:rsidRPr="005C1D96" w:rsidRDefault="003804DA" w:rsidP="005C1D96">
      <w:pPr>
        <w:spacing w:line="360" w:lineRule="auto"/>
        <w:jc w:val="both"/>
        <w:rPr>
          <w:rFonts w:ascii="Arial" w:hAnsi="Arial" w:cs="Arial"/>
        </w:rPr>
      </w:pPr>
      <w:r w:rsidRPr="005C1D96">
        <w:rPr>
          <w:rFonts w:ascii="Arial" w:hAnsi="Arial" w:cs="Arial"/>
        </w:rPr>
        <w:t xml:space="preserve">These objectives are consistent with the most recent developments in </w:t>
      </w:r>
      <w:r w:rsidR="005C1D96" w:rsidRPr="005C1D96">
        <w:rPr>
          <w:rFonts w:ascii="Arial" w:hAnsi="Arial" w:cs="Arial"/>
        </w:rPr>
        <w:t>employees' well-being and the workforce's inclusivity</w:t>
      </w:r>
      <w:r w:rsidRPr="005C1D96">
        <w:rPr>
          <w:rFonts w:ascii="Arial" w:hAnsi="Arial" w:cs="Arial"/>
        </w:rPr>
        <w:t xml:space="preserve">. Research indicates that </w:t>
      </w:r>
      <w:r w:rsidR="005C1D96" w:rsidRPr="005C1D96">
        <w:rPr>
          <w:rFonts w:ascii="Arial" w:hAnsi="Arial" w:cs="Arial"/>
        </w:rPr>
        <w:t xml:space="preserve">industry networking and panel discussions positively influence employee engagement, diversity, and professional development </w:t>
      </w:r>
      <w:r w:rsidRPr="005C1D96">
        <w:rPr>
          <w:rFonts w:ascii="Arial" w:hAnsi="Arial" w:cs="Arial"/>
        </w:rPr>
        <w:t xml:space="preserve">(Fabrizi et al., 2020). Additionally, </w:t>
      </w:r>
      <w:r w:rsidR="005C1D96" w:rsidRPr="005C1D96">
        <w:rPr>
          <w:rFonts w:ascii="Arial" w:hAnsi="Arial" w:cs="Arial"/>
        </w:rPr>
        <w:t>promoting</w:t>
      </w:r>
      <w:r w:rsidRPr="005C1D96">
        <w:rPr>
          <w:rFonts w:ascii="Arial" w:hAnsi="Arial" w:cs="Arial"/>
        </w:rPr>
        <w:t xml:space="preserve"> an inclusive work environment has been associated with increased productivity, talent retention, and job satisfaction (Rahman et al., 2023). The event </w:t>
      </w:r>
      <w:r w:rsidR="005C1D96" w:rsidRPr="005C1D96">
        <w:rPr>
          <w:rFonts w:ascii="Arial" w:hAnsi="Arial" w:cs="Arial"/>
        </w:rPr>
        <w:t>is</w:t>
      </w:r>
      <w:r w:rsidRPr="005C1D96">
        <w:rPr>
          <w:rFonts w:ascii="Arial" w:hAnsi="Arial" w:cs="Arial"/>
        </w:rPr>
        <w:t xml:space="preserve"> a platform for dialogue, advocacy, and sustainable workplace change by incorporating these strategic objectives.</w:t>
      </w:r>
    </w:p>
    <w:p w14:paraId="2D82D9E5" w14:textId="77777777" w:rsidR="003804DA" w:rsidRPr="005C1D96" w:rsidRDefault="003804DA" w:rsidP="005C1D96">
      <w:pPr>
        <w:spacing w:line="360" w:lineRule="auto"/>
        <w:jc w:val="both"/>
        <w:rPr>
          <w:rFonts w:ascii="Arial" w:hAnsi="Arial" w:cs="Arial"/>
          <w:b/>
          <w:bCs/>
        </w:rPr>
      </w:pPr>
    </w:p>
    <w:p w14:paraId="682CDFD0" w14:textId="258EEA8C" w:rsidR="00A65760" w:rsidRPr="005C1D96" w:rsidRDefault="00A65760" w:rsidP="00862421">
      <w:pPr>
        <w:spacing w:line="360" w:lineRule="auto"/>
        <w:jc w:val="center"/>
        <w:rPr>
          <w:rFonts w:ascii="Arial" w:hAnsi="Arial" w:cs="Arial"/>
          <w:b/>
          <w:bCs/>
        </w:rPr>
      </w:pPr>
      <w:r w:rsidRPr="005C1D96">
        <w:rPr>
          <w:rFonts w:ascii="Arial" w:hAnsi="Arial" w:cs="Arial"/>
          <w:b/>
          <w:bCs/>
        </w:rPr>
        <w:t>Event Management</w:t>
      </w:r>
    </w:p>
    <w:p w14:paraId="27091398" w14:textId="40759B4A" w:rsidR="000B13DD" w:rsidRPr="005C1D96" w:rsidRDefault="002E0CFA" w:rsidP="005C1D96">
      <w:pPr>
        <w:spacing w:line="360" w:lineRule="auto"/>
        <w:jc w:val="both"/>
        <w:rPr>
          <w:rFonts w:ascii="Arial" w:hAnsi="Arial" w:cs="Arial"/>
          <w:b/>
          <w:bCs/>
        </w:rPr>
      </w:pPr>
      <w:r w:rsidRPr="005C1D96">
        <w:rPr>
          <w:rFonts w:ascii="Arial" w:hAnsi="Arial" w:cs="Arial"/>
          <w:noProof/>
        </w:rPr>
        <w:drawing>
          <wp:anchor distT="0" distB="0" distL="114300" distR="114300" simplePos="0" relativeHeight="251662336" behindDoc="0" locked="0" layoutInCell="1" allowOverlap="1" wp14:anchorId="3BFC38CF" wp14:editId="27BAAC1F">
            <wp:simplePos x="0" y="0"/>
            <wp:positionH relativeFrom="column">
              <wp:posOffset>-635</wp:posOffset>
            </wp:positionH>
            <wp:positionV relativeFrom="paragraph">
              <wp:posOffset>648335</wp:posOffset>
            </wp:positionV>
            <wp:extent cx="3723640" cy="2477770"/>
            <wp:effectExtent l="95250" t="95250" r="29210" b="36830"/>
            <wp:wrapSquare wrapText="bothSides"/>
            <wp:docPr id="1775048209" name="Picture 5" descr="Process Management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cess Management Vector Art, Icons, and Graphics for Free Downloa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23640" cy="2477770"/>
                    </a:xfrm>
                    <a:prstGeom prst="rect">
                      <a:avLst/>
                    </a:prstGeom>
                    <a:noFill/>
                    <a:ln>
                      <a:noFill/>
                    </a:ln>
                    <a:effectLst>
                      <a:outerShdw blurRad="50800" dist="38100" dir="13500000" algn="b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0B13DD" w:rsidRPr="005C1D96">
        <w:rPr>
          <w:rFonts w:ascii="Arial" w:hAnsi="Arial" w:cs="Arial"/>
        </w:rPr>
        <w:t xml:space="preserve">A structured, strategic approach is necessary to ensure the festival's effective operations, optimal attendee experience, and stakeholder alignment. Effective event management is dependent on this approach. The event's execution is contingent upon </w:t>
      </w:r>
      <w:r w:rsidR="005C1D96" w:rsidRPr="005C1D96">
        <w:rPr>
          <w:rFonts w:ascii="Arial" w:hAnsi="Arial" w:cs="Arial"/>
        </w:rPr>
        <w:t xml:space="preserve">applying the EMBOK framework, which necessitates operational efficiency, personnel planning, and marketing strategies </w:t>
      </w:r>
      <w:r w:rsidR="000B13DD" w:rsidRPr="005C1D96">
        <w:rPr>
          <w:rFonts w:ascii="Arial" w:hAnsi="Arial" w:cs="Arial"/>
        </w:rPr>
        <w:t>essential for sustainable delivery (Bowdin et al., 201</w:t>
      </w:r>
      <w:r w:rsidR="0098755B" w:rsidRPr="005C1D96">
        <w:rPr>
          <w:rFonts w:ascii="Arial" w:hAnsi="Arial" w:cs="Arial"/>
        </w:rPr>
        <w:t>1</w:t>
      </w:r>
      <w:r w:rsidR="000B13DD" w:rsidRPr="005C1D96">
        <w:rPr>
          <w:rFonts w:ascii="Arial" w:hAnsi="Arial" w:cs="Arial"/>
        </w:rPr>
        <w:t>).</w:t>
      </w:r>
    </w:p>
    <w:p w14:paraId="505A01B8" w14:textId="038F2EF5" w:rsidR="00A65760" w:rsidRPr="005C1D96" w:rsidRDefault="00A65760" w:rsidP="005C1D96">
      <w:pPr>
        <w:pStyle w:val="ListParagraph"/>
        <w:numPr>
          <w:ilvl w:val="0"/>
          <w:numId w:val="9"/>
        </w:numPr>
        <w:spacing w:line="360" w:lineRule="auto"/>
        <w:jc w:val="both"/>
        <w:rPr>
          <w:rFonts w:ascii="Arial" w:hAnsi="Arial" w:cs="Arial"/>
          <w:b/>
          <w:bCs/>
        </w:rPr>
      </w:pPr>
      <w:r w:rsidRPr="005C1D96">
        <w:rPr>
          <w:rFonts w:ascii="Arial" w:hAnsi="Arial" w:cs="Arial"/>
          <w:b/>
          <w:bCs/>
        </w:rPr>
        <w:t>Operational Needs</w:t>
      </w:r>
    </w:p>
    <w:p w14:paraId="70C9677E" w14:textId="62E3F576" w:rsidR="007B4765" w:rsidRPr="005C1D96" w:rsidRDefault="007B4765" w:rsidP="005C1D96">
      <w:pPr>
        <w:spacing w:line="360" w:lineRule="auto"/>
        <w:jc w:val="both"/>
        <w:rPr>
          <w:rFonts w:ascii="Arial" w:hAnsi="Arial" w:cs="Arial"/>
        </w:rPr>
      </w:pPr>
      <w:r w:rsidRPr="005C1D96">
        <w:rPr>
          <w:rFonts w:ascii="Arial" w:hAnsi="Arial" w:cs="Arial"/>
        </w:rPr>
        <w:t xml:space="preserve">This is essential for the smooth passage of attendees, security, and logistics. The </w:t>
      </w:r>
      <w:r w:rsidR="005C1D96" w:rsidRPr="005C1D96">
        <w:rPr>
          <w:rFonts w:ascii="Arial" w:hAnsi="Arial" w:cs="Arial"/>
        </w:rPr>
        <w:t>venue’s logistics</w:t>
      </w:r>
      <w:r w:rsidRPr="005C1D96">
        <w:rPr>
          <w:rFonts w:ascii="Arial" w:hAnsi="Arial" w:cs="Arial"/>
        </w:rPr>
        <w:t xml:space="preserve"> cover the booking, layout setup, and adherence to accessibility standards (</w:t>
      </w:r>
      <w:r w:rsidR="00F900C2" w:rsidRPr="005C1D96">
        <w:rPr>
          <w:rFonts w:ascii="Arial" w:hAnsi="Arial" w:cs="Arial"/>
        </w:rPr>
        <w:t>Legislation.gov.uk, 2025</w:t>
      </w:r>
      <w:r w:rsidRPr="005C1D96">
        <w:rPr>
          <w:rFonts w:ascii="Arial" w:hAnsi="Arial" w:cs="Arial"/>
        </w:rPr>
        <w:t xml:space="preserve">). Efficient operations and visitor safety are guaranteed by the </w:t>
      </w:r>
      <w:r w:rsidRPr="005C1D96">
        <w:rPr>
          <w:rFonts w:ascii="Arial" w:hAnsi="Arial" w:cs="Arial"/>
        </w:rPr>
        <w:lastRenderedPageBreak/>
        <w:t xml:space="preserve">presence of 25 event professionals, 12 childcare workers, and </w:t>
      </w:r>
      <w:r w:rsidR="001A3166" w:rsidRPr="005C1D96">
        <w:rPr>
          <w:rFonts w:ascii="Arial" w:hAnsi="Arial" w:cs="Arial"/>
        </w:rPr>
        <w:t>eight</w:t>
      </w:r>
      <w:r w:rsidRPr="005C1D96">
        <w:rPr>
          <w:rFonts w:ascii="Arial" w:hAnsi="Arial" w:cs="Arial"/>
        </w:rPr>
        <w:t xml:space="preserve"> security personnel (</w:t>
      </w:r>
      <w:r w:rsidR="00EA3879" w:rsidRPr="005C1D96">
        <w:rPr>
          <w:rFonts w:ascii="Arial" w:hAnsi="Arial" w:cs="Arial"/>
        </w:rPr>
        <w:t>Salama, 2021</w:t>
      </w:r>
      <w:r w:rsidRPr="005C1D96">
        <w:rPr>
          <w:rFonts w:ascii="Arial" w:hAnsi="Arial" w:cs="Arial"/>
        </w:rPr>
        <w:t>). Overcrowding risks are mitigated</w:t>
      </w:r>
      <w:r w:rsidR="005C1D96" w:rsidRPr="005C1D96">
        <w:rPr>
          <w:rFonts w:ascii="Arial" w:hAnsi="Arial" w:cs="Arial"/>
        </w:rPr>
        <w:t>,</w:t>
      </w:r>
      <w:r w:rsidRPr="005C1D96">
        <w:rPr>
          <w:rFonts w:ascii="Arial" w:hAnsi="Arial" w:cs="Arial"/>
        </w:rPr>
        <w:t xml:space="preserve"> and security is improved </w:t>
      </w:r>
      <w:r w:rsidR="005C1D96" w:rsidRPr="005C1D96">
        <w:rPr>
          <w:rFonts w:ascii="Arial" w:hAnsi="Arial" w:cs="Arial"/>
        </w:rPr>
        <w:t>by implementing</w:t>
      </w:r>
      <w:r w:rsidRPr="005C1D96">
        <w:rPr>
          <w:rFonts w:ascii="Arial" w:hAnsi="Arial" w:cs="Arial"/>
        </w:rPr>
        <w:t xml:space="preserve"> crowd management strategies, including controlled entry points, digital check-ins, and real-time monitoring (Tiew, Holmes </w:t>
      </w:r>
      <w:r w:rsidR="003E0AF8" w:rsidRPr="005C1D96">
        <w:rPr>
          <w:rFonts w:ascii="Arial" w:hAnsi="Arial" w:cs="Arial"/>
        </w:rPr>
        <w:t>and</w:t>
      </w:r>
      <w:r w:rsidRPr="005C1D96">
        <w:rPr>
          <w:rFonts w:ascii="Arial" w:hAnsi="Arial" w:cs="Arial"/>
        </w:rPr>
        <w:t xml:space="preserve"> </w:t>
      </w:r>
      <w:proofErr w:type="spellStart"/>
      <w:r w:rsidRPr="005C1D96">
        <w:rPr>
          <w:rFonts w:ascii="Arial" w:hAnsi="Arial" w:cs="Arial"/>
        </w:rPr>
        <w:t>Bussy</w:t>
      </w:r>
      <w:proofErr w:type="spellEnd"/>
      <w:r w:rsidRPr="005C1D96">
        <w:rPr>
          <w:rFonts w:ascii="Arial" w:hAnsi="Arial" w:cs="Arial"/>
        </w:rPr>
        <w:t>, 2022).</w:t>
      </w:r>
    </w:p>
    <w:p w14:paraId="407FB92B" w14:textId="7A824356" w:rsidR="00A65760" w:rsidRPr="005C1D96" w:rsidRDefault="00A65760" w:rsidP="005C1D96">
      <w:pPr>
        <w:pStyle w:val="ListParagraph"/>
        <w:numPr>
          <w:ilvl w:val="0"/>
          <w:numId w:val="9"/>
        </w:numPr>
        <w:spacing w:line="360" w:lineRule="auto"/>
        <w:jc w:val="both"/>
        <w:rPr>
          <w:rFonts w:ascii="Arial" w:hAnsi="Arial" w:cs="Arial"/>
          <w:b/>
          <w:bCs/>
        </w:rPr>
      </w:pPr>
      <w:r w:rsidRPr="005C1D96">
        <w:rPr>
          <w:rFonts w:ascii="Arial" w:hAnsi="Arial" w:cs="Arial"/>
          <w:b/>
          <w:bCs/>
        </w:rPr>
        <w:t xml:space="preserve">Marketing </w:t>
      </w:r>
      <w:r w:rsidR="000324A8" w:rsidRPr="005C1D96">
        <w:rPr>
          <w:rFonts w:ascii="Arial" w:hAnsi="Arial" w:cs="Arial"/>
          <w:b/>
          <w:bCs/>
        </w:rPr>
        <w:t>and</w:t>
      </w:r>
      <w:r w:rsidRPr="005C1D96">
        <w:rPr>
          <w:rFonts w:ascii="Arial" w:hAnsi="Arial" w:cs="Arial"/>
          <w:b/>
          <w:bCs/>
        </w:rPr>
        <w:t xml:space="preserve"> Planning</w:t>
      </w:r>
    </w:p>
    <w:p w14:paraId="36BC10F0" w14:textId="3B6D23EE" w:rsidR="00CA02ED" w:rsidRPr="005C1D96" w:rsidRDefault="005F2104" w:rsidP="005C1D96">
      <w:pPr>
        <w:spacing w:line="360" w:lineRule="auto"/>
        <w:jc w:val="both"/>
        <w:rPr>
          <w:rFonts w:ascii="Arial" w:hAnsi="Arial" w:cs="Arial"/>
          <w:b/>
          <w:bCs/>
        </w:rPr>
      </w:pPr>
      <w:r w:rsidRPr="005F2104">
        <w:rPr>
          <w:rFonts w:ascii="Arial" w:hAnsi="Arial" w:cs="Arial"/>
        </w:rPr>
        <w:t>A multi-channel marketing strategy has been implemented to optimise visibility and engagement</w:t>
      </w:r>
      <w:r w:rsidR="00CA02ED" w:rsidRPr="005C1D96">
        <w:rPr>
          <w:rFonts w:ascii="Arial" w:hAnsi="Arial" w:cs="Arial"/>
        </w:rPr>
        <w:t xml:space="preserve">. Industry partnerships are employed to attract hospitality personnel through targeted social media campaigns (LinkedIn, Instagram, Facebook) (Hazira, 2022). Financial stability and brand synergy are promoted through sponsorship engagement with Unilever, Tesco, and LEGO (Ziakas </w:t>
      </w:r>
      <w:r w:rsidR="00FB0C04" w:rsidRPr="005C1D96">
        <w:rPr>
          <w:rFonts w:ascii="Arial" w:hAnsi="Arial" w:cs="Arial"/>
        </w:rPr>
        <w:t>and</w:t>
      </w:r>
      <w:r w:rsidR="00CA02ED" w:rsidRPr="005C1D96">
        <w:rPr>
          <w:rFonts w:ascii="Arial" w:hAnsi="Arial" w:cs="Arial"/>
        </w:rPr>
        <w:t xml:space="preserve"> Getz, 20</w:t>
      </w:r>
      <w:r w:rsidR="00FB0C04" w:rsidRPr="005C1D96">
        <w:rPr>
          <w:rFonts w:ascii="Arial" w:hAnsi="Arial" w:cs="Arial"/>
        </w:rPr>
        <w:t>20</w:t>
      </w:r>
      <w:r w:rsidR="00CA02ED" w:rsidRPr="005C1D96">
        <w:rPr>
          <w:rFonts w:ascii="Arial" w:hAnsi="Arial" w:cs="Arial"/>
        </w:rPr>
        <w:t xml:space="preserve">). </w:t>
      </w:r>
      <w:r w:rsidR="005C1D96" w:rsidRPr="005C1D96">
        <w:rPr>
          <w:rFonts w:ascii="Arial" w:hAnsi="Arial" w:cs="Arial"/>
        </w:rPr>
        <w:t>Schofield et al. (2018) state that</w:t>
      </w:r>
      <w:r w:rsidR="00CA02ED" w:rsidRPr="005C1D96">
        <w:rPr>
          <w:rFonts w:ascii="Arial" w:hAnsi="Arial" w:cs="Arial"/>
        </w:rPr>
        <w:t xml:space="preserve"> a digital ticketing and registration system guarantees sustainability, pre-event data collection, and seamless attendee management by decreasing paper consumption.</w:t>
      </w:r>
    </w:p>
    <w:p w14:paraId="4101A939" w14:textId="77777777" w:rsidR="009634FD" w:rsidRPr="005C1D96" w:rsidRDefault="00A65760" w:rsidP="005C1D96">
      <w:pPr>
        <w:pStyle w:val="ListParagraph"/>
        <w:numPr>
          <w:ilvl w:val="0"/>
          <w:numId w:val="9"/>
        </w:numPr>
        <w:spacing w:line="360" w:lineRule="auto"/>
        <w:jc w:val="both"/>
        <w:rPr>
          <w:rFonts w:ascii="Arial" w:hAnsi="Arial" w:cs="Arial"/>
          <w:b/>
          <w:bCs/>
        </w:rPr>
      </w:pPr>
      <w:r w:rsidRPr="005C1D96">
        <w:rPr>
          <w:rFonts w:ascii="Arial" w:hAnsi="Arial" w:cs="Arial"/>
          <w:b/>
          <w:bCs/>
        </w:rPr>
        <w:t>Workforce &amp; Stakeholder Collaboration</w:t>
      </w:r>
    </w:p>
    <w:p w14:paraId="5A69B25A" w14:textId="5C6C2539" w:rsidR="009634FD" w:rsidRPr="005C1D96" w:rsidRDefault="009634FD" w:rsidP="005C1D96">
      <w:pPr>
        <w:spacing w:line="360" w:lineRule="auto"/>
        <w:jc w:val="both"/>
        <w:rPr>
          <w:rFonts w:ascii="Arial" w:hAnsi="Arial" w:cs="Arial"/>
          <w:b/>
          <w:bCs/>
        </w:rPr>
      </w:pPr>
      <w:r w:rsidRPr="005C1D96">
        <w:rPr>
          <w:rFonts w:ascii="Arial" w:hAnsi="Arial" w:cs="Arial"/>
        </w:rPr>
        <w:t xml:space="preserve">The event's success </w:t>
      </w:r>
      <w:r w:rsidR="005C1D96" w:rsidRPr="005C1D96">
        <w:rPr>
          <w:rFonts w:ascii="Arial" w:hAnsi="Arial" w:cs="Arial"/>
        </w:rPr>
        <w:t>depends on the staff’s efficiency</w:t>
      </w:r>
      <w:r w:rsidRPr="005C1D96">
        <w:rPr>
          <w:rFonts w:ascii="Arial" w:hAnsi="Arial" w:cs="Arial"/>
        </w:rPr>
        <w:t xml:space="preserve"> and the development of strategic stakeholder partnerships. The credibility and effectiveness of execution are improved through collaboration with industry leaders, government entities, and HR professionals, according to stakeholder management theory (Freeman, 1984). In </w:t>
      </w:r>
      <w:r w:rsidR="005C1D96" w:rsidRPr="005C1D96">
        <w:rPr>
          <w:rFonts w:ascii="Arial" w:hAnsi="Arial" w:cs="Arial"/>
        </w:rPr>
        <w:t>event management, it is essential to understand and handle internal and external stakeholders to</w:t>
      </w:r>
      <w:r w:rsidR="001A3166" w:rsidRPr="005C1D96">
        <w:rPr>
          <w:rFonts w:ascii="Arial" w:hAnsi="Arial" w:cs="Arial"/>
        </w:rPr>
        <w:t xml:space="preserve"> achieve</w:t>
      </w:r>
      <w:r w:rsidRPr="005C1D96">
        <w:rPr>
          <w:rFonts w:ascii="Arial" w:hAnsi="Arial" w:cs="Arial"/>
        </w:rPr>
        <w:t xml:space="preserve"> successful planning and operations (</w:t>
      </w:r>
      <w:r w:rsidR="009A0D45" w:rsidRPr="005C1D96">
        <w:rPr>
          <w:rFonts w:ascii="Arial" w:hAnsi="Arial" w:cs="Arial"/>
        </w:rPr>
        <w:t>Getz and Page, 2024</w:t>
      </w:r>
      <w:r w:rsidRPr="005C1D96">
        <w:rPr>
          <w:rFonts w:ascii="Arial" w:hAnsi="Arial" w:cs="Arial"/>
        </w:rPr>
        <w:t xml:space="preserve">). Training programs for temporary event staff guarantee consistent service quality (Muskat </w:t>
      </w:r>
      <w:r w:rsidR="003E0AF8" w:rsidRPr="005C1D96">
        <w:rPr>
          <w:rFonts w:ascii="Arial" w:hAnsi="Arial" w:cs="Arial"/>
        </w:rPr>
        <w:t>and</w:t>
      </w:r>
      <w:r w:rsidRPr="005C1D96">
        <w:rPr>
          <w:rFonts w:ascii="Arial" w:hAnsi="Arial" w:cs="Arial"/>
        </w:rPr>
        <w:t xml:space="preserve"> Mair, 2019). Furthermore, sponsorship commitments, resource allocation, and operational support are fortified through inter-stakeholder collaboration (</w:t>
      </w:r>
      <w:r w:rsidR="00F76C30" w:rsidRPr="005C1D96">
        <w:rPr>
          <w:rFonts w:ascii="Arial" w:hAnsi="Arial" w:cs="Arial"/>
        </w:rPr>
        <w:t>Salama</w:t>
      </w:r>
      <w:r w:rsidR="003D63BC" w:rsidRPr="005C1D96">
        <w:rPr>
          <w:rFonts w:ascii="Arial" w:hAnsi="Arial" w:cs="Arial"/>
        </w:rPr>
        <w:t>, 2021</w:t>
      </w:r>
      <w:r w:rsidRPr="005C1D96">
        <w:rPr>
          <w:rFonts w:ascii="Arial" w:hAnsi="Arial" w:cs="Arial"/>
        </w:rPr>
        <w:t>).</w:t>
      </w:r>
    </w:p>
    <w:p w14:paraId="7A980757" w14:textId="60709750" w:rsidR="00A65760" w:rsidRPr="005C1D96" w:rsidRDefault="00A65760" w:rsidP="005C1D96">
      <w:pPr>
        <w:pStyle w:val="ListParagraph"/>
        <w:numPr>
          <w:ilvl w:val="0"/>
          <w:numId w:val="9"/>
        </w:numPr>
        <w:spacing w:line="360" w:lineRule="auto"/>
        <w:jc w:val="both"/>
        <w:rPr>
          <w:rFonts w:ascii="Arial" w:hAnsi="Arial" w:cs="Arial"/>
          <w:b/>
          <w:bCs/>
        </w:rPr>
      </w:pPr>
      <w:r w:rsidRPr="005C1D96">
        <w:rPr>
          <w:rFonts w:ascii="Arial" w:hAnsi="Arial" w:cs="Arial"/>
          <w:b/>
          <w:bCs/>
        </w:rPr>
        <w:t>Justification &amp; Strategic Value</w:t>
      </w:r>
    </w:p>
    <w:p w14:paraId="2EA73703" w14:textId="5E21A06E" w:rsidR="00A65760" w:rsidRPr="005C1D96" w:rsidRDefault="005B4CC0" w:rsidP="005C1D96">
      <w:pPr>
        <w:spacing w:line="360" w:lineRule="auto"/>
        <w:jc w:val="both"/>
        <w:rPr>
          <w:rFonts w:ascii="Arial" w:hAnsi="Arial" w:cs="Arial"/>
        </w:rPr>
      </w:pPr>
      <w:r w:rsidRPr="005C1D96">
        <w:rPr>
          <w:rFonts w:ascii="Arial" w:hAnsi="Arial" w:cs="Arial"/>
        </w:rPr>
        <w:t xml:space="preserve">Implementing the EMBOK model guarantees stakeholder integration, workforce optimisation, and risk mitigation. An event that is logistically sound, financially sustainable, and inclusive is achieved through sponsorship-driven funding, real-time monitoring, and strategic venue planning (Isa, </w:t>
      </w:r>
      <w:proofErr w:type="spellStart"/>
      <w:r w:rsidRPr="005C1D96">
        <w:rPr>
          <w:rFonts w:ascii="Arial" w:hAnsi="Arial" w:cs="Arial"/>
        </w:rPr>
        <w:t>Zamzuri</w:t>
      </w:r>
      <w:proofErr w:type="spellEnd"/>
      <w:r w:rsidRPr="005C1D96">
        <w:rPr>
          <w:rFonts w:ascii="Arial" w:hAnsi="Arial" w:cs="Arial"/>
        </w:rPr>
        <w:t xml:space="preserve"> </w:t>
      </w:r>
      <w:r w:rsidR="003E0AF8" w:rsidRPr="005C1D96">
        <w:rPr>
          <w:rFonts w:ascii="Arial" w:hAnsi="Arial" w:cs="Arial"/>
        </w:rPr>
        <w:t>and</w:t>
      </w:r>
      <w:r w:rsidRPr="005C1D96">
        <w:rPr>
          <w:rFonts w:ascii="Arial" w:hAnsi="Arial" w:cs="Arial"/>
        </w:rPr>
        <w:t xml:space="preserve"> </w:t>
      </w:r>
      <w:proofErr w:type="spellStart"/>
      <w:r w:rsidRPr="005C1D96">
        <w:rPr>
          <w:rFonts w:ascii="Arial" w:hAnsi="Arial" w:cs="Arial"/>
        </w:rPr>
        <w:t>Rosnan</w:t>
      </w:r>
      <w:proofErr w:type="spellEnd"/>
      <w:r w:rsidRPr="005C1D96">
        <w:rPr>
          <w:rFonts w:ascii="Arial" w:hAnsi="Arial" w:cs="Arial"/>
        </w:rPr>
        <w:t>, 2024). The long-term viability and professional significance of the EMBOK approach are reinforced by its alignment with industry standards in all event aspects.</w:t>
      </w:r>
    </w:p>
    <w:p w14:paraId="16BCA43A" w14:textId="77777777" w:rsidR="00A65760" w:rsidRPr="005C1D96" w:rsidRDefault="00A65760" w:rsidP="005C1D96">
      <w:pPr>
        <w:spacing w:line="360" w:lineRule="auto"/>
        <w:jc w:val="both"/>
        <w:rPr>
          <w:rFonts w:ascii="Arial" w:hAnsi="Arial" w:cs="Arial"/>
        </w:rPr>
      </w:pPr>
    </w:p>
    <w:p w14:paraId="3F83426C" w14:textId="77777777" w:rsidR="00862421" w:rsidRDefault="00862421" w:rsidP="00862421">
      <w:pPr>
        <w:spacing w:line="360" w:lineRule="auto"/>
        <w:jc w:val="center"/>
        <w:rPr>
          <w:rFonts w:ascii="Arial" w:hAnsi="Arial" w:cs="Arial"/>
          <w:b/>
          <w:bCs/>
        </w:rPr>
      </w:pPr>
    </w:p>
    <w:p w14:paraId="5DF5128B" w14:textId="0A001070" w:rsidR="00A65760" w:rsidRPr="005C1D96" w:rsidRDefault="00A65760" w:rsidP="00862421">
      <w:pPr>
        <w:spacing w:line="360" w:lineRule="auto"/>
        <w:jc w:val="center"/>
        <w:rPr>
          <w:rFonts w:ascii="Arial" w:hAnsi="Arial" w:cs="Arial"/>
          <w:b/>
          <w:bCs/>
        </w:rPr>
      </w:pPr>
      <w:r w:rsidRPr="005C1D96">
        <w:rPr>
          <w:rFonts w:ascii="Arial" w:hAnsi="Arial" w:cs="Arial"/>
          <w:b/>
          <w:bCs/>
        </w:rPr>
        <w:lastRenderedPageBreak/>
        <w:t>Event Budget</w:t>
      </w:r>
    </w:p>
    <w:p w14:paraId="147C7DE0" w14:textId="060BB3DE" w:rsidR="005766F2" w:rsidRPr="005C1D96" w:rsidRDefault="00862421" w:rsidP="005C1D96">
      <w:pPr>
        <w:spacing w:line="360" w:lineRule="auto"/>
        <w:jc w:val="both"/>
        <w:rPr>
          <w:rFonts w:ascii="Arial" w:hAnsi="Arial" w:cs="Arial"/>
          <w:b/>
          <w:bCs/>
        </w:rPr>
      </w:pPr>
      <w:r w:rsidRPr="005C1D96">
        <w:rPr>
          <w:rFonts w:ascii="Arial" w:hAnsi="Arial" w:cs="Arial"/>
          <w:noProof/>
        </w:rPr>
        <w:drawing>
          <wp:anchor distT="0" distB="0" distL="114300" distR="114300" simplePos="0" relativeHeight="251663360" behindDoc="0" locked="0" layoutInCell="1" allowOverlap="1" wp14:anchorId="2BC21365" wp14:editId="104E5100">
            <wp:simplePos x="0" y="0"/>
            <wp:positionH relativeFrom="margin">
              <wp:posOffset>-635</wp:posOffset>
            </wp:positionH>
            <wp:positionV relativeFrom="paragraph">
              <wp:posOffset>360680</wp:posOffset>
            </wp:positionV>
            <wp:extent cx="2977515" cy="1086485"/>
            <wp:effectExtent l="95250" t="95250" r="32385" b="37465"/>
            <wp:wrapSquare wrapText="bothSides"/>
            <wp:docPr id="1881658083" name="Picture 6" descr="Why the 50/30/20 budget is unrealistic — How to budget in today's economy -  Century Suppor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y the 50/30/20 budget is unrealistic — How to budget in today's economy -  Century Support Servic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2977515" cy="1086485"/>
                    </a:xfrm>
                    <a:prstGeom prst="rect">
                      <a:avLst/>
                    </a:prstGeom>
                    <a:noFill/>
                    <a:ln>
                      <a:noFill/>
                    </a:ln>
                    <a:effectLst>
                      <a:outerShdw blurRad="50800" dist="38100" dir="13500000" algn="b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66F2" w:rsidRPr="005C1D96">
        <w:rPr>
          <w:rFonts w:ascii="Arial" w:hAnsi="Arial" w:cs="Arial"/>
        </w:rPr>
        <w:t>A financially viable and sustainable event necessitates a well-organised budget (</w:t>
      </w:r>
      <w:r w:rsidR="00AE2681" w:rsidRPr="005C1D96">
        <w:rPr>
          <w:rFonts w:ascii="Arial" w:hAnsi="Arial" w:cs="Arial"/>
        </w:rPr>
        <w:t>Salama, 2021</w:t>
      </w:r>
      <w:r w:rsidR="005766F2" w:rsidRPr="005C1D96">
        <w:rPr>
          <w:rFonts w:ascii="Arial" w:hAnsi="Arial" w:cs="Arial"/>
        </w:rPr>
        <w:t>). The budget for the event has been meticulously crafted to ensure that expenditure is in balance with multiple revenue streams, ultimately minimising financial risk and maximising impact (</w:t>
      </w:r>
      <w:r w:rsidR="003B4D3A" w:rsidRPr="005C1D96">
        <w:rPr>
          <w:rFonts w:ascii="Arial" w:hAnsi="Arial" w:cs="Arial"/>
        </w:rPr>
        <w:t>Bowdin et al., 2011</w:t>
      </w:r>
      <w:r w:rsidR="005766F2" w:rsidRPr="005C1D96">
        <w:rPr>
          <w:rFonts w:ascii="Arial" w:hAnsi="Arial" w:cs="Arial"/>
        </w:rPr>
        <w:t>).</w:t>
      </w:r>
    </w:p>
    <w:p w14:paraId="1C9096DC" w14:textId="18F1EF78" w:rsidR="00A65760" w:rsidRPr="005C1D96" w:rsidRDefault="00A65760" w:rsidP="005C1D96">
      <w:pPr>
        <w:pStyle w:val="ListParagraph"/>
        <w:numPr>
          <w:ilvl w:val="0"/>
          <w:numId w:val="10"/>
        </w:numPr>
        <w:spacing w:line="360" w:lineRule="auto"/>
        <w:jc w:val="both"/>
        <w:rPr>
          <w:rFonts w:ascii="Arial" w:hAnsi="Arial" w:cs="Arial"/>
          <w:b/>
          <w:bCs/>
        </w:rPr>
      </w:pPr>
      <w:r w:rsidRPr="005C1D96">
        <w:rPr>
          <w:rFonts w:ascii="Arial" w:hAnsi="Arial" w:cs="Arial"/>
          <w:b/>
          <w:bCs/>
        </w:rPr>
        <w:t>Budget Breakdown</w:t>
      </w:r>
    </w:p>
    <w:p w14:paraId="71F82CB1" w14:textId="6FDD5235" w:rsidR="00A65760" w:rsidRPr="005C1D96" w:rsidRDefault="00921C73" w:rsidP="005C1D96">
      <w:pPr>
        <w:spacing w:line="360" w:lineRule="auto"/>
        <w:jc w:val="both"/>
        <w:rPr>
          <w:rFonts w:ascii="Arial" w:hAnsi="Arial" w:cs="Arial"/>
          <w:b/>
          <w:bCs/>
        </w:rPr>
      </w:pPr>
      <w:r w:rsidRPr="005C1D96">
        <w:rPr>
          <w:rFonts w:ascii="Arial" w:hAnsi="Arial" w:cs="Arial"/>
        </w:rPr>
        <w:t>The estimated total costs are £100,000, which includes venue rental, staff, childcare services, catering, marketing, and contingency planning. The venue rental (£35,000) is the most significant expense, guaranteeing a high-quality, easily accessible location (Doran et al., 2024). The festival's dedication to a secure and engaging experience is reflected in the staffing costs of £20,000, which include event coordinators, security, and childcare personnel. Social media campaigns, public relations, and digital outreach are supported by marketing expenses totalling £10,000.</w:t>
      </w:r>
    </w:p>
    <w:tbl>
      <w:tblPr>
        <w:tblStyle w:val="TableGrid"/>
        <w:tblW w:w="0" w:type="auto"/>
        <w:tblLook w:val="04A0" w:firstRow="1" w:lastRow="0" w:firstColumn="1" w:lastColumn="0" w:noHBand="0" w:noVBand="1"/>
      </w:tblPr>
      <w:tblGrid>
        <w:gridCol w:w="4675"/>
        <w:gridCol w:w="4675"/>
      </w:tblGrid>
      <w:tr w:rsidR="00842D1C" w:rsidRPr="005C1D96" w14:paraId="5C4EE59F" w14:textId="77777777" w:rsidTr="00490B3C">
        <w:tc>
          <w:tcPr>
            <w:tcW w:w="4675" w:type="dxa"/>
            <w:vAlign w:val="center"/>
          </w:tcPr>
          <w:p w14:paraId="588916C3" w14:textId="316AEC80" w:rsidR="00842D1C" w:rsidRPr="005C1D96" w:rsidRDefault="00842D1C" w:rsidP="005C1D96">
            <w:pPr>
              <w:spacing w:line="360" w:lineRule="auto"/>
              <w:jc w:val="both"/>
              <w:rPr>
                <w:rFonts w:ascii="Arial" w:hAnsi="Arial" w:cs="Arial"/>
              </w:rPr>
            </w:pPr>
          </w:p>
        </w:tc>
        <w:tc>
          <w:tcPr>
            <w:tcW w:w="4675" w:type="dxa"/>
            <w:vAlign w:val="center"/>
          </w:tcPr>
          <w:p w14:paraId="1E3B1986" w14:textId="0DEFFD1D" w:rsidR="00842D1C" w:rsidRPr="005C1D96" w:rsidRDefault="00842D1C" w:rsidP="005C1D96">
            <w:pPr>
              <w:spacing w:line="360" w:lineRule="auto"/>
              <w:jc w:val="both"/>
              <w:rPr>
                <w:rFonts w:ascii="Arial" w:hAnsi="Arial" w:cs="Arial"/>
              </w:rPr>
            </w:pPr>
            <w:r w:rsidRPr="005C1D96">
              <w:rPr>
                <w:rFonts w:ascii="Arial" w:hAnsi="Arial" w:cs="Arial"/>
                <w:b/>
                <w:bCs/>
              </w:rPr>
              <w:t>£</w:t>
            </w:r>
          </w:p>
        </w:tc>
      </w:tr>
      <w:tr w:rsidR="00842D1C" w:rsidRPr="005C1D96" w14:paraId="5D26344B" w14:textId="77777777" w:rsidTr="00490B3C">
        <w:tc>
          <w:tcPr>
            <w:tcW w:w="4675" w:type="dxa"/>
            <w:vAlign w:val="center"/>
          </w:tcPr>
          <w:p w14:paraId="59CBEA97" w14:textId="3D9DCFA1" w:rsidR="00842D1C" w:rsidRPr="005C1D96" w:rsidRDefault="00842D1C" w:rsidP="005C1D96">
            <w:pPr>
              <w:spacing w:line="360" w:lineRule="auto"/>
              <w:jc w:val="both"/>
              <w:rPr>
                <w:rFonts w:ascii="Arial" w:hAnsi="Arial" w:cs="Arial"/>
              </w:rPr>
            </w:pPr>
            <w:r w:rsidRPr="005C1D96">
              <w:rPr>
                <w:rFonts w:ascii="Arial" w:hAnsi="Arial" w:cs="Arial"/>
              </w:rPr>
              <w:t>Venue Rental</w:t>
            </w:r>
          </w:p>
        </w:tc>
        <w:tc>
          <w:tcPr>
            <w:tcW w:w="4675" w:type="dxa"/>
            <w:vAlign w:val="center"/>
          </w:tcPr>
          <w:p w14:paraId="7EF376EC" w14:textId="6A3324A2" w:rsidR="00842D1C" w:rsidRPr="005C1D96" w:rsidRDefault="00842D1C" w:rsidP="005C1D96">
            <w:pPr>
              <w:spacing w:line="360" w:lineRule="auto"/>
              <w:jc w:val="both"/>
              <w:rPr>
                <w:rFonts w:ascii="Arial" w:hAnsi="Arial" w:cs="Arial"/>
              </w:rPr>
            </w:pPr>
            <w:r w:rsidRPr="005C1D96">
              <w:rPr>
                <w:rFonts w:ascii="Arial" w:hAnsi="Arial" w:cs="Arial"/>
              </w:rPr>
              <w:t>35,000</w:t>
            </w:r>
          </w:p>
        </w:tc>
      </w:tr>
      <w:tr w:rsidR="00842D1C" w:rsidRPr="005C1D96" w14:paraId="4B6E5C7F" w14:textId="77777777" w:rsidTr="00490B3C">
        <w:tc>
          <w:tcPr>
            <w:tcW w:w="4675" w:type="dxa"/>
            <w:vAlign w:val="center"/>
          </w:tcPr>
          <w:p w14:paraId="1DB10521" w14:textId="47115030" w:rsidR="00842D1C" w:rsidRPr="005C1D96" w:rsidRDefault="00842D1C" w:rsidP="005C1D96">
            <w:pPr>
              <w:spacing w:line="360" w:lineRule="auto"/>
              <w:jc w:val="both"/>
              <w:rPr>
                <w:rFonts w:ascii="Arial" w:hAnsi="Arial" w:cs="Arial"/>
              </w:rPr>
            </w:pPr>
            <w:r w:rsidRPr="005C1D96">
              <w:rPr>
                <w:rFonts w:ascii="Arial" w:hAnsi="Arial" w:cs="Arial"/>
              </w:rPr>
              <w:t>Childcare Services</w:t>
            </w:r>
          </w:p>
        </w:tc>
        <w:tc>
          <w:tcPr>
            <w:tcW w:w="4675" w:type="dxa"/>
            <w:vAlign w:val="center"/>
          </w:tcPr>
          <w:p w14:paraId="2B1E7B56" w14:textId="7E3E2C82" w:rsidR="00842D1C" w:rsidRPr="005C1D96" w:rsidRDefault="00842D1C" w:rsidP="005C1D96">
            <w:pPr>
              <w:spacing w:line="360" w:lineRule="auto"/>
              <w:jc w:val="both"/>
              <w:rPr>
                <w:rFonts w:ascii="Arial" w:hAnsi="Arial" w:cs="Arial"/>
              </w:rPr>
            </w:pPr>
            <w:r w:rsidRPr="005C1D96">
              <w:rPr>
                <w:rFonts w:ascii="Arial" w:hAnsi="Arial" w:cs="Arial"/>
              </w:rPr>
              <w:t>12,000</w:t>
            </w:r>
          </w:p>
        </w:tc>
      </w:tr>
      <w:tr w:rsidR="00842D1C" w:rsidRPr="005C1D96" w14:paraId="771395D5" w14:textId="77777777" w:rsidTr="00490B3C">
        <w:tc>
          <w:tcPr>
            <w:tcW w:w="4675" w:type="dxa"/>
            <w:vAlign w:val="center"/>
          </w:tcPr>
          <w:p w14:paraId="63DF4E33" w14:textId="323E66B9" w:rsidR="00842D1C" w:rsidRPr="005C1D96" w:rsidRDefault="00842D1C" w:rsidP="005C1D96">
            <w:pPr>
              <w:spacing w:line="360" w:lineRule="auto"/>
              <w:jc w:val="both"/>
              <w:rPr>
                <w:rFonts w:ascii="Arial" w:hAnsi="Arial" w:cs="Arial"/>
              </w:rPr>
            </w:pPr>
            <w:r w:rsidRPr="005C1D96">
              <w:rPr>
                <w:rFonts w:ascii="Arial" w:hAnsi="Arial" w:cs="Arial"/>
              </w:rPr>
              <w:t>Catering</w:t>
            </w:r>
          </w:p>
        </w:tc>
        <w:tc>
          <w:tcPr>
            <w:tcW w:w="4675" w:type="dxa"/>
            <w:vAlign w:val="center"/>
          </w:tcPr>
          <w:p w14:paraId="08C7E11C" w14:textId="1EF7857A" w:rsidR="00842D1C" w:rsidRPr="005C1D96" w:rsidRDefault="00842D1C" w:rsidP="005C1D96">
            <w:pPr>
              <w:spacing w:line="360" w:lineRule="auto"/>
              <w:jc w:val="both"/>
              <w:rPr>
                <w:rFonts w:ascii="Arial" w:hAnsi="Arial" w:cs="Arial"/>
              </w:rPr>
            </w:pPr>
            <w:r w:rsidRPr="005C1D96">
              <w:rPr>
                <w:rFonts w:ascii="Arial" w:hAnsi="Arial" w:cs="Arial"/>
              </w:rPr>
              <w:t>15,000</w:t>
            </w:r>
          </w:p>
        </w:tc>
      </w:tr>
      <w:tr w:rsidR="00842D1C" w:rsidRPr="005C1D96" w14:paraId="237C660B" w14:textId="77777777" w:rsidTr="00490B3C">
        <w:tc>
          <w:tcPr>
            <w:tcW w:w="4675" w:type="dxa"/>
            <w:vAlign w:val="center"/>
          </w:tcPr>
          <w:p w14:paraId="45680217" w14:textId="18C84AA0" w:rsidR="00842D1C" w:rsidRPr="005C1D96" w:rsidRDefault="00842D1C" w:rsidP="005C1D96">
            <w:pPr>
              <w:spacing w:line="360" w:lineRule="auto"/>
              <w:jc w:val="both"/>
              <w:rPr>
                <w:rFonts w:ascii="Arial" w:hAnsi="Arial" w:cs="Arial"/>
              </w:rPr>
            </w:pPr>
            <w:r w:rsidRPr="005C1D96">
              <w:rPr>
                <w:rFonts w:ascii="Arial" w:hAnsi="Arial" w:cs="Arial"/>
              </w:rPr>
              <w:t>Marketing</w:t>
            </w:r>
          </w:p>
        </w:tc>
        <w:tc>
          <w:tcPr>
            <w:tcW w:w="4675" w:type="dxa"/>
            <w:vAlign w:val="center"/>
          </w:tcPr>
          <w:p w14:paraId="422513FB" w14:textId="56E3A388" w:rsidR="00842D1C" w:rsidRPr="005C1D96" w:rsidRDefault="00842D1C" w:rsidP="005C1D96">
            <w:pPr>
              <w:spacing w:line="360" w:lineRule="auto"/>
              <w:jc w:val="both"/>
              <w:rPr>
                <w:rFonts w:ascii="Arial" w:hAnsi="Arial" w:cs="Arial"/>
              </w:rPr>
            </w:pPr>
            <w:r w:rsidRPr="005C1D96">
              <w:rPr>
                <w:rFonts w:ascii="Arial" w:hAnsi="Arial" w:cs="Arial"/>
              </w:rPr>
              <w:t>10,000</w:t>
            </w:r>
          </w:p>
        </w:tc>
      </w:tr>
      <w:tr w:rsidR="00842D1C" w:rsidRPr="005C1D96" w14:paraId="58E7476A" w14:textId="77777777" w:rsidTr="00490B3C">
        <w:tc>
          <w:tcPr>
            <w:tcW w:w="4675" w:type="dxa"/>
            <w:vAlign w:val="center"/>
          </w:tcPr>
          <w:p w14:paraId="76637003" w14:textId="76057637" w:rsidR="00842D1C" w:rsidRPr="005C1D96" w:rsidRDefault="00842D1C" w:rsidP="005C1D96">
            <w:pPr>
              <w:spacing w:line="360" w:lineRule="auto"/>
              <w:jc w:val="both"/>
              <w:rPr>
                <w:rFonts w:ascii="Arial" w:hAnsi="Arial" w:cs="Arial"/>
              </w:rPr>
            </w:pPr>
            <w:r w:rsidRPr="005C1D96">
              <w:rPr>
                <w:rFonts w:ascii="Arial" w:hAnsi="Arial" w:cs="Arial"/>
              </w:rPr>
              <w:t>Staffing</w:t>
            </w:r>
          </w:p>
        </w:tc>
        <w:tc>
          <w:tcPr>
            <w:tcW w:w="4675" w:type="dxa"/>
            <w:vAlign w:val="center"/>
          </w:tcPr>
          <w:p w14:paraId="5FCD0FE2" w14:textId="4A9505B4" w:rsidR="00842D1C" w:rsidRPr="005C1D96" w:rsidRDefault="00842D1C" w:rsidP="005C1D96">
            <w:pPr>
              <w:spacing w:line="360" w:lineRule="auto"/>
              <w:jc w:val="both"/>
              <w:rPr>
                <w:rFonts w:ascii="Arial" w:hAnsi="Arial" w:cs="Arial"/>
              </w:rPr>
            </w:pPr>
            <w:r w:rsidRPr="005C1D96">
              <w:rPr>
                <w:rFonts w:ascii="Arial" w:hAnsi="Arial" w:cs="Arial"/>
              </w:rPr>
              <w:t>20,000</w:t>
            </w:r>
          </w:p>
        </w:tc>
      </w:tr>
      <w:tr w:rsidR="00842D1C" w:rsidRPr="005C1D96" w14:paraId="1298E694" w14:textId="77777777" w:rsidTr="00490B3C">
        <w:tc>
          <w:tcPr>
            <w:tcW w:w="4675" w:type="dxa"/>
            <w:vAlign w:val="center"/>
          </w:tcPr>
          <w:p w14:paraId="1CF3D973" w14:textId="5208AF9E" w:rsidR="00842D1C" w:rsidRPr="005C1D96" w:rsidRDefault="00842D1C" w:rsidP="005C1D96">
            <w:pPr>
              <w:spacing w:line="360" w:lineRule="auto"/>
              <w:jc w:val="both"/>
              <w:rPr>
                <w:rFonts w:ascii="Arial" w:hAnsi="Arial" w:cs="Arial"/>
              </w:rPr>
            </w:pPr>
            <w:r w:rsidRPr="005C1D96">
              <w:rPr>
                <w:rFonts w:ascii="Arial" w:hAnsi="Arial" w:cs="Arial"/>
              </w:rPr>
              <w:t>Miscellaneous &amp; Contingency</w:t>
            </w:r>
          </w:p>
        </w:tc>
        <w:tc>
          <w:tcPr>
            <w:tcW w:w="4675" w:type="dxa"/>
            <w:vAlign w:val="center"/>
          </w:tcPr>
          <w:p w14:paraId="51E9D4E3" w14:textId="32462973" w:rsidR="00842D1C" w:rsidRPr="005C1D96" w:rsidRDefault="00842D1C" w:rsidP="005C1D96">
            <w:pPr>
              <w:spacing w:line="360" w:lineRule="auto"/>
              <w:jc w:val="both"/>
              <w:rPr>
                <w:rFonts w:ascii="Arial" w:hAnsi="Arial" w:cs="Arial"/>
              </w:rPr>
            </w:pPr>
            <w:r w:rsidRPr="005C1D96">
              <w:rPr>
                <w:rFonts w:ascii="Arial" w:hAnsi="Arial" w:cs="Arial"/>
              </w:rPr>
              <w:t>8,000</w:t>
            </w:r>
          </w:p>
        </w:tc>
      </w:tr>
      <w:tr w:rsidR="00842D1C" w:rsidRPr="005C1D96" w14:paraId="0E3E72AF" w14:textId="77777777" w:rsidTr="00490B3C">
        <w:tc>
          <w:tcPr>
            <w:tcW w:w="4675" w:type="dxa"/>
            <w:vAlign w:val="center"/>
          </w:tcPr>
          <w:p w14:paraId="0ED274A4" w14:textId="48B0ED94" w:rsidR="00842D1C" w:rsidRPr="005C1D96" w:rsidRDefault="00842D1C" w:rsidP="005C1D96">
            <w:pPr>
              <w:spacing w:line="360" w:lineRule="auto"/>
              <w:jc w:val="both"/>
              <w:rPr>
                <w:rFonts w:ascii="Arial" w:hAnsi="Arial" w:cs="Arial"/>
              </w:rPr>
            </w:pPr>
            <w:r w:rsidRPr="005C1D96">
              <w:rPr>
                <w:rFonts w:ascii="Arial" w:hAnsi="Arial" w:cs="Arial"/>
                <w:b/>
                <w:bCs/>
              </w:rPr>
              <w:t>Total Costs</w:t>
            </w:r>
          </w:p>
        </w:tc>
        <w:tc>
          <w:tcPr>
            <w:tcW w:w="4675" w:type="dxa"/>
            <w:vAlign w:val="center"/>
          </w:tcPr>
          <w:p w14:paraId="3AD165E2" w14:textId="46972793" w:rsidR="00842D1C" w:rsidRPr="005C1D96" w:rsidRDefault="00842D1C" w:rsidP="005C1D96">
            <w:pPr>
              <w:spacing w:line="360" w:lineRule="auto"/>
              <w:jc w:val="both"/>
              <w:rPr>
                <w:rFonts w:ascii="Arial" w:hAnsi="Arial" w:cs="Arial"/>
              </w:rPr>
            </w:pPr>
            <w:r w:rsidRPr="005C1D96">
              <w:rPr>
                <w:rFonts w:ascii="Arial" w:hAnsi="Arial" w:cs="Arial"/>
                <w:b/>
                <w:bCs/>
              </w:rPr>
              <w:t>100,000</w:t>
            </w:r>
          </w:p>
        </w:tc>
      </w:tr>
    </w:tbl>
    <w:p w14:paraId="4D2C785D" w14:textId="77777777" w:rsidR="00BC0597" w:rsidRPr="005C1D96" w:rsidRDefault="00BC0597" w:rsidP="005C1D96">
      <w:pPr>
        <w:spacing w:line="360" w:lineRule="auto"/>
        <w:jc w:val="both"/>
        <w:rPr>
          <w:rFonts w:ascii="Arial" w:hAnsi="Arial" w:cs="Arial"/>
          <w:b/>
          <w:bCs/>
        </w:rPr>
      </w:pPr>
    </w:p>
    <w:p w14:paraId="7CB78EA3" w14:textId="681372EA" w:rsidR="00A65760" w:rsidRPr="005C1D96" w:rsidRDefault="00A65760" w:rsidP="005C1D96">
      <w:pPr>
        <w:pStyle w:val="ListParagraph"/>
        <w:numPr>
          <w:ilvl w:val="0"/>
          <w:numId w:val="10"/>
        </w:numPr>
        <w:spacing w:line="360" w:lineRule="auto"/>
        <w:jc w:val="both"/>
        <w:rPr>
          <w:rFonts w:ascii="Arial" w:hAnsi="Arial" w:cs="Arial"/>
          <w:b/>
          <w:bCs/>
        </w:rPr>
      </w:pPr>
      <w:r w:rsidRPr="005C1D96">
        <w:rPr>
          <w:rFonts w:ascii="Arial" w:hAnsi="Arial" w:cs="Arial"/>
          <w:b/>
          <w:bCs/>
        </w:rPr>
        <w:t>Revenue &amp; Profitability</w:t>
      </w:r>
    </w:p>
    <w:p w14:paraId="2DF4B63C" w14:textId="705388F3" w:rsidR="005A666B" w:rsidRPr="005C1D96" w:rsidRDefault="00F810B5" w:rsidP="005C1D96">
      <w:pPr>
        <w:spacing w:line="360" w:lineRule="auto"/>
        <w:jc w:val="both"/>
        <w:rPr>
          <w:rFonts w:ascii="Arial" w:hAnsi="Arial" w:cs="Arial"/>
        </w:rPr>
      </w:pPr>
      <w:r w:rsidRPr="005C1D96">
        <w:rPr>
          <w:rFonts w:ascii="Arial" w:hAnsi="Arial" w:cs="Arial"/>
        </w:rPr>
        <w:t xml:space="preserve">Strong financial sustainability is demonstrated by the projected total revenue of £174,000, which guarantees a net profit of £74,000. The principal sources of income are ticket sales (£96,000), sponsorships (£66,000), merchandise sales (£5,000), and grants (£7,000). A critical approach to event financing is </w:t>
      </w:r>
      <w:r w:rsidR="005C1D96" w:rsidRPr="005C1D96">
        <w:rPr>
          <w:rFonts w:ascii="Arial" w:hAnsi="Arial" w:cs="Arial"/>
        </w:rPr>
        <w:t xml:space="preserve">utilising sponsorship funding from Unilever, Tesco, and LEGO, which </w:t>
      </w:r>
      <w:r w:rsidRPr="005C1D96">
        <w:rPr>
          <w:rFonts w:ascii="Arial" w:hAnsi="Arial" w:cs="Arial"/>
        </w:rPr>
        <w:t>substantially mitigate expenses (Ziakas</w:t>
      </w:r>
      <w:r w:rsidR="00FB0C04" w:rsidRPr="005C1D96">
        <w:rPr>
          <w:rFonts w:ascii="Arial" w:hAnsi="Arial" w:cs="Arial"/>
        </w:rPr>
        <w:t xml:space="preserve"> and</w:t>
      </w:r>
      <w:r w:rsidRPr="005C1D96">
        <w:rPr>
          <w:rFonts w:ascii="Arial" w:hAnsi="Arial" w:cs="Arial"/>
        </w:rPr>
        <w:t xml:space="preserve"> Getz, 20</w:t>
      </w:r>
      <w:r w:rsidR="00FB0C04" w:rsidRPr="005C1D96">
        <w:rPr>
          <w:rFonts w:ascii="Arial" w:hAnsi="Arial" w:cs="Arial"/>
        </w:rPr>
        <w:t>20</w:t>
      </w:r>
      <w:r w:rsidRPr="005C1D96">
        <w:rPr>
          <w:rFonts w:ascii="Arial" w:hAnsi="Arial" w:cs="Arial"/>
        </w:rPr>
        <w:t>).</w:t>
      </w:r>
    </w:p>
    <w:tbl>
      <w:tblPr>
        <w:tblStyle w:val="TableGrid"/>
        <w:tblW w:w="0" w:type="auto"/>
        <w:tblLook w:val="04A0" w:firstRow="1" w:lastRow="0" w:firstColumn="1" w:lastColumn="0" w:noHBand="0" w:noVBand="1"/>
      </w:tblPr>
      <w:tblGrid>
        <w:gridCol w:w="4675"/>
        <w:gridCol w:w="4675"/>
      </w:tblGrid>
      <w:tr w:rsidR="00DF1C4F" w:rsidRPr="005C1D96" w14:paraId="61FEED0F" w14:textId="77777777" w:rsidTr="00D04C38">
        <w:tc>
          <w:tcPr>
            <w:tcW w:w="4675" w:type="dxa"/>
            <w:vAlign w:val="center"/>
          </w:tcPr>
          <w:p w14:paraId="298527E1" w14:textId="37E417D7" w:rsidR="00DF1C4F" w:rsidRPr="005C1D96" w:rsidRDefault="00DF1C4F" w:rsidP="005C1D96">
            <w:pPr>
              <w:spacing w:line="360" w:lineRule="auto"/>
              <w:jc w:val="both"/>
              <w:rPr>
                <w:rFonts w:ascii="Arial" w:hAnsi="Arial" w:cs="Arial"/>
              </w:rPr>
            </w:pPr>
            <w:r w:rsidRPr="005C1D96">
              <w:rPr>
                <w:rFonts w:ascii="Arial" w:hAnsi="Arial" w:cs="Arial"/>
                <w:b/>
                <w:bCs/>
              </w:rPr>
              <w:lastRenderedPageBreak/>
              <w:t>Funding Sources</w:t>
            </w:r>
          </w:p>
        </w:tc>
        <w:tc>
          <w:tcPr>
            <w:tcW w:w="4675" w:type="dxa"/>
            <w:vAlign w:val="center"/>
          </w:tcPr>
          <w:p w14:paraId="7457A918" w14:textId="37D046E1" w:rsidR="00DF1C4F" w:rsidRPr="005C1D96" w:rsidRDefault="00DF1C4F" w:rsidP="005C1D96">
            <w:pPr>
              <w:spacing w:line="360" w:lineRule="auto"/>
              <w:jc w:val="both"/>
              <w:rPr>
                <w:rFonts w:ascii="Arial" w:hAnsi="Arial" w:cs="Arial"/>
              </w:rPr>
            </w:pPr>
            <w:r w:rsidRPr="005C1D96">
              <w:rPr>
                <w:rFonts w:ascii="Arial" w:hAnsi="Arial" w:cs="Arial"/>
                <w:b/>
                <w:bCs/>
              </w:rPr>
              <w:t>£</w:t>
            </w:r>
          </w:p>
        </w:tc>
      </w:tr>
      <w:tr w:rsidR="00DF1C4F" w:rsidRPr="005C1D96" w14:paraId="4686E75E" w14:textId="77777777" w:rsidTr="00D04C38">
        <w:tc>
          <w:tcPr>
            <w:tcW w:w="4675" w:type="dxa"/>
            <w:vAlign w:val="center"/>
          </w:tcPr>
          <w:p w14:paraId="0BD955A8" w14:textId="1BC28A9B" w:rsidR="00DF1C4F" w:rsidRPr="005C1D96" w:rsidRDefault="00DF1C4F" w:rsidP="005C1D96">
            <w:pPr>
              <w:spacing w:line="360" w:lineRule="auto"/>
              <w:jc w:val="both"/>
              <w:rPr>
                <w:rFonts w:ascii="Arial" w:hAnsi="Arial" w:cs="Arial"/>
              </w:rPr>
            </w:pPr>
            <w:r w:rsidRPr="005C1D96">
              <w:rPr>
                <w:rFonts w:ascii="Arial" w:hAnsi="Arial" w:cs="Arial"/>
              </w:rPr>
              <w:t>Sponsorships</w:t>
            </w:r>
          </w:p>
        </w:tc>
        <w:tc>
          <w:tcPr>
            <w:tcW w:w="4675" w:type="dxa"/>
            <w:vAlign w:val="center"/>
          </w:tcPr>
          <w:p w14:paraId="2BB7D584" w14:textId="114C16FB" w:rsidR="00DF1C4F" w:rsidRPr="005C1D96" w:rsidRDefault="00DF1C4F" w:rsidP="005C1D96">
            <w:pPr>
              <w:spacing w:line="360" w:lineRule="auto"/>
              <w:jc w:val="both"/>
              <w:rPr>
                <w:rFonts w:ascii="Arial" w:hAnsi="Arial" w:cs="Arial"/>
              </w:rPr>
            </w:pPr>
            <w:r w:rsidRPr="005C1D96">
              <w:rPr>
                <w:rFonts w:ascii="Arial" w:hAnsi="Arial" w:cs="Arial"/>
              </w:rPr>
              <w:t>66,000</w:t>
            </w:r>
          </w:p>
        </w:tc>
      </w:tr>
      <w:tr w:rsidR="00DF1C4F" w:rsidRPr="005C1D96" w14:paraId="4B35375A" w14:textId="77777777" w:rsidTr="00D04C38">
        <w:tc>
          <w:tcPr>
            <w:tcW w:w="4675" w:type="dxa"/>
            <w:vAlign w:val="center"/>
          </w:tcPr>
          <w:p w14:paraId="4066E6C0" w14:textId="2F1A5747" w:rsidR="00DF1C4F" w:rsidRPr="005C1D96" w:rsidRDefault="00DF1C4F" w:rsidP="005C1D96">
            <w:pPr>
              <w:spacing w:line="360" w:lineRule="auto"/>
              <w:jc w:val="both"/>
              <w:rPr>
                <w:rFonts w:ascii="Arial" w:hAnsi="Arial" w:cs="Arial"/>
              </w:rPr>
            </w:pPr>
            <w:r w:rsidRPr="005C1D96">
              <w:rPr>
                <w:rFonts w:ascii="Arial" w:hAnsi="Arial" w:cs="Arial"/>
              </w:rPr>
              <w:t>Ticket Sales (2,000 attendees)</w:t>
            </w:r>
          </w:p>
        </w:tc>
        <w:tc>
          <w:tcPr>
            <w:tcW w:w="4675" w:type="dxa"/>
            <w:vAlign w:val="center"/>
          </w:tcPr>
          <w:p w14:paraId="46AF3947" w14:textId="20930C32" w:rsidR="00DF1C4F" w:rsidRPr="005C1D96" w:rsidRDefault="00DF1C4F" w:rsidP="005C1D96">
            <w:pPr>
              <w:spacing w:line="360" w:lineRule="auto"/>
              <w:jc w:val="both"/>
              <w:rPr>
                <w:rFonts w:ascii="Arial" w:hAnsi="Arial" w:cs="Arial"/>
              </w:rPr>
            </w:pPr>
            <w:r w:rsidRPr="005C1D96">
              <w:rPr>
                <w:rFonts w:ascii="Arial" w:hAnsi="Arial" w:cs="Arial"/>
              </w:rPr>
              <w:t>96,000</w:t>
            </w:r>
          </w:p>
        </w:tc>
      </w:tr>
      <w:tr w:rsidR="00DF1C4F" w:rsidRPr="005C1D96" w14:paraId="0113858B" w14:textId="77777777" w:rsidTr="00D04C38">
        <w:tc>
          <w:tcPr>
            <w:tcW w:w="4675" w:type="dxa"/>
            <w:vAlign w:val="center"/>
          </w:tcPr>
          <w:p w14:paraId="53995A60" w14:textId="4447A5FE" w:rsidR="00DF1C4F" w:rsidRPr="005C1D96" w:rsidRDefault="00DF1C4F" w:rsidP="005C1D96">
            <w:pPr>
              <w:spacing w:line="360" w:lineRule="auto"/>
              <w:jc w:val="both"/>
              <w:rPr>
                <w:rFonts w:ascii="Arial" w:hAnsi="Arial" w:cs="Arial"/>
              </w:rPr>
            </w:pPr>
            <w:r w:rsidRPr="005C1D96">
              <w:rPr>
                <w:rFonts w:ascii="Arial" w:hAnsi="Arial" w:cs="Arial"/>
              </w:rPr>
              <w:t>Merchandise Sales</w:t>
            </w:r>
          </w:p>
        </w:tc>
        <w:tc>
          <w:tcPr>
            <w:tcW w:w="4675" w:type="dxa"/>
            <w:vAlign w:val="center"/>
          </w:tcPr>
          <w:p w14:paraId="3D2CF72E" w14:textId="0BB7D439" w:rsidR="00DF1C4F" w:rsidRPr="005C1D96" w:rsidRDefault="00DF1C4F" w:rsidP="005C1D96">
            <w:pPr>
              <w:spacing w:line="360" w:lineRule="auto"/>
              <w:jc w:val="both"/>
              <w:rPr>
                <w:rFonts w:ascii="Arial" w:hAnsi="Arial" w:cs="Arial"/>
              </w:rPr>
            </w:pPr>
            <w:r w:rsidRPr="005C1D96">
              <w:rPr>
                <w:rFonts w:ascii="Arial" w:hAnsi="Arial" w:cs="Arial"/>
              </w:rPr>
              <w:t>5,000</w:t>
            </w:r>
          </w:p>
        </w:tc>
      </w:tr>
      <w:tr w:rsidR="00DF1C4F" w:rsidRPr="005C1D96" w14:paraId="6D6DEF42" w14:textId="77777777" w:rsidTr="00D04C38">
        <w:tc>
          <w:tcPr>
            <w:tcW w:w="4675" w:type="dxa"/>
            <w:vAlign w:val="center"/>
          </w:tcPr>
          <w:p w14:paraId="64F6D333" w14:textId="2655451B" w:rsidR="00DF1C4F" w:rsidRPr="005C1D96" w:rsidRDefault="00DF1C4F" w:rsidP="005C1D96">
            <w:pPr>
              <w:spacing w:line="360" w:lineRule="auto"/>
              <w:jc w:val="both"/>
              <w:rPr>
                <w:rFonts w:ascii="Arial" w:hAnsi="Arial" w:cs="Arial"/>
              </w:rPr>
            </w:pPr>
            <w:r w:rsidRPr="005C1D96">
              <w:rPr>
                <w:rFonts w:ascii="Arial" w:hAnsi="Arial" w:cs="Arial"/>
              </w:rPr>
              <w:t>Grants</w:t>
            </w:r>
          </w:p>
        </w:tc>
        <w:tc>
          <w:tcPr>
            <w:tcW w:w="4675" w:type="dxa"/>
            <w:vAlign w:val="center"/>
          </w:tcPr>
          <w:p w14:paraId="6C114416" w14:textId="3048F1B4" w:rsidR="00DF1C4F" w:rsidRPr="005C1D96" w:rsidRDefault="00DF1C4F" w:rsidP="005C1D96">
            <w:pPr>
              <w:spacing w:line="360" w:lineRule="auto"/>
              <w:jc w:val="both"/>
              <w:rPr>
                <w:rFonts w:ascii="Arial" w:hAnsi="Arial" w:cs="Arial"/>
              </w:rPr>
            </w:pPr>
            <w:r w:rsidRPr="005C1D96">
              <w:rPr>
                <w:rFonts w:ascii="Arial" w:hAnsi="Arial" w:cs="Arial"/>
              </w:rPr>
              <w:t>7,000</w:t>
            </w:r>
          </w:p>
        </w:tc>
      </w:tr>
      <w:tr w:rsidR="00DF1C4F" w:rsidRPr="005C1D96" w14:paraId="6F9AC883" w14:textId="77777777" w:rsidTr="00D04C38">
        <w:tc>
          <w:tcPr>
            <w:tcW w:w="4675" w:type="dxa"/>
            <w:vAlign w:val="center"/>
          </w:tcPr>
          <w:p w14:paraId="2D80AD24" w14:textId="796D5882" w:rsidR="00DF1C4F" w:rsidRPr="005C1D96" w:rsidRDefault="00DF1C4F" w:rsidP="005C1D96">
            <w:pPr>
              <w:spacing w:line="360" w:lineRule="auto"/>
              <w:jc w:val="both"/>
              <w:rPr>
                <w:rFonts w:ascii="Arial" w:hAnsi="Arial" w:cs="Arial"/>
              </w:rPr>
            </w:pPr>
            <w:r w:rsidRPr="005C1D96">
              <w:rPr>
                <w:rFonts w:ascii="Arial" w:hAnsi="Arial" w:cs="Arial"/>
                <w:b/>
                <w:bCs/>
              </w:rPr>
              <w:t>Total Revenue</w:t>
            </w:r>
          </w:p>
        </w:tc>
        <w:tc>
          <w:tcPr>
            <w:tcW w:w="4675" w:type="dxa"/>
            <w:vAlign w:val="center"/>
          </w:tcPr>
          <w:p w14:paraId="3C7F02CA" w14:textId="72E9766C" w:rsidR="00DF1C4F" w:rsidRPr="005C1D96" w:rsidRDefault="00DF1C4F" w:rsidP="005C1D96">
            <w:pPr>
              <w:spacing w:line="360" w:lineRule="auto"/>
              <w:jc w:val="both"/>
              <w:rPr>
                <w:rFonts w:ascii="Arial" w:hAnsi="Arial" w:cs="Arial"/>
              </w:rPr>
            </w:pPr>
            <w:r w:rsidRPr="005C1D96">
              <w:rPr>
                <w:rFonts w:ascii="Arial" w:hAnsi="Arial" w:cs="Arial"/>
                <w:b/>
                <w:bCs/>
              </w:rPr>
              <w:t>174,000</w:t>
            </w:r>
          </w:p>
        </w:tc>
      </w:tr>
    </w:tbl>
    <w:p w14:paraId="3557AFBD" w14:textId="77777777" w:rsidR="005A666B" w:rsidRPr="005C1D96" w:rsidRDefault="005A666B" w:rsidP="005C1D96">
      <w:pPr>
        <w:spacing w:line="360" w:lineRule="auto"/>
        <w:jc w:val="both"/>
        <w:rPr>
          <w:rFonts w:ascii="Arial" w:hAnsi="Arial" w:cs="Arial"/>
        </w:rPr>
      </w:pPr>
    </w:p>
    <w:p w14:paraId="60CB2241" w14:textId="56B2B82F" w:rsidR="00A65760" w:rsidRPr="005C1D96" w:rsidRDefault="00A65760" w:rsidP="005C1D96">
      <w:pPr>
        <w:pStyle w:val="ListParagraph"/>
        <w:numPr>
          <w:ilvl w:val="0"/>
          <w:numId w:val="10"/>
        </w:numPr>
        <w:spacing w:line="360" w:lineRule="auto"/>
        <w:jc w:val="both"/>
        <w:rPr>
          <w:rFonts w:ascii="Arial" w:hAnsi="Arial" w:cs="Arial"/>
          <w:b/>
          <w:bCs/>
        </w:rPr>
      </w:pPr>
      <w:r w:rsidRPr="005C1D96">
        <w:rPr>
          <w:rFonts w:ascii="Arial" w:hAnsi="Arial" w:cs="Arial"/>
          <w:b/>
          <w:bCs/>
        </w:rPr>
        <w:t>Strategic Justification</w:t>
      </w:r>
    </w:p>
    <w:p w14:paraId="798BE940" w14:textId="190125A9" w:rsidR="00A65760" w:rsidRPr="005C1D96" w:rsidRDefault="00D647DB" w:rsidP="005C1D96">
      <w:pPr>
        <w:spacing w:line="360" w:lineRule="auto"/>
        <w:jc w:val="both"/>
        <w:rPr>
          <w:rFonts w:ascii="Arial" w:hAnsi="Arial" w:cs="Arial"/>
        </w:rPr>
      </w:pPr>
      <w:r w:rsidRPr="005C1D96">
        <w:rPr>
          <w:rFonts w:ascii="Arial" w:hAnsi="Arial" w:cs="Arial"/>
        </w:rPr>
        <w:t>A financially viable event necessitates the efficient allocation of resources, which is achieved through accurate forecasting and cost control (</w:t>
      </w:r>
      <w:r w:rsidR="001055A3" w:rsidRPr="005C1D96">
        <w:rPr>
          <w:rFonts w:ascii="Arial" w:hAnsi="Arial" w:cs="Arial"/>
        </w:rPr>
        <w:t>Getz and Page, 2024</w:t>
      </w:r>
      <w:r w:rsidRPr="005C1D96">
        <w:rPr>
          <w:rFonts w:ascii="Arial" w:hAnsi="Arial" w:cs="Arial"/>
        </w:rPr>
        <w:t xml:space="preserve">). The budget is consistent with the principles of sustainable event financing, which prioritise strategic investment in attendee experience, contingency planning, and diverse income streams. This financial model </w:t>
      </w:r>
      <w:r w:rsidR="00B36E11" w:rsidRPr="005C1D96">
        <w:rPr>
          <w:rFonts w:ascii="Arial" w:hAnsi="Arial" w:cs="Arial"/>
        </w:rPr>
        <w:t>ensures</w:t>
      </w:r>
      <w:r w:rsidRPr="005C1D96">
        <w:rPr>
          <w:rFonts w:ascii="Arial" w:hAnsi="Arial" w:cs="Arial"/>
        </w:rPr>
        <w:t xml:space="preserve"> the event's long-term success by bolstering its industry credibility and inclusivity mission</w:t>
      </w:r>
      <w:r w:rsidR="0038445D" w:rsidRPr="005C1D96">
        <w:rPr>
          <w:rFonts w:ascii="Arial" w:hAnsi="Arial" w:cs="Arial"/>
        </w:rPr>
        <w:t xml:space="preserve"> (Getz and Page, 2024).</w:t>
      </w:r>
    </w:p>
    <w:p w14:paraId="57D4000C" w14:textId="77777777" w:rsidR="00B51D46" w:rsidRPr="005C1D96" w:rsidRDefault="00B51D46" w:rsidP="005C1D96">
      <w:pPr>
        <w:spacing w:line="360" w:lineRule="auto"/>
        <w:jc w:val="both"/>
        <w:rPr>
          <w:rFonts w:ascii="Arial" w:hAnsi="Arial" w:cs="Arial"/>
          <w:b/>
          <w:bCs/>
        </w:rPr>
      </w:pPr>
    </w:p>
    <w:p w14:paraId="59C20C2C" w14:textId="3AF80491" w:rsidR="00A65760" w:rsidRPr="005C1D96" w:rsidRDefault="00A65760" w:rsidP="005F2104">
      <w:pPr>
        <w:spacing w:line="360" w:lineRule="auto"/>
        <w:jc w:val="center"/>
        <w:rPr>
          <w:rFonts w:ascii="Arial" w:hAnsi="Arial" w:cs="Arial"/>
          <w:b/>
          <w:bCs/>
        </w:rPr>
      </w:pPr>
      <w:r w:rsidRPr="005C1D96">
        <w:rPr>
          <w:rFonts w:ascii="Arial" w:hAnsi="Arial" w:cs="Arial"/>
          <w:b/>
          <w:bCs/>
        </w:rPr>
        <w:t>Industry Trends / Issues / Impacts</w:t>
      </w:r>
    </w:p>
    <w:p w14:paraId="16FFF2DF" w14:textId="133DEA92" w:rsidR="00B51D46" w:rsidRPr="005C1D96" w:rsidRDefault="00B51D46" w:rsidP="005C1D96">
      <w:pPr>
        <w:spacing w:line="360" w:lineRule="auto"/>
        <w:jc w:val="both"/>
        <w:rPr>
          <w:rFonts w:ascii="Arial" w:hAnsi="Arial" w:cs="Arial"/>
          <w:b/>
          <w:bCs/>
        </w:rPr>
      </w:pPr>
      <w:r w:rsidRPr="005C1D96">
        <w:rPr>
          <w:rFonts w:ascii="Arial" w:hAnsi="Arial" w:cs="Arial"/>
          <w:b/>
          <w:bCs/>
          <w:noProof/>
        </w:rPr>
        <w:drawing>
          <wp:inline distT="0" distB="0" distL="0" distR="0" wp14:anchorId="495CADD1" wp14:editId="455FF039">
            <wp:extent cx="5768840" cy="1539373"/>
            <wp:effectExtent l="114300" t="95250" r="118110" b="99060"/>
            <wp:docPr id="37740260" name="Picture 1" descr="A finger pointing at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40260" name="Picture 1" descr="A finger pointing at a sign&#10;&#10;AI-generated content may be incorrect."/>
                    <pic:cNvPicPr/>
                  </pic:nvPicPr>
                  <pic:blipFill>
                    <a:blip r:embed="rId15"/>
                    <a:stretch>
                      <a:fillRect/>
                    </a:stretch>
                  </pic:blipFill>
                  <pic:spPr>
                    <a:xfrm>
                      <a:off x="0" y="0"/>
                      <a:ext cx="5768840" cy="1539373"/>
                    </a:xfrm>
                    <a:prstGeom prst="rect">
                      <a:avLst/>
                    </a:prstGeom>
                    <a:effectLst>
                      <a:outerShdw blurRad="63500" sx="102000" sy="102000" algn="ctr" rotWithShape="0">
                        <a:prstClr val="black">
                          <a:alpha val="40000"/>
                        </a:prstClr>
                      </a:outerShdw>
                    </a:effectLst>
                  </pic:spPr>
                </pic:pic>
              </a:graphicData>
            </a:graphic>
          </wp:inline>
        </w:drawing>
      </w:r>
    </w:p>
    <w:p w14:paraId="4968997E" w14:textId="77777777" w:rsidR="001536ED" w:rsidRPr="005C1D96" w:rsidRDefault="001536ED" w:rsidP="005C1D96">
      <w:pPr>
        <w:spacing w:line="360" w:lineRule="auto"/>
        <w:jc w:val="both"/>
        <w:rPr>
          <w:rFonts w:ascii="Arial" w:hAnsi="Arial" w:cs="Arial"/>
        </w:rPr>
      </w:pPr>
      <w:r w:rsidRPr="005C1D96">
        <w:rPr>
          <w:rFonts w:ascii="Arial" w:hAnsi="Arial" w:cs="Arial"/>
        </w:rPr>
        <w:t>Modern event management is influenced by hybrid event capabilities, sustainability initiatives, and emerging technology trends, which are all part of the event industry's ongoing evolution. These factors are indispensable for the "Celebrating Parenthood in Hospitality" Festival, as they significantly impact environmental responsibility, operational efficiency, and attendee engagement (Mohamed, 2022).</w:t>
      </w:r>
    </w:p>
    <w:p w14:paraId="79EDCBFB" w14:textId="0443A419" w:rsidR="001E6E79" w:rsidRPr="005C1D96" w:rsidRDefault="001E6E79" w:rsidP="005C1D96">
      <w:pPr>
        <w:spacing w:line="360" w:lineRule="auto"/>
        <w:jc w:val="both"/>
        <w:rPr>
          <w:rFonts w:ascii="Arial" w:hAnsi="Arial" w:cs="Arial"/>
        </w:rPr>
      </w:pPr>
      <w:r w:rsidRPr="005C1D96">
        <w:rPr>
          <w:rFonts w:ascii="Arial" w:hAnsi="Arial" w:cs="Arial"/>
        </w:rPr>
        <w:t>These trends not only increase the event's success and reach but also ensure its future viability in a changing industry landscape:</w:t>
      </w:r>
    </w:p>
    <w:p w14:paraId="03459452" w14:textId="6DA40BE1" w:rsidR="00A65760" w:rsidRPr="005C1D96" w:rsidRDefault="00A65760" w:rsidP="005C1D96">
      <w:pPr>
        <w:pStyle w:val="ListParagraph"/>
        <w:numPr>
          <w:ilvl w:val="0"/>
          <w:numId w:val="11"/>
        </w:numPr>
        <w:spacing w:line="360" w:lineRule="auto"/>
        <w:jc w:val="both"/>
        <w:rPr>
          <w:rFonts w:ascii="Arial" w:hAnsi="Arial" w:cs="Arial"/>
          <w:b/>
          <w:bCs/>
        </w:rPr>
      </w:pPr>
      <w:r w:rsidRPr="005C1D96">
        <w:rPr>
          <w:rFonts w:ascii="Arial" w:hAnsi="Arial" w:cs="Arial"/>
          <w:b/>
          <w:bCs/>
        </w:rPr>
        <w:lastRenderedPageBreak/>
        <w:t>Hybrid Event Capabilities</w:t>
      </w:r>
    </w:p>
    <w:p w14:paraId="3ECB0A8A" w14:textId="72FD9AE3" w:rsidR="00BB12BB" w:rsidRPr="005C1D96" w:rsidRDefault="00BB12BB" w:rsidP="005C1D96">
      <w:pPr>
        <w:spacing w:line="360" w:lineRule="auto"/>
        <w:jc w:val="both"/>
        <w:rPr>
          <w:rFonts w:ascii="Arial" w:hAnsi="Arial" w:cs="Arial"/>
          <w:b/>
          <w:bCs/>
        </w:rPr>
      </w:pPr>
      <w:r w:rsidRPr="005C1D96">
        <w:rPr>
          <w:rFonts w:ascii="Arial" w:hAnsi="Arial" w:cs="Arial"/>
        </w:rPr>
        <w:t xml:space="preserve">Hybrid events, which integrate live streaming and digital engagement tools with in-person experiences, have </w:t>
      </w:r>
      <w:r w:rsidR="005F2104">
        <w:rPr>
          <w:rFonts w:ascii="Arial" w:hAnsi="Arial" w:cs="Arial"/>
        </w:rPr>
        <w:t>become</w:t>
      </w:r>
      <w:r w:rsidRPr="005C1D96">
        <w:rPr>
          <w:rFonts w:ascii="Arial" w:hAnsi="Arial" w:cs="Arial"/>
        </w:rPr>
        <w:t xml:space="preserve"> </w:t>
      </w:r>
      <w:r w:rsidR="005F2104">
        <w:rPr>
          <w:rFonts w:ascii="Arial" w:hAnsi="Arial" w:cs="Arial"/>
        </w:rPr>
        <w:t>essential to</w:t>
      </w:r>
      <w:r w:rsidRPr="005C1D96">
        <w:rPr>
          <w:rFonts w:ascii="Arial" w:hAnsi="Arial" w:cs="Arial"/>
        </w:rPr>
        <w:t xml:space="preserve"> the MICE (Meetings, Incentives, Conferences, and Exhibitions) sector (</w:t>
      </w:r>
      <w:r w:rsidR="00515643" w:rsidRPr="005C1D96">
        <w:rPr>
          <w:rFonts w:ascii="Arial" w:hAnsi="Arial" w:cs="Arial"/>
        </w:rPr>
        <w:t>Mohamed and Saber, 2022</w:t>
      </w:r>
      <w:r w:rsidRPr="005C1D96">
        <w:rPr>
          <w:rFonts w:ascii="Arial" w:hAnsi="Arial" w:cs="Arial"/>
        </w:rPr>
        <w:t xml:space="preserve">). Remote attendees will be able to participate in live-streamed panel discussions, </w:t>
      </w:r>
      <w:r w:rsidR="001A3166" w:rsidRPr="005C1D96">
        <w:rPr>
          <w:rFonts w:ascii="Arial" w:hAnsi="Arial" w:cs="Arial"/>
        </w:rPr>
        <w:t xml:space="preserve">which </w:t>
      </w:r>
      <w:r w:rsidRPr="005C1D96">
        <w:rPr>
          <w:rFonts w:ascii="Arial" w:hAnsi="Arial" w:cs="Arial"/>
        </w:rPr>
        <w:t xml:space="preserve">will improve inclusivity and accessibility. Furthermore, hybrid formats contribute to </w:t>
      </w:r>
      <w:r w:rsidR="005F2104">
        <w:rPr>
          <w:rFonts w:ascii="Arial" w:hAnsi="Arial" w:cs="Arial"/>
        </w:rPr>
        <w:t>reducing</w:t>
      </w:r>
      <w:r w:rsidRPr="005C1D96">
        <w:rPr>
          <w:rFonts w:ascii="Arial" w:hAnsi="Arial" w:cs="Arial"/>
        </w:rPr>
        <w:t xml:space="preserve"> travel-related carbon footprints, which is consistent with the objectives of sustainable events (Mohamed, 2022).</w:t>
      </w:r>
    </w:p>
    <w:p w14:paraId="054D777E" w14:textId="6E2FE758" w:rsidR="00A65760" w:rsidRPr="005C1D96" w:rsidRDefault="00A65760" w:rsidP="005C1D96">
      <w:pPr>
        <w:pStyle w:val="ListParagraph"/>
        <w:numPr>
          <w:ilvl w:val="0"/>
          <w:numId w:val="11"/>
        </w:numPr>
        <w:spacing w:line="360" w:lineRule="auto"/>
        <w:jc w:val="both"/>
        <w:rPr>
          <w:rFonts w:ascii="Arial" w:hAnsi="Arial" w:cs="Arial"/>
          <w:b/>
          <w:bCs/>
        </w:rPr>
      </w:pPr>
      <w:r w:rsidRPr="005C1D96">
        <w:rPr>
          <w:rFonts w:ascii="Arial" w:hAnsi="Arial" w:cs="Arial"/>
          <w:b/>
          <w:bCs/>
        </w:rPr>
        <w:t>Sustainability Measures</w:t>
      </w:r>
    </w:p>
    <w:p w14:paraId="49CFED89" w14:textId="46E8F1A7" w:rsidR="00EA3147" w:rsidRPr="005C1D96" w:rsidRDefault="00EA3147" w:rsidP="005C1D96">
      <w:pPr>
        <w:spacing w:line="360" w:lineRule="auto"/>
        <w:jc w:val="both"/>
        <w:rPr>
          <w:rFonts w:ascii="Arial" w:hAnsi="Arial" w:cs="Arial"/>
          <w:b/>
          <w:bCs/>
        </w:rPr>
      </w:pPr>
      <w:r w:rsidRPr="005C1D96">
        <w:rPr>
          <w:rFonts w:ascii="Arial" w:hAnsi="Arial" w:cs="Arial"/>
        </w:rPr>
        <w:t>The event integrates sustainable procurement practices, carbon offset initiatives, and low-waste catering (</w:t>
      </w:r>
      <w:r w:rsidR="00AE3FD3" w:rsidRPr="005C1D96">
        <w:rPr>
          <w:rFonts w:ascii="Arial" w:hAnsi="Arial" w:cs="Arial"/>
        </w:rPr>
        <w:t>Getz and Page, 2024</w:t>
      </w:r>
      <w:r w:rsidRPr="005C1D96">
        <w:rPr>
          <w:rFonts w:ascii="Arial" w:hAnsi="Arial" w:cs="Arial"/>
        </w:rPr>
        <w:t xml:space="preserve">). Catering will use organic, locally sourced ingredients, while waste reduction policies draw attention to recycling and compostable materials. Moreover, the event </w:t>
      </w:r>
      <w:r w:rsidR="005F2104">
        <w:rPr>
          <w:rFonts w:ascii="Arial" w:hAnsi="Arial" w:cs="Arial"/>
        </w:rPr>
        <w:t>has</w:t>
      </w:r>
      <w:r w:rsidRPr="005C1D96">
        <w:rPr>
          <w:rFonts w:ascii="Arial" w:hAnsi="Arial" w:cs="Arial"/>
        </w:rPr>
        <w:t xml:space="preserve"> green initiatives </w:t>
      </w:r>
      <w:r w:rsidR="005F2104">
        <w:rPr>
          <w:rFonts w:ascii="Arial" w:hAnsi="Arial" w:cs="Arial"/>
        </w:rPr>
        <w:t>due to</w:t>
      </w:r>
      <w:r w:rsidRPr="005C1D96">
        <w:rPr>
          <w:rFonts w:ascii="Arial" w:hAnsi="Arial" w:cs="Arial"/>
        </w:rPr>
        <w:t xml:space="preserve"> partnerships with sustainability-focused sponsors such as Unilever (Wickham, Donnelly </w:t>
      </w:r>
      <w:r w:rsidR="003E0AF8" w:rsidRPr="005C1D96">
        <w:rPr>
          <w:rFonts w:ascii="Arial" w:hAnsi="Arial" w:cs="Arial"/>
        </w:rPr>
        <w:t>and</w:t>
      </w:r>
      <w:r w:rsidRPr="005C1D96">
        <w:rPr>
          <w:rFonts w:ascii="Arial" w:hAnsi="Arial" w:cs="Arial"/>
        </w:rPr>
        <w:t xml:space="preserve"> French, 2020).</w:t>
      </w:r>
    </w:p>
    <w:p w14:paraId="498EB698" w14:textId="4A2A0A0A" w:rsidR="00A65760" w:rsidRPr="005C1D96" w:rsidRDefault="00A65760" w:rsidP="005C1D96">
      <w:pPr>
        <w:pStyle w:val="ListParagraph"/>
        <w:numPr>
          <w:ilvl w:val="0"/>
          <w:numId w:val="11"/>
        </w:numPr>
        <w:spacing w:line="360" w:lineRule="auto"/>
        <w:jc w:val="both"/>
        <w:rPr>
          <w:rFonts w:ascii="Arial" w:hAnsi="Arial" w:cs="Arial"/>
          <w:b/>
          <w:bCs/>
        </w:rPr>
      </w:pPr>
      <w:r w:rsidRPr="005C1D96">
        <w:rPr>
          <w:rFonts w:ascii="Arial" w:hAnsi="Arial" w:cs="Arial"/>
          <w:b/>
          <w:bCs/>
        </w:rPr>
        <w:t>Technology Trends</w:t>
      </w:r>
    </w:p>
    <w:p w14:paraId="11F54E46" w14:textId="1835FC66" w:rsidR="005E3258" w:rsidRPr="005C1D96" w:rsidRDefault="005C1D96" w:rsidP="005C1D96">
      <w:pPr>
        <w:spacing w:line="360" w:lineRule="auto"/>
        <w:jc w:val="both"/>
        <w:rPr>
          <w:rFonts w:ascii="Arial" w:hAnsi="Arial" w:cs="Arial"/>
          <w:b/>
          <w:bCs/>
        </w:rPr>
      </w:pPr>
      <w:r w:rsidRPr="005C1D96">
        <w:rPr>
          <w:rFonts w:ascii="Arial" w:hAnsi="Arial" w:cs="Arial"/>
        </w:rPr>
        <w:t>Technological advancements improve the efficacy of events and the interaction between attendees</w:t>
      </w:r>
      <w:r w:rsidR="005E3258" w:rsidRPr="005C1D96">
        <w:rPr>
          <w:rFonts w:ascii="Arial" w:hAnsi="Arial" w:cs="Arial"/>
        </w:rPr>
        <w:t>. Contactless ticketing and QR check-ins will simplify entry procedures, thereby minimising physical touchpoints while improving crowd control (Mohamed, 2022). Furthermore, an event app will encourage engagement and convenience by enabling personalised scheduling, real-time updates, and networking. Interactive networking tools, such as AI-powered matchmaking platforms, will facilitate the connection between hospitality professionals based on their shared interests and career objectives (</w:t>
      </w:r>
      <w:r w:rsidR="0066434A" w:rsidRPr="005C1D96">
        <w:rPr>
          <w:rFonts w:ascii="Arial" w:hAnsi="Arial" w:cs="Arial"/>
        </w:rPr>
        <w:t>Salvatori, 2024</w:t>
      </w:r>
      <w:r w:rsidR="005E3258" w:rsidRPr="005C1D96">
        <w:rPr>
          <w:rFonts w:ascii="Arial" w:hAnsi="Arial" w:cs="Arial"/>
        </w:rPr>
        <w:t>).</w:t>
      </w:r>
    </w:p>
    <w:p w14:paraId="28A1F080" w14:textId="2B45059E" w:rsidR="00A65760" w:rsidRPr="005C1D96" w:rsidRDefault="00A65760" w:rsidP="005C1D96">
      <w:pPr>
        <w:pStyle w:val="ListParagraph"/>
        <w:numPr>
          <w:ilvl w:val="0"/>
          <w:numId w:val="11"/>
        </w:numPr>
        <w:spacing w:line="360" w:lineRule="auto"/>
        <w:jc w:val="both"/>
        <w:rPr>
          <w:rFonts w:ascii="Arial" w:hAnsi="Arial" w:cs="Arial"/>
          <w:b/>
          <w:bCs/>
        </w:rPr>
      </w:pPr>
      <w:r w:rsidRPr="005C1D96">
        <w:rPr>
          <w:rFonts w:ascii="Arial" w:hAnsi="Arial" w:cs="Arial"/>
          <w:b/>
          <w:bCs/>
        </w:rPr>
        <w:t>Impact Analysis (PESTLE Framework)</w:t>
      </w:r>
    </w:p>
    <w:p w14:paraId="67943797" w14:textId="6525CD0D"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t>Political</w:t>
      </w:r>
      <w:r w:rsidR="00E03F38" w:rsidRPr="005C1D96">
        <w:rPr>
          <w:rFonts w:ascii="Arial" w:hAnsi="Arial" w:cs="Arial"/>
          <w:b/>
          <w:bCs/>
        </w:rPr>
        <w:t>-</w:t>
      </w:r>
      <w:r w:rsidRPr="005C1D96">
        <w:rPr>
          <w:rFonts w:ascii="Arial" w:hAnsi="Arial" w:cs="Arial"/>
        </w:rPr>
        <w:t xml:space="preserve"> Compliance with UK event safety regulations and sustainability policies </w:t>
      </w:r>
      <w:r w:rsidR="00907BBF" w:rsidRPr="005C1D96">
        <w:rPr>
          <w:rFonts w:ascii="Arial" w:hAnsi="Arial" w:cs="Arial"/>
        </w:rPr>
        <w:t>improves</w:t>
      </w:r>
      <w:r w:rsidRPr="005C1D96">
        <w:rPr>
          <w:rFonts w:ascii="Arial" w:hAnsi="Arial" w:cs="Arial"/>
        </w:rPr>
        <w:t xml:space="preserve"> event credibility.</w:t>
      </w:r>
    </w:p>
    <w:p w14:paraId="3C258B93" w14:textId="3696CB9D"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t>Economic</w:t>
      </w:r>
      <w:r w:rsidR="00E03F38" w:rsidRPr="005C1D96">
        <w:rPr>
          <w:rFonts w:ascii="Arial" w:hAnsi="Arial" w:cs="Arial"/>
          <w:b/>
          <w:bCs/>
        </w:rPr>
        <w:t>-</w:t>
      </w:r>
      <w:r w:rsidRPr="005C1D96">
        <w:rPr>
          <w:rFonts w:ascii="Arial" w:hAnsi="Arial" w:cs="Arial"/>
        </w:rPr>
        <w:t xml:space="preserve"> The event supports local businesses and hospitality employment, reinforcing industry stability.</w:t>
      </w:r>
    </w:p>
    <w:p w14:paraId="07685994" w14:textId="3515EA5F"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t>Social</w:t>
      </w:r>
      <w:r w:rsidR="00E03F38" w:rsidRPr="005C1D96">
        <w:rPr>
          <w:rFonts w:ascii="Arial" w:hAnsi="Arial" w:cs="Arial"/>
          <w:b/>
          <w:bCs/>
        </w:rPr>
        <w:t>-</w:t>
      </w:r>
      <w:r w:rsidRPr="005C1D96">
        <w:rPr>
          <w:rFonts w:ascii="Arial" w:hAnsi="Arial" w:cs="Arial"/>
        </w:rPr>
        <w:t xml:space="preserve"> Addressing work-life balance and inclusivity aligns with changing workforce dynamics.</w:t>
      </w:r>
    </w:p>
    <w:p w14:paraId="494127B4" w14:textId="6857A6F5"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t>Technological</w:t>
      </w:r>
      <w:r w:rsidR="00E03F38" w:rsidRPr="005C1D96">
        <w:rPr>
          <w:rFonts w:ascii="Arial" w:hAnsi="Arial" w:cs="Arial"/>
          <w:b/>
          <w:bCs/>
        </w:rPr>
        <w:t>-</w:t>
      </w:r>
      <w:r w:rsidRPr="005C1D96">
        <w:rPr>
          <w:rFonts w:ascii="Arial" w:hAnsi="Arial" w:cs="Arial"/>
        </w:rPr>
        <w:t xml:space="preserve"> Adoption of event tech innovations improves user experience and engagement.</w:t>
      </w:r>
    </w:p>
    <w:p w14:paraId="639D1348" w14:textId="2F9FBBE7"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lastRenderedPageBreak/>
        <w:t>Legal</w:t>
      </w:r>
      <w:r w:rsidR="00E03F38" w:rsidRPr="005C1D96">
        <w:rPr>
          <w:rFonts w:ascii="Arial" w:hAnsi="Arial" w:cs="Arial"/>
          <w:b/>
          <w:bCs/>
        </w:rPr>
        <w:t>-</w:t>
      </w:r>
      <w:r w:rsidRPr="005C1D96">
        <w:rPr>
          <w:rFonts w:ascii="Arial" w:hAnsi="Arial" w:cs="Arial"/>
        </w:rPr>
        <w:t xml:space="preserve"> GDPR-compliant data management </w:t>
      </w:r>
      <w:r w:rsidR="004F1E73" w:rsidRPr="005C1D96">
        <w:rPr>
          <w:rFonts w:ascii="Arial" w:hAnsi="Arial" w:cs="Arial"/>
        </w:rPr>
        <w:t>guarantees</w:t>
      </w:r>
      <w:r w:rsidRPr="005C1D96">
        <w:rPr>
          <w:rFonts w:ascii="Arial" w:hAnsi="Arial" w:cs="Arial"/>
        </w:rPr>
        <w:t xml:space="preserve"> attendee privacy and security.</w:t>
      </w:r>
    </w:p>
    <w:p w14:paraId="1BF9AAC4" w14:textId="5CD8BA2A" w:rsidR="00A65760" w:rsidRPr="005C1D96" w:rsidRDefault="00A65760" w:rsidP="005C1D96">
      <w:pPr>
        <w:numPr>
          <w:ilvl w:val="0"/>
          <w:numId w:val="12"/>
        </w:numPr>
        <w:spacing w:line="360" w:lineRule="auto"/>
        <w:jc w:val="both"/>
        <w:rPr>
          <w:rFonts w:ascii="Arial" w:hAnsi="Arial" w:cs="Arial"/>
        </w:rPr>
      </w:pPr>
      <w:r w:rsidRPr="005C1D96">
        <w:rPr>
          <w:rFonts w:ascii="Arial" w:hAnsi="Arial" w:cs="Arial"/>
          <w:b/>
          <w:bCs/>
        </w:rPr>
        <w:t>Environmental</w:t>
      </w:r>
      <w:r w:rsidR="00E03F38" w:rsidRPr="005C1D96">
        <w:rPr>
          <w:rFonts w:ascii="Arial" w:hAnsi="Arial" w:cs="Arial"/>
          <w:b/>
          <w:bCs/>
        </w:rPr>
        <w:t>-</w:t>
      </w:r>
      <w:r w:rsidRPr="005C1D96">
        <w:rPr>
          <w:rFonts w:ascii="Arial" w:hAnsi="Arial" w:cs="Arial"/>
        </w:rPr>
        <w:t xml:space="preserve"> Eco-friendly event strategies contribute to sustainable event planning (Mair et al., 2024).</w:t>
      </w:r>
    </w:p>
    <w:p w14:paraId="64BE44C2" w14:textId="77777777" w:rsidR="00A65760" w:rsidRPr="005C1D96" w:rsidRDefault="00A65760" w:rsidP="005C1D96">
      <w:pPr>
        <w:spacing w:line="360" w:lineRule="auto"/>
        <w:jc w:val="both"/>
        <w:rPr>
          <w:rFonts w:ascii="Arial" w:hAnsi="Arial" w:cs="Arial"/>
        </w:rPr>
      </w:pPr>
    </w:p>
    <w:p w14:paraId="3CC9B0B5" w14:textId="01FDF25C" w:rsidR="002408EB" w:rsidRPr="005C1D96" w:rsidRDefault="002408EB" w:rsidP="005F2104">
      <w:pPr>
        <w:spacing w:line="360" w:lineRule="auto"/>
        <w:jc w:val="center"/>
        <w:rPr>
          <w:rFonts w:ascii="Arial" w:hAnsi="Arial" w:cs="Arial"/>
          <w:b/>
          <w:bCs/>
        </w:rPr>
      </w:pPr>
      <w:r w:rsidRPr="005C1D96">
        <w:rPr>
          <w:rFonts w:ascii="Arial" w:hAnsi="Arial" w:cs="Arial"/>
          <w:b/>
          <w:bCs/>
          <w:noProof/>
        </w:rPr>
        <w:drawing>
          <wp:anchor distT="0" distB="0" distL="114300" distR="114300" simplePos="0" relativeHeight="251664384" behindDoc="0" locked="0" layoutInCell="1" allowOverlap="1" wp14:anchorId="61AFC389" wp14:editId="7BC6AFAC">
            <wp:simplePos x="0" y="0"/>
            <wp:positionH relativeFrom="column">
              <wp:posOffset>-14443</wp:posOffset>
            </wp:positionH>
            <wp:positionV relativeFrom="paragraph">
              <wp:posOffset>383540</wp:posOffset>
            </wp:positionV>
            <wp:extent cx="5928360" cy="1755775"/>
            <wp:effectExtent l="114300" t="95250" r="110490" b="92075"/>
            <wp:wrapSquare wrapText="bothSides"/>
            <wp:docPr id="714319101" name="Picture 1" descr="A graphic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19101" name="Picture 1" descr="A graphic of a swot analysis&#10;&#10;AI-generated content may be incorrect."/>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28360" cy="1755775"/>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anchor>
        </w:drawing>
      </w:r>
      <w:r w:rsidR="00A65760" w:rsidRPr="005C1D96">
        <w:rPr>
          <w:rFonts w:ascii="Arial" w:hAnsi="Arial" w:cs="Arial"/>
          <w:b/>
          <w:bCs/>
        </w:rPr>
        <w:t>Situational and Cultural Considerations</w:t>
      </w:r>
    </w:p>
    <w:p w14:paraId="0F8FD5DE" w14:textId="6F8912AB" w:rsidR="00267ED2" w:rsidRPr="005C1D96" w:rsidRDefault="005F2104" w:rsidP="005C1D96">
      <w:pPr>
        <w:spacing w:line="360" w:lineRule="auto"/>
        <w:jc w:val="both"/>
        <w:rPr>
          <w:rFonts w:ascii="Arial" w:hAnsi="Arial" w:cs="Arial"/>
        </w:rPr>
      </w:pPr>
      <w:r w:rsidRPr="005F2104">
        <w:rPr>
          <w:rFonts w:ascii="Arial" w:hAnsi="Arial" w:cs="Arial"/>
        </w:rPr>
        <w:t>Understanding situational and cultural factors is imperative</w:t>
      </w:r>
      <w:r w:rsidR="00267ED2" w:rsidRPr="005C1D96">
        <w:rPr>
          <w:rFonts w:ascii="Arial" w:hAnsi="Arial" w:cs="Arial"/>
        </w:rPr>
        <w:t xml:space="preserve"> to guarantee the "Celebrating Parenthood in Hospitality" Festival's long-term success and inclusivity. The event's strengths, vulnerabilities, opportunities, and threats (SWOT) are the focus of a strategic analysis that underlines both the challenges and the </w:t>
      </w:r>
      <w:r>
        <w:rPr>
          <w:rFonts w:ascii="Arial" w:hAnsi="Arial" w:cs="Arial"/>
        </w:rPr>
        <w:t>growth potential</w:t>
      </w:r>
      <w:r w:rsidR="00267ED2" w:rsidRPr="005C1D96">
        <w:rPr>
          <w:rFonts w:ascii="Arial" w:hAnsi="Arial" w:cs="Arial"/>
        </w:rPr>
        <w:t xml:space="preserve"> (Perdana et al., 2023). Furthermore, cultural considerations guarantee that the event remains inclusive and appealing to a diverse audience (Huang, 2024).</w:t>
      </w:r>
    </w:p>
    <w:p w14:paraId="5C3402A2" w14:textId="77777777" w:rsidR="00A65760" w:rsidRPr="005C1D96" w:rsidRDefault="00A65760" w:rsidP="005C1D96">
      <w:pPr>
        <w:pStyle w:val="ListParagraph"/>
        <w:numPr>
          <w:ilvl w:val="0"/>
          <w:numId w:val="14"/>
        </w:numPr>
        <w:spacing w:line="360" w:lineRule="auto"/>
        <w:jc w:val="both"/>
        <w:rPr>
          <w:rFonts w:ascii="Arial" w:hAnsi="Arial" w:cs="Arial"/>
          <w:b/>
          <w:bCs/>
        </w:rPr>
      </w:pPr>
      <w:r w:rsidRPr="005C1D96">
        <w:rPr>
          <w:rFonts w:ascii="Arial" w:hAnsi="Arial" w:cs="Arial"/>
          <w:b/>
          <w:bCs/>
        </w:rPr>
        <w:t>SWOT Analysis</w:t>
      </w:r>
    </w:p>
    <w:p w14:paraId="5255EC26" w14:textId="2F050B04" w:rsidR="00A65760" w:rsidRPr="005C1D96" w:rsidRDefault="00A65760" w:rsidP="005C1D96">
      <w:pPr>
        <w:numPr>
          <w:ilvl w:val="0"/>
          <w:numId w:val="13"/>
        </w:numPr>
        <w:spacing w:line="360" w:lineRule="auto"/>
        <w:jc w:val="both"/>
        <w:rPr>
          <w:rFonts w:ascii="Arial" w:hAnsi="Arial" w:cs="Arial"/>
        </w:rPr>
      </w:pPr>
      <w:r w:rsidRPr="005C1D96">
        <w:rPr>
          <w:rFonts w:ascii="Arial" w:hAnsi="Arial" w:cs="Arial"/>
          <w:b/>
          <w:bCs/>
        </w:rPr>
        <w:t>Strengths</w:t>
      </w:r>
      <w:r w:rsidR="000131E0" w:rsidRPr="005C1D96">
        <w:rPr>
          <w:rFonts w:ascii="Arial" w:hAnsi="Arial" w:cs="Arial"/>
          <w:b/>
          <w:bCs/>
        </w:rPr>
        <w:t xml:space="preserve">- </w:t>
      </w:r>
      <w:r w:rsidR="007652E2" w:rsidRPr="005C1D96">
        <w:rPr>
          <w:rFonts w:ascii="Arial" w:hAnsi="Arial" w:cs="Arial"/>
        </w:rPr>
        <w:t>The event offers a distinctive theme that promotes work-life harmony</w:t>
      </w:r>
      <w:r w:rsidR="005F2104">
        <w:rPr>
          <w:rFonts w:ascii="Arial" w:hAnsi="Arial" w:cs="Arial"/>
        </w:rPr>
        <w:t xml:space="preserve"> and</w:t>
      </w:r>
      <w:r w:rsidR="007652E2" w:rsidRPr="005C1D96">
        <w:rPr>
          <w:rFonts w:ascii="Arial" w:hAnsi="Arial" w:cs="Arial"/>
        </w:rPr>
        <w:t xml:space="preserve"> strong sponsorship support from brands such as Unilever and Tesco. Additionally, it is highly accessible, with an inclusive venue and child-friendly facilities. These characteristics distinguish it from events that are typical of the hospitality industry.</w:t>
      </w:r>
    </w:p>
    <w:p w14:paraId="45514BD7" w14:textId="06C2A591" w:rsidR="00A65760" w:rsidRPr="005C1D96" w:rsidRDefault="00A65760" w:rsidP="005C1D96">
      <w:pPr>
        <w:numPr>
          <w:ilvl w:val="0"/>
          <w:numId w:val="13"/>
        </w:numPr>
        <w:spacing w:line="360" w:lineRule="auto"/>
        <w:jc w:val="both"/>
        <w:rPr>
          <w:rFonts w:ascii="Arial" w:hAnsi="Arial" w:cs="Arial"/>
        </w:rPr>
      </w:pPr>
      <w:r w:rsidRPr="005C1D96">
        <w:rPr>
          <w:rFonts w:ascii="Arial" w:hAnsi="Arial" w:cs="Arial"/>
          <w:b/>
          <w:bCs/>
        </w:rPr>
        <w:t>Weaknesses</w:t>
      </w:r>
      <w:r w:rsidR="000131E0" w:rsidRPr="005C1D96">
        <w:rPr>
          <w:rFonts w:ascii="Arial" w:hAnsi="Arial" w:cs="Arial"/>
          <w:b/>
          <w:bCs/>
        </w:rPr>
        <w:t>-</w:t>
      </w:r>
      <w:r w:rsidRPr="005C1D96">
        <w:rPr>
          <w:rFonts w:ascii="Arial" w:hAnsi="Arial" w:cs="Arial"/>
        </w:rPr>
        <w:t xml:space="preserve"> </w:t>
      </w:r>
      <w:r w:rsidR="006041CA" w:rsidRPr="005C1D96">
        <w:rPr>
          <w:rFonts w:ascii="Arial" w:hAnsi="Arial" w:cs="Arial"/>
        </w:rPr>
        <w:t xml:space="preserve">Relying on external sponsorships for funding may result in financial risks, and the niche audience (hospitality parents) may restrict the appeal to a broader audience. </w:t>
      </w:r>
      <w:r w:rsidR="005F2104">
        <w:rPr>
          <w:rFonts w:ascii="Arial" w:hAnsi="Arial" w:cs="Arial"/>
        </w:rPr>
        <w:t>Developing</w:t>
      </w:r>
      <w:r w:rsidR="006041CA" w:rsidRPr="005C1D96">
        <w:rPr>
          <w:rFonts w:ascii="Arial" w:hAnsi="Arial" w:cs="Arial"/>
        </w:rPr>
        <w:t xml:space="preserve"> alternative revenue streams (e.g., merchandise sales virtual access) is essential for sustainability.</w:t>
      </w:r>
    </w:p>
    <w:p w14:paraId="5AD74F5F" w14:textId="6A208EBF" w:rsidR="00A65760" w:rsidRPr="005C1D96" w:rsidRDefault="00A65760" w:rsidP="005C1D96">
      <w:pPr>
        <w:numPr>
          <w:ilvl w:val="0"/>
          <w:numId w:val="13"/>
        </w:numPr>
        <w:spacing w:line="360" w:lineRule="auto"/>
        <w:jc w:val="both"/>
        <w:rPr>
          <w:rFonts w:ascii="Arial" w:hAnsi="Arial" w:cs="Arial"/>
        </w:rPr>
      </w:pPr>
      <w:r w:rsidRPr="005C1D96">
        <w:rPr>
          <w:rFonts w:ascii="Arial" w:hAnsi="Arial" w:cs="Arial"/>
          <w:b/>
          <w:bCs/>
        </w:rPr>
        <w:t>Opportunities</w:t>
      </w:r>
      <w:r w:rsidR="000131E0" w:rsidRPr="005C1D96">
        <w:rPr>
          <w:rFonts w:ascii="Arial" w:hAnsi="Arial" w:cs="Arial"/>
          <w:b/>
          <w:bCs/>
        </w:rPr>
        <w:t>-</w:t>
      </w:r>
      <w:r w:rsidRPr="005C1D96">
        <w:rPr>
          <w:rFonts w:ascii="Arial" w:hAnsi="Arial" w:cs="Arial"/>
        </w:rPr>
        <w:t xml:space="preserve"> </w:t>
      </w:r>
      <w:r w:rsidR="008D50AB" w:rsidRPr="005C1D96">
        <w:rPr>
          <w:rFonts w:ascii="Arial" w:hAnsi="Arial" w:cs="Arial"/>
        </w:rPr>
        <w:t xml:space="preserve">The increasing popularity of hybrid events presents an opportunity to expand into virtual participation, </w:t>
      </w:r>
      <w:r w:rsidR="00EC11F7" w:rsidRPr="005C1D96">
        <w:rPr>
          <w:rFonts w:ascii="Arial" w:hAnsi="Arial" w:cs="Arial"/>
        </w:rPr>
        <w:t>increasing</w:t>
      </w:r>
      <w:r w:rsidR="008D50AB" w:rsidRPr="005C1D96">
        <w:rPr>
          <w:rFonts w:ascii="Arial" w:hAnsi="Arial" w:cs="Arial"/>
        </w:rPr>
        <w:t xml:space="preserve"> revenue and attendance (Corallo et al., 2018). </w:t>
      </w:r>
      <w:r w:rsidR="008D50AB" w:rsidRPr="005C1D96">
        <w:rPr>
          <w:rFonts w:ascii="Arial" w:hAnsi="Arial" w:cs="Arial"/>
        </w:rPr>
        <w:lastRenderedPageBreak/>
        <w:t>Furthermore, the potential for future sponsorship growth exists as more brands acknowledge the significance of family-friendly workplace policies.</w:t>
      </w:r>
    </w:p>
    <w:p w14:paraId="110CC84E" w14:textId="1FFE1A79" w:rsidR="00A65760" w:rsidRPr="005C1D96" w:rsidRDefault="00A65760" w:rsidP="005C1D96">
      <w:pPr>
        <w:numPr>
          <w:ilvl w:val="0"/>
          <w:numId w:val="13"/>
        </w:numPr>
        <w:spacing w:line="360" w:lineRule="auto"/>
        <w:jc w:val="both"/>
        <w:rPr>
          <w:rFonts w:ascii="Arial" w:hAnsi="Arial" w:cs="Arial"/>
        </w:rPr>
      </w:pPr>
      <w:r w:rsidRPr="005C1D96">
        <w:rPr>
          <w:rFonts w:ascii="Arial" w:hAnsi="Arial" w:cs="Arial"/>
          <w:b/>
          <w:bCs/>
        </w:rPr>
        <w:t>Threats</w:t>
      </w:r>
      <w:r w:rsidR="000131E0" w:rsidRPr="005C1D96">
        <w:rPr>
          <w:rFonts w:ascii="Arial" w:hAnsi="Arial" w:cs="Arial"/>
          <w:b/>
          <w:bCs/>
        </w:rPr>
        <w:t>-</w:t>
      </w:r>
      <w:r w:rsidRPr="005C1D96">
        <w:rPr>
          <w:rFonts w:ascii="Arial" w:hAnsi="Arial" w:cs="Arial"/>
        </w:rPr>
        <w:t xml:space="preserve"> </w:t>
      </w:r>
      <w:r w:rsidR="00CF002E" w:rsidRPr="005C1D96">
        <w:rPr>
          <w:rFonts w:ascii="Arial" w:hAnsi="Arial" w:cs="Arial"/>
        </w:rPr>
        <w:t xml:space="preserve">Ticket sales may be reduced </w:t>
      </w:r>
      <w:r w:rsidR="005F2104">
        <w:rPr>
          <w:rFonts w:ascii="Arial" w:hAnsi="Arial" w:cs="Arial"/>
        </w:rPr>
        <w:t>due to</w:t>
      </w:r>
      <w:r w:rsidR="00CF002E" w:rsidRPr="005C1D96">
        <w:rPr>
          <w:rFonts w:ascii="Arial" w:hAnsi="Arial" w:cs="Arial"/>
        </w:rPr>
        <w:t xml:space="preserve"> economic uncertainty, </w:t>
      </w:r>
      <w:r w:rsidR="005F2104">
        <w:rPr>
          <w:rFonts w:ascii="Arial" w:hAnsi="Arial" w:cs="Arial"/>
        </w:rPr>
        <w:t>impacting</w:t>
      </w:r>
      <w:r w:rsidR="00CF002E" w:rsidRPr="005C1D96">
        <w:rPr>
          <w:rFonts w:ascii="Arial" w:hAnsi="Arial" w:cs="Arial"/>
        </w:rPr>
        <w:t xml:space="preserve"> discretionary spending. Furthermore, logistical challenges are presented by unpredictable attendee behaviour, such as fluctuating registration numbers. These hazards can be mitigated through targeted marketing campaigns and pre-event surveys.</w:t>
      </w:r>
    </w:p>
    <w:p w14:paraId="326D152E" w14:textId="19AB53DA" w:rsidR="00A65760" w:rsidRPr="005C1D96" w:rsidRDefault="00A65760" w:rsidP="005C1D96">
      <w:pPr>
        <w:pStyle w:val="ListParagraph"/>
        <w:numPr>
          <w:ilvl w:val="0"/>
          <w:numId w:val="14"/>
        </w:numPr>
        <w:spacing w:line="360" w:lineRule="auto"/>
        <w:jc w:val="both"/>
        <w:rPr>
          <w:rFonts w:ascii="Arial" w:hAnsi="Arial" w:cs="Arial"/>
          <w:b/>
          <w:bCs/>
        </w:rPr>
      </w:pPr>
      <w:r w:rsidRPr="005C1D96">
        <w:rPr>
          <w:rFonts w:ascii="Arial" w:hAnsi="Arial" w:cs="Arial"/>
          <w:b/>
          <w:bCs/>
        </w:rPr>
        <w:t xml:space="preserve">Cultural Sensitivity </w:t>
      </w:r>
      <w:r w:rsidR="00CF002E" w:rsidRPr="005C1D96">
        <w:rPr>
          <w:rFonts w:ascii="Arial" w:hAnsi="Arial" w:cs="Arial"/>
          <w:b/>
          <w:bCs/>
        </w:rPr>
        <w:t>and</w:t>
      </w:r>
      <w:r w:rsidRPr="005C1D96">
        <w:rPr>
          <w:rFonts w:ascii="Arial" w:hAnsi="Arial" w:cs="Arial"/>
          <w:b/>
          <w:bCs/>
        </w:rPr>
        <w:t xml:space="preserve"> Inclusivity</w:t>
      </w:r>
    </w:p>
    <w:p w14:paraId="419C5C77" w14:textId="77777777" w:rsidR="00FF3EE1" w:rsidRPr="005C1D96" w:rsidRDefault="00FF3EE1" w:rsidP="005C1D96">
      <w:pPr>
        <w:spacing w:line="360" w:lineRule="auto"/>
        <w:jc w:val="both"/>
        <w:rPr>
          <w:rFonts w:ascii="Arial" w:hAnsi="Arial" w:cs="Arial"/>
        </w:rPr>
      </w:pPr>
      <w:r w:rsidRPr="005C1D96">
        <w:rPr>
          <w:rFonts w:ascii="Arial" w:hAnsi="Arial" w:cs="Arial"/>
        </w:rPr>
        <w:t>Promoting cultural inclusivity is essential for cultivating an environment that is both engaging and welcoming. The event will include:</w:t>
      </w:r>
    </w:p>
    <w:p w14:paraId="26941C45" w14:textId="3007FAC8" w:rsidR="00FF3EE1" w:rsidRPr="005C1D96" w:rsidRDefault="00FF3EE1" w:rsidP="005C1D96">
      <w:pPr>
        <w:pStyle w:val="ListParagraph"/>
        <w:numPr>
          <w:ilvl w:val="0"/>
          <w:numId w:val="15"/>
        </w:numPr>
        <w:spacing w:line="360" w:lineRule="auto"/>
        <w:jc w:val="both"/>
        <w:rPr>
          <w:rFonts w:ascii="Arial" w:hAnsi="Arial" w:cs="Arial"/>
        </w:rPr>
      </w:pPr>
      <w:r w:rsidRPr="005C1D96">
        <w:rPr>
          <w:rFonts w:ascii="Arial" w:hAnsi="Arial" w:cs="Arial"/>
        </w:rPr>
        <w:t xml:space="preserve">Multicultural catering to suit </w:t>
      </w:r>
      <w:r w:rsidR="005F2104">
        <w:rPr>
          <w:rFonts w:ascii="Arial" w:hAnsi="Arial" w:cs="Arial"/>
        </w:rPr>
        <w:t>various</w:t>
      </w:r>
      <w:r w:rsidRPr="005C1D96">
        <w:rPr>
          <w:rFonts w:ascii="Arial" w:hAnsi="Arial" w:cs="Arial"/>
        </w:rPr>
        <w:t xml:space="preserve"> dietary preferences, such as halal, vegetarian, and allergen-free options.</w:t>
      </w:r>
    </w:p>
    <w:p w14:paraId="1B0D5125" w14:textId="60F9FE8A" w:rsidR="00FF3EE1" w:rsidRPr="005C1D96" w:rsidRDefault="00FF3EE1" w:rsidP="005C1D96">
      <w:pPr>
        <w:pStyle w:val="ListParagraph"/>
        <w:numPr>
          <w:ilvl w:val="0"/>
          <w:numId w:val="15"/>
        </w:numPr>
        <w:spacing w:line="360" w:lineRule="auto"/>
        <w:jc w:val="both"/>
        <w:rPr>
          <w:rFonts w:ascii="Arial" w:hAnsi="Arial" w:cs="Arial"/>
        </w:rPr>
      </w:pPr>
      <w:r w:rsidRPr="005C1D96">
        <w:rPr>
          <w:rFonts w:ascii="Arial" w:hAnsi="Arial" w:cs="Arial"/>
        </w:rPr>
        <w:t xml:space="preserve">Diverse speakers from </w:t>
      </w:r>
      <w:r w:rsidR="005F2104">
        <w:rPr>
          <w:rFonts w:ascii="Arial" w:hAnsi="Arial" w:cs="Arial"/>
        </w:rPr>
        <w:t>various</w:t>
      </w:r>
      <w:r w:rsidRPr="005C1D96">
        <w:rPr>
          <w:rFonts w:ascii="Arial" w:hAnsi="Arial" w:cs="Arial"/>
        </w:rPr>
        <w:t xml:space="preserve"> ethnicities and origins to improve inclusivity and relatability.</w:t>
      </w:r>
    </w:p>
    <w:p w14:paraId="68EEB641" w14:textId="1961DB55" w:rsidR="00FF3EE1" w:rsidRPr="005C1D96" w:rsidRDefault="00EC11F7" w:rsidP="005C1D96">
      <w:pPr>
        <w:pStyle w:val="ListParagraph"/>
        <w:numPr>
          <w:ilvl w:val="0"/>
          <w:numId w:val="15"/>
        </w:numPr>
        <w:spacing w:line="360" w:lineRule="auto"/>
        <w:jc w:val="both"/>
        <w:rPr>
          <w:rFonts w:ascii="Arial" w:hAnsi="Arial" w:cs="Arial"/>
        </w:rPr>
      </w:pPr>
      <w:r w:rsidRPr="005C1D96">
        <w:rPr>
          <w:rFonts w:ascii="Arial" w:hAnsi="Arial" w:cs="Arial"/>
        </w:rPr>
        <w:t>Family-friendly facilities</w:t>
      </w:r>
      <w:r w:rsidR="00FF3EE1" w:rsidRPr="005C1D96">
        <w:rPr>
          <w:rFonts w:ascii="Arial" w:hAnsi="Arial" w:cs="Arial"/>
        </w:rPr>
        <w:t>, such as childcare zones, private spaces for breastfeeding, and accessibility provisions for disabled attendees.</w:t>
      </w:r>
    </w:p>
    <w:p w14:paraId="2E4402DE" w14:textId="28D2D633" w:rsidR="00A65760" w:rsidRPr="005C1D96" w:rsidRDefault="00FF3EE1" w:rsidP="005C1D96">
      <w:pPr>
        <w:spacing w:line="360" w:lineRule="auto"/>
        <w:jc w:val="both"/>
        <w:rPr>
          <w:rFonts w:ascii="Arial" w:hAnsi="Arial" w:cs="Arial"/>
        </w:rPr>
      </w:pPr>
      <w:r w:rsidRPr="005C1D96">
        <w:rPr>
          <w:rFonts w:ascii="Arial" w:hAnsi="Arial" w:cs="Arial"/>
        </w:rPr>
        <w:t>The event optimises its strengths, addresses prospective challenges, and aligns with evolving industry expectations by adopting a strategic, data-driven approach. This guarantees both immediate success and long-term sustainability.</w:t>
      </w:r>
    </w:p>
    <w:p w14:paraId="2803E7FC" w14:textId="74A99699" w:rsidR="00FF3EE1" w:rsidRPr="005C1D96" w:rsidRDefault="00FF3EE1" w:rsidP="005C1D96">
      <w:pPr>
        <w:spacing w:line="360" w:lineRule="auto"/>
        <w:jc w:val="both"/>
        <w:rPr>
          <w:rFonts w:ascii="Arial" w:hAnsi="Arial" w:cs="Arial"/>
          <w:b/>
          <w:bCs/>
        </w:rPr>
      </w:pPr>
    </w:p>
    <w:p w14:paraId="33A15140" w14:textId="06BAE66C" w:rsidR="000740D3" w:rsidRPr="005C1D96" w:rsidRDefault="00400CD4" w:rsidP="005F2104">
      <w:pPr>
        <w:spacing w:line="360" w:lineRule="auto"/>
        <w:jc w:val="center"/>
        <w:rPr>
          <w:rFonts w:ascii="Arial" w:hAnsi="Arial" w:cs="Arial"/>
          <w:b/>
          <w:bCs/>
        </w:rPr>
      </w:pPr>
      <w:r w:rsidRPr="005C1D96">
        <w:rPr>
          <w:rFonts w:ascii="Arial" w:hAnsi="Arial" w:cs="Arial"/>
          <w:b/>
          <w:bCs/>
          <w:noProof/>
        </w:rPr>
        <w:drawing>
          <wp:anchor distT="0" distB="0" distL="114300" distR="114300" simplePos="0" relativeHeight="251665408" behindDoc="0" locked="0" layoutInCell="1" allowOverlap="1" wp14:anchorId="40FBDBB6" wp14:editId="311777CE">
            <wp:simplePos x="0" y="0"/>
            <wp:positionH relativeFrom="column">
              <wp:posOffset>18415</wp:posOffset>
            </wp:positionH>
            <wp:positionV relativeFrom="paragraph">
              <wp:posOffset>285750</wp:posOffset>
            </wp:positionV>
            <wp:extent cx="6020435" cy="2198370"/>
            <wp:effectExtent l="114300" t="95250" r="113665" b="87630"/>
            <wp:wrapSquare wrapText="bothSides"/>
            <wp:docPr id="782537404" name="Picture 1" descr="A group of wooden letters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37404" name="Picture 1" descr="A group of wooden letters with black lett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020435" cy="219837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0740D3" w:rsidRPr="005C1D96">
        <w:rPr>
          <w:rFonts w:ascii="Arial" w:hAnsi="Arial" w:cs="Arial"/>
          <w:b/>
          <w:bCs/>
        </w:rPr>
        <w:t>Conclusion</w:t>
      </w:r>
    </w:p>
    <w:p w14:paraId="66639C8E" w14:textId="6D93219C" w:rsidR="00577015" w:rsidRPr="005C1D96" w:rsidRDefault="00577015" w:rsidP="005C1D96">
      <w:pPr>
        <w:spacing w:line="360" w:lineRule="auto"/>
        <w:jc w:val="both"/>
        <w:rPr>
          <w:rFonts w:ascii="Arial" w:hAnsi="Arial" w:cs="Arial"/>
        </w:rPr>
      </w:pPr>
      <w:r w:rsidRPr="005C1D96">
        <w:rPr>
          <w:rFonts w:ascii="Arial" w:hAnsi="Arial" w:cs="Arial"/>
        </w:rPr>
        <w:t xml:space="preserve">The "Celebrating Parenthood in Hospitality" Festival is a substantial stride towards </w:t>
      </w:r>
      <w:r w:rsidR="005F2104">
        <w:rPr>
          <w:rFonts w:ascii="Arial" w:hAnsi="Arial" w:cs="Arial"/>
        </w:rPr>
        <w:t>cultivating</w:t>
      </w:r>
      <w:r w:rsidRPr="005C1D96">
        <w:rPr>
          <w:rFonts w:ascii="Arial" w:hAnsi="Arial" w:cs="Arial"/>
        </w:rPr>
        <w:t xml:space="preserve"> a more inclusive and supportive work environment in the hospitality industry. The festival effectively </w:t>
      </w:r>
      <w:r w:rsidRPr="005C1D96">
        <w:rPr>
          <w:rFonts w:ascii="Arial" w:hAnsi="Arial" w:cs="Arial"/>
        </w:rPr>
        <w:lastRenderedPageBreak/>
        <w:t>addresses the challenges encountered by working parents</w:t>
      </w:r>
      <w:r w:rsidR="005F2104">
        <w:rPr>
          <w:rFonts w:ascii="Arial" w:hAnsi="Arial" w:cs="Arial"/>
        </w:rPr>
        <w:t>. It provides</w:t>
      </w:r>
      <w:r w:rsidRPr="005C1D96">
        <w:rPr>
          <w:rFonts w:ascii="Arial" w:hAnsi="Arial" w:cs="Arial"/>
        </w:rPr>
        <w:t xml:space="preserve"> </w:t>
      </w:r>
      <w:r w:rsidR="005F2104" w:rsidRPr="005F2104">
        <w:rPr>
          <w:rFonts w:ascii="Arial" w:hAnsi="Arial" w:cs="Arial"/>
        </w:rPr>
        <w:t xml:space="preserve">an industry-wide collaboration and advocacy platform </w:t>
      </w:r>
      <w:r w:rsidRPr="005C1D96">
        <w:rPr>
          <w:rFonts w:ascii="Arial" w:hAnsi="Arial" w:cs="Arial"/>
        </w:rPr>
        <w:t xml:space="preserve">by integrating innovation into engagement strategies and a structured event management approach. The festival's status as a benchmark for future hospitality events is further solidified by </w:t>
      </w:r>
      <w:r w:rsidR="005F2104">
        <w:rPr>
          <w:rFonts w:ascii="Arial" w:hAnsi="Arial" w:cs="Arial"/>
        </w:rPr>
        <w:t>implementing</w:t>
      </w:r>
      <w:r w:rsidRPr="005C1D96">
        <w:rPr>
          <w:rFonts w:ascii="Arial" w:hAnsi="Arial" w:cs="Arial"/>
        </w:rPr>
        <w:t xml:space="preserve"> the Event Cycle and EMBOK framework, which guarantees strategic impact, financial sustainability, and operational efficiency.</w:t>
      </w:r>
    </w:p>
    <w:p w14:paraId="022EC4DC" w14:textId="6508233F" w:rsidR="00A65760" w:rsidRPr="005C1D96" w:rsidRDefault="005F2104" w:rsidP="005C1D96">
      <w:pPr>
        <w:spacing w:line="360" w:lineRule="auto"/>
        <w:jc w:val="both"/>
        <w:rPr>
          <w:rFonts w:ascii="Arial" w:hAnsi="Arial" w:cs="Arial"/>
          <w:b/>
          <w:bCs/>
        </w:rPr>
      </w:pPr>
      <w:r w:rsidRPr="005F2104">
        <w:rPr>
          <w:rFonts w:ascii="Arial" w:hAnsi="Arial" w:cs="Arial"/>
        </w:rPr>
        <w:t>The festival reinforces the significance of sustainability event management, diversity, and well-being and</w:t>
      </w:r>
      <w:r w:rsidR="00577015" w:rsidRPr="005C1D96">
        <w:rPr>
          <w:rFonts w:ascii="Arial" w:hAnsi="Arial" w:cs="Arial"/>
        </w:rPr>
        <w:t xml:space="preserve"> promotes work-life balance through targeted discussions, networking opportunities, and family-friendly programming. This initiative creates a precedent for improved </w:t>
      </w:r>
      <w:r>
        <w:rPr>
          <w:rFonts w:ascii="Arial" w:hAnsi="Arial" w:cs="Arial"/>
        </w:rPr>
        <w:t>workforce support</w:t>
      </w:r>
      <w:r w:rsidR="00577015" w:rsidRPr="005C1D96">
        <w:rPr>
          <w:rFonts w:ascii="Arial" w:hAnsi="Arial" w:cs="Arial"/>
        </w:rPr>
        <w:t xml:space="preserve"> by hospitality organisations while maintaining operational excellence as industry trends continue to evolve. This event will provide valuable insights that will be applied to the ongoing efforts to create a more inclusive and equitable hospitality industry in the future.</w:t>
      </w:r>
    </w:p>
    <w:p w14:paraId="5174AFAC" w14:textId="77777777" w:rsidR="00A65760" w:rsidRPr="005C1D96" w:rsidRDefault="00A65760" w:rsidP="005C1D96">
      <w:pPr>
        <w:spacing w:line="360" w:lineRule="auto"/>
        <w:jc w:val="both"/>
        <w:rPr>
          <w:rFonts w:ascii="Arial" w:hAnsi="Arial" w:cs="Arial"/>
        </w:rPr>
      </w:pPr>
    </w:p>
    <w:p w14:paraId="1D403F86" w14:textId="77777777" w:rsidR="00716FFB" w:rsidRPr="005C1D96" w:rsidRDefault="00716FFB" w:rsidP="005C1D96">
      <w:pPr>
        <w:spacing w:line="360" w:lineRule="auto"/>
        <w:jc w:val="both"/>
        <w:rPr>
          <w:rFonts w:ascii="Arial" w:hAnsi="Arial" w:cs="Arial"/>
          <w:b/>
          <w:bCs/>
        </w:rPr>
      </w:pPr>
    </w:p>
    <w:p w14:paraId="3C747A20" w14:textId="77777777" w:rsidR="00716FFB" w:rsidRPr="005C1D96" w:rsidRDefault="00716FFB" w:rsidP="005C1D96">
      <w:pPr>
        <w:spacing w:line="360" w:lineRule="auto"/>
        <w:jc w:val="both"/>
        <w:rPr>
          <w:rFonts w:ascii="Arial" w:hAnsi="Arial" w:cs="Arial"/>
          <w:b/>
          <w:bCs/>
        </w:rPr>
      </w:pPr>
    </w:p>
    <w:p w14:paraId="078BE470" w14:textId="77777777" w:rsidR="00716FFB" w:rsidRPr="005C1D96" w:rsidRDefault="00716FFB" w:rsidP="005C1D96">
      <w:pPr>
        <w:spacing w:line="360" w:lineRule="auto"/>
        <w:jc w:val="both"/>
        <w:rPr>
          <w:rFonts w:ascii="Arial" w:hAnsi="Arial" w:cs="Arial"/>
          <w:b/>
          <w:bCs/>
        </w:rPr>
      </w:pPr>
    </w:p>
    <w:p w14:paraId="237562CA" w14:textId="77777777" w:rsidR="00716FFB" w:rsidRPr="005C1D96" w:rsidRDefault="00716FFB" w:rsidP="005C1D96">
      <w:pPr>
        <w:spacing w:line="360" w:lineRule="auto"/>
        <w:jc w:val="both"/>
        <w:rPr>
          <w:rFonts w:ascii="Arial" w:hAnsi="Arial" w:cs="Arial"/>
          <w:b/>
          <w:bCs/>
        </w:rPr>
      </w:pPr>
    </w:p>
    <w:p w14:paraId="79EFAA26" w14:textId="77777777" w:rsidR="00716FFB" w:rsidRPr="005C1D96" w:rsidRDefault="00716FFB" w:rsidP="005C1D96">
      <w:pPr>
        <w:spacing w:line="360" w:lineRule="auto"/>
        <w:jc w:val="both"/>
        <w:rPr>
          <w:rFonts w:ascii="Arial" w:hAnsi="Arial" w:cs="Arial"/>
          <w:b/>
          <w:bCs/>
        </w:rPr>
      </w:pPr>
    </w:p>
    <w:p w14:paraId="3BC9D8D9" w14:textId="77777777" w:rsidR="00716FFB" w:rsidRPr="005C1D96" w:rsidRDefault="00716FFB" w:rsidP="005C1D96">
      <w:pPr>
        <w:spacing w:line="360" w:lineRule="auto"/>
        <w:jc w:val="both"/>
        <w:rPr>
          <w:rFonts w:ascii="Arial" w:hAnsi="Arial" w:cs="Arial"/>
          <w:b/>
          <w:bCs/>
        </w:rPr>
      </w:pPr>
    </w:p>
    <w:p w14:paraId="563D427F" w14:textId="77777777" w:rsidR="00716FFB" w:rsidRPr="005C1D96" w:rsidRDefault="00716FFB" w:rsidP="005C1D96">
      <w:pPr>
        <w:spacing w:line="360" w:lineRule="auto"/>
        <w:jc w:val="both"/>
        <w:rPr>
          <w:rFonts w:ascii="Arial" w:hAnsi="Arial" w:cs="Arial"/>
          <w:b/>
          <w:bCs/>
        </w:rPr>
      </w:pPr>
    </w:p>
    <w:p w14:paraId="62CB6BC7" w14:textId="77777777" w:rsidR="00716FFB" w:rsidRPr="005C1D96" w:rsidRDefault="00716FFB" w:rsidP="005C1D96">
      <w:pPr>
        <w:spacing w:line="360" w:lineRule="auto"/>
        <w:jc w:val="both"/>
        <w:rPr>
          <w:rFonts w:ascii="Arial" w:hAnsi="Arial" w:cs="Arial"/>
          <w:b/>
          <w:bCs/>
        </w:rPr>
      </w:pPr>
    </w:p>
    <w:p w14:paraId="67B8BC04" w14:textId="77777777" w:rsidR="00716FFB" w:rsidRPr="005C1D96" w:rsidRDefault="00716FFB" w:rsidP="005C1D96">
      <w:pPr>
        <w:spacing w:line="360" w:lineRule="auto"/>
        <w:jc w:val="both"/>
        <w:rPr>
          <w:rFonts w:ascii="Arial" w:hAnsi="Arial" w:cs="Arial"/>
          <w:b/>
          <w:bCs/>
        </w:rPr>
      </w:pPr>
    </w:p>
    <w:p w14:paraId="1F2CDF2F" w14:textId="77777777" w:rsidR="00400CD4" w:rsidRPr="005C1D96" w:rsidRDefault="00400CD4" w:rsidP="005C1D96">
      <w:pPr>
        <w:spacing w:line="360" w:lineRule="auto"/>
        <w:jc w:val="both"/>
        <w:rPr>
          <w:rFonts w:ascii="Arial" w:hAnsi="Arial" w:cs="Arial"/>
          <w:b/>
          <w:bCs/>
        </w:rPr>
      </w:pPr>
    </w:p>
    <w:p w14:paraId="4F93E9BC" w14:textId="77777777" w:rsidR="00400CD4" w:rsidRPr="005C1D96" w:rsidRDefault="00400CD4" w:rsidP="005C1D96">
      <w:pPr>
        <w:spacing w:line="360" w:lineRule="auto"/>
        <w:jc w:val="both"/>
        <w:rPr>
          <w:rFonts w:ascii="Arial" w:hAnsi="Arial" w:cs="Arial"/>
          <w:b/>
          <w:bCs/>
        </w:rPr>
      </w:pPr>
    </w:p>
    <w:p w14:paraId="1703E3D5" w14:textId="77777777" w:rsidR="00400CD4" w:rsidRPr="005C1D96" w:rsidRDefault="00400CD4" w:rsidP="005C1D96">
      <w:pPr>
        <w:spacing w:line="360" w:lineRule="auto"/>
        <w:jc w:val="both"/>
        <w:rPr>
          <w:rFonts w:ascii="Arial" w:hAnsi="Arial" w:cs="Arial"/>
          <w:b/>
          <w:bCs/>
        </w:rPr>
      </w:pPr>
    </w:p>
    <w:p w14:paraId="6B46D884" w14:textId="77777777" w:rsidR="00400CD4" w:rsidRPr="005C1D96" w:rsidRDefault="00400CD4" w:rsidP="005C1D96">
      <w:pPr>
        <w:spacing w:line="360" w:lineRule="auto"/>
        <w:jc w:val="both"/>
        <w:rPr>
          <w:rFonts w:ascii="Arial" w:hAnsi="Arial" w:cs="Arial"/>
          <w:b/>
          <w:bCs/>
        </w:rPr>
      </w:pPr>
    </w:p>
    <w:p w14:paraId="01EBA57E" w14:textId="77777777" w:rsidR="00400CD4" w:rsidRDefault="00400CD4" w:rsidP="005C1D96">
      <w:pPr>
        <w:spacing w:line="360" w:lineRule="auto"/>
        <w:jc w:val="both"/>
        <w:rPr>
          <w:rFonts w:ascii="Arial" w:hAnsi="Arial" w:cs="Arial"/>
          <w:b/>
          <w:bCs/>
        </w:rPr>
      </w:pPr>
    </w:p>
    <w:p w14:paraId="363B2E6E" w14:textId="77777777" w:rsidR="005F2104" w:rsidRPr="005C1D96" w:rsidRDefault="005F2104" w:rsidP="005C1D96">
      <w:pPr>
        <w:spacing w:line="360" w:lineRule="auto"/>
        <w:jc w:val="both"/>
        <w:rPr>
          <w:rFonts w:ascii="Arial" w:hAnsi="Arial" w:cs="Arial"/>
          <w:b/>
          <w:bCs/>
        </w:rPr>
      </w:pPr>
    </w:p>
    <w:p w14:paraId="2780BB49" w14:textId="583F67C8" w:rsidR="00E144C2" w:rsidRPr="005C1D96" w:rsidRDefault="00E144C2" w:rsidP="008C7137">
      <w:pPr>
        <w:spacing w:line="360" w:lineRule="auto"/>
        <w:jc w:val="both"/>
        <w:rPr>
          <w:rFonts w:ascii="Arial" w:hAnsi="Arial" w:cs="Arial"/>
          <w:b/>
          <w:bCs/>
        </w:rPr>
      </w:pPr>
      <w:r w:rsidRPr="005C1D96">
        <w:rPr>
          <w:rFonts w:ascii="Arial" w:hAnsi="Arial" w:cs="Arial"/>
          <w:b/>
          <w:bCs/>
        </w:rPr>
        <w:lastRenderedPageBreak/>
        <w:t>References</w:t>
      </w:r>
    </w:p>
    <w:p w14:paraId="01670242" w14:textId="163DFA51" w:rsidR="000233E9" w:rsidRPr="005C1D96" w:rsidRDefault="000233E9" w:rsidP="003B0683">
      <w:pPr>
        <w:numPr>
          <w:ilvl w:val="0"/>
          <w:numId w:val="19"/>
        </w:numPr>
        <w:spacing w:after="0" w:line="360" w:lineRule="auto"/>
        <w:rPr>
          <w:rFonts w:ascii="Arial" w:hAnsi="Arial" w:cs="Arial"/>
        </w:rPr>
      </w:pPr>
      <w:r w:rsidRPr="005C1D96">
        <w:rPr>
          <w:rFonts w:ascii="Arial" w:hAnsi="Arial" w:cs="Arial"/>
        </w:rPr>
        <w:t xml:space="preserve">ZIAKAS, V. and GETZ, D., </w:t>
      </w:r>
      <w:r w:rsidR="00B13983">
        <w:rPr>
          <w:rFonts w:ascii="Arial" w:hAnsi="Arial" w:cs="Arial"/>
        </w:rPr>
        <w:t>(</w:t>
      </w:r>
      <w:r w:rsidRPr="005C1D96">
        <w:rPr>
          <w:rFonts w:ascii="Arial" w:hAnsi="Arial" w:cs="Arial"/>
        </w:rPr>
        <w:t>2020</w:t>
      </w:r>
      <w:r w:rsidR="00B13983">
        <w:rPr>
          <w:rFonts w:ascii="Arial" w:hAnsi="Arial" w:cs="Arial"/>
        </w:rPr>
        <w:t>)</w:t>
      </w:r>
      <w:r w:rsidRPr="005C1D96">
        <w:rPr>
          <w:rFonts w:ascii="Arial" w:hAnsi="Arial" w:cs="Arial"/>
        </w:rPr>
        <w:t>. Shaping the event portfolio management field: premises and integration. </w:t>
      </w:r>
      <w:r w:rsidRPr="005C1D96">
        <w:rPr>
          <w:rFonts w:ascii="Arial" w:hAnsi="Arial" w:cs="Arial"/>
          <w:i/>
          <w:iCs/>
        </w:rPr>
        <w:t>International Journal of Contemporary Hospitality Management, </w:t>
      </w:r>
      <w:r w:rsidRPr="005C1D96">
        <w:rPr>
          <w:rFonts w:ascii="Arial" w:hAnsi="Arial" w:cs="Arial"/>
        </w:rPr>
        <w:t xml:space="preserve">32(11), pp. 3523-3544. </w:t>
      </w:r>
      <w:hyperlink r:id="rId18" w:history="1">
        <w:r w:rsidRPr="005C1D96">
          <w:rPr>
            <w:rStyle w:val="Hyperlink"/>
            <w:rFonts w:ascii="Arial" w:hAnsi="Arial" w:cs="Arial"/>
          </w:rPr>
          <w:t>https://www.proquest.com/scholarly-journals/shaping-event-portfolio-management-field-premises/docview/2459891278/se-2?accountid=130472</w:t>
        </w:r>
      </w:hyperlink>
    </w:p>
    <w:p w14:paraId="67CE5845" w14:textId="62B8ADB2" w:rsidR="000233E9" w:rsidRPr="005C1D96" w:rsidRDefault="000233E9" w:rsidP="003B0683">
      <w:pPr>
        <w:numPr>
          <w:ilvl w:val="0"/>
          <w:numId w:val="19"/>
        </w:numPr>
        <w:spacing w:after="0" w:line="360" w:lineRule="auto"/>
        <w:rPr>
          <w:rFonts w:ascii="Arial" w:hAnsi="Arial" w:cs="Arial"/>
          <w:lang w:val="de-DE"/>
        </w:rPr>
      </w:pPr>
      <w:r w:rsidRPr="005C1D96">
        <w:rPr>
          <w:rFonts w:ascii="Arial" w:hAnsi="Arial" w:cs="Arial"/>
        </w:rPr>
        <w:t xml:space="preserve">Cassel, S.H., </w:t>
      </w:r>
      <w:proofErr w:type="spellStart"/>
      <w:r w:rsidRPr="005C1D96">
        <w:rPr>
          <w:rFonts w:ascii="Arial" w:hAnsi="Arial" w:cs="Arial"/>
        </w:rPr>
        <w:t>Thulemark</w:t>
      </w:r>
      <w:proofErr w:type="spellEnd"/>
      <w:r w:rsidRPr="005C1D96">
        <w:rPr>
          <w:rFonts w:ascii="Arial" w:hAnsi="Arial" w:cs="Arial"/>
        </w:rPr>
        <w:t xml:space="preserve">, M. and Duncan, T., </w:t>
      </w:r>
      <w:r w:rsidR="00B13983">
        <w:rPr>
          <w:rFonts w:ascii="Arial" w:hAnsi="Arial" w:cs="Arial"/>
        </w:rPr>
        <w:t>(</w:t>
      </w:r>
      <w:r w:rsidRPr="005C1D96">
        <w:rPr>
          <w:rFonts w:ascii="Arial" w:hAnsi="Arial" w:cs="Arial"/>
        </w:rPr>
        <w:t>2018</w:t>
      </w:r>
      <w:r w:rsidR="00B13983">
        <w:rPr>
          <w:rFonts w:ascii="Arial" w:hAnsi="Arial" w:cs="Arial"/>
        </w:rPr>
        <w:t>)</w:t>
      </w:r>
      <w:r w:rsidRPr="005C1D96">
        <w:rPr>
          <w:rFonts w:ascii="Arial" w:hAnsi="Arial" w:cs="Arial"/>
        </w:rPr>
        <w:t>. Career paths and mobility in the Swedish hospitality sector. </w:t>
      </w:r>
      <w:proofErr w:type="spellStart"/>
      <w:r w:rsidRPr="005C1D96">
        <w:rPr>
          <w:rFonts w:ascii="Arial" w:hAnsi="Arial" w:cs="Arial"/>
          <w:i/>
          <w:iCs/>
          <w:lang w:val="de-DE"/>
        </w:rPr>
        <w:t>Tourism</w:t>
      </w:r>
      <w:proofErr w:type="spellEnd"/>
      <w:r w:rsidRPr="005C1D96">
        <w:rPr>
          <w:rFonts w:ascii="Arial" w:hAnsi="Arial" w:cs="Arial"/>
          <w:i/>
          <w:iCs/>
          <w:lang w:val="de-DE"/>
        </w:rPr>
        <w:t xml:space="preserve"> </w:t>
      </w:r>
      <w:proofErr w:type="spellStart"/>
      <w:r w:rsidRPr="005C1D96">
        <w:rPr>
          <w:rFonts w:ascii="Arial" w:hAnsi="Arial" w:cs="Arial"/>
          <w:i/>
          <w:iCs/>
          <w:lang w:val="de-DE"/>
        </w:rPr>
        <w:t>Geographies</w:t>
      </w:r>
      <w:proofErr w:type="spellEnd"/>
      <w:r w:rsidRPr="005C1D96">
        <w:rPr>
          <w:rFonts w:ascii="Arial" w:hAnsi="Arial" w:cs="Arial"/>
          <w:lang w:val="de-DE"/>
        </w:rPr>
        <w:t>, </w:t>
      </w:r>
      <w:r w:rsidRPr="005C1D96">
        <w:rPr>
          <w:rFonts w:ascii="Arial" w:hAnsi="Arial" w:cs="Arial"/>
          <w:i/>
          <w:iCs/>
          <w:lang w:val="de-DE"/>
        </w:rPr>
        <w:t>20</w:t>
      </w:r>
      <w:r w:rsidRPr="005C1D96">
        <w:rPr>
          <w:rFonts w:ascii="Arial" w:hAnsi="Arial" w:cs="Arial"/>
          <w:lang w:val="de-DE"/>
        </w:rPr>
        <w:t xml:space="preserve">(1), pp.29-48. </w:t>
      </w:r>
      <w:hyperlink r:id="rId19" w:history="1">
        <w:r w:rsidRPr="005C1D96">
          <w:rPr>
            <w:rStyle w:val="Hyperlink"/>
            <w:rFonts w:ascii="Arial" w:hAnsi="Arial" w:cs="Arial"/>
            <w:lang w:val="de-DE"/>
          </w:rPr>
          <w:t>https://www.academia.edu/download/64455302/Career%20paths%20and%20mobility%20in%20the%20Swe%20hospitaltiy%20sectorpdf.pdf</w:t>
        </w:r>
      </w:hyperlink>
    </w:p>
    <w:p w14:paraId="721D350B" w14:textId="61EC6F50" w:rsidR="000233E9" w:rsidRPr="00B13983" w:rsidRDefault="000233E9" w:rsidP="003B0683">
      <w:pPr>
        <w:pStyle w:val="ListParagraph"/>
        <w:numPr>
          <w:ilvl w:val="0"/>
          <w:numId w:val="19"/>
        </w:numPr>
        <w:spacing w:after="0" w:line="360" w:lineRule="auto"/>
        <w:rPr>
          <w:rFonts w:ascii="Arial" w:hAnsi="Arial" w:cs="Arial"/>
          <w:lang w:val="de-DE"/>
        </w:rPr>
      </w:pPr>
      <w:proofErr w:type="spellStart"/>
      <w:r w:rsidRPr="005C1D96">
        <w:rPr>
          <w:rFonts w:ascii="Arial" w:hAnsi="Arial" w:cs="Arial"/>
          <w:lang w:val="de-DE"/>
        </w:rPr>
        <w:t>Bowdin</w:t>
      </w:r>
      <w:proofErr w:type="spellEnd"/>
      <w:r w:rsidRPr="005C1D96">
        <w:rPr>
          <w:rFonts w:ascii="Arial" w:hAnsi="Arial" w:cs="Arial"/>
          <w:lang w:val="de-DE"/>
        </w:rPr>
        <w:t xml:space="preserve">, G., Allen, J., Harris, R., </w:t>
      </w:r>
      <w:r w:rsidR="00B13983">
        <w:rPr>
          <w:rFonts w:ascii="Arial" w:hAnsi="Arial" w:cs="Arial"/>
          <w:lang w:val="de-DE"/>
        </w:rPr>
        <w:t>(</w:t>
      </w:r>
      <w:r w:rsidRPr="005C1D96">
        <w:rPr>
          <w:rFonts w:ascii="Arial" w:hAnsi="Arial" w:cs="Arial"/>
          <w:lang w:val="de-DE"/>
        </w:rPr>
        <w:t>2011</w:t>
      </w:r>
      <w:r w:rsidR="00B13983">
        <w:rPr>
          <w:rFonts w:ascii="Arial" w:hAnsi="Arial" w:cs="Arial"/>
          <w:lang w:val="de-DE"/>
        </w:rPr>
        <w:t>)</w:t>
      </w:r>
      <w:r w:rsidRPr="005C1D96">
        <w:rPr>
          <w:rFonts w:ascii="Arial" w:hAnsi="Arial" w:cs="Arial"/>
          <w:lang w:val="de-DE"/>
        </w:rPr>
        <w:t xml:space="preserve">. </w:t>
      </w:r>
      <w:r w:rsidRPr="00B13983">
        <w:rPr>
          <w:rFonts w:ascii="Arial" w:hAnsi="Arial" w:cs="Arial"/>
          <w:lang w:val="de-DE"/>
        </w:rPr>
        <w:t xml:space="preserve">Events Management. </w:t>
      </w:r>
      <w:r>
        <w:fldChar w:fldCharType="begin"/>
      </w:r>
      <w:r w:rsidRPr="003B7925">
        <w:rPr>
          <w:lang w:val="de-DE"/>
        </w:rPr>
        <w:instrText>HYPERLINK "https://research-ebsco-com.ezproxy.uwtsd.ac.uk/linkprocessor/plink?id=0713b2d6-c559-3133-a063-9c460741a170"</w:instrText>
      </w:r>
      <w:r>
        <w:fldChar w:fldCharType="separate"/>
      </w:r>
      <w:r w:rsidRPr="00B13983">
        <w:rPr>
          <w:rStyle w:val="Hyperlink"/>
          <w:rFonts w:ascii="Arial" w:hAnsi="Arial" w:cs="Arial"/>
          <w:lang w:val="de-DE"/>
        </w:rPr>
        <w:t>https://research-ebsco-com.ezproxy.uwtsd.ac.uk/linkprocessor/plink?id=0713b2d6-c559-3133-a063-9c460741a170</w:t>
      </w:r>
      <w:r>
        <w:fldChar w:fldCharType="end"/>
      </w:r>
    </w:p>
    <w:p w14:paraId="6588D477" w14:textId="46772E3F" w:rsidR="000233E9" w:rsidRPr="005C1D96" w:rsidRDefault="000233E9" w:rsidP="008C7137">
      <w:pPr>
        <w:numPr>
          <w:ilvl w:val="0"/>
          <w:numId w:val="19"/>
        </w:numPr>
        <w:spacing w:after="0" w:line="360" w:lineRule="auto"/>
        <w:jc w:val="both"/>
        <w:rPr>
          <w:rFonts w:ascii="Arial" w:hAnsi="Arial" w:cs="Arial"/>
        </w:rPr>
      </w:pPr>
      <w:r w:rsidRPr="00B13983">
        <w:rPr>
          <w:rFonts w:ascii="Arial" w:hAnsi="Arial" w:cs="Arial"/>
          <w:lang w:val="it-IT"/>
        </w:rPr>
        <w:t xml:space="preserve">Corallo, A., Trono, A., Fortunato, L., Pettinato, F. </w:t>
      </w:r>
      <w:r w:rsidR="00605580" w:rsidRPr="00B13983">
        <w:rPr>
          <w:rFonts w:ascii="Arial" w:hAnsi="Arial" w:cs="Arial"/>
          <w:lang w:val="it-IT"/>
        </w:rPr>
        <w:t>and</w:t>
      </w:r>
      <w:r w:rsidRPr="00B13983">
        <w:rPr>
          <w:rFonts w:ascii="Arial" w:hAnsi="Arial" w:cs="Arial"/>
          <w:lang w:val="it-IT"/>
        </w:rPr>
        <w:t xml:space="preserve"> Schina, L., </w:t>
      </w:r>
      <w:r w:rsidR="00B13983">
        <w:rPr>
          <w:rFonts w:ascii="Arial" w:hAnsi="Arial" w:cs="Arial"/>
          <w:lang w:val="it-IT"/>
        </w:rPr>
        <w:t>(</w:t>
      </w:r>
      <w:r w:rsidRPr="00B13983">
        <w:rPr>
          <w:rFonts w:ascii="Arial" w:hAnsi="Arial" w:cs="Arial"/>
          <w:lang w:val="it-IT"/>
        </w:rPr>
        <w:t>2018</w:t>
      </w:r>
      <w:r w:rsidR="00B13983">
        <w:rPr>
          <w:rFonts w:ascii="Arial" w:hAnsi="Arial" w:cs="Arial"/>
          <w:lang w:val="it-IT"/>
        </w:rPr>
        <w:t>)</w:t>
      </w:r>
      <w:r w:rsidRPr="00B13983">
        <w:rPr>
          <w:rFonts w:ascii="Arial" w:hAnsi="Arial" w:cs="Arial"/>
          <w:lang w:val="it-IT"/>
        </w:rPr>
        <w:t xml:space="preserve">. </w:t>
      </w:r>
      <w:r w:rsidRPr="005C1D96">
        <w:rPr>
          <w:rFonts w:ascii="Arial" w:hAnsi="Arial" w:cs="Arial"/>
        </w:rPr>
        <w:t xml:space="preserve">Cultural Event Management and Urban e-Planning Through Bottom-Up User Participation. , 7, pp. 15-33. </w:t>
      </w:r>
      <w:hyperlink r:id="rId20" w:history="1">
        <w:r w:rsidRPr="005C1D96">
          <w:rPr>
            <w:rStyle w:val="Hyperlink"/>
            <w:rFonts w:ascii="Arial" w:hAnsi="Arial" w:cs="Arial"/>
          </w:rPr>
          <w:t>https://doi.org/10.4018/IJEPR.2018010102</w:t>
        </w:r>
      </w:hyperlink>
      <w:r w:rsidRPr="005C1D96">
        <w:rPr>
          <w:rFonts w:ascii="Arial" w:hAnsi="Arial" w:cs="Arial"/>
        </w:rPr>
        <w:t>.</w:t>
      </w:r>
    </w:p>
    <w:p w14:paraId="4D4BC19B" w14:textId="65360D16"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Salvatori, H., </w:t>
      </w:r>
      <w:r w:rsidR="007922AB">
        <w:rPr>
          <w:rFonts w:ascii="Arial" w:hAnsi="Arial" w:cs="Arial"/>
        </w:rPr>
        <w:t>(</w:t>
      </w:r>
      <w:r w:rsidRPr="005C1D96">
        <w:rPr>
          <w:rFonts w:ascii="Arial" w:hAnsi="Arial" w:cs="Arial"/>
        </w:rPr>
        <w:t>2024</w:t>
      </w:r>
      <w:r w:rsidR="007922AB">
        <w:rPr>
          <w:rFonts w:ascii="Arial" w:hAnsi="Arial" w:cs="Arial"/>
        </w:rPr>
        <w:t>)</w:t>
      </w:r>
      <w:r w:rsidRPr="005C1D96">
        <w:rPr>
          <w:rFonts w:ascii="Arial" w:hAnsi="Arial" w:cs="Arial"/>
        </w:rPr>
        <w:t xml:space="preserve">. A Deep Dive into Essential Event App features. Mobile Apps &amp; Event Tech. Cvent. </w:t>
      </w:r>
      <w:hyperlink r:id="rId21" w:history="1">
        <w:r w:rsidRPr="005C1D96">
          <w:rPr>
            <w:rStyle w:val="Hyperlink"/>
            <w:rFonts w:ascii="Arial" w:hAnsi="Arial" w:cs="Arial"/>
          </w:rPr>
          <w:t>https://www.cvent.com/en/blog/events/event-app-features</w:t>
        </w:r>
      </w:hyperlink>
    </w:p>
    <w:p w14:paraId="6E4F321F" w14:textId="65A0FBE7" w:rsidR="000233E9" w:rsidRPr="00B13983" w:rsidRDefault="000233E9" w:rsidP="008C7137">
      <w:pPr>
        <w:pStyle w:val="ListParagraph"/>
        <w:numPr>
          <w:ilvl w:val="0"/>
          <w:numId w:val="19"/>
        </w:numPr>
        <w:spacing w:after="0" w:line="360" w:lineRule="auto"/>
        <w:jc w:val="both"/>
        <w:rPr>
          <w:rFonts w:ascii="Arial" w:hAnsi="Arial" w:cs="Arial"/>
          <w:lang w:val="fr-FR"/>
        </w:rPr>
      </w:pPr>
      <w:r w:rsidRPr="005C1D96">
        <w:rPr>
          <w:rFonts w:ascii="Arial" w:hAnsi="Arial" w:cs="Arial"/>
          <w:lang w:val="en-US"/>
        </w:rPr>
        <w:t xml:space="preserve">Doran, A.L., Dutch, V., Warren, B., Watson, R.A., Murphy, K., Aldis, A., Cooper, I., Cockram, C., Harp, D., </w:t>
      </w:r>
      <w:proofErr w:type="spellStart"/>
      <w:r w:rsidRPr="005C1D96">
        <w:rPr>
          <w:rFonts w:ascii="Arial" w:hAnsi="Arial" w:cs="Arial"/>
          <w:lang w:val="en-US"/>
        </w:rPr>
        <w:t>Desmau</w:t>
      </w:r>
      <w:proofErr w:type="spellEnd"/>
      <w:r w:rsidRPr="005C1D96">
        <w:rPr>
          <w:rFonts w:ascii="Arial" w:hAnsi="Arial" w:cs="Arial"/>
          <w:lang w:val="en-US"/>
        </w:rPr>
        <w:t xml:space="preserve">, M. and Keppler, L., </w:t>
      </w:r>
      <w:r w:rsidR="007922AB">
        <w:rPr>
          <w:rFonts w:ascii="Arial" w:hAnsi="Arial" w:cs="Arial"/>
          <w:lang w:val="en-US"/>
        </w:rPr>
        <w:t>(</w:t>
      </w:r>
      <w:r w:rsidRPr="005C1D96">
        <w:rPr>
          <w:rFonts w:ascii="Arial" w:hAnsi="Arial" w:cs="Arial"/>
          <w:lang w:val="en-US"/>
        </w:rPr>
        <w:t>2024</w:t>
      </w:r>
      <w:r w:rsidR="007922AB">
        <w:rPr>
          <w:rFonts w:ascii="Arial" w:hAnsi="Arial" w:cs="Arial"/>
          <w:lang w:val="en-US"/>
        </w:rPr>
        <w:t>)</w:t>
      </w:r>
      <w:r w:rsidRPr="005C1D96">
        <w:rPr>
          <w:rFonts w:ascii="Arial" w:hAnsi="Arial" w:cs="Arial"/>
          <w:lang w:val="en-US"/>
        </w:rPr>
        <w:t>. Planning virtual and hybrid events: steps to improve inclusion and accessibility. </w:t>
      </w:r>
      <w:proofErr w:type="spellStart"/>
      <w:r w:rsidRPr="00B13983">
        <w:rPr>
          <w:rFonts w:ascii="Arial" w:hAnsi="Arial" w:cs="Arial"/>
          <w:i/>
          <w:iCs/>
          <w:lang w:val="fr-FR"/>
        </w:rPr>
        <w:t>Geoscience</w:t>
      </w:r>
      <w:proofErr w:type="spellEnd"/>
      <w:r w:rsidRPr="00B13983">
        <w:rPr>
          <w:rFonts w:ascii="Arial" w:hAnsi="Arial" w:cs="Arial"/>
          <w:i/>
          <w:iCs/>
          <w:lang w:val="fr-FR"/>
        </w:rPr>
        <w:t xml:space="preserve"> Communication</w:t>
      </w:r>
      <w:r w:rsidRPr="00B13983">
        <w:rPr>
          <w:rFonts w:ascii="Arial" w:hAnsi="Arial" w:cs="Arial"/>
          <w:lang w:val="fr-FR"/>
        </w:rPr>
        <w:t>, </w:t>
      </w:r>
      <w:r w:rsidRPr="00B13983">
        <w:rPr>
          <w:rFonts w:ascii="Arial" w:hAnsi="Arial" w:cs="Arial"/>
          <w:i/>
          <w:iCs/>
          <w:lang w:val="fr-FR"/>
        </w:rPr>
        <w:t>7</w:t>
      </w:r>
      <w:r w:rsidRPr="00B13983">
        <w:rPr>
          <w:rFonts w:ascii="Arial" w:hAnsi="Arial" w:cs="Arial"/>
          <w:lang w:val="fr-FR"/>
        </w:rPr>
        <w:t xml:space="preserve">(4), pp.227-244. </w:t>
      </w:r>
      <w:r>
        <w:fldChar w:fldCharType="begin"/>
      </w:r>
      <w:r w:rsidRPr="003B7925">
        <w:rPr>
          <w:lang w:val="fr-FR"/>
        </w:rPr>
        <w:instrText>HYPERLINK "https://www.proquest.com/scholarly-journals/planning-virtual-hybrid-events-steps-improve/docview/3111750941/se-2?accountid=130472"</w:instrText>
      </w:r>
      <w:r>
        <w:fldChar w:fldCharType="separate"/>
      </w:r>
      <w:r w:rsidRPr="00B13983">
        <w:rPr>
          <w:rStyle w:val="Hyperlink"/>
          <w:rFonts w:ascii="Arial" w:hAnsi="Arial" w:cs="Arial"/>
          <w:lang w:val="fr-FR"/>
        </w:rPr>
        <w:t>https://www.proquest.com/scholarly-journals/planning-virtual-hybrid-events-steps-improve/docview/3111750941/se-2?accountid=130472</w:t>
      </w:r>
      <w:r>
        <w:fldChar w:fldCharType="end"/>
      </w:r>
    </w:p>
    <w:p w14:paraId="6F42AECB" w14:textId="6BECB0DF" w:rsidR="000233E9" w:rsidRPr="005C1D96" w:rsidRDefault="000233E9" w:rsidP="008C7137">
      <w:pPr>
        <w:numPr>
          <w:ilvl w:val="0"/>
          <w:numId w:val="19"/>
        </w:numPr>
        <w:spacing w:after="0" w:line="360" w:lineRule="auto"/>
        <w:jc w:val="both"/>
        <w:rPr>
          <w:rFonts w:ascii="Arial" w:hAnsi="Arial" w:cs="Arial"/>
        </w:rPr>
      </w:pPr>
      <w:r w:rsidRPr="00B13983">
        <w:rPr>
          <w:rFonts w:ascii="Arial" w:hAnsi="Arial" w:cs="Arial"/>
          <w:lang w:val="it-IT"/>
        </w:rPr>
        <w:t xml:space="preserve">Fabrizi, A., Garofalo, G., Guarini, G., </w:t>
      </w:r>
      <w:r w:rsidR="00605580" w:rsidRPr="00B13983">
        <w:rPr>
          <w:rFonts w:ascii="Arial" w:hAnsi="Arial" w:cs="Arial"/>
          <w:lang w:val="it-IT"/>
        </w:rPr>
        <w:t>and</w:t>
      </w:r>
      <w:r w:rsidRPr="00B13983">
        <w:rPr>
          <w:rFonts w:ascii="Arial" w:hAnsi="Arial" w:cs="Arial"/>
          <w:lang w:val="it-IT"/>
        </w:rPr>
        <w:t xml:space="preserve"> </w:t>
      </w:r>
      <w:proofErr w:type="spellStart"/>
      <w:r w:rsidRPr="00B13983">
        <w:rPr>
          <w:rFonts w:ascii="Arial" w:hAnsi="Arial" w:cs="Arial"/>
          <w:lang w:val="it-IT"/>
        </w:rPr>
        <w:t>Meliciani</w:t>
      </w:r>
      <w:proofErr w:type="spellEnd"/>
      <w:r w:rsidRPr="00B13983">
        <w:rPr>
          <w:rFonts w:ascii="Arial" w:hAnsi="Arial" w:cs="Arial"/>
          <w:lang w:val="it-IT"/>
        </w:rPr>
        <w:t xml:space="preserve">, V., </w:t>
      </w:r>
      <w:r w:rsidR="007922AB">
        <w:rPr>
          <w:rFonts w:ascii="Arial" w:hAnsi="Arial" w:cs="Arial"/>
          <w:lang w:val="it-IT"/>
        </w:rPr>
        <w:t>(</w:t>
      </w:r>
      <w:r w:rsidRPr="00B13983">
        <w:rPr>
          <w:rFonts w:ascii="Arial" w:hAnsi="Arial" w:cs="Arial"/>
          <w:lang w:val="it-IT"/>
        </w:rPr>
        <w:t>2020</w:t>
      </w:r>
      <w:r w:rsidR="007922AB">
        <w:rPr>
          <w:rFonts w:ascii="Arial" w:hAnsi="Arial" w:cs="Arial"/>
          <w:lang w:val="it-IT"/>
        </w:rPr>
        <w:t>)</w:t>
      </w:r>
      <w:r w:rsidRPr="00B13983">
        <w:rPr>
          <w:rFonts w:ascii="Arial" w:hAnsi="Arial" w:cs="Arial"/>
          <w:lang w:val="it-IT"/>
        </w:rPr>
        <w:t xml:space="preserve">. </w:t>
      </w:r>
      <w:r w:rsidRPr="005C1D96">
        <w:rPr>
          <w:rFonts w:ascii="Arial" w:hAnsi="Arial" w:cs="Arial"/>
        </w:rPr>
        <w:t>Employment, innovation, and interfirm networks. </w:t>
      </w:r>
      <w:r w:rsidRPr="005C1D96">
        <w:rPr>
          <w:rFonts w:ascii="Arial" w:hAnsi="Arial" w:cs="Arial"/>
          <w:i/>
          <w:iCs/>
        </w:rPr>
        <w:t>PSL Quarterly Review</w:t>
      </w:r>
      <w:r w:rsidRPr="005C1D96">
        <w:rPr>
          <w:rFonts w:ascii="Arial" w:hAnsi="Arial" w:cs="Arial"/>
        </w:rPr>
        <w:t xml:space="preserve">, 73, pp. 161-180. </w:t>
      </w:r>
      <w:hyperlink r:id="rId22" w:history="1">
        <w:r w:rsidRPr="005C1D96">
          <w:rPr>
            <w:rStyle w:val="Hyperlink"/>
            <w:rFonts w:ascii="Arial" w:hAnsi="Arial" w:cs="Arial"/>
          </w:rPr>
          <w:t>https://doi.org/10.13133/2037-3643_73.293_4</w:t>
        </w:r>
      </w:hyperlink>
      <w:r w:rsidRPr="005C1D96">
        <w:rPr>
          <w:rFonts w:ascii="Arial" w:hAnsi="Arial" w:cs="Arial"/>
        </w:rPr>
        <w:t>.</w:t>
      </w:r>
    </w:p>
    <w:p w14:paraId="6C38925C" w14:textId="724A40B0" w:rsidR="000233E9" w:rsidRPr="005C1D96" w:rsidRDefault="000233E9" w:rsidP="008C7137">
      <w:pPr>
        <w:pStyle w:val="ListParagraph"/>
        <w:numPr>
          <w:ilvl w:val="0"/>
          <w:numId w:val="19"/>
        </w:numPr>
        <w:spacing w:after="0" w:line="360" w:lineRule="auto"/>
        <w:jc w:val="both"/>
        <w:rPr>
          <w:rFonts w:ascii="Arial" w:hAnsi="Arial" w:cs="Arial"/>
        </w:rPr>
      </w:pPr>
      <w:r w:rsidRPr="005C1D96">
        <w:rPr>
          <w:rFonts w:ascii="Arial" w:hAnsi="Arial" w:cs="Arial"/>
          <w:lang w:val="en-US"/>
        </w:rPr>
        <w:t xml:space="preserve">Getz, D. and Page, S., </w:t>
      </w:r>
      <w:r w:rsidR="007922AB">
        <w:rPr>
          <w:rFonts w:ascii="Arial" w:hAnsi="Arial" w:cs="Arial"/>
          <w:lang w:val="en-US"/>
        </w:rPr>
        <w:t>(</w:t>
      </w:r>
      <w:r w:rsidRPr="005C1D96">
        <w:rPr>
          <w:rFonts w:ascii="Arial" w:hAnsi="Arial" w:cs="Arial"/>
          <w:lang w:val="en-US"/>
        </w:rPr>
        <w:t>2024</w:t>
      </w:r>
      <w:r w:rsidR="007922AB">
        <w:rPr>
          <w:rFonts w:ascii="Arial" w:hAnsi="Arial" w:cs="Arial"/>
          <w:lang w:val="en-US"/>
        </w:rPr>
        <w:t>)</w:t>
      </w:r>
      <w:r w:rsidRPr="005C1D96">
        <w:rPr>
          <w:rFonts w:ascii="Arial" w:hAnsi="Arial" w:cs="Arial"/>
          <w:lang w:val="en-US"/>
        </w:rPr>
        <w:t>. </w:t>
      </w:r>
      <w:r w:rsidRPr="005C1D96">
        <w:rPr>
          <w:rFonts w:ascii="Arial" w:hAnsi="Arial" w:cs="Arial"/>
          <w:i/>
          <w:iCs/>
          <w:lang w:val="en-US"/>
        </w:rPr>
        <w:t>Event studies: theory and management for planned events.</w:t>
      </w:r>
      <w:r w:rsidRPr="005C1D96">
        <w:rPr>
          <w:rFonts w:ascii="Arial" w:hAnsi="Arial" w:cs="Arial"/>
          <w:lang w:val="en-US"/>
        </w:rPr>
        <w:t xml:space="preserve"> Fifth edition / Donald Getz and Stephen J. Page. London: Routledge. </w:t>
      </w:r>
      <w:hyperlink r:id="rId23" w:history="1">
        <w:r w:rsidRPr="005C1D96">
          <w:rPr>
            <w:rStyle w:val="Hyperlink"/>
            <w:rFonts w:ascii="Arial" w:hAnsi="Arial" w:cs="Arial"/>
            <w:lang w:val="en-US"/>
          </w:rPr>
          <w:t>https://librarysearch.uwtsd.ac.uk/permalink/44WHELF_UWTSD/upgrip/alma99100647735602421</w:t>
        </w:r>
      </w:hyperlink>
    </w:p>
    <w:p w14:paraId="5153D3EC" w14:textId="25A08C83"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Gowda, M., </w:t>
      </w:r>
      <w:r w:rsidR="00605580" w:rsidRPr="005C1D96">
        <w:rPr>
          <w:rFonts w:ascii="Arial" w:hAnsi="Arial" w:cs="Arial"/>
        </w:rPr>
        <w:t>and</w:t>
      </w:r>
      <w:r w:rsidRPr="005C1D96">
        <w:rPr>
          <w:rFonts w:ascii="Arial" w:hAnsi="Arial" w:cs="Arial"/>
        </w:rPr>
        <w:t xml:space="preserve"> R, R., </w:t>
      </w:r>
      <w:r w:rsidR="007922AB">
        <w:rPr>
          <w:rFonts w:ascii="Arial" w:hAnsi="Arial" w:cs="Arial"/>
        </w:rPr>
        <w:t>(</w:t>
      </w:r>
      <w:r w:rsidRPr="005C1D96">
        <w:rPr>
          <w:rFonts w:ascii="Arial" w:hAnsi="Arial" w:cs="Arial"/>
        </w:rPr>
        <w:t>2024</w:t>
      </w:r>
      <w:r w:rsidR="007922AB">
        <w:rPr>
          <w:rFonts w:ascii="Arial" w:hAnsi="Arial" w:cs="Arial"/>
        </w:rPr>
        <w:t>)</w:t>
      </w:r>
      <w:r w:rsidRPr="005C1D96">
        <w:rPr>
          <w:rFonts w:ascii="Arial" w:hAnsi="Arial" w:cs="Arial"/>
        </w:rPr>
        <w:t>. A Study on Work-life Balance Initiatives and Training Programs Towards Employee Productivity and Career Development. </w:t>
      </w:r>
      <w:r w:rsidRPr="005C1D96">
        <w:rPr>
          <w:rFonts w:ascii="Arial" w:hAnsi="Arial" w:cs="Arial"/>
          <w:i/>
          <w:iCs/>
        </w:rPr>
        <w:t>International Journal For Multidisciplinary Research</w:t>
      </w:r>
      <w:r w:rsidRPr="005C1D96">
        <w:rPr>
          <w:rFonts w:ascii="Arial" w:hAnsi="Arial" w:cs="Arial"/>
        </w:rPr>
        <w:t xml:space="preserve">. </w:t>
      </w:r>
      <w:hyperlink r:id="rId24" w:history="1">
        <w:r w:rsidRPr="005C1D96">
          <w:rPr>
            <w:rStyle w:val="Hyperlink"/>
            <w:rFonts w:ascii="Arial" w:hAnsi="Arial" w:cs="Arial"/>
          </w:rPr>
          <w:t>https://doi.org/10.36948/ijfmr.2024.v06i05.28486</w:t>
        </w:r>
      </w:hyperlink>
      <w:r w:rsidRPr="005C1D96">
        <w:rPr>
          <w:rFonts w:ascii="Arial" w:hAnsi="Arial" w:cs="Arial"/>
        </w:rPr>
        <w:t>.</w:t>
      </w:r>
    </w:p>
    <w:p w14:paraId="17F5F25B" w14:textId="1B3B38B6" w:rsidR="000233E9" w:rsidRPr="005C1D96" w:rsidRDefault="000233E9" w:rsidP="008C7137">
      <w:pPr>
        <w:pStyle w:val="ListParagraph"/>
        <w:numPr>
          <w:ilvl w:val="0"/>
          <w:numId w:val="19"/>
        </w:numPr>
        <w:spacing w:after="0" w:line="360" w:lineRule="auto"/>
        <w:jc w:val="both"/>
        <w:rPr>
          <w:rFonts w:ascii="Arial" w:hAnsi="Arial" w:cs="Arial"/>
        </w:rPr>
      </w:pPr>
      <w:r w:rsidRPr="005C1D96">
        <w:rPr>
          <w:rFonts w:ascii="Arial" w:hAnsi="Arial" w:cs="Arial"/>
          <w:lang w:val="en-US"/>
        </w:rPr>
        <w:lastRenderedPageBreak/>
        <w:t xml:space="preserve">Hazira, M.N., </w:t>
      </w:r>
      <w:proofErr w:type="spellStart"/>
      <w:r w:rsidRPr="005C1D96">
        <w:rPr>
          <w:rFonts w:ascii="Arial" w:hAnsi="Arial" w:cs="Arial"/>
          <w:lang w:val="en-US"/>
        </w:rPr>
        <w:t>Alagas</w:t>
      </w:r>
      <w:proofErr w:type="spellEnd"/>
      <w:r w:rsidRPr="005C1D96">
        <w:rPr>
          <w:rFonts w:ascii="Arial" w:hAnsi="Arial" w:cs="Arial"/>
          <w:lang w:val="en-US"/>
        </w:rPr>
        <w:t xml:space="preserve">, E.N., Amin, M., </w:t>
      </w:r>
      <w:proofErr w:type="spellStart"/>
      <w:r w:rsidRPr="005C1D96">
        <w:rPr>
          <w:rFonts w:ascii="Arial" w:hAnsi="Arial" w:cs="Arial"/>
          <w:lang w:val="en-US"/>
        </w:rPr>
        <w:t>Zamzuri</w:t>
      </w:r>
      <w:proofErr w:type="spellEnd"/>
      <w:r w:rsidRPr="005C1D96">
        <w:rPr>
          <w:rFonts w:ascii="Arial" w:hAnsi="Arial" w:cs="Arial"/>
          <w:lang w:val="en-US"/>
        </w:rPr>
        <w:t xml:space="preserve">, N.H. and </w:t>
      </w:r>
      <w:proofErr w:type="spellStart"/>
      <w:r w:rsidRPr="005C1D96">
        <w:rPr>
          <w:rFonts w:ascii="Arial" w:hAnsi="Arial" w:cs="Arial"/>
          <w:lang w:val="en-US"/>
        </w:rPr>
        <w:t>Zairul</w:t>
      </w:r>
      <w:proofErr w:type="spellEnd"/>
      <w:r w:rsidRPr="005C1D96">
        <w:rPr>
          <w:rFonts w:ascii="Arial" w:hAnsi="Arial" w:cs="Arial"/>
          <w:lang w:val="en-US"/>
        </w:rPr>
        <w:t xml:space="preserve">, M.M., </w:t>
      </w:r>
      <w:r w:rsidR="007536FA">
        <w:rPr>
          <w:rFonts w:ascii="Arial" w:hAnsi="Arial" w:cs="Arial"/>
          <w:lang w:val="en-US"/>
        </w:rPr>
        <w:t>(</w:t>
      </w:r>
      <w:r w:rsidRPr="005C1D96">
        <w:rPr>
          <w:rFonts w:ascii="Arial" w:hAnsi="Arial" w:cs="Arial"/>
          <w:lang w:val="en-US"/>
        </w:rPr>
        <w:t>2022</w:t>
      </w:r>
      <w:r w:rsidR="007536FA">
        <w:rPr>
          <w:rFonts w:ascii="Arial" w:hAnsi="Arial" w:cs="Arial"/>
          <w:lang w:val="en-US"/>
        </w:rPr>
        <w:t>)</w:t>
      </w:r>
      <w:r w:rsidRPr="005C1D96">
        <w:rPr>
          <w:rFonts w:ascii="Arial" w:hAnsi="Arial" w:cs="Arial"/>
          <w:lang w:val="en-US"/>
        </w:rPr>
        <w:t>. The best practice of marketing strategies for the Malaysian business event industry from experts' perspective. </w:t>
      </w:r>
      <w:r w:rsidRPr="005C1D96">
        <w:rPr>
          <w:rFonts w:ascii="Arial" w:hAnsi="Arial" w:cs="Arial"/>
          <w:i/>
          <w:iCs/>
          <w:lang w:val="en-US"/>
        </w:rPr>
        <w:t>Journal of Hospitality and Tourism Insights</w:t>
      </w:r>
      <w:r w:rsidRPr="005C1D96">
        <w:rPr>
          <w:rFonts w:ascii="Arial" w:hAnsi="Arial" w:cs="Arial"/>
          <w:lang w:val="en-US"/>
        </w:rPr>
        <w:t>, </w:t>
      </w:r>
      <w:r w:rsidRPr="005C1D96">
        <w:rPr>
          <w:rFonts w:ascii="Arial" w:hAnsi="Arial" w:cs="Arial"/>
          <w:i/>
          <w:iCs/>
          <w:lang w:val="en-US"/>
        </w:rPr>
        <w:t>5</w:t>
      </w:r>
      <w:r w:rsidRPr="005C1D96">
        <w:rPr>
          <w:rFonts w:ascii="Arial" w:hAnsi="Arial" w:cs="Arial"/>
          <w:lang w:val="en-US"/>
        </w:rPr>
        <w:t xml:space="preserve">(2), pp.413-434. </w:t>
      </w:r>
      <w:hyperlink r:id="rId25" w:history="1">
        <w:r w:rsidRPr="005C1D96">
          <w:rPr>
            <w:rStyle w:val="Hyperlink"/>
            <w:rFonts w:ascii="Arial" w:hAnsi="Arial" w:cs="Arial"/>
            <w:lang w:val="en-US"/>
          </w:rPr>
          <w:t>https://www.proquest.com/scholarly-journals/best-practice-marketing-strategies-malaysian/docview/2646686874/se-2?accountid=130472</w:t>
        </w:r>
      </w:hyperlink>
    </w:p>
    <w:p w14:paraId="515F5CEE" w14:textId="49FB5DA8"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Huang, Y., </w:t>
      </w:r>
      <w:r w:rsidR="007536FA">
        <w:rPr>
          <w:rFonts w:ascii="Arial" w:hAnsi="Arial" w:cs="Arial"/>
        </w:rPr>
        <w:t>(</w:t>
      </w:r>
      <w:r w:rsidRPr="005C1D96">
        <w:rPr>
          <w:rFonts w:ascii="Arial" w:hAnsi="Arial" w:cs="Arial"/>
        </w:rPr>
        <w:t>2024</w:t>
      </w:r>
      <w:r w:rsidR="007536FA">
        <w:rPr>
          <w:rFonts w:ascii="Arial" w:hAnsi="Arial" w:cs="Arial"/>
        </w:rPr>
        <w:t>)</w:t>
      </w:r>
      <w:r w:rsidRPr="005C1D96">
        <w:rPr>
          <w:rFonts w:ascii="Arial" w:hAnsi="Arial" w:cs="Arial"/>
        </w:rPr>
        <w:t>. Identification and Analysis of Cultural Dimensions in Event Management: Understanding Food and Etiquette. </w:t>
      </w:r>
      <w:r w:rsidRPr="005C1D96">
        <w:rPr>
          <w:rFonts w:ascii="Arial" w:hAnsi="Arial" w:cs="Arial"/>
          <w:i/>
          <w:iCs/>
        </w:rPr>
        <w:t>Tourism Management and Technology Economy</w:t>
      </w:r>
      <w:r w:rsidRPr="005C1D96">
        <w:rPr>
          <w:rFonts w:ascii="Arial" w:hAnsi="Arial" w:cs="Arial"/>
        </w:rPr>
        <w:t xml:space="preserve">. </w:t>
      </w:r>
      <w:hyperlink r:id="rId26" w:history="1">
        <w:r w:rsidRPr="005C1D96">
          <w:rPr>
            <w:rStyle w:val="Hyperlink"/>
            <w:rFonts w:ascii="Arial" w:hAnsi="Arial" w:cs="Arial"/>
          </w:rPr>
          <w:t>https://doi.org/10.23977/tmte.2024.070210</w:t>
        </w:r>
      </w:hyperlink>
      <w:r w:rsidRPr="005C1D96">
        <w:rPr>
          <w:rFonts w:ascii="Arial" w:hAnsi="Arial" w:cs="Arial"/>
        </w:rPr>
        <w:t>.</w:t>
      </w:r>
    </w:p>
    <w:p w14:paraId="527D086D" w14:textId="4B44D112"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Isa, K., </w:t>
      </w:r>
      <w:proofErr w:type="spellStart"/>
      <w:r w:rsidRPr="005C1D96">
        <w:rPr>
          <w:rFonts w:ascii="Arial" w:hAnsi="Arial" w:cs="Arial"/>
        </w:rPr>
        <w:t>Zamzuri</w:t>
      </w:r>
      <w:proofErr w:type="spellEnd"/>
      <w:r w:rsidRPr="005C1D96">
        <w:rPr>
          <w:rFonts w:ascii="Arial" w:hAnsi="Arial" w:cs="Arial"/>
        </w:rPr>
        <w:t xml:space="preserve">, N., </w:t>
      </w:r>
      <w:r w:rsidR="00605580" w:rsidRPr="005C1D96">
        <w:rPr>
          <w:rFonts w:ascii="Arial" w:hAnsi="Arial" w:cs="Arial"/>
        </w:rPr>
        <w:t>and</w:t>
      </w:r>
      <w:r w:rsidRPr="005C1D96">
        <w:rPr>
          <w:rFonts w:ascii="Arial" w:hAnsi="Arial" w:cs="Arial"/>
        </w:rPr>
        <w:t xml:space="preserve"> </w:t>
      </w:r>
      <w:proofErr w:type="spellStart"/>
      <w:r w:rsidRPr="005C1D96">
        <w:rPr>
          <w:rFonts w:ascii="Arial" w:hAnsi="Arial" w:cs="Arial"/>
        </w:rPr>
        <w:t>Rosnan</w:t>
      </w:r>
      <w:proofErr w:type="spellEnd"/>
      <w:r w:rsidRPr="005C1D96">
        <w:rPr>
          <w:rFonts w:ascii="Arial" w:hAnsi="Arial" w:cs="Arial"/>
        </w:rPr>
        <w:t xml:space="preserve">, H., </w:t>
      </w:r>
      <w:r w:rsidR="007536FA">
        <w:rPr>
          <w:rFonts w:ascii="Arial" w:hAnsi="Arial" w:cs="Arial"/>
        </w:rPr>
        <w:t>(</w:t>
      </w:r>
      <w:r w:rsidRPr="005C1D96">
        <w:rPr>
          <w:rFonts w:ascii="Arial" w:hAnsi="Arial" w:cs="Arial"/>
        </w:rPr>
        <w:t>2024</w:t>
      </w:r>
      <w:r w:rsidR="007536FA">
        <w:rPr>
          <w:rFonts w:ascii="Arial" w:hAnsi="Arial" w:cs="Arial"/>
        </w:rPr>
        <w:t>)</w:t>
      </w:r>
      <w:r w:rsidRPr="005C1D96">
        <w:rPr>
          <w:rFonts w:ascii="Arial" w:hAnsi="Arial" w:cs="Arial"/>
        </w:rPr>
        <w:t xml:space="preserve">. Strategies For Sustainable Sports Events: Understanding the </w:t>
      </w:r>
      <w:r w:rsidR="00EC11F7" w:rsidRPr="005C1D96">
        <w:rPr>
          <w:rFonts w:ascii="Arial" w:hAnsi="Arial" w:cs="Arial"/>
        </w:rPr>
        <w:t>Stakeholder’s</w:t>
      </w:r>
      <w:r w:rsidRPr="005C1D96">
        <w:rPr>
          <w:rFonts w:ascii="Arial" w:hAnsi="Arial" w:cs="Arial"/>
        </w:rPr>
        <w:t xml:space="preserve"> Challenge for Collaboration. </w:t>
      </w:r>
      <w:r w:rsidRPr="005C1D96">
        <w:rPr>
          <w:rFonts w:ascii="Arial" w:hAnsi="Arial" w:cs="Arial"/>
          <w:i/>
          <w:iCs/>
        </w:rPr>
        <w:t>Information Management and Business Review</w:t>
      </w:r>
      <w:r w:rsidRPr="005C1D96">
        <w:rPr>
          <w:rFonts w:ascii="Arial" w:hAnsi="Arial" w:cs="Arial"/>
        </w:rPr>
        <w:t xml:space="preserve">. </w:t>
      </w:r>
      <w:hyperlink r:id="rId27" w:history="1">
        <w:r w:rsidRPr="005C1D96">
          <w:rPr>
            <w:rStyle w:val="Hyperlink"/>
            <w:rFonts w:ascii="Arial" w:hAnsi="Arial" w:cs="Arial"/>
          </w:rPr>
          <w:t>https://doi.org/10.22610/imbr.v16i3(i).3916</w:t>
        </w:r>
      </w:hyperlink>
      <w:r w:rsidRPr="005C1D96">
        <w:rPr>
          <w:rFonts w:ascii="Arial" w:hAnsi="Arial" w:cs="Arial"/>
        </w:rPr>
        <w:t>.</w:t>
      </w:r>
    </w:p>
    <w:p w14:paraId="21B92201" w14:textId="2A156D9E" w:rsidR="000233E9" w:rsidRPr="005C1D96" w:rsidRDefault="000233E9" w:rsidP="008C7137">
      <w:pPr>
        <w:pStyle w:val="ListParagraph"/>
        <w:numPr>
          <w:ilvl w:val="0"/>
          <w:numId w:val="19"/>
        </w:numPr>
        <w:spacing w:after="0" w:line="360" w:lineRule="auto"/>
        <w:jc w:val="both"/>
        <w:rPr>
          <w:rFonts w:ascii="Arial" w:hAnsi="Arial" w:cs="Arial"/>
        </w:rPr>
      </w:pPr>
      <w:r w:rsidRPr="005C1D96">
        <w:rPr>
          <w:rFonts w:ascii="Arial" w:hAnsi="Arial" w:cs="Arial"/>
          <w:lang w:val="en-US"/>
        </w:rPr>
        <w:t xml:space="preserve">Salama, M., </w:t>
      </w:r>
      <w:r w:rsidR="007536FA">
        <w:rPr>
          <w:rFonts w:ascii="Arial" w:hAnsi="Arial" w:cs="Arial"/>
          <w:lang w:val="en-US"/>
        </w:rPr>
        <w:t>(</w:t>
      </w:r>
      <w:r w:rsidRPr="005C1D96">
        <w:rPr>
          <w:rFonts w:ascii="Arial" w:hAnsi="Arial" w:cs="Arial"/>
          <w:lang w:val="en-US"/>
        </w:rPr>
        <w:t>2021</w:t>
      </w:r>
      <w:r w:rsidR="007536FA">
        <w:rPr>
          <w:rFonts w:ascii="Arial" w:hAnsi="Arial" w:cs="Arial"/>
          <w:lang w:val="en-US"/>
        </w:rPr>
        <w:t>)</w:t>
      </w:r>
      <w:r w:rsidRPr="005C1D96">
        <w:rPr>
          <w:rFonts w:ascii="Arial" w:hAnsi="Arial" w:cs="Arial"/>
          <w:lang w:val="en-US"/>
        </w:rPr>
        <w:t xml:space="preserve">. Event Project </w:t>
      </w:r>
      <w:proofErr w:type="spellStart"/>
      <w:r w:rsidRPr="005C1D96">
        <w:rPr>
          <w:rFonts w:ascii="Arial" w:hAnsi="Arial" w:cs="Arial"/>
          <w:lang w:val="en-US"/>
        </w:rPr>
        <w:t>ManagementL</w:t>
      </w:r>
      <w:proofErr w:type="spellEnd"/>
      <w:r w:rsidRPr="005C1D96">
        <w:rPr>
          <w:rFonts w:ascii="Arial" w:hAnsi="Arial" w:cs="Arial"/>
          <w:lang w:val="en-US"/>
        </w:rPr>
        <w:t xml:space="preserve"> Principles, Technology and Innovation. </w:t>
      </w:r>
      <w:hyperlink r:id="rId28" w:history="1">
        <w:r w:rsidRPr="005C1D96">
          <w:rPr>
            <w:rStyle w:val="Hyperlink"/>
            <w:rFonts w:ascii="Arial" w:hAnsi="Arial" w:cs="Arial"/>
            <w:lang w:val="en-US"/>
          </w:rPr>
          <w:t>https://librarysearch.uwtsd.ac.uk/permalink/44WHELF_UWTSD/11c0l68/alma99100509002002421</w:t>
        </w:r>
      </w:hyperlink>
    </w:p>
    <w:p w14:paraId="565A4320" w14:textId="131B0438" w:rsidR="000233E9" w:rsidRPr="005C1D96" w:rsidRDefault="000233E9" w:rsidP="003B0683">
      <w:pPr>
        <w:numPr>
          <w:ilvl w:val="0"/>
          <w:numId w:val="19"/>
        </w:numPr>
        <w:spacing w:after="0" w:line="360" w:lineRule="auto"/>
        <w:rPr>
          <w:rFonts w:ascii="Arial" w:hAnsi="Arial" w:cs="Arial"/>
        </w:rPr>
      </w:pPr>
      <w:proofErr w:type="spellStart"/>
      <w:r w:rsidRPr="005C1D96">
        <w:rPr>
          <w:rFonts w:ascii="Arial" w:hAnsi="Arial" w:cs="Arial"/>
        </w:rPr>
        <w:t>Kamkankaew</w:t>
      </w:r>
      <w:proofErr w:type="spellEnd"/>
      <w:r w:rsidRPr="005C1D96">
        <w:rPr>
          <w:rFonts w:ascii="Arial" w:hAnsi="Arial" w:cs="Arial"/>
        </w:rPr>
        <w:t xml:space="preserve">, P., </w:t>
      </w:r>
      <w:r w:rsidR="007536FA">
        <w:rPr>
          <w:rFonts w:ascii="Arial" w:hAnsi="Arial" w:cs="Arial"/>
        </w:rPr>
        <w:t>(</w:t>
      </w:r>
      <w:r w:rsidRPr="005C1D96">
        <w:rPr>
          <w:rFonts w:ascii="Arial" w:hAnsi="Arial" w:cs="Arial"/>
        </w:rPr>
        <w:t>2023</w:t>
      </w:r>
      <w:r w:rsidR="007536FA">
        <w:rPr>
          <w:rFonts w:ascii="Arial" w:hAnsi="Arial" w:cs="Arial"/>
        </w:rPr>
        <w:t>)</w:t>
      </w:r>
      <w:r w:rsidRPr="005C1D96">
        <w:rPr>
          <w:rFonts w:ascii="Arial" w:hAnsi="Arial" w:cs="Arial"/>
        </w:rPr>
        <w:t>. CURRENT TRENDS IN STRATEGIC MANAGEMENT: A COMPARATIVE ANALYSIS OF SWOT AND SOAR APPROACHES. </w:t>
      </w:r>
      <w:r w:rsidRPr="005C1D96">
        <w:rPr>
          <w:rFonts w:ascii="Arial" w:hAnsi="Arial" w:cs="Arial"/>
          <w:i/>
          <w:iCs/>
        </w:rPr>
        <w:t>RMUTT GLOBAL BUSINESS ACCOUNTING AND FINANCE REVIEW</w:t>
      </w:r>
      <w:r w:rsidRPr="005C1D96">
        <w:rPr>
          <w:rFonts w:ascii="Arial" w:hAnsi="Arial" w:cs="Arial"/>
        </w:rPr>
        <w:t xml:space="preserve">. </w:t>
      </w:r>
      <w:hyperlink r:id="rId29" w:history="1">
        <w:r w:rsidRPr="005C1D96">
          <w:rPr>
            <w:rStyle w:val="Hyperlink"/>
            <w:rFonts w:ascii="Arial" w:hAnsi="Arial" w:cs="Arial"/>
          </w:rPr>
          <w:t>https://doi.org/10.60101/gbafr.2023.269044</w:t>
        </w:r>
      </w:hyperlink>
      <w:r w:rsidRPr="005C1D96">
        <w:rPr>
          <w:rFonts w:ascii="Arial" w:hAnsi="Arial" w:cs="Arial"/>
        </w:rPr>
        <w:t>.</w:t>
      </w:r>
    </w:p>
    <w:p w14:paraId="5FCDF665" w14:textId="0E7D8634" w:rsidR="000233E9" w:rsidRPr="005C1D96" w:rsidRDefault="000233E9" w:rsidP="003B0683">
      <w:pPr>
        <w:numPr>
          <w:ilvl w:val="0"/>
          <w:numId w:val="19"/>
        </w:numPr>
        <w:spacing w:after="0" w:line="360" w:lineRule="auto"/>
        <w:rPr>
          <w:rFonts w:ascii="Arial" w:hAnsi="Arial" w:cs="Arial"/>
        </w:rPr>
      </w:pPr>
      <w:r w:rsidRPr="005C1D96">
        <w:rPr>
          <w:rFonts w:ascii="Arial" w:hAnsi="Arial" w:cs="Arial"/>
        </w:rPr>
        <w:t xml:space="preserve">Kariuki, K., </w:t>
      </w:r>
      <w:proofErr w:type="spellStart"/>
      <w:r w:rsidRPr="005C1D96">
        <w:rPr>
          <w:rFonts w:ascii="Arial" w:hAnsi="Arial" w:cs="Arial"/>
        </w:rPr>
        <w:t>Kimanga</w:t>
      </w:r>
      <w:proofErr w:type="spellEnd"/>
      <w:r w:rsidRPr="005C1D96">
        <w:rPr>
          <w:rFonts w:ascii="Arial" w:hAnsi="Arial" w:cs="Arial"/>
        </w:rPr>
        <w:t xml:space="preserve">, E., </w:t>
      </w:r>
      <w:r w:rsidR="00605580" w:rsidRPr="005C1D96">
        <w:rPr>
          <w:rFonts w:ascii="Arial" w:hAnsi="Arial" w:cs="Arial"/>
        </w:rPr>
        <w:t>and</w:t>
      </w:r>
      <w:r w:rsidRPr="005C1D96">
        <w:rPr>
          <w:rFonts w:ascii="Arial" w:hAnsi="Arial" w:cs="Arial"/>
        </w:rPr>
        <w:t xml:space="preserve"> Wanjiku, J., </w:t>
      </w:r>
      <w:r w:rsidR="007536FA">
        <w:rPr>
          <w:rFonts w:ascii="Arial" w:hAnsi="Arial" w:cs="Arial"/>
        </w:rPr>
        <w:t>(</w:t>
      </w:r>
      <w:r w:rsidRPr="005C1D96">
        <w:rPr>
          <w:rFonts w:ascii="Arial" w:hAnsi="Arial" w:cs="Arial"/>
        </w:rPr>
        <w:t>2020</w:t>
      </w:r>
      <w:r w:rsidR="007536FA">
        <w:rPr>
          <w:rFonts w:ascii="Arial" w:hAnsi="Arial" w:cs="Arial"/>
        </w:rPr>
        <w:t>)</w:t>
      </w:r>
      <w:r w:rsidRPr="005C1D96">
        <w:rPr>
          <w:rFonts w:ascii="Arial" w:hAnsi="Arial" w:cs="Arial"/>
        </w:rPr>
        <w:t xml:space="preserve"> Performance of Events Management Service Providers within the Weddings Subsector in Nairobi County, Kenya. </w:t>
      </w:r>
      <w:r w:rsidRPr="005C1D96">
        <w:rPr>
          <w:rFonts w:ascii="Arial" w:hAnsi="Arial" w:cs="Arial"/>
          <w:i/>
          <w:iCs/>
        </w:rPr>
        <w:t>International Journal of Innovative Research and Development</w:t>
      </w:r>
      <w:r w:rsidRPr="005C1D96">
        <w:rPr>
          <w:rFonts w:ascii="Arial" w:hAnsi="Arial" w:cs="Arial"/>
        </w:rPr>
        <w:t xml:space="preserve">. </w:t>
      </w:r>
      <w:hyperlink r:id="rId30" w:history="1">
        <w:r w:rsidRPr="005C1D96">
          <w:rPr>
            <w:rStyle w:val="Hyperlink"/>
            <w:rFonts w:ascii="Arial" w:hAnsi="Arial" w:cs="Arial"/>
          </w:rPr>
          <w:t>https://doi.org/10.24940/IJIRD/2020/V9/I12/DEC20033</w:t>
        </w:r>
      </w:hyperlink>
      <w:r w:rsidRPr="005C1D96">
        <w:rPr>
          <w:rFonts w:ascii="Arial" w:hAnsi="Arial" w:cs="Arial"/>
        </w:rPr>
        <w:t>.</w:t>
      </w:r>
    </w:p>
    <w:p w14:paraId="7B725D60" w14:textId="009232AA" w:rsidR="000233E9" w:rsidRPr="005C1D96" w:rsidRDefault="000233E9" w:rsidP="003B0683">
      <w:pPr>
        <w:numPr>
          <w:ilvl w:val="0"/>
          <w:numId w:val="19"/>
        </w:numPr>
        <w:spacing w:after="0" w:line="360" w:lineRule="auto"/>
        <w:rPr>
          <w:rFonts w:ascii="Arial" w:hAnsi="Arial" w:cs="Arial"/>
        </w:rPr>
      </w:pPr>
      <w:proofErr w:type="spellStart"/>
      <w:r w:rsidRPr="005C1D96">
        <w:rPr>
          <w:rFonts w:ascii="Arial" w:hAnsi="Arial" w:cs="Arial"/>
        </w:rPr>
        <w:t>Khavarian-Garmsir</w:t>
      </w:r>
      <w:proofErr w:type="spellEnd"/>
      <w:r w:rsidRPr="005C1D96">
        <w:rPr>
          <w:rFonts w:ascii="Arial" w:hAnsi="Arial" w:cs="Arial"/>
        </w:rPr>
        <w:t xml:space="preserve">, A., Stavros, J., </w:t>
      </w:r>
      <w:r w:rsidR="00605580" w:rsidRPr="005C1D96">
        <w:rPr>
          <w:rFonts w:ascii="Arial" w:hAnsi="Arial" w:cs="Arial"/>
        </w:rPr>
        <w:t>and</w:t>
      </w:r>
      <w:r w:rsidRPr="005C1D96">
        <w:rPr>
          <w:rFonts w:ascii="Arial" w:hAnsi="Arial" w:cs="Arial"/>
        </w:rPr>
        <w:t xml:space="preserve"> </w:t>
      </w:r>
      <w:proofErr w:type="spellStart"/>
      <w:r w:rsidRPr="005C1D96">
        <w:rPr>
          <w:rFonts w:ascii="Arial" w:hAnsi="Arial" w:cs="Arial"/>
        </w:rPr>
        <w:t>Saraei</w:t>
      </w:r>
      <w:proofErr w:type="spellEnd"/>
      <w:r w:rsidRPr="005C1D96">
        <w:rPr>
          <w:rFonts w:ascii="Arial" w:hAnsi="Arial" w:cs="Arial"/>
        </w:rPr>
        <w:t xml:space="preserve">, M., </w:t>
      </w:r>
      <w:r w:rsidR="007536FA">
        <w:rPr>
          <w:rFonts w:ascii="Arial" w:hAnsi="Arial" w:cs="Arial"/>
        </w:rPr>
        <w:t>(</w:t>
      </w:r>
      <w:r w:rsidRPr="005C1D96">
        <w:rPr>
          <w:rFonts w:ascii="Arial" w:hAnsi="Arial" w:cs="Arial"/>
        </w:rPr>
        <w:t>2017</w:t>
      </w:r>
      <w:r w:rsidR="007536FA">
        <w:rPr>
          <w:rFonts w:ascii="Arial" w:hAnsi="Arial" w:cs="Arial"/>
        </w:rPr>
        <w:t>)</w:t>
      </w:r>
      <w:r w:rsidRPr="005C1D96">
        <w:rPr>
          <w:rFonts w:ascii="Arial" w:hAnsi="Arial" w:cs="Arial"/>
        </w:rPr>
        <w:t xml:space="preserve">. Strategic Planning for Tourism Development </w:t>
      </w:r>
      <w:r w:rsidR="005F2104">
        <w:rPr>
          <w:rFonts w:ascii="Arial" w:hAnsi="Arial" w:cs="Arial"/>
        </w:rPr>
        <w:t>Focusing</w:t>
      </w:r>
      <w:r w:rsidRPr="005C1D96">
        <w:rPr>
          <w:rFonts w:ascii="Arial" w:hAnsi="Arial" w:cs="Arial"/>
        </w:rPr>
        <w:t xml:space="preserve"> on Muharram Ceremony Using Soar Framework: A Case Study of Yazd Province in Iran. </w:t>
      </w:r>
      <w:r w:rsidRPr="005C1D96">
        <w:rPr>
          <w:rFonts w:ascii="Arial" w:hAnsi="Arial" w:cs="Arial"/>
          <w:i/>
          <w:iCs/>
        </w:rPr>
        <w:t>Event Management</w:t>
      </w:r>
      <w:r w:rsidRPr="005C1D96">
        <w:rPr>
          <w:rFonts w:ascii="Arial" w:hAnsi="Arial" w:cs="Arial"/>
        </w:rPr>
        <w:t xml:space="preserve">, 21, pp. 119-129. </w:t>
      </w:r>
      <w:hyperlink r:id="rId31" w:history="1">
        <w:r w:rsidRPr="005C1D96">
          <w:rPr>
            <w:rStyle w:val="Hyperlink"/>
            <w:rFonts w:ascii="Arial" w:hAnsi="Arial" w:cs="Arial"/>
          </w:rPr>
          <w:t>https://doi.org/10.3727/152599517X14809630271311</w:t>
        </w:r>
      </w:hyperlink>
      <w:r w:rsidRPr="005C1D96">
        <w:rPr>
          <w:rFonts w:ascii="Arial" w:hAnsi="Arial" w:cs="Arial"/>
        </w:rPr>
        <w:t>.</w:t>
      </w:r>
    </w:p>
    <w:p w14:paraId="6D752029" w14:textId="03AE58F6" w:rsidR="000233E9" w:rsidRPr="005C1D96" w:rsidRDefault="000233E9" w:rsidP="003B0683">
      <w:pPr>
        <w:numPr>
          <w:ilvl w:val="0"/>
          <w:numId w:val="19"/>
        </w:numPr>
        <w:spacing w:after="0" w:line="360" w:lineRule="auto"/>
        <w:rPr>
          <w:rFonts w:ascii="Arial" w:hAnsi="Arial" w:cs="Arial"/>
        </w:rPr>
      </w:pPr>
      <w:proofErr w:type="spellStart"/>
      <w:r w:rsidRPr="005C1D96">
        <w:rPr>
          <w:rFonts w:ascii="Arial" w:hAnsi="Arial" w:cs="Arial"/>
        </w:rPr>
        <w:t>Khavarian-Garmsir</w:t>
      </w:r>
      <w:proofErr w:type="spellEnd"/>
      <w:r w:rsidRPr="005C1D96">
        <w:rPr>
          <w:rFonts w:ascii="Arial" w:hAnsi="Arial" w:cs="Arial"/>
        </w:rPr>
        <w:t xml:space="preserve">, A., </w:t>
      </w:r>
      <w:r w:rsidR="00605580" w:rsidRPr="005C1D96">
        <w:rPr>
          <w:rFonts w:ascii="Arial" w:hAnsi="Arial" w:cs="Arial"/>
        </w:rPr>
        <w:t>and</w:t>
      </w:r>
      <w:r w:rsidRPr="005C1D96">
        <w:rPr>
          <w:rFonts w:ascii="Arial" w:hAnsi="Arial" w:cs="Arial"/>
        </w:rPr>
        <w:t xml:space="preserve"> Zare, S., </w:t>
      </w:r>
      <w:r w:rsidR="007536FA">
        <w:rPr>
          <w:rFonts w:ascii="Arial" w:hAnsi="Arial" w:cs="Arial"/>
        </w:rPr>
        <w:t>(</w:t>
      </w:r>
      <w:r w:rsidRPr="005C1D96">
        <w:rPr>
          <w:rFonts w:ascii="Arial" w:hAnsi="Arial" w:cs="Arial"/>
        </w:rPr>
        <w:t>2015</w:t>
      </w:r>
      <w:r w:rsidR="007536FA">
        <w:rPr>
          <w:rFonts w:ascii="Arial" w:hAnsi="Arial" w:cs="Arial"/>
        </w:rPr>
        <w:t>)</w:t>
      </w:r>
      <w:r w:rsidRPr="005C1D96">
        <w:rPr>
          <w:rFonts w:ascii="Arial" w:hAnsi="Arial" w:cs="Arial"/>
        </w:rPr>
        <w:t>. SOAR Framework as a New Model for the Strategic Planning of Sustainable Tourism. </w:t>
      </w:r>
      <w:r w:rsidRPr="005C1D96">
        <w:rPr>
          <w:rFonts w:ascii="Arial" w:hAnsi="Arial" w:cs="Arial"/>
          <w:i/>
          <w:iCs/>
        </w:rPr>
        <w:t>Tourism Planning &amp; Development</w:t>
      </w:r>
      <w:r w:rsidRPr="005C1D96">
        <w:rPr>
          <w:rFonts w:ascii="Arial" w:hAnsi="Arial" w:cs="Arial"/>
        </w:rPr>
        <w:t xml:space="preserve">, 12, pp. 321 - 332. </w:t>
      </w:r>
      <w:hyperlink r:id="rId32" w:history="1">
        <w:r w:rsidRPr="005C1D96">
          <w:rPr>
            <w:rStyle w:val="Hyperlink"/>
            <w:rFonts w:ascii="Arial" w:hAnsi="Arial" w:cs="Arial"/>
          </w:rPr>
          <w:t>https://doi.org/10.1080/21568316.2014.960595</w:t>
        </w:r>
      </w:hyperlink>
      <w:r w:rsidRPr="005C1D96">
        <w:rPr>
          <w:rFonts w:ascii="Arial" w:hAnsi="Arial" w:cs="Arial"/>
        </w:rPr>
        <w:t>.</w:t>
      </w:r>
    </w:p>
    <w:p w14:paraId="415FC180" w14:textId="5297877F" w:rsidR="000233E9" w:rsidRPr="00B13983" w:rsidRDefault="000233E9" w:rsidP="003B0683">
      <w:pPr>
        <w:pStyle w:val="ListParagraph"/>
        <w:numPr>
          <w:ilvl w:val="0"/>
          <w:numId w:val="19"/>
        </w:numPr>
        <w:spacing w:after="0" w:line="360" w:lineRule="auto"/>
        <w:rPr>
          <w:rFonts w:ascii="Arial" w:hAnsi="Arial" w:cs="Arial"/>
          <w:lang w:val="it-IT"/>
        </w:rPr>
      </w:pPr>
      <w:r w:rsidRPr="005C1D96">
        <w:rPr>
          <w:rFonts w:ascii="Arial" w:hAnsi="Arial" w:cs="Arial"/>
          <w:lang w:val="en-US"/>
        </w:rPr>
        <w:t xml:space="preserve">Knežević, S., Gajić, T., Sekulić, D., </w:t>
      </w:r>
      <w:proofErr w:type="spellStart"/>
      <w:r w:rsidRPr="005C1D96">
        <w:rPr>
          <w:rFonts w:ascii="Arial" w:hAnsi="Arial" w:cs="Arial"/>
          <w:lang w:val="en-US"/>
        </w:rPr>
        <w:t>Djoković</w:t>
      </w:r>
      <w:proofErr w:type="spellEnd"/>
      <w:r w:rsidRPr="005C1D96">
        <w:rPr>
          <w:rFonts w:ascii="Arial" w:hAnsi="Arial" w:cs="Arial"/>
          <w:lang w:val="en-US"/>
        </w:rPr>
        <w:t xml:space="preserve">, F., </w:t>
      </w:r>
      <w:proofErr w:type="spellStart"/>
      <w:r w:rsidRPr="005C1D96">
        <w:rPr>
          <w:rFonts w:ascii="Arial" w:hAnsi="Arial" w:cs="Arial"/>
          <w:lang w:val="en-US"/>
        </w:rPr>
        <w:t>Vukolić</w:t>
      </w:r>
      <w:proofErr w:type="spellEnd"/>
      <w:r w:rsidRPr="005C1D96">
        <w:rPr>
          <w:rFonts w:ascii="Arial" w:hAnsi="Arial" w:cs="Arial"/>
          <w:lang w:val="en-US"/>
        </w:rPr>
        <w:t xml:space="preserve">, D. and </w:t>
      </w:r>
      <w:proofErr w:type="spellStart"/>
      <w:r w:rsidRPr="005C1D96">
        <w:rPr>
          <w:rFonts w:ascii="Arial" w:hAnsi="Arial" w:cs="Arial"/>
          <w:lang w:val="en-US"/>
        </w:rPr>
        <w:t>Zrnić</w:t>
      </w:r>
      <w:proofErr w:type="spellEnd"/>
      <w:r w:rsidRPr="005C1D96">
        <w:rPr>
          <w:rFonts w:ascii="Arial" w:hAnsi="Arial" w:cs="Arial"/>
          <w:lang w:val="en-US"/>
        </w:rPr>
        <w:t xml:space="preserve">, M., </w:t>
      </w:r>
      <w:r w:rsidR="007536FA">
        <w:rPr>
          <w:rFonts w:ascii="Arial" w:hAnsi="Arial" w:cs="Arial"/>
          <w:lang w:val="en-US"/>
        </w:rPr>
        <w:t>(</w:t>
      </w:r>
      <w:r w:rsidRPr="005C1D96">
        <w:rPr>
          <w:rFonts w:ascii="Arial" w:hAnsi="Arial" w:cs="Arial"/>
          <w:lang w:val="en-US"/>
        </w:rPr>
        <w:t>2023</w:t>
      </w:r>
      <w:r w:rsidR="007536FA">
        <w:rPr>
          <w:rFonts w:ascii="Arial" w:hAnsi="Arial" w:cs="Arial"/>
          <w:lang w:val="en-US"/>
        </w:rPr>
        <w:t>)</w:t>
      </w:r>
      <w:r w:rsidRPr="005C1D96">
        <w:rPr>
          <w:rFonts w:ascii="Arial" w:hAnsi="Arial" w:cs="Arial"/>
          <w:lang w:val="en-US"/>
        </w:rPr>
        <w:t>. Work-life balance: A historical review and insights for the hospitality industry. </w:t>
      </w:r>
      <w:proofErr w:type="spellStart"/>
      <w:r w:rsidRPr="00B13983">
        <w:rPr>
          <w:rFonts w:ascii="Arial" w:hAnsi="Arial" w:cs="Arial"/>
          <w:i/>
          <w:iCs/>
          <w:lang w:val="it-IT"/>
        </w:rPr>
        <w:t>Turističko</w:t>
      </w:r>
      <w:proofErr w:type="spellEnd"/>
      <w:r w:rsidRPr="00B13983">
        <w:rPr>
          <w:rFonts w:ascii="Arial" w:hAnsi="Arial" w:cs="Arial"/>
          <w:i/>
          <w:iCs/>
          <w:lang w:val="it-IT"/>
        </w:rPr>
        <w:t xml:space="preserve"> </w:t>
      </w:r>
      <w:proofErr w:type="spellStart"/>
      <w:r w:rsidRPr="00B13983">
        <w:rPr>
          <w:rFonts w:ascii="Arial" w:hAnsi="Arial" w:cs="Arial"/>
          <w:i/>
          <w:iCs/>
          <w:lang w:val="it-IT"/>
        </w:rPr>
        <w:t>poslovanje</w:t>
      </w:r>
      <w:proofErr w:type="spellEnd"/>
      <w:r w:rsidRPr="00B13983">
        <w:rPr>
          <w:rFonts w:ascii="Arial" w:hAnsi="Arial" w:cs="Arial"/>
          <w:lang w:val="it-IT"/>
        </w:rPr>
        <w:t xml:space="preserve">, (32), pp.91-99. </w:t>
      </w:r>
      <w:r>
        <w:fldChar w:fldCharType="begin"/>
      </w:r>
      <w:r w:rsidRPr="003B7925">
        <w:rPr>
          <w:lang w:val="it-IT"/>
        </w:rPr>
        <w:instrText>HYPERLINK "https://aseestant.ceon.rs/index.php/turpos/article/download/45594/24444/"</w:instrText>
      </w:r>
      <w:r>
        <w:fldChar w:fldCharType="separate"/>
      </w:r>
      <w:r w:rsidRPr="00B13983">
        <w:rPr>
          <w:rStyle w:val="Hyperlink"/>
          <w:rFonts w:ascii="Arial" w:hAnsi="Arial" w:cs="Arial"/>
          <w:lang w:val="it-IT"/>
        </w:rPr>
        <w:t>https://aseestant.ceon.rs/index.php/turpos/article/download/45594/24444/</w:t>
      </w:r>
      <w:r>
        <w:fldChar w:fldCharType="end"/>
      </w:r>
    </w:p>
    <w:p w14:paraId="118F280A" w14:textId="1A35E5F8"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lastRenderedPageBreak/>
        <w:t xml:space="preserve">Mohamed, R. and Saber, S., </w:t>
      </w:r>
      <w:r w:rsidR="007536FA">
        <w:rPr>
          <w:rFonts w:ascii="Arial" w:hAnsi="Arial" w:cs="Arial"/>
        </w:rPr>
        <w:t>(</w:t>
      </w:r>
      <w:r w:rsidRPr="005C1D96">
        <w:rPr>
          <w:rFonts w:ascii="Arial" w:hAnsi="Arial" w:cs="Arial"/>
        </w:rPr>
        <w:t>2022</w:t>
      </w:r>
      <w:r w:rsidR="007536FA">
        <w:rPr>
          <w:rFonts w:ascii="Arial" w:hAnsi="Arial" w:cs="Arial"/>
        </w:rPr>
        <w:t>)</w:t>
      </w:r>
      <w:r w:rsidRPr="005C1D96">
        <w:rPr>
          <w:rFonts w:ascii="Arial" w:hAnsi="Arial" w:cs="Arial"/>
        </w:rPr>
        <w:t xml:space="preserve">. Technological Innovation in Tourism and Events </w:t>
      </w:r>
      <w:proofErr w:type="spellStart"/>
      <w:r w:rsidR="005C1D96" w:rsidRPr="005C1D96">
        <w:rPr>
          <w:rFonts w:ascii="Arial" w:hAnsi="Arial" w:cs="Arial"/>
        </w:rPr>
        <w:t>Iyyyyyyy</w:t>
      </w:r>
      <w:proofErr w:type="spellEnd"/>
      <w:r w:rsidRPr="005C1D96">
        <w:rPr>
          <w:rFonts w:ascii="Arial" w:hAnsi="Arial" w:cs="Arial"/>
        </w:rPr>
        <w:t xml:space="preserve">: A </w:t>
      </w:r>
      <w:r w:rsidR="00EC11F7" w:rsidRPr="005C1D96">
        <w:rPr>
          <w:rFonts w:ascii="Arial" w:hAnsi="Arial" w:cs="Arial"/>
        </w:rPr>
        <w:t>Hybrid Future</w:t>
      </w:r>
      <w:r w:rsidRPr="005C1D96">
        <w:rPr>
          <w:rFonts w:ascii="Arial" w:hAnsi="Arial" w:cs="Arial"/>
        </w:rPr>
        <w:t xml:space="preserve"> of Events. </w:t>
      </w:r>
      <w:r w:rsidRPr="005C1D96">
        <w:rPr>
          <w:rFonts w:ascii="Arial" w:hAnsi="Arial" w:cs="Arial"/>
          <w:i/>
          <w:iCs/>
        </w:rPr>
        <w:t>International Journal of Tourism, Archaeology and Hospitality</w:t>
      </w:r>
      <w:r w:rsidRPr="005C1D96">
        <w:rPr>
          <w:rFonts w:ascii="Arial" w:hAnsi="Arial" w:cs="Arial"/>
        </w:rPr>
        <w:t>, </w:t>
      </w:r>
      <w:r w:rsidRPr="005C1D96">
        <w:rPr>
          <w:rFonts w:ascii="Arial" w:hAnsi="Arial" w:cs="Arial"/>
          <w:i/>
          <w:iCs/>
        </w:rPr>
        <w:t>2</w:t>
      </w:r>
      <w:r w:rsidRPr="005C1D96">
        <w:rPr>
          <w:rFonts w:ascii="Arial" w:hAnsi="Arial" w:cs="Arial"/>
        </w:rPr>
        <w:t xml:space="preserve">(3), pp.271-286. </w:t>
      </w:r>
      <w:hyperlink r:id="rId33" w:history="1">
        <w:r w:rsidRPr="005C1D96">
          <w:rPr>
            <w:rStyle w:val="Hyperlink"/>
            <w:rFonts w:ascii="Arial" w:hAnsi="Arial" w:cs="Arial"/>
          </w:rPr>
          <w:t>https://journals.ekb.eg/article_283564_ce9340ba3c4e8a64907131af0801d39c.pdf</w:t>
        </w:r>
      </w:hyperlink>
    </w:p>
    <w:p w14:paraId="3BFFC79F" w14:textId="20C4129E"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Marecki, Ł., </w:t>
      </w:r>
      <w:r w:rsidR="00386C32">
        <w:rPr>
          <w:rFonts w:ascii="Arial" w:hAnsi="Arial" w:cs="Arial"/>
        </w:rPr>
        <w:t>(</w:t>
      </w:r>
      <w:r w:rsidRPr="005C1D96">
        <w:rPr>
          <w:rFonts w:ascii="Arial" w:hAnsi="Arial" w:cs="Arial"/>
        </w:rPr>
        <w:t>2024</w:t>
      </w:r>
      <w:r w:rsidR="00386C32">
        <w:rPr>
          <w:rFonts w:ascii="Arial" w:hAnsi="Arial" w:cs="Arial"/>
        </w:rPr>
        <w:t>)</w:t>
      </w:r>
      <w:r w:rsidRPr="005C1D96">
        <w:rPr>
          <w:rFonts w:ascii="Arial" w:hAnsi="Arial" w:cs="Arial"/>
        </w:rPr>
        <w:t>. Impact of work-life balance on employee productivity and well-being. </w:t>
      </w:r>
      <w:r w:rsidRPr="005C1D96">
        <w:rPr>
          <w:rFonts w:ascii="Arial" w:hAnsi="Arial" w:cs="Arial"/>
          <w:i/>
          <w:iCs/>
        </w:rPr>
        <w:t>Journal of Management and Financial Sciences</w:t>
      </w:r>
      <w:r w:rsidRPr="005C1D96">
        <w:rPr>
          <w:rFonts w:ascii="Arial" w:hAnsi="Arial" w:cs="Arial"/>
        </w:rPr>
        <w:t xml:space="preserve">. </w:t>
      </w:r>
      <w:hyperlink r:id="rId34" w:history="1">
        <w:r w:rsidRPr="005C1D96">
          <w:rPr>
            <w:rStyle w:val="Hyperlink"/>
            <w:rFonts w:ascii="Arial" w:hAnsi="Arial" w:cs="Arial"/>
          </w:rPr>
          <w:t>https://doi.org/10.33119/jmfs.2023.50.9</w:t>
        </w:r>
      </w:hyperlink>
      <w:r w:rsidRPr="005C1D96">
        <w:rPr>
          <w:rFonts w:ascii="Arial" w:hAnsi="Arial" w:cs="Arial"/>
        </w:rPr>
        <w:t>.</w:t>
      </w:r>
    </w:p>
    <w:p w14:paraId="5E99FD3F" w14:textId="1D0B01BB" w:rsidR="000233E9" w:rsidRPr="005C1D96" w:rsidRDefault="000233E9" w:rsidP="002C5E25">
      <w:pPr>
        <w:pStyle w:val="ListParagraph"/>
        <w:numPr>
          <w:ilvl w:val="0"/>
          <w:numId w:val="19"/>
        </w:numPr>
        <w:spacing w:after="0" w:line="360" w:lineRule="auto"/>
        <w:rPr>
          <w:rFonts w:ascii="Arial" w:hAnsi="Arial" w:cs="Arial"/>
        </w:rPr>
      </w:pPr>
      <w:proofErr w:type="spellStart"/>
      <w:r w:rsidRPr="005C1D96">
        <w:rPr>
          <w:rFonts w:ascii="Arial" w:hAnsi="Arial" w:cs="Arial"/>
          <w:lang w:val="en-US"/>
        </w:rPr>
        <w:t>Michopoulou</w:t>
      </w:r>
      <w:proofErr w:type="spellEnd"/>
      <w:r w:rsidRPr="005C1D96">
        <w:rPr>
          <w:rFonts w:ascii="Arial" w:hAnsi="Arial" w:cs="Arial"/>
          <w:lang w:val="en-US"/>
        </w:rPr>
        <w:t xml:space="preserve">, E., Azara, I. and Russell, A., </w:t>
      </w:r>
      <w:r w:rsidR="00386C32">
        <w:rPr>
          <w:rFonts w:ascii="Arial" w:hAnsi="Arial" w:cs="Arial"/>
          <w:lang w:val="en-US"/>
        </w:rPr>
        <w:t>(</w:t>
      </w:r>
      <w:r w:rsidRPr="005C1D96">
        <w:rPr>
          <w:rFonts w:ascii="Arial" w:hAnsi="Arial" w:cs="Arial"/>
          <w:lang w:val="en-US"/>
        </w:rPr>
        <w:t>2020</w:t>
      </w:r>
      <w:r w:rsidR="00386C32">
        <w:rPr>
          <w:rFonts w:ascii="Arial" w:hAnsi="Arial" w:cs="Arial"/>
          <w:lang w:val="en-US"/>
        </w:rPr>
        <w:t>)</w:t>
      </w:r>
      <w:r w:rsidRPr="005C1D96">
        <w:rPr>
          <w:rFonts w:ascii="Arial" w:hAnsi="Arial" w:cs="Arial"/>
          <w:lang w:val="en-US"/>
        </w:rPr>
        <w:t xml:space="preserve">. Investigating the triangular relationship between temporary event workforce, event employment businesses and event </w:t>
      </w:r>
      <w:proofErr w:type="spellStart"/>
      <w:r w:rsidRPr="005C1D96">
        <w:rPr>
          <w:rFonts w:ascii="Arial" w:hAnsi="Arial" w:cs="Arial"/>
          <w:lang w:val="en-US"/>
        </w:rPr>
        <w:t>organisers</w:t>
      </w:r>
      <w:proofErr w:type="spellEnd"/>
      <w:r w:rsidRPr="005C1D96">
        <w:rPr>
          <w:rFonts w:ascii="Arial" w:hAnsi="Arial" w:cs="Arial"/>
          <w:lang w:val="en-US"/>
        </w:rPr>
        <w:t xml:space="preserve">. International Journal of Contemporary Hospitality Management, 32, pp. 1247-1273. </w:t>
      </w:r>
      <w:hyperlink r:id="rId35" w:history="1">
        <w:r w:rsidRPr="005C1D96">
          <w:rPr>
            <w:rStyle w:val="Hyperlink"/>
            <w:rFonts w:ascii="Arial" w:hAnsi="Arial" w:cs="Arial"/>
            <w:lang w:val="en-US"/>
          </w:rPr>
          <w:t>https://www.proquest.com/scholarly-journals/investigating-triangular-relationship-between/docview/2498996211/se-2?accountid=130472</w:t>
        </w:r>
      </w:hyperlink>
    </w:p>
    <w:p w14:paraId="54953599" w14:textId="4A4E1D9A"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Mohamed, S., </w:t>
      </w:r>
      <w:r w:rsidR="00386C32">
        <w:rPr>
          <w:rFonts w:ascii="Arial" w:hAnsi="Arial" w:cs="Arial"/>
        </w:rPr>
        <w:t>(</w:t>
      </w:r>
      <w:r w:rsidRPr="005C1D96">
        <w:rPr>
          <w:rFonts w:ascii="Arial" w:hAnsi="Arial" w:cs="Arial"/>
        </w:rPr>
        <w:t>2022</w:t>
      </w:r>
      <w:r w:rsidR="00386C32">
        <w:rPr>
          <w:rFonts w:ascii="Arial" w:hAnsi="Arial" w:cs="Arial"/>
        </w:rPr>
        <w:t>)</w:t>
      </w:r>
      <w:r w:rsidRPr="005C1D96">
        <w:rPr>
          <w:rFonts w:ascii="Arial" w:hAnsi="Arial" w:cs="Arial"/>
        </w:rPr>
        <w:t xml:space="preserve">. Technological Innovation in Tourism and Events </w:t>
      </w:r>
      <w:r w:rsidR="005C1D96" w:rsidRPr="005C1D96">
        <w:rPr>
          <w:rFonts w:ascii="Arial" w:hAnsi="Arial" w:cs="Arial"/>
        </w:rPr>
        <w:t>Industry</w:t>
      </w:r>
      <w:r w:rsidRPr="005C1D96">
        <w:rPr>
          <w:rFonts w:ascii="Arial" w:hAnsi="Arial" w:cs="Arial"/>
        </w:rPr>
        <w:t xml:space="preserve">: A </w:t>
      </w:r>
      <w:r w:rsidR="00EC11F7" w:rsidRPr="005C1D96">
        <w:rPr>
          <w:rFonts w:ascii="Arial" w:hAnsi="Arial" w:cs="Arial"/>
        </w:rPr>
        <w:t>Hybrid Future</w:t>
      </w:r>
      <w:r w:rsidRPr="005C1D96">
        <w:rPr>
          <w:rFonts w:ascii="Arial" w:hAnsi="Arial" w:cs="Arial"/>
        </w:rPr>
        <w:t xml:space="preserve"> of Events. </w:t>
      </w:r>
      <w:r w:rsidRPr="005C1D96">
        <w:rPr>
          <w:rFonts w:ascii="Arial" w:hAnsi="Arial" w:cs="Arial"/>
          <w:i/>
          <w:iCs/>
        </w:rPr>
        <w:t>International Journal of Tourism, Archaeology and Hospitality</w:t>
      </w:r>
      <w:r w:rsidRPr="005C1D96">
        <w:rPr>
          <w:rFonts w:ascii="Arial" w:hAnsi="Arial" w:cs="Arial"/>
        </w:rPr>
        <w:t xml:space="preserve">. </w:t>
      </w:r>
      <w:hyperlink r:id="rId36" w:history="1">
        <w:r w:rsidRPr="005C1D96">
          <w:rPr>
            <w:rStyle w:val="Hyperlink"/>
            <w:rFonts w:ascii="Arial" w:hAnsi="Arial" w:cs="Arial"/>
          </w:rPr>
          <w:t>https://doi.org/10.21608/ijtah.2023.185020.1027</w:t>
        </w:r>
      </w:hyperlink>
      <w:r w:rsidRPr="005C1D96">
        <w:rPr>
          <w:rFonts w:ascii="Arial" w:hAnsi="Arial" w:cs="Arial"/>
        </w:rPr>
        <w:t>.</w:t>
      </w:r>
    </w:p>
    <w:p w14:paraId="7B361501" w14:textId="31D27F67" w:rsidR="000233E9" w:rsidRPr="005C1D96" w:rsidRDefault="000233E9" w:rsidP="008C7137">
      <w:pPr>
        <w:numPr>
          <w:ilvl w:val="0"/>
          <w:numId w:val="19"/>
        </w:numPr>
        <w:spacing w:after="0" w:line="360" w:lineRule="auto"/>
        <w:jc w:val="both"/>
        <w:rPr>
          <w:rFonts w:ascii="Arial" w:hAnsi="Arial" w:cs="Arial"/>
        </w:rPr>
      </w:pPr>
      <w:r w:rsidRPr="005C1D96">
        <w:rPr>
          <w:rFonts w:ascii="Arial" w:hAnsi="Arial" w:cs="Arial"/>
        </w:rPr>
        <w:t xml:space="preserve">Muskat, B., </w:t>
      </w:r>
      <w:r w:rsidR="00605580" w:rsidRPr="005C1D96">
        <w:rPr>
          <w:rFonts w:ascii="Arial" w:hAnsi="Arial" w:cs="Arial"/>
        </w:rPr>
        <w:t>and</w:t>
      </w:r>
      <w:r w:rsidRPr="005C1D96">
        <w:rPr>
          <w:rFonts w:ascii="Arial" w:hAnsi="Arial" w:cs="Arial"/>
        </w:rPr>
        <w:t xml:space="preserve"> Mair, J.,</w:t>
      </w:r>
      <w:r w:rsidR="00386C32">
        <w:rPr>
          <w:rFonts w:ascii="Arial" w:hAnsi="Arial" w:cs="Arial"/>
        </w:rPr>
        <w:t>(</w:t>
      </w:r>
      <w:r w:rsidRPr="005C1D96">
        <w:rPr>
          <w:rFonts w:ascii="Arial" w:hAnsi="Arial" w:cs="Arial"/>
        </w:rPr>
        <w:t>2019</w:t>
      </w:r>
      <w:r w:rsidR="00386C32">
        <w:rPr>
          <w:rFonts w:ascii="Arial" w:hAnsi="Arial" w:cs="Arial"/>
        </w:rPr>
        <w:t>)</w:t>
      </w:r>
      <w:r w:rsidRPr="005C1D96">
        <w:rPr>
          <w:rFonts w:ascii="Arial" w:hAnsi="Arial" w:cs="Arial"/>
        </w:rPr>
        <w:t xml:space="preserve">. Knowledge Sharing and Power in the Event Workforce. . </w:t>
      </w:r>
      <w:hyperlink r:id="rId37" w:history="1">
        <w:r w:rsidRPr="005C1D96">
          <w:rPr>
            <w:rStyle w:val="Hyperlink"/>
            <w:rFonts w:ascii="Arial" w:hAnsi="Arial" w:cs="Arial"/>
          </w:rPr>
          <w:t>https://doi.org/10.3727/152599519x15506259856228</w:t>
        </w:r>
      </w:hyperlink>
      <w:r w:rsidRPr="005C1D96">
        <w:rPr>
          <w:rFonts w:ascii="Arial" w:hAnsi="Arial" w:cs="Arial"/>
        </w:rPr>
        <w:t>.</w:t>
      </w:r>
    </w:p>
    <w:p w14:paraId="64D0D32D" w14:textId="736E5FD1" w:rsidR="000233E9" w:rsidRPr="005C1D96" w:rsidRDefault="000233E9" w:rsidP="008C7137">
      <w:pPr>
        <w:numPr>
          <w:ilvl w:val="0"/>
          <w:numId w:val="19"/>
        </w:numPr>
        <w:spacing w:after="0" w:line="360" w:lineRule="auto"/>
        <w:jc w:val="both"/>
        <w:rPr>
          <w:rFonts w:ascii="Arial" w:hAnsi="Arial" w:cs="Arial"/>
          <w:lang w:val="de-DE"/>
        </w:rPr>
      </w:pPr>
      <w:r w:rsidRPr="005C1D96">
        <w:rPr>
          <w:rFonts w:ascii="Arial" w:hAnsi="Arial" w:cs="Arial"/>
        </w:rPr>
        <w:t xml:space="preserve">Perdana, M., </w:t>
      </w:r>
      <w:proofErr w:type="spellStart"/>
      <w:r w:rsidRPr="005C1D96">
        <w:rPr>
          <w:rFonts w:ascii="Arial" w:hAnsi="Arial" w:cs="Arial"/>
        </w:rPr>
        <w:t>Rusmawan</w:t>
      </w:r>
      <w:proofErr w:type="spellEnd"/>
      <w:r w:rsidRPr="005C1D96">
        <w:rPr>
          <w:rFonts w:ascii="Arial" w:hAnsi="Arial" w:cs="Arial"/>
        </w:rPr>
        <w:t xml:space="preserve">, P., Tyas, I., </w:t>
      </w:r>
      <w:r w:rsidR="00605580" w:rsidRPr="005C1D96">
        <w:rPr>
          <w:rFonts w:ascii="Arial" w:hAnsi="Arial" w:cs="Arial"/>
        </w:rPr>
        <w:t>and</w:t>
      </w:r>
      <w:r w:rsidRPr="005C1D96">
        <w:rPr>
          <w:rFonts w:ascii="Arial" w:hAnsi="Arial" w:cs="Arial"/>
        </w:rPr>
        <w:t xml:space="preserve"> </w:t>
      </w:r>
      <w:proofErr w:type="spellStart"/>
      <w:r w:rsidRPr="005C1D96">
        <w:rPr>
          <w:rFonts w:ascii="Arial" w:hAnsi="Arial" w:cs="Arial"/>
        </w:rPr>
        <w:t>Febrian</w:t>
      </w:r>
      <w:proofErr w:type="spellEnd"/>
      <w:r w:rsidRPr="005C1D96">
        <w:rPr>
          <w:rFonts w:ascii="Arial" w:hAnsi="Arial" w:cs="Arial"/>
        </w:rPr>
        <w:t xml:space="preserve">, A., </w:t>
      </w:r>
      <w:r w:rsidR="00386C32">
        <w:rPr>
          <w:rFonts w:ascii="Arial" w:hAnsi="Arial" w:cs="Arial"/>
        </w:rPr>
        <w:t>(</w:t>
      </w:r>
      <w:r w:rsidRPr="005C1D96">
        <w:rPr>
          <w:rFonts w:ascii="Arial" w:hAnsi="Arial" w:cs="Arial"/>
        </w:rPr>
        <w:t>2023</w:t>
      </w:r>
      <w:r w:rsidR="00386C32">
        <w:rPr>
          <w:rFonts w:ascii="Arial" w:hAnsi="Arial" w:cs="Arial"/>
        </w:rPr>
        <w:t>)</w:t>
      </w:r>
      <w:r w:rsidRPr="005C1D96">
        <w:rPr>
          <w:rFonts w:ascii="Arial" w:hAnsi="Arial" w:cs="Arial"/>
        </w:rPr>
        <w:t>. The development of cultural event strategy: Swot analysis and QSPM approach. </w:t>
      </w:r>
      <w:proofErr w:type="spellStart"/>
      <w:r w:rsidRPr="005C1D96">
        <w:rPr>
          <w:rFonts w:ascii="Arial" w:hAnsi="Arial" w:cs="Arial"/>
          <w:i/>
          <w:iCs/>
          <w:lang w:val="de-DE"/>
        </w:rPr>
        <w:t>Jurnal</w:t>
      </w:r>
      <w:proofErr w:type="spellEnd"/>
      <w:r w:rsidRPr="005C1D96">
        <w:rPr>
          <w:rFonts w:ascii="Arial" w:hAnsi="Arial" w:cs="Arial"/>
          <w:i/>
          <w:iCs/>
          <w:lang w:val="de-DE"/>
        </w:rPr>
        <w:t xml:space="preserve"> </w:t>
      </w:r>
      <w:proofErr w:type="spellStart"/>
      <w:r w:rsidRPr="005C1D96">
        <w:rPr>
          <w:rFonts w:ascii="Arial" w:hAnsi="Arial" w:cs="Arial"/>
          <w:i/>
          <w:iCs/>
          <w:lang w:val="de-DE"/>
        </w:rPr>
        <w:t>Inovasi</w:t>
      </w:r>
      <w:proofErr w:type="spellEnd"/>
      <w:r w:rsidRPr="005C1D96">
        <w:rPr>
          <w:rFonts w:ascii="Arial" w:hAnsi="Arial" w:cs="Arial"/>
          <w:i/>
          <w:iCs/>
          <w:lang w:val="de-DE"/>
        </w:rPr>
        <w:t xml:space="preserve"> </w:t>
      </w:r>
      <w:proofErr w:type="spellStart"/>
      <w:r w:rsidRPr="005C1D96">
        <w:rPr>
          <w:rFonts w:ascii="Arial" w:hAnsi="Arial" w:cs="Arial"/>
          <w:i/>
          <w:iCs/>
          <w:lang w:val="de-DE"/>
        </w:rPr>
        <w:t>Ilmu</w:t>
      </w:r>
      <w:proofErr w:type="spellEnd"/>
      <w:r w:rsidRPr="005C1D96">
        <w:rPr>
          <w:rFonts w:ascii="Arial" w:hAnsi="Arial" w:cs="Arial"/>
          <w:i/>
          <w:iCs/>
          <w:lang w:val="de-DE"/>
        </w:rPr>
        <w:t xml:space="preserve"> </w:t>
      </w:r>
      <w:proofErr w:type="spellStart"/>
      <w:r w:rsidRPr="005C1D96">
        <w:rPr>
          <w:rFonts w:ascii="Arial" w:hAnsi="Arial" w:cs="Arial"/>
          <w:i/>
          <w:iCs/>
          <w:lang w:val="de-DE"/>
        </w:rPr>
        <w:t>Sosial</w:t>
      </w:r>
      <w:proofErr w:type="spellEnd"/>
      <w:r w:rsidRPr="005C1D96">
        <w:rPr>
          <w:rFonts w:ascii="Arial" w:hAnsi="Arial" w:cs="Arial"/>
          <w:i/>
          <w:iCs/>
          <w:lang w:val="de-DE"/>
        </w:rPr>
        <w:t xml:space="preserve"> </w:t>
      </w:r>
      <w:proofErr w:type="spellStart"/>
      <w:r w:rsidRPr="005C1D96">
        <w:rPr>
          <w:rFonts w:ascii="Arial" w:hAnsi="Arial" w:cs="Arial"/>
          <w:i/>
          <w:iCs/>
          <w:lang w:val="de-DE"/>
        </w:rPr>
        <w:t>dan</w:t>
      </w:r>
      <w:proofErr w:type="spellEnd"/>
      <w:r w:rsidRPr="005C1D96">
        <w:rPr>
          <w:rFonts w:ascii="Arial" w:hAnsi="Arial" w:cs="Arial"/>
          <w:i/>
          <w:iCs/>
          <w:lang w:val="de-DE"/>
        </w:rPr>
        <w:t xml:space="preserve"> Politik (</w:t>
      </w:r>
      <w:proofErr w:type="spellStart"/>
      <w:r w:rsidRPr="005C1D96">
        <w:rPr>
          <w:rFonts w:ascii="Arial" w:hAnsi="Arial" w:cs="Arial"/>
          <w:i/>
          <w:iCs/>
          <w:lang w:val="de-DE"/>
        </w:rPr>
        <w:t>JISoP</w:t>
      </w:r>
      <w:proofErr w:type="spellEnd"/>
      <w:r w:rsidRPr="005C1D96">
        <w:rPr>
          <w:rFonts w:ascii="Arial" w:hAnsi="Arial" w:cs="Arial"/>
          <w:i/>
          <w:iCs/>
          <w:lang w:val="de-DE"/>
        </w:rPr>
        <w:t>)</w:t>
      </w:r>
      <w:r w:rsidRPr="005C1D96">
        <w:rPr>
          <w:rFonts w:ascii="Arial" w:hAnsi="Arial" w:cs="Arial"/>
          <w:lang w:val="de-DE"/>
        </w:rPr>
        <w:t xml:space="preserve">. </w:t>
      </w:r>
      <w:hyperlink r:id="rId38" w:history="1">
        <w:r w:rsidRPr="005C1D96">
          <w:rPr>
            <w:rStyle w:val="Hyperlink"/>
            <w:rFonts w:ascii="Arial" w:hAnsi="Arial" w:cs="Arial"/>
            <w:lang w:val="de-DE"/>
          </w:rPr>
          <w:t>https://doi.org/10.33474/jisop.v5i1.20035</w:t>
        </w:r>
      </w:hyperlink>
      <w:r w:rsidRPr="005C1D96">
        <w:rPr>
          <w:rFonts w:ascii="Arial" w:hAnsi="Arial" w:cs="Arial"/>
          <w:lang w:val="de-DE"/>
        </w:rPr>
        <w:t>.</w:t>
      </w:r>
    </w:p>
    <w:p w14:paraId="3A426374" w14:textId="6C5EC71D" w:rsidR="000233E9" w:rsidRPr="005C1D96" w:rsidRDefault="000233E9" w:rsidP="008C7137">
      <w:pPr>
        <w:numPr>
          <w:ilvl w:val="0"/>
          <w:numId w:val="19"/>
        </w:numPr>
        <w:spacing w:after="0" w:line="360" w:lineRule="auto"/>
        <w:jc w:val="both"/>
        <w:rPr>
          <w:rFonts w:ascii="Arial" w:hAnsi="Arial" w:cs="Arial"/>
        </w:rPr>
      </w:pPr>
      <w:r w:rsidRPr="00B13983">
        <w:rPr>
          <w:rFonts w:ascii="Arial" w:hAnsi="Arial" w:cs="Arial"/>
          <w:lang w:val="de-DE"/>
        </w:rPr>
        <w:t xml:space="preserve">Rahman, M., Rodríguez-Serrano, M.Á., </w:t>
      </w:r>
      <w:proofErr w:type="spellStart"/>
      <w:r w:rsidRPr="00B13983">
        <w:rPr>
          <w:rFonts w:ascii="Arial" w:hAnsi="Arial" w:cs="Arial"/>
          <w:lang w:val="de-DE"/>
        </w:rPr>
        <w:t>Shimul</w:t>
      </w:r>
      <w:proofErr w:type="spellEnd"/>
      <w:r w:rsidRPr="00B13983">
        <w:rPr>
          <w:rFonts w:ascii="Arial" w:hAnsi="Arial" w:cs="Arial"/>
          <w:lang w:val="de-DE"/>
        </w:rPr>
        <w:t xml:space="preserve">, A.S. and </w:t>
      </w:r>
      <w:proofErr w:type="spellStart"/>
      <w:r w:rsidRPr="00B13983">
        <w:rPr>
          <w:rFonts w:ascii="Arial" w:hAnsi="Arial" w:cs="Arial"/>
          <w:lang w:val="de-DE"/>
        </w:rPr>
        <w:t>Faroque</w:t>
      </w:r>
      <w:proofErr w:type="spellEnd"/>
      <w:r w:rsidRPr="00B13983">
        <w:rPr>
          <w:rFonts w:ascii="Arial" w:hAnsi="Arial" w:cs="Arial"/>
          <w:lang w:val="de-DE"/>
        </w:rPr>
        <w:t xml:space="preserve">, A.R., </w:t>
      </w:r>
      <w:r w:rsidR="00386C32">
        <w:rPr>
          <w:rFonts w:ascii="Arial" w:hAnsi="Arial" w:cs="Arial"/>
          <w:lang w:val="de-DE"/>
        </w:rPr>
        <w:t>(</w:t>
      </w:r>
      <w:r w:rsidRPr="00B13983">
        <w:rPr>
          <w:rFonts w:ascii="Arial" w:hAnsi="Arial" w:cs="Arial"/>
          <w:lang w:val="de-DE"/>
        </w:rPr>
        <w:t>2023</w:t>
      </w:r>
      <w:r w:rsidR="00386C32">
        <w:rPr>
          <w:rFonts w:ascii="Arial" w:hAnsi="Arial" w:cs="Arial"/>
          <w:lang w:val="de-DE"/>
        </w:rPr>
        <w:t>)</w:t>
      </w:r>
      <w:r w:rsidRPr="00B13983">
        <w:rPr>
          <w:rFonts w:ascii="Arial" w:hAnsi="Arial" w:cs="Arial"/>
          <w:lang w:val="de-DE"/>
        </w:rPr>
        <w:t xml:space="preserve">. </w:t>
      </w:r>
      <w:r w:rsidRPr="005C1D96">
        <w:rPr>
          <w:rFonts w:ascii="Arial" w:hAnsi="Arial" w:cs="Arial"/>
        </w:rPr>
        <w:t>The role of corporate workplace inclusivity policies, brand equity, and innovation intensity in firm profitability: a moderated mediational approach. </w:t>
      </w:r>
      <w:r w:rsidRPr="005C1D96">
        <w:rPr>
          <w:rFonts w:ascii="Arial" w:hAnsi="Arial" w:cs="Arial"/>
          <w:i/>
          <w:iCs/>
        </w:rPr>
        <w:t xml:space="preserve">Journal of </w:t>
      </w:r>
      <w:proofErr w:type="spellStart"/>
      <w:r w:rsidRPr="005C1D96">
        <w:rPr>
          <w:rFonts w:ascii="Arial" w:hAnsi="Arial" w:cs="Arial"/>
          <w:i/>
          <w:iCs/>
        </w:rPr>
        <w:t>Macromarketing</w:t>
      </w:r>
      <w:proofErr w:type="spellEnd"/>
      <w:r w:rsidRPr="005C1D96">
        <w:rPr>
          <w:rFonts w:ascii="Arial" w:hAnsi="Arial" w:cs="Arial"/>
        </w:rPr>
        <w:t>, </w:t>
      </w:r>
      <w:r w:rsidRPr="005C1D96">
        <w:rPr>
          <w:rFonts w:ascii="Arial" w:hAnsi="Arial" w:cs="Arial"/>
          <w:i/>
          <w:iCs/>
        </w:rPr>
        <w:t>43</w:t>
      </w:r>
      <w:r w:rsidRPr="005C1D96">
        <w:rPr>
          <w:rFonts w:ascii="Arial" w:hAnsi="Arial" w:cs="Arial"/>
        </w:rPr>
        <w:t xml:space="preserve">(4), pp.460-475. </w:t>
      </w:r>
      <w:hyperlink r:id="rId39" w:history="1">
        <w:r w:rsidRPr="005C1D96">
          <w:rPr>
            <w:rStyle w:val="Hyperlink"/>
            <w:rFonts w:ascii="Arial" w:hAnsi="Arial" w:cs="Arial"/>
          </w:rPr>
          <w:t>https://doi.org/10.1177/02761467231187848</w:t>
        </w:r>
      </w:hyperlink>
    </w:p>
    <w:p w14:paraId="0E6ECCA5" w14:textId="0B099CD9"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Schofield, P., Crowther, P., Jago, L., Heeley, J. and Taylor, S., </w:t>
      </w:r>
      <w:r w:rsidR="005E7229">
        <w:rPr>
          <w:rFonts w:ascii="Arial" w:hAnsi="Arial" w:cs="Arial"/>
        </w:rPr>
        <w:t>(</w:t>
      </w:r>
      <w:r w:rsidRPr="005C1D96">
        <w:rPr>
          <w:rFonts w:ascii="Arial" w:hAnsi="Arial" w:cs="Arial"/>
        </w:rPr>
        <w:t>2018</w:t>
      </w:r>
      <w:r w:rsidR="005E7229">
        <w:rPr>
          <w:rFonts w:ascii="Arial" w:hAnsi="Arial" w:cs="Arial"/>
        </w:rPr>
        <w:t>)</w:t>
      </w:r>
      <w:r w:rsidRPr="005C1D96">
        <w:rPr>
          <w:rFonts w:ascii="Arial" w:hAnsi="Arial" w:cs="Arial"/>
        </w:rPr>
        <w:t xml:space="preserve">. Collaborative innovation: </w:t>
      </w:r>
      <w:r w:rsidR="00EC11F7" w:rsidRPr="005C1D96">
        <w:rPr>
          <w:rFonts w:ascii="Arial" w:hAnsi="Arial" w:cs="Arial"/>
        </w:rPr>
        <w:t xml:space="preserve">a </w:t>
      </w:r>
      <w:r w:rsidRPr="005C1D96">
        <w:rPr>
          <w:rFonts w:ascii="Arial" w:hAnsi="Arial" w:cs="Arial"/>
        </w:rPr>
        <w:t>catalyst for a destination’s event success. </w:t>
      </w:r>
      <w:r w:rsidRPr="005C1D96">
        <w:rPr>
          <w:rFonts w:ascii="Arial" w:hAnsi="Arial" w:cs="Arial"/>
          <w:i/>
          <w:iCs/>
        </w:rPr>
        <w:t>International Journal of Contemporary Hospitality Management</w:t>
      </w:r>
      <w:r w:rsidRPr="005C1D96">
        <w:rPr>
          <w:rFonts w:ascii="Arial" w:hAnsi="Arial" w:cs="Arial"/>
        </w:rPr>
        <w:t>, </w:t>
      </w:r>
      <w:r w:rsidRPr="005C1D96">
        <w:rPr>
          <w:rFonts w:ascii="Arial" w:hAnsi="Arial" w:cs="Arial"/>
          <w:i/>
          <w:iCs/>
        </w:rPr>
        <w:t>30</w:t>
      </w:r>
      <w:r w:rsidRPr="005C1D96">
        <w:rPr>
          <w:rFonts w:ascii="Arial" w:hAnsi="Arial" w:cs="Arial"/>
        </w:rPr>
        <w:t xml:space="preserve">(6), pp.2499-2516.  </w:t>
      </w:r>
      <w:hyperlink r:id="rId40" w:history="1">
        <w:r w:rsidRPr="005C1D96">
          <w:rPr>
            <w:rStyle w:val="Hyperlink"/>
            <w:rFonts w:ascii="Arial" w:hAnsi="Arial" w:cs="Arial"/>
          </w:rPr>
          <w:t>https://openresearch.surrey.ac.uk/esploro/fulltext/journalArticle/Collaborative-Innovation-Catalyst-for-a-Destinations/99515397602346?repId=12139713210002346&amp;mId=13140282670002346&amp;institution=44SUR_INST</w:t>
        </w:r>
      </w:hyperlink>
    </w:p>
    <w:p w14:paraId="4BAD99AD" w14:textId="0AD2E74F"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Ferreira, V.C., Gomes, G. and Borini, F.M., </w:t>
      </w:r>
      <w:r w:rsidR="005E7229">
        <w:rPr>
          <w:rFonts w:ascii="Arial" w:hAnsi="Arial" w:cs="Arial"/>
        </w:rPr>
        <w:t>(</w:t>
      </w:r>
      <w:r w:rsidRPr="005C1D96">
        <w:rPr>
          <w:rFonts w:ascii="Arial" w:hAnsi="Arial" w:cs="Arial"/>
        </w:rPr>
        <w:t>2023</w:t>
      </w:r>
      <w:r w:rsidR="005E7229">
        <w:rPr>
          <w:rFonts w:ascii="Arial" w:hAnsi="Arial" w:cs="Arial"/>
        </w:rPr>
        <w:t>)</w:t>
      </w:r>
      <w:r w:rsidRPr="005C1D96">
        <w:rPr>
          <w:rFonts w:ascii="Arial" w:hAnsi="Arial" w:cs="Arial"/>
        </w:rPr>
        <w:t xml:space="preserve">. Importance of human factors to innovation and </w:t>
      </w:r>
      <w:r w:rsidR="00EC11F7" w:rsidRPr="005C1D96">
        <w:rPr>
          <w:rFonts w:ascii="Arial" w:hAnsi="Arial" w:cs="Arial"/>
        </w:rPr>
        <w:t>organisational</w:t>
      </w:r>
      <w:r w:rsidRPr="005C1D96">
        <w:rPr>
          <w:rFonts w:ascii="Arial" w:hAnsi="Arial" w:cs="Arial"/>
        </w:rPr>
        <w:t xml:space="preserve"> performance. </w:t>
      </w:r>
      <w:r w:rsidRPr="005C1D96">
        <w:rPr>
          <w:rFonts w:ascii="Arial" w:hAnsi="Arial" w:cs="Arial"/>
          <w:i/>
          <w:iCs/>
        </w:rPr>
        <w:t>Technology Analysis &amp; Strategic Management</w:t>
      </w:r>
      <w:r w:rsidRPr="005C1D96">
        <w:rPr>
          <w:rFonts w:ascii="Arial" w:hAnsi="Arial" w:cs="Arial"/>
        </w:rPr>
        <w:t xml:space="preserve">, pp.1-15. </w:t>
      </w:r>
      <w:hyperlink r:id="rId41" w:history="1">
        <w:r w:rsidRPr="005C1D96">
          <w:rPr>
            <w:rStyle w:val="Hyperlink"/>
            <w:rFonts w:ascii="Arial" w:hAnsi="Arial" w:cs="Arial"/>
          </w:rPr>
          <w:t>https://doi.org/10.1080/09537325.2023.2293855</w:t>
        </w:r>
      </w:hyperlink>
    </w:p>
    <w:p w14:paraId="5DED637A" w14:textId="58007732"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lastRenderedPageBreak/>
        <w:t xml:space="preserve">Tiew, F., Holmes, K., </w:t>
      </w:r>
      <w:r w:rsidR="00605580" w:rsidRPr="005C1D96">
        <w:rPr>
          <w:rFonts w:ascii="Arial" w:hAnsi="Arial" w:cs="Arial"/>
        </w:rPr>
        <w:t>and</w:t>
      </w:r>
      <w:r w:rsidRPr="005C1D96">
        <w:rPr>
          <w:rFonts w:ascii="Arial" w:hAnsi="Arial" w:cs="Arial"/>
        </w:rPr>
        <w:t xml:space="preserve"> </w:t>
      </w:r>
      <w:proofErr w:type="spellStart"/>
      <w:r w:rsidRPr="005C1D96">
        <w:rPr>
          <w:rFonts w:ascii="Arial" w:hAnsi="Arial" w:cs="Arial"/>
        </w:rPr>
        <w:t>Bussy</w:t>
      </w:r>
      <w:proofErr w:type="spellEnd"/>
      <w:r w:rsidRPr="005C1D96">
        <w:rPr>
          <w:rFonts w:ascii="Arial" w:hAnsi="Arial" w:cs="Arial"/>
        </w:rPr>
        <w:t xml:space="preserve">, N., </w:t>
      </w:r>
      <w:r w:rsidR="005E7229">
        <w:rPr>
          <w:rFonts w:ascii="Arial" w:hAnsi="Arial" w:cs="Arial"/>
        </w:rPr>
        <w:t>(</w:t>
      </w:r>
      <w:r w:rsidRPr="005C1D96">
        <w:rPr>
          <w:rFonts w:ascii="Arial" w:hAnsi="Arial" w:cs="Arial"/>
        </w:rPr>
        <w:t>2022</w:t>
      </w:r>
      <w:r w:rsidR="005E7229">
        <w:rPr>
          <w:rFonts w:ascii="Arial" w:hAnsi="Arial" w:cs="Arial"/>
        </w:rPr>
        <w:t>)</w:t>
      </w:r>
      <w:r w:rsidRPr="005C1D96">
        <w:rPr>
          <w:rFonts w:ascii="Arial" w:hAnsi="Arial" w:cs="Arial"/>
        </w:rPr>
        <w:t>. Investigating Stakeholder Salience across the Event Management Lifecycle. </w:t>
      </w:r>
      <w:r w:rsidRPr="005C1D96">
        <w:rPr>
          <w:rFonts w:ascii="Arial" w:hAnsi="Arial" w:cs="Arial"/>
          <w:i/>
          <w:iCs/>
        </w:rPr>
        <w:t>Event Management</w:t>
      </w:r>
      <w:r w:rsidRPr="005C1D96">
        <w:rPr>
          <w:rFonts w:ascii="Arial" w:hAnsi="Arial" w:cs="Arial"/>
        </w:rPr>
        <w:t xml:space="preserve">. </w:t>
      </w:r>
      <w:hyperlink r:id="rId42" w:history="1">
        <w:r w:rsidRPr="005C1D96">
          <w:rPr>
            <w:rStyle w:val="Hyperlink"/>
            <w:rFonts w:ascii="Arial" w:hAnsi="Arial" w:cs="Arial"/>
          </w:rPr>
          <w:t>https://doi.org/10.3727/152599522x16419948390925</w:t>
        </w:r>
      </w:hyperlink>
      <w:r w:rsidRPr="005C1D96">
        <w:rPr>
          <w:rFonts w:ascii="Arial" w:hAnsi="Arial" w:cs="Arial"/>
        </w:rPr>
        <w:t>.</w:t>
      </w:r>
    </w:p>
    <w:p w14:paraId="770E3328" w14:textId="24E9AD88"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Legislation.gov.uk, </w:t>
      </w:r>
      <w:r w:rsidR="00E0275C">
        <w:rPr>
          <w:rFonts w:ascii="Arial" w:hAnsi="Arial" w:cs="Arial"/>
        </w:rPr>
        <w:t>(</w:t>
      </w:r>
      <w:r w:rsidRPr="005C1D96">
        <w:rPr>
          <w:rFonts w:ascii="Arial" w:hAnsi="Arial" w:cs="Arial"/>
        </w:rPr>
        <w:t>2025</w:t>
      </w:r>
      <w:r w:rsidR="00E0275C">
        <w:rPr>
          <w:rFonts w:ascii="Arial" w:hAnsi="Arial" w:cs="Arial"/>
        </w:rPr>
        <w:t>)</w:t>
      </w:r>
      <w:r w:rsidRPr="005C1D96">
        <w:rPr>
          <w:rFonts w:ascii="Arial" w:hAnsi="Arial" w:cs="Arial"/>
        </w:rPr>
        <w:t xml:space="preserve">. Equality Act 2010. </w:t>
      </w:r>
      <w:hyperlink r:id="rId43" w:history="1">
        <w:r w:rsidRPr="005C1D96">
          <w:rPr>
            <w:rStyle w:val="Hyperlink"/>
            <w:rFonts w:ascii="Arial" w:hAnsi="Arial" w:cs="Arial"/>
          </w:rPr>
          <w:t>https://www.legislation.gov.uk/ukpga/2010/15/contents</w:t>
        </w:r>
      </w:hyperlink>
    </w:p>
    <w:p w14:paraId="76CD7EB0" w14:textId="33B2F141"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Van Antwerpen, S., </w:t>
      </w:r>
      <w:r w:rsidR="00E0275C">
        <w:rPr>
          <w:rFonts w:ascii="Arial" w:hAnsi="Arial" w:cs="Arial"/>
        </w:rPr>
        <w:t>(</w:t>
      </w:r>
      <w:r w:rsidRPr="005C1D96">
        <w:rPr>
          <w:rFonts w:ascii="Arial" w:hAnsi="Arial" w:cs="Arial"/>
        </w:rPr>
        <w:t>2023</w:t>
      </w:r>
      <w:r w:rsidR="00E0275C">
        <w:rPr>
          <w:rFonts w:ascii="Arial" w:hAnsi="Arial" w:cs="Arial"/>
        </w:rPr>
        <w:t>)</w:t>
      </w:r>
      <w:r w:rsidRPr="005C1D96">
        <w:rPr>
          <w:rFonts w:ascii="Arial" w:hAnsi="Arial" w:cs="Arial"/>
        </w:rPr>
        <w:t>. A proposed integration of the event and project management body of knowledge. </w:t>
      </w:r>
      <w:r w:rsidRPr="005C1D96">
        <w:rPr>
          <w:rFonts w:ascii="Arial" w:hAnsi="Arial" w:cs="Arial"/>
          <w:i/>
          <w:iCs/>
        </w:rPr>
        <w:t>International Journal of Applied Sciences in Tourism and Events</w:t>
      </w:r>
      <w:r w:rsidRPr="005C1D96">
        <w:rPr>
          <w:rFonts w:ascii="Arial" w:hAnsi="Arial" w:cs="Arial"/>
        </w:rPr>
        <w:t xml:space="preserve">. </w:t>
      </w:r>
      <w:hyperlink r:id="rId44" w:history="1">
        <w:r w:rsidRPr="005C1D96">
          <w:rPr>
            <w:rStyle w:val="Hyperlink"/>
            <w:rFonts w:ascii="Arial" w:hAnsi="Arial" w:cs="Arial"/>
          </w:rPr>
          <w:t>https://doi.org/10.31940/ijaste.v7i2.108-119</w:t>
        </w:r>
      </w:hyperlink>
      <w:r w:rsidRPr="005C1D96">
        <w:rPr>
          <w:rFonts w:ascii="Arial" w:hAnsi="Arial" w:cs="Arial"/>
        </w:rPr>
        <w:t>.</w:t>
      </w:r>
    </w:p>
    <w:p w14:paraId="44821B33" w14:textId="72DE22F3"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Wickham, M., Donnelly, T., </w:t>
      </w:r>
      <w:r w:rsidR="00605580" w:rsidRPr="005C1D96">
        <w:rPr>
          <w:rFonts w:ascii="Arial" w:hAnsi="Arial" w:cs="Arial"/>
        </w:rPr>
        <w:t>and</w:t>
      </w:r>
      <w:r w:rsidRPr="005C1D96">
        <w:rPr>
          <w:rFonts w:ascii="Arial" w:hAnsi="Arial" w:cs="Arial"/>
        </w:rPr>
        <w:t xml:space="preserve"> French, L., </w:t>
      </w:r>
      <w:r w:rsidR="00E0275C">
        <w:rPr>
          <w:rFonts w:ascii="Arial" w:hAnsi="Arial" w:cs="Arial"/>
        </w:rPr>
        <w:t>(</w:t>
      </w:r>
      <w:r w:rsidRPr="005C1D96">
        <w:rPr>
          <w:rFonts w:ascii="Arial" w:hAnsi="Arial" w:cs="Arial"/>
        </w:rPr>
        <w:t>2020</w:t>
      </w:r>
      <w:r w:rsidR="00E0275C">
        <w:rPr>
          <w:rFonts w:ascii="Arial" w:hAnsi="Arial" w:cs="Arial"/>
        </w:rPr>
        <w:t>)</w:t>
      </w:r>
      <w:r w:rsidRPr="005C1D96">
        <w:rPr>
          <w:rFonts w:ascii="Arial" w:hAnsi="Arial" w:cs="Arial"/>
        </w:rPr>
        <w:t>. Strategic Sustainability Management in the Event Sector. </w:t>
      </w:r>
      <w:r w:rsidRPr="005C1D96">
        <w:rPr>
          <w:rFonts w:ascii="Arial" w:hAnsi="Arial" w:cs="Arial"/>
          <w:i/>
          <w:iCs/>
        </w:rPr>
        <w:t>Event Management</w:t>
      </w:r>
      <w:r w:rsidRPr="005C1D96">
        <w:rPr>
          <w:rFonts w:ascii="Arial" w:hAnsi="Arial" w:cs="Arial"/>
        </w:rPr>
        <w:t xml:space="preserve">. </w:t>
      </w:r>
      <w:hyperlink r:id="rId45" w:history="1">
        <w:r w:rsidRPr="005C1D96">
          <w:rPr>
            <w:rStyle w:val="Hyperlink"/>
            <w:rFonts w:ascii="Arial" w:hAnsi="Arial" w:cs="Arial"/>
          </w:rPr>
          <w:t>https://doi.org/10.3727/152599519x15506259856318</w:t>
        </w:r>
      </w:hyperlink>
      <w:r w:rsidRPr="005C1D96">
        <w:rPr>
          <w:rFonts w:ascii="Arial" w:hAnsi="Arial" w:cs="Arial"/>
        </w:rPr>
        <w:t>.</w:t>
      </w:r>
    </w:p>
    <w:p w14:paraId="4E5A57B5" w14:textId="4EEFCA66" w:rsidR="000233E9" w:rsidRPr="005C1D96" w:rsidRDefault="000233E9" w:rsidP="002C5E25">
      <w:pPr>
        <w:pStyle w:val="ListParagraph"/>
        <w:numPr>
          <w:ilvl w:val="0"/>
          <w:numId w:val="19"/>
        </w:numPr>
        <w:spacing w:after="0" w:line="360" w:lineRule="auto"/>
        <w:rPr>
          <w:rFonts w:ascii="Arial" w:hAnsi="Arial" w:cs="Arial"/>
        </w:rPr>
      </w:pPr>
      <w:r w:rsidRPr="005C1D96">
        <w:rPr>
          <w:rFonts w:ascii="Arial" w:hAnsi="Arial" w:cs="Arial"/>
        </w:rPr>
        <w:t xml:space="preserve">Silvers, J. R., Bowdin, G. A. J., O'Toole, W. J., and Nelson, K. B., </w:t>
      </w:r>
      <w:r w:rsidR="00E0275C">
        <w:rPr>
          <w:rFonts w:ascii="Arial" w:hAnsi="Arial" w:cs="Arial"/>
        </w:rPr>
        <w:t>(</w:t>
      </w:r>
      <w:r w:rsidRPr="005C1D96">
        <w:rPr>
          <w:rFonts w:ascii="Arial" w:hAnsi="Arial" w:cs="Arial"/>
        </w:rPr>
        <w:t>2005</w:t>
      </w:r>
      <w:r w:rsidR="00E0275C">
        <w:rPr>
          <w:rFonts w:ascii="Arial" w:hAnsi="Arial" w:cs="Arial"/>
        </w:rPr>
        <w:t>)</w:t>
      </w:r>
      <w:r w:rsidRPr="005C1D96">
        <w:rPr>
          <w:rFonts w:ascii="Arial" w:hAnsi="Arial" w:cs="Arial"/>
        </w:rPr>
        <w:t>. Towards an International Event Management Body of Knowledge (EMBOK). </w:t>
      </w:r>
      <w:r w:rsidRPr="005C1D96">
        <w:rPr>
          <w:rFonts w:ascii="Arial" w:hAnsi="Arial" w:cs="Arial"/>
          <w:i/>
          <w:iCs/>
        </w:rPr>
        <w:t>Event Management, </w:t>
      </w:r>
      <w:r w:rsidRPr="005C1D96">
        <w:rPr>
          <w:rFonts w:ascii="Arial" w:hAnsi="Arial" w:cs="Arial"/>
          <w:b/>
          <w:bCs/>
        </w:rPr>
        <w:t>9</w:t>
      </w:r>
      <w:r w:rsidRPr="005C1D96">
        <w:rPr>
          <w:rFonts w:ascii="Arial" w:hAnsi="Arial" w:cs="Arial"/>
        </w:rPr>
        <w:t xml:space="preserve">(4), pp. 185-198. </w:t>
      </w:r>
      <w:hyperlink r:id="rId46" w:history="1">
        <w:r w:rsidRPr="005C1D96">
          <w:rPr>
            <w:rStyle w:val="Hyperlink"/>
            <w:rFonts w:ascii="Arial" w:hAnsi="Arial" w:cs="Arial"/>
          </w:rPr>
          <w:t>https://www.proquest.com/scholarly-journals/towards-international-event-management-body/docview/2779475569/se-2?accountid=130472</w:t>
        </w:r>
      </w:hyperlink>
    </w:p>
    <w:p w14:paraId="36C08E3F" w14:textId="77777777" w:rsidR="000A3EB4" w:rsidRPr="005C1D96" w:rsidRDefault="000233E9" w:rsidP="002C5E25">
      <w:pPr>
        <w:pStyle w:val="ListParagraph"/>
        <w:numPr>
          <w:ilvl w:val="0"/>
          <w:numId w:val="19"/>
        </w:numPr>
        <w:spacing w:after="0" w:line="360" w:lineRule="auto"/>
        <w:rPr>
          <w:rFonts w:ascii="Arial" w:hAnsi="Arial" w:cs="Arial"/>
        </w:rPr>
      </w:pPr>
      <w:r w:rsidRPr="005C1D96">
        <w:rPr>
          <w:rFonts w:ascii="Arial" w:hAnsi="Arial" w:cs="Arial"/>
        </w:rPr>
        <w:t xml:space="preserve">Freeman, R.E. (1984) </w:t>
      </w:r>
      <w:r w:rsidRPr="005C1D96">
        <w:rPr>
          <w:rFonts w:ascii="Arial" w:hAnsi="Arial" w:cs="Arial"/>
          <w:i/>
          <w:iCs/>
        </w:rPr>
        <w:t>Strategic management: A stakeholder approach.</w:t>
      </w:r>
      <w:r w:rsidRPr="005C1D96">
        <w:rPr>
          <w:rFonts w:ascii="Arial" w:hAnsi="Arial" w:cs="Arial"/>
        </w:rPr>
        <w:t xml:space="preserve"> Boston: Pitman.</w:t>
      </w:r>
    </w:p>
    <w:p w14:paraId="06F0C698" w14:textId="60348A49" w:rsidR="000233E9" w:rsidRPr="005C1D96" w:rsidRDefault="000233E9" w:rsidP="002C5E25">
      <w:pPr>
        <w:pStyle w:val="ListParagraph"/>
        <w:numPr>
          <w:ilvl w:val="0"/>
          <w:numId w:val="19"/>
        </w:numPr>
        <w:spacing w:after="0" w:line="360" w:lineRule="auto"/>
        <w:rPr>
          <w:rFonts w:ascii="Arial" w:hAnsi="Arial" w:cs="Arial"/>
        </w:rPr>
      </w:pPr>
      <w:r w:rsidRPr="005C1D96">
        <w:rPr>
          <w:rFonts w:ascii="Arial" w:hAnsi="Arial" w:cs="Arial"/>
          <w:lang w:val="en-US"/>
        </w:rPr>
        <w:t xml:space="preserve">Tag-Eldeen, A. and Shawky, I., </w:t>
      </w:r>
      <w:r w:rsidR="00E0275C">
        <w:rPr>
          <w:rFonts w:ascii="Arial" w:hAnsi="Arial" w:cs="Arial"/>
          <w:lang w:val="en-US"/>
        </w:rPr>
        <w:t>(</w:t>
      </w:r>
      <w:r w:rsidRPr="005C1D96">
        <w:rPr>
          <w:rFonts w:ascii="Arial" w:hAnsi="Arial" w:cs="Arial"/>
          <w:lang w:val="en-US"/>
        </w:rPr>
        <w:t>2013</w:t>
      </w:r>
      <w:r w:rsidR="00E0275C">
        <w:rPr>
          <w:rFonts w:ascii="Arial" w:hAnsi="Arial" w:cs="Arial"/>
          <w:lang w:val="en-US"/>
        </w:rPr>
        <w:t>)</w:t>
      </w:r>
      <w:r w:rsidRPr="005C1D96">
        <w:rPr>
          <w:rFonts w:ascii="Arial" w:hAnsi="Arial" w:cs="Arial"/>
          <w:lang w:val="en-US"/>
        </w:rPr>
        <w:t>, October. Assessing the implications of work-life balance practices on employees’ performance in the hospitality sector. In </w:t>
      </w:r>
      <w:r w:rsidRPr="005C1D96">
        <w:rPr>
          <w:rFonts w:ascii="Arial" w:hAnsi="Arial" w:cs="Arial"/>
          <w:i/>
          <w:iCs/>
          <w:lang w:val="en-US"/>
        </w:rPr>
        <w:t xml:space="preserve">Proceedings of the 31st </w:t>
      </w:r>
      <w:proofErr w:type="spellStart"/>
      <w:r w:rsidRPr="005C1D96">
        <w:rPr>
          <w:rFonts w:ascii="Arial" w:hAnsi="Arial" w:cs="Arial"/>
          <w:i/>
          <w:iCs/>
          <w:lang w:val="en-US"/>
        </w:rPr>
        <w:t>EuroChrie</w:t>
      </w:r>
      <w:proofErr w:type="spellEnd"/>
      <w:r w:rsidRPr="005C1D96">
        <w:rPr>
          <w:rFonts w:ascii="Arial" w:hAnsi="Arial" w:cs="Arial"/>
          <w:i/>
          <w:iCs/>
          <w:lang w:val="en-US"/>
        </w:rPr>
        <w:t xml:space="preserve"> Conference, Freiburg, Germany</w:t>
      </w:r>
      <w:r w:rsidRPr="005C1D96">
        <w:rPr>
          <w:rFonts w:ascii="Arial" w:hAnsi="Arial" w:cs="Arial"/>
          <w:lang w:val="en-US"/>
        </w:rPr>
        <w:t xml:space="preserve"> (pp. 16-19). </w:t>
      </w:r>
      <w:hyperlink r:id="rId47" w:history="1">
        <w:r w:rsidRPr="005C1D96">
          <w:rPr>
            <w:rStyle w:val="Hyperlink"/>
            <w:rFonts w:ascii="Arial" w:hAnsi="Arial" w:cs="Arial"/>
          </w:rPr>
          <w:t>https://www.researchgate.net/publication/281645364_Assessing_the_implications_of_work-life_balance_practices_on_employees'_performance_in_the_hospitality_sector</w:t>
        </w:r>
      </w:hyperlink>
    </w:p>
    <w:p w14:paraId="5DFF6A7E" w14:textId="5AAA0D8D" w:rsidR="000233E9" w:rsidRPr="005C1D96" w:rsidRDefault="000233E9" w:rsidP="002C5E25">
      <w:pPr>
        <w:numPr>
          <w:ilvl w:val="0"/>
          <w:numId w:val="19"/>
        </w:numPr>
        <w:spacing w:after="0" w:line="360" w:lineRule="auto"/>
        <w:rPr>
          <w:rFonts w:ascii="Arial" w:hAnsi="Arial" w:cs="Arial"/>
        </w:rPr>
      </w:pPr>
      <w:r w:rsidRPr="005C1D96">
        <w:rPr>
          <w:rFonts w:ascii="Arial" w:hAnsi="Arial" w:cs="Arial"/>
        </w:rPr>
        <w:t xml:space="preserve">Arnott, I., </w:t>
      </w:r>
      <w:r w:rsidR="00E0275C">
        <w:rPr>
          <w:rFonts w:ascii="Arial" w:hAnsi="Arial" w:cs="Arial"/>
        </w:rPr>
        <w:t>(</w:t>
      </w:r>
      <w:r w:rsidRPr="005C1D96">
        <w:rPr>
          <w:rFonts w:ascii="Arial" w:hAnsi="Arial" w:cs="Arial"/>
        </w:rPr>
        <w:t>2020</w:t>
      </w:r>
      <w:r w:rsidR="00E0275C">
        <w:rPr>
          <w:rFonts w:ascii="Arial" w:hAnsi="Arial" w:cs="Arial"/>
        </w:rPr>
        <w:t>)</w:t>
      </w:r>
      <w:r w:rsidRPr="005C1D96">
        <w:rPr>
          <w:rFonts w:ascii="Arial" w:hAnsi="Arial" w:cs="Arial"/>
        </w:rPr>
        <w:t xml:space="preserve">. Risk </w:t>
      </w:r>
      <w:r w:rsidR="00EC11F7" w:rsidRPr="005C1D96">
        <w:rPr>
          <w:rFonts w:ascii="Arial" w:hAnsi="Arial" w:cs="Arial"/>
        </w:rPr>
        <w:t>Management</w:t>
      </w:r>
      <w:r w:rsidRPr="005C1D96">
        <w:rPr>
          <w:rFonts w:ascii="Arial" w:hAnsi="Arial" w:cs="Arial"/>
        </w:rPr>
        <w:t xml:space="preserve"> in Events Management. , pp. 1-20. </w:t>
      </w:r>
      <w:hyperlink r:id="rId48" w:tgtFrame="_blank" w:history="1">
        <w:r w:rsidRPr="005C1D96">
          <w:rPr>
            <w:rStyle w:val="Hyperlink"/>
            <w:rFonts w:ascii="Arial" w:hAnsi="Arial" w:cs="Arial"/>
          </w:rPr>
          <w:t>https://doi.org/10.4018/978-1-7998-3230-0.CH001</w:t>
        </w:r>
      </w:hyperlink>
      <w:r w:rsidRPr="005C1D96">
        <w:rPr>
          <w:rFonts w:ascii="Arial" w:hAnsi="Arial" w:cs="Arial"/>
        </w:rPr>
        <w:t>.</w:t>
      </w:r>
    </w:p>
    <w:p w14:paraId="513AB582" w14:textId="77777777" w:rsidR="00A65760" w:rsidRPr="005C1D96" w:rsidRDefault="00A65760" w:rsidP="005C1D96">
      <w:pPr>
        <w:spacing w:line="360" w:lineRule="auto"/>
        <w:jc w:val="both"/>
        <w:rPr>
          <w:rFonts w:ascii="Arial" w:hAnsi="Arial" w:cs="Arial"/>
        </w:rPr>
      </w:pPr>
    </w:p>
    <w:p w14:paraId="5452165D" w14:textId="77777777" w:rsidR="00A65760" w:rsidRPr="005C1D96" w:rsidRDefault="00A65760" w:rsidP="005C1D96">
      <w:pPr>
        <w:spacing w:line="360" w:lineRule="auto"/>
        <w:jc w:val="both"/>
        <w:rPr>
          <w:rFonts w:ascii="Arial" w:hAnsi="Arial" w:cs="Arial"/>
        </w:rPr>
      </w:pPr>
    </w:p>
    <w:p w14:paraId="6C30DB54" w14:textId="77777777" w:rsidR="00A65760" w:rsidRPr="005C1D96" w:rsidRDefault="00A65760" w:rsidP="005C1D96">
      <w:pPr>
        <w:spacing w:line="360" w:lineRule="auto"/>
        <w:jc w:val="both"/>
        <w:rPr>
          <w:rFonts w:ascii="Arial" w:hAnsi="Arial" w:cs="Arial"/>
        </w:rPr>
      </w:pPr>
    </w:p>
    <w:p w14:paraId="295B14C9" w14:textId="77777777" w:rsidR="00A65760" w:rsidRPr="005C1D96" w:rsidRDefault="00A65760" w:rsidP="005C1D96">
      <w:pPr>
        <w:spacing w:line="360" w:lineRule="auto"/>
        <w:jc w:val="both"/>
        <w:rPr>
          <w:rFonts w:ascii="Arial" w:hAnsi="Arial" w:cs="Arial"/>
        </w:rPr>
      </w:pPr>
    </w:p>
    <w:p w14:paraId="263932D2" w14:textId="77777777" w:rsidR="00A65760" w:rsidRPr="005C1D96" w:rsidRDefault="00A65760" w:rsidP="005C1D96">
      <w:pPr>
        <w:spacing w:line="360" w:lineRule="auto"/>
        <w:jc w:val="both"/>
        <w:rPr>
          <w:rFonts w:ascii="Arial" w:hAnsi="Arial" w:cs="Arial"/>
        </w:rPr>
      </w:pPr>
    </w:p>
    <w:p w14:paraId="58FC1E04" w14:textId="77777777" w:rsidR="00862421" w:rsidRDefault="00862421" w:rsidP="005C1D96">
      <w:pPr>
        <w:spacing w:line="360" w:lineRule="auto"/>
        <w:jc w:val="both"/>
        <w:rPr>
          <w:rFonts w:ascii="Arial" w:hAnsi="Arial" w:cs="Arial"/>
        </w:rPr>
      </w:pPr>
    </w:p>
    <w:p w14:paraId="713C4AAB" w14:textId="77777777" w:rsidR="008C7137" w:rsidRDefault="008C7137" w:rsidP="005C1D96">
      <w:pPr>
        <w:spacing w:line="360" w:lineRule="auto"/>
        <w:jc w:val="both"/>
        <w:rPr>
          <w:rFonts w:ascii="Arial" w:hAnsi="Arial" w:cs="Arial"/>
        </w:rPr>
      </w:pPr>
    </w:p>
    <w:p w14:paraId="53F4D813" w14:textId="77777777" w:rsidR="00862421" w:rsidRPr="005C1D96" w:rsidRDefault="00862421" w:rsidP="005C1D96">
      <w:pPr>
        <w:spacing w:line="360" w:lineRule="auto"/>
        <w:jc w:val="both"/>
        <w:rPr>
          <w:rFonts w:ascii="Arial" w:hAnsi="Arial" w:cs="Arial"/>
        </w:rPr>
      </w:pPr>
    </w:p>
    <w:p w14:paraId="072A638F" w14:textId="50453873" w:rsidR="00A65760" w:rsidRPr="005C1D96" w:rsidRDefault="00A65760" w:rsidP="005F2104">
      <w:pPr>
        <w:spacing w:line="360" w:lineRule="auto"/>
        <w:jc w:val="center"/>
        <w:rPr>
          <w:rFonts w:ascii="Arial" w:hAnsi="Arial" w:cs="Arial"/>
          <w:b/>
          <w:bCs/>
        </w:rPr>
      </w:pPr>
      <w:r w:rsidRPr="005C1D96">
        <w:rPr>
          <w:rFonts w:ascii="Arial" w:hAnsi="Arial" w:cs="Arial"/>
          <w:b/>
          <w:bCs/>
        </w:rPr>
        <w:lastRenderedPageBreak/>
        <w:t>Appendix</w:t>
      </w:r>
    </w:p>
    <w:p w14:paraId="57CC2F6D" w14:textId="1770FB05" w:rsidR="00695718" w:rsidRPr="005C1D96" w:rsidRDefault="00CB116D" w:rsidP="005F2104">
      <w:pPr>
        <w:spacing w:line="360" w:lineRule="auto"/>
        <w:jc w:val="center"/>
        <w:rPr>
          <w:rFonts w:ascii="Arial" w:hAnsi="Arial" w:cs="Arial"/>
          <w:b/>
          <w:bCs/>
        </w:rPr>
      </w:pPr>
      <w:r w:rsidRPr="005C1D96">
        <w:rPr>
          <w:rFonts w:ascii="Arial" w:hAnsi="Arial" w:cs="Arial"/>
          <w:b/>
          <w:bCs/>
        </w:rPr>
        <w:t xml:space="preserve">Appendix </w:t>
      </w:r>
      <w:r w:rsidR="00ED1A6F" w:rsidRPr="005C1D96">
        <w:rPr>
          <w:rFonts w:ascii="Arial" w:hAnsi="Arial" w:cs="Arial"/>
          <w:b/>
          <w:bCs/>
        </w:rPr>
        <w:t>A</w:t>
      </w:r>
    </w:p>
    <w:p w14:paraId="417F309B" w14:textId="4F44546B" w:rsidR="00CB116D" w:rsidRPr="005C1D96" w:rsidRDefault="00CB116D" w:rsidP="005C1D96">
      <w:pPr>
        <w:spacing w:line="360" w:lineRule="auto"/>
        <w:jc w:val="both"/>
        <w:rPr>
          <w:rFonts w:ascii="Arial" w:hAnsi="Arial" w:cs="Arial"/>
          <w:b/>
          <w:bCs/>
        </w:rPr>
      </w:pPr>
      <w:r w:rsidRPr="005C1D96">
        <w:rPr>
          <w:rFonts w:ascii="Arial" w:hAnsi="Arial" w:cs="Arial"/>
          <w:b/>
          <w:bCs/>
        </w:rPr>
        <w:t xml:space="preserve">Full EMBOK Model Application </w:t>
      </w:r>
    </w:p>
    <w:p w14:paraId="1A0D7941" w14:textId="5A2636D8" w:rsidR="007C3DD0" w:rsidRPr="005C1D96" w:rsidRDefault="00F046FB" w:rsidP="005C1D96">
      <w:pPr>
        <w:spacing w:after="0" w:line="360" w:lineRule="auto"/>
        <w:jc w:val="both"/>
        <w:rPr>
          <w:rFonts w:ascii="Arial" w:hAnsi="Arial" w:cs="Arial"/>
        </w:rPr>
      </w:pPr>
      <w:r>
        <w:rPr>
          <w:noProof/>
        </w:rPr>
        <w:drawing>
          <wp:inline distT="0" distB="0" distL="0" distR="0" wp14:anchorId="7C3DA3FB" wp14:editId="0699E0B1">
            <wp:extent cx="5902958" cy="4433777"/>
            <wp:effectExtent l="0" t="0" r="3175" b="5080"/>
            <wp:docPr id="656927566" name="Picture 7" descr="EMBOK - Event Management Body of Knowledge - Afterburner2 — Free, GP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MBOK - Event Management Body of Knowledge - Afterburner2 — Free, GPL  Templat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14616" cy="4442534"/>
                    </a:xfrm>
                    <a:prstGeom prst="rect">
                      <a:avLst/>
                    </a:prstGeom>
                    <a:noFill/>
                    <a:ln>
                      <a:noFill/>
                    </a:ln>
                  </pic:spPr>
                </pic:pic>
              </a:graphicData>
            </a:graphic>
          </wp:inline>
        </w:drawing>
      </w:r>
      <w:r w:rsidR="007C3DD0" w:rsidRPr="005C1D96">
        <w:rPr>
          <w:rFonts w:ascii="Arial" w:hAnsi="Arial" w:cs="Arial"/>
        </w:rPr>
        <w:t>Structured, strategic planning and execution across five critical domains are made possible by the EMBOK Model, an advanced framework. The "Celebrating Parenthood in Hospitality" Festival is ensured to be efficient, impactful, and risk-minimising by the application of each domain (Van Antwerpen, 2023).</w:t>
      </w:r>
    </w:p>
    <w:p w14:paraId="1DEB99AE" w14:textId="1D0E30EC" w:rsidR="00CB116D" w:rsidRPr="005C1D96" w:rsidRDefault="00CB116D" w:rsidP="005C1D96">
      <w:pPr>
        <w:pStyle w:val="ListParagraph"/>
        <w:numPr>
          <w:ilvl w:val="0"/>
          <w:numId w:val="16"/>
        </w:numPr>
        <w:spacing w:line="360" w:lineRule="auto"/>
        <w:jc w:val="both"/>
        <w:rPr>
          <w:rFonts w:ascii="Arial" w:hAnsi="Arial" w:cs="Arial"/>
          <w:b/>
          <w:bCs/>
        </w:rPr>
      </w:pPr>
      <w:r w:rsidRPr="005C1D96">
        <w:rPr>
          <w:rFonts w:ascii="Arial" w:hAnsi="Arial" w:cs="Arial"/>
          <w:b/>
          <w:bCs/>
        </w:rPr>
        <w:t>Administration</w:t>
      </w:r>
    </w:p>
    <w:p w14:paraId="727378E8" w14:textId="47C8703D" w:rsidR="00CB116D" w:rsidRPr="005C1D96" w:rsidRDefault="00CB116D" w:rsidP="005C1D96">
      <w:pPr>
        <w:numPr>
          <w:ilvl w:val="0"/>
          <w:numId w:val="17"/>
        </w:numPr>
        <w:spacing w:line="360" w:lineRule="auto"/>
        <w:jc w:val="both"/>
        <w:rPr>
          <w:rFonts w:ascii="Arial" w:hAnsi="Arial" w:cs="Arial"/>
        </w:rPr>
      </w:pPr>
      <w:r w:rsidRPr="005C1D96">
        <w:rPr>
          <w:rFonts w:ascii="Arial" w:hAnsi="Arial" w:cs="Arial"/>
        </w:rPr>
        <w:t>A £100,000 budget is allocated across venue rental (£35,000), staffing (£20,000), marketing (£10,000), and contingency planning (£8,000) (</w:t>
      </w:r>
      <w:r w:rsidR="00244B5E" w:rsidRPr="005C1D96">
        <w:rPr>
          <w:rFonts w:ascii="Arial" w:hAnsi="Arial" w:cs="Arial"/>
        </w:rPr>
        <w:t>Getz and Page, 2024</w:t>
      </w:r>
      <w:r w:rsidRPr="005C1D96">
        <w:rPr>
          <w:rFonts w:ascii="Arial" w:hAnsi="Arial" w:cs="Arial"/>
        </w:rPr>
        <w:t>).</w:t>
      </w:r>
    </w:p>
    <w:p w14:paraId="52F24E2C" w14:textId="4C79D784" w:rsidR="00CB116D" w:rsidRPr="005C1D96" w:rsidRDefault="00CB116D" w:rsidP="005C1D96">
      <w:pPr>
        <w:numPr>
          <w:ilvl w:val="0"/>
          <w:numId w:val="17"/>
        </w:numPr>
        <w:spacing w:line="360" w:lineRule="auto"/>
        <w:jc w:val="both"/>
        <w:rPr>
          <w:rFonts w:ascii="Arial" w:hAnsi="Arial" w:cs="Arial"/>
        </w:rPr>
      </w:pPr>
      <w:r w:rsidRPr="005C1D96">
        <w:rPr>
          <w:rFonts w:ascii="Arial" w:hAnsi="Arial" w:cs="Arial"/>
        </w:rPr>
        <w:t xml:space="preserve">The event requires 25 staff, including event managers, hospitality professionals, and technical teams. </w:t>
      </w:r>
      <w:r w:rsidR="00EC11F7" w:rsidRPr="005C1D96">
        <w:rPr>
          <w:rFonts w:ascii="Arial" w:hAnsi="Arial" w:cs="Arial"/>
        </w:rPr>
        <w:t>Twelve</w:t>
      </w:r>
      <w:r w:rsidRPr="005C1D96">
        <w:rPr>
          <w:rFonts w:ascii="Arial" w:hAnsi="Arial" w:cs="Arial"/>
        </w:rPr>
        <w:t xml:space="preserve"> childcare providers and </w:t>
      </w:r>
      <w:r w:rsidR="00EC11F7" w:rsidRPr="005C1D96">
        <w:rPr>
          <w:rFonts w:ascii="Arial" w:hAnsi="Arial" w:cs="Arial"/>
        </w:rPr>
        <w:t>eight</w:t>
      </w:r>
      <w:r w:rsidRPr="005C1D96">
        <w:rPr>
          <w:rFonts w:ascii="Arial" w:hAnsi="Arial" w:cs="Arial"/>
        </w:rPr>
        <w:t xml:space="preserve"> security professionals ensure attendee safety and support (Arnott, 2020).</w:t>
      </w:r>
    </w:p>
    <w:p w14:paraId="34ADCB6C" w14:textId="24B70D43" w:rsidR="00CB116D" w:rsidRPr="005C1D96" w:rsidRDefault="00CB116D" w:rsidP="005C1D96">
      <w:pPr>
        <w:numPr>
          <w:ilvl w:val="0"/>
          <w:numId w:val="17"/>
        </w:numPr>
        <w:spacing w:line="360" w:lineRule="auto"/>
        <w:jc w:val="both"/>
        <w:rPr>
          <w:rFonts w:ascii="Arial" w:hAnsi="Arial" w:cs="Arial"/>
        </w:rPr>
      </w:pPr>
      <w:r w:rsidRPr="005C1D96">
        <w:rPr>
          <w:rFonts w:ascii="Arial" w:hAnsi="Arial" w:cs="Arial"/>
        </w:rPr>
        <w:lastRenderedPageBreak/>
        <w:t xml:space="preserve">Strategic partnerships with Hilton, Marriott, </w:t>
      </w:r>
      <w:r w:rsidR="00EC11F7" w:rsidRPr="005C1D96">
        <w:rPr>
          <w:rFonts w:ascii="Arial" w:hAnsi="Arial" w:cs="Arial"/>
        </w:rPr>
        <w:t xml:space="preserve">the </w:t>
      </w:r>
      <w:r w:rsidRPr="005C1D96">
        <w:rPr>
          <w:rFonts w:ascii="Arial" w:hAnsi="Arial" w:cs="Arial"/>
        </w:rPr>
        <w:t xml:space="preserve">UK Hospitality Association, and government bodies </w:t>
      </w:r>
      <w:r w:rsidR="004176DB" w:rsidRPr="005C1D96">
        <w:rPr>
          <w:rFonts w:ascii="Arial" w:hAnsi="Arial" w:cs="Arial"/>
        </w:rPr>
        <w:t>improve</w:t>
      </w:r>
      <w:r w:rsidRPr="005C1D96">
        <w:rPr>
          <w:rFonts w:ascii="Arial" w:hAnsi="Arial" w:cs="Arial"/>
        </w:rPr>
        <w:t xml:space="preserve"> event credibility and funding potential (Kariuki et al., 2020).</w:t>
      </w:r>
    </w:p>
    <w:p w14:paraId="0A61B51F" w14:textId="73D10CAA" w:rsidR="00CB116D" w:rsidRPr="005C1D96" w:rsidRDefault="00CB116D" w:rsidP="005C1D96">
      <w:pPr>
        <w:numPr>
          <w:ilvl w:val="0"/>
          <w:numId w:val="17"/>
        </w:numPr>
        <w:spacing w:line="360" w:lineRule="auto"/>
        <w:jc w:val="both"/>
        <w:rPr>
          <w:rFonts w:ascii="Arial" w:hAnsi="Arial" w:cs="Arial"/>
        </w:rPr>
      </w:pPr>
      <w:r w:rsidRPr="005C1D96">
        <w:rPr>
          <w:rFonts w:ascii="Arial" w:hAnsi="Arial" w:cs="Arial"/>
        </w:rPr>
        <w:t>A three-month preparation timeline ensures structured execution across planning, sponsorship, and promotions (</w:t>
      </w:r>
      <w:r w:rsidR="003D0C0E" w:rsidRPr="005C1D96">
        <w:rPr>
          <w:rFonts w:ascii="Arial" w:hAnsi="Arial" w:cs="Arial"/>
        </w:rPr>
        <w:t>Silvers et al., 2005</w:t>
      </w:r>
      <w:r w:rsidRPr="005C1D96">
        <w:rPr>
          <w:rFonts w:ascii="Arial" w:hAnsi="Arial" w:cs="Arial"/>
        </w:rPr>
        <w:t>).</w:t>
      </w:r>
    </w:p>
    <w:p w14:paraId="616E134B" w14:textId="42CF6781" w:rsidR="00CB116D" w:rsidRPr="005C1D96" w:rsidRDefault="00CB116D" w:rsidP="005C1D96">
      <w:pPr>
        <w:pStyle w:val="ListParagraph"/>
        <w:numPr>
          <w:ilvl w:val="0"/>
          <w:numId w:val="16"/>
        </w:numPr>
        <w:spacing w:line="360" w:lineRule="auto"/>
        <w:jc w:val="both"/>
        <w:rPr>
          <w:rFonts w:ascii="Arial" w:hAnsi="Arial" w:cs="Arial"/>
          <w:b/>
          <w:bCs/>
        </w:rPr>
      </w:pPr>
      <w:r w:rsidRPr="005C1D96">
        <w:rPr>
          <w:rFonts w:ascii="Arial" w:hAnsi="Arial" w:cs="Arial"/>
          <w:b/>
          <w:bCs/>
        </w:rPr>
        <w:t>Design</w:t>
      </w:r>
    </w:p>
    <w:p w14:paraId="56E70474" w14:textId="2642F2D6" w:rsidR="00CB116D" w:rsidRPr="005C1D96" w:rsidRDefault="00CB116D" w:rsidP="005C1D96">
      <w:pPr>
        <w:numPr>
          <w:ilvl w:val="0"/>
          <w:numId w:val="2"/>
        </w:numPr>
        <w:spacing w:line="360" w:lineRule="auto"/>
        <w:jc w:val="both"/>
        <w:rPr>
          <w:rFonts w:ascii="Arial" w:hAnsi="Arial" w:cs="Arial"/>
        </w:rPr>
      </w:pPr>
      <w:r w:rsidRPr="005C1D96">
        <w:rPr>
          <w:rFonts w:ascii="Arial" w:hAnsi="Arial" w:cs="Arial"/>
        </w:rPr>
        <w:t>The event’s family-friendly approach influences venue setup, entertainment, and activities, ensuring relevance for hospitality professionals (Van Antwerpen, 2023).</w:t>
      </w:r>
    </w:p>
    <w:p w14:paraId="77A2B8AB" w14:textId="2336538E" w:rsidR="00CB116D" w:rsidRPr="005C1D96" w:rsidRDefault="00CB116D" w:rsidP="005C1D96">
      <w:pPr>
        <w:numPr>
          <w:ilvl w:val="0"/>
          <w:numId w:val="2"/>
        </w:numPr>
        <w:spacing w:line="360" w:lineRule="auto"/>
        <w:jc w:val="both"/>
        <w:rPr>
          <w:rFonts w:ascii="Arial" w:hAnsi="Arial" w:cs="Arial"/>
        </w:rPr>
      </w:pPr>
      <w:r w:rsidRPr="005C1D96">
        <w:rPr>
          <w:rFonts w:ascii="Arial" w:hAnsi="Arial" w:cs="Arial"/>
        </w:rPr>
        <w:t>The two-day itinerary features keynote speeches, networking lounges, and interactive exhibits (</w:t>
      </w:r>
      <w:r w:rsidR="007E6AB4" w:rsidRPr="005C1D96">
        <w:rPr>
          <w:rFonts w:ascii="Arial" w:hAnsi="Arial" w:cs="Arial"/>
        </w:rPr>
        <w:t>Getz and Page, 2024</w:t>
      </w:r>
      <w:r w:rsidRPr="005C1D96">
        <w:rPr>
          <w:rFonts w:ascii="Arial" w:hAnsi="Arial" w:cs="Arial"/>
        </w:rPr>
        <w:t>).</w:t>
      </w:r>
    </w:p>
    <w:p w14:paraId="389372DB" w14:textId="27F884AD" w:rsidR="00CB116D" w:rsidRPr="005C1D96" w:rsidRDefault="00CB116D" w:rsidP="005C1D96">
      <w:pPr>
        <w:numPr>
          <w:ilvl w:val="0"/>
          <w:numId w:val="2"/>
        </w:numPr>
        <w:spacing w:line="360" w:lineRule="auto"/>
        <w:jc w:val="both"/>
        <w:rPr>
          <w:rFonts w:ascii="Arial" w:hAnsi="Arial" w:cs="Arial"/>
        </w:rPr>
      </w:pPr>
      <w:proofErr w:type="spellStart"/>
      <w:r w:rsidRPr="005C1D96">
        <w:rPr>
          <w:rFonts w:ascii="Arial" w:hAnsi="Arial" w:cs="Arial"/>
        </w:rPr>
        <w:t>ExCeL</w:t>
      </w:r>
      <w:proofErr w:type="spellEnd"/>
      <w:r w:rsidRPr="005C1D96">
        <w:rPr>
          <w:rFonts w:ascii="Arial" w:hAnsi="Arial" w:cs="Arial"/>
        </w:rPr>
        <w:t xml:space="preserve"> London was selected for childcare accessibility, industry reputation, and environmental sustainability efforts (Arnott, 2020).</w:t>
      </w:r>
    </w:p>
    <w:p w14:paraId="0BAA036B" w14:textId="280F8A44" w:rsidR="00CB116D" w:rsidRPr="005C1D96" w:rsidRDefault="00CB116D" w:rsidP="005C1D96">
      <w:pPr>
        <w:numPr>
          <w:ilvl w:val="0"/>
          <w:numId w:val="2"/>
        </w:numPr>
        <w:spacing w:line="360" w:lineRule="auto"/>
        <w:jc w:val="both"/>
        <w:rPr>
          <w:rFonts w:ascii="Arial" w:hAnsi="Arial" w:cs="Arial"/>
        </w:rPr>
      </w:pPr>
      <w:r w:rsidRPr="005C1D96">
        <w:rPr>
          <w:rFonts w:ascii="Arial" w:hAnsi="Arial" w:cs="Arial"/>
        </w:rPr>
        <w:t>Locally sourced, sustainable food options and interactive, child-friendly activities ensure a welcoming experience (</w:t>
      </w:r>
      <w:r w:rsidR="003D0C0E" w:rsidRPr="005C1D96">
        <w:rPr>
          <w:rFonts w:ascii="Arial" w:hAnsi="Arial" w:cs="Arial"/>
        </w:rPr>
        <w:t>Silvers et al., 2005</w:t>
      </w:r>
      <w:r w:rsidRPr="005C1D96">
        <w:rPr>
          <w:rFonts w:ascii="Arial" w:hAnsi="Arial" w:cs="Arial"/>
        </w:rPr>
        <w:t>).</w:t>
      </w:r>
    </w:p>
    <w:p w14:paraId="1451DAC5" w14:textId="7A9D583E" w:rsidR="00CB116D" w:rsidRPr="005C1D96" w:rsidRDefault="00CB116D" w:rsidP="005C1D96">
      <w:pPr>
        <w:pStyle w:val="ListParagraph"/>
        <w:numPr>
          <w:ilvl w:val="0"/>
          <w:numId w:val="16"/>
        </w:numPr>
        <w:spacing w:line="360" w:lineRule="auto"/>
        <w:jc w:val="both"/>
        <w:rPr>
          <w:rFonts w:ascii="Arial" w:hAnsi="Arial" w:cs="Arial"/>
          <w:b/>
          <w:bCs/>
        </w:rPr>
      </w:pPr>
      <w:r w:rsidRPr="005C1D96">
        <w:rPr>
          <w:rFonts w:ascii="Arial" w:hAnsi="Arial" w:cs="Arial"/>
          <w:b/>
          <w:bCs/>
        </w:rPr>
        <w:t>Marketing</w:t>
      </w:r>
    </w:p>
    <w:p w14:paraId="23426234" w14:textId="1015508C" w:rsidR="00CB116D" w:rsidRPr="005C1D96" w:rsidRDefault="00CB116D" w:rsidP="005C1D96">
      <w:pPr>
        <w:numPr>
          <w:ilvl w:val="0"/>
          <w:numId w:val="3"/>
        </w:numPr>
        <w:spacing w:line="360" w:lineRule="auto"/>
        <w:jc w:val="both"/>
        <w:rPr>
          <w:rFonts w:ascii="Arial" w:hAnsi="Arial" w:cs="Arial"/>
        </w:rPr>
      </w:pPr>
      <w:r w:rsidRPr="005C1D96">
        <w:rPr>
          <w:rFonts w:ascii="Arial" w:hAnsi="Arial" w:cs="Arial"/>
        </w:rPr>
        <w:t>The event caters to hospitality professionals who are parents, HR leaders, and executives seeking to enhance work-life balance strategies (Van Antwerpen, 2023).</w:t>
      </w:r>
    </w:p>
    <w:p w14:paraId="44BE25EE" w14:textId="5360D10E" w:rsidR="00CB116D" w:rsidRPr="005C1D96" w:rsidRDefault="00CB116D" w:rsidP="005C1D96">
      <w:pPr>
        <w:numPr>
          <w:ilvl w:val="0"/>
          <w:numId w:val="3"/>
        </w:numPr>
        <w:spacing w:line="360" w:lineRule="auto"/>
        <w:jc w:val="both"/>
        <w:rPr>
          <w:rFonts w:ascii="Arial" w:hAnsi="Arial" w:cs="Arial"/>
        </w:rPr>
      </w:pPr>
      <w:r w:rsidRPr="005C1D96">
        <w:rPr>
          <w:rFonts w:ascii="Arial" w:hAnsi="Arial" w:cs="Arial"/>
        </w:rPr>
        <w:t>Digital campaigns (LinkedIn, Facebook, Instagram), email newsletters, and PR collaborations with sponsors such as Unilever, Tesco, and LEGO (</w:t>
      </w:r>
      <w:r w:rsidR="007E6AB4" w:rsidRPr="005C1D96">
        <w:rPr>
          <w:rFonts w:ascii="Arial" w:hAnsi="Arial" w:cs="Arial"/>
        </w:rPr>
        <w:t>Salama, 2021</w:t>
      </w:r>
      <w:r w:rsidRPr="005C1D96">
        <w:rPr>
          <w:rFonts w:ascii="Arial" w:hAnsi="Arial" w:cs="Arial"/>
        </w:rPr>
        <w:t>).</w:t>
      </w:r>
    </w:p>
    <w:p w14:paraId="4DC1E869" w14:textId="6D57F317" w:rsidR="00CB116D" w:rsidRPr="005C1D96" w:rsidRDefault="00CB116D" w:rsidP="005C1D96">
      <w:pPr>
        <w:numPr>
          <w:ilvl w:val="0"/>
          <w:numId w:val="3"/>
        </w:numPr>
        <w:spacing w:line="360" w:lineRule="auto"/>
        <w:jc w:val="both"/>
        <w:rPr>
          <w:rFonts w:ascii="Arial" w:hAnsi="Arial" w:cs="Arial"/>
        </w:rPr>
      </w:pPr>
      <w:r w:rsidRPr="005C1D96">
        <w:rPr>
          <w:rFonts w:ascii="Arial" w:hAnsi="Arial" w:cs="Arial"/>
        </w:rPr>
        <w:t xml:space="preserve">Branded engagement zones, promotional materials, and interactive sponsor booths </w:t>
      </w:r>
      <w:r w:rsidR="0017483A" w:rsidRPr="005C1D96">
        <w:rPr>
          <w:rFonts w:ascii="Arial" w:hAnsi="Arial" w:cs="Arial"/>
        </w:rPr>
        <w:t>maximise</w:t>
      </w:r>
      <w:r w:rsidRPr="005C1D96">
        <w:rPr>
          <w:rFonts w:ascii="Arial" w:hAnsi="Arial" w:cs="Arial"/>
        </w:rPr>
        <w:t xml:space="preserve"> partnership visibility (Kariuki et al., 2020).</w:t>
      </w:r>
    </w:p>
    <w:p w14:paraId="22FDF2E4" w14:textId="0B66EAF8" w:rsidR="00CB116D" w:rsidRPr="005C1D96" w:rsidRDefault="00CB116D" w:rsidP="005C1D96">
      <w:pPr>
        <w:pStyle w:val="ListParagraph"/>
        <w:numPr>
          <w:ilvl w:val="0"/>
          <w:numId w:val="16"/>
        </w:numPr>
        <w:spacing w:line="360" w:lineRule="auto"/>
        <w:jc w:val="both"/>
        <w:rPr>
          <w:rFonts w:ascii="Arial" w:hAnsi="Arial" w:cs="Arial"/>
          <w:b/>
          <w:bCs/>
        </w:rPr>
      </w:pPr>
      <w:r w:rsidRPr="005C1D96">
        <w:rPr>
          <w:rFonts w:ascii="Arial" w:hAnsi="Arial" w:cs="Arial"/>
          <w:b/>
          <w:bCs/>
        </w:rPr>
        <w:t>Operations</w:t>
      </w:r>
    </w:p>
    <w:p w14:paraId="035BDA24" w14:textId="4B3D9E39" w:rsidR="00CB116D" w:rsidRPr="005C1D96" w:rsidRDefault="00CB116D" w:rsidP="005C1D96">
      <w:pPr>
        <w:numPr>
          <w:ilvl w:val="0"/>
          <w:numId w:val="4"/>
        </w:numPr>
        <w:spacing w:line="360" w:lineRule="auto"/>
        <w:jc w:val="both"/>
        <w:rPr>
          <w:rFonts w:ascii="Arial" w:hAnsi="Arial" w:cs="Arial"/>
        </w:rPr>
      </w:pPr>
      <w:r w:rsidRPr="005C1D96">
        <w:rPr>
          <w:rFonts w:ascii="Arial" w:hAnsi="Arial" w:cs="Arial"/>
        </w:rPr>
        <w:t xml:space="preserve">Attendee flow is monitored in </w:t>
      </w:r>
      <w:r w:rsidR="00EC11F7" w:rsidRPr="005C1D96">
        <w:rPr>
          <w:rFonts w:ascii="Arial" w:hAnsi="Arial" w:cs="Arial"/>
        </w:rPr>
        <w:t>real-time</w:t>
      </w:r>
      <w:r w:rsidRPr="005C1D96">
        <w:rPr>
          <w:rFonts w:ascii="Arial" w:hAnsi="Arial" w:cs="Arial"/>
        </w:rPr>
        <w:t xml:space="preserve"> using digital ticketing systems and security checkpoints (A</w:t>
      </w:r>
      <w:r w:rsidR="005C1D96" w:rsidRPr="005C1D96">
        <w:rPr>
          <w:rFonts w:ascii="Arial" w:hAnsi="Arial" w:cs="Arial"/>
        </w:rPr>
        <w:t>real time</w:t>
      </w:r>
      <w:r w:rsidRPr="005C1D96">
        <w:rPr>
          <w:rFonts w:ascii="Arial" w:hAnsi="Arial" w:cs="Arial"/>
        </w:rPr>
        <w:t>20).</w:t>
      </w:r>
    </w:p>
    <w:p w14:paraId="75CC4B3A" w14:textId="5150BAA9" w:rsidR="00CB116D" w:rsidRPr="005C1D96" w:rsidRDefault="00CB116D" w:rsidP="005C1D96">
      <w:pPr>
        <w:numPr>
          <w:ilvl w:val="0"/>
          <w:numId w:val="4"/>
        </w:numPr>
        <w:spacing w:line="360" w:lineRule="auto"/>
        <w:jc w:val="both"/>
        <w:rPr>
          <w:rFonts w:ascii="Arial" w:hAnsi="Arial" w:cs="Arial"/>
        </w:rPr>
      </w:pPr>
      <w:r w:rsidRPr="005C1D96">
        <w:rPr>
          <w:rFonts w:ascii="Arial" w:hAnsi="Arial" w:cs="Arial"/>
        </w:rPr>
        <w:t xml:space="preserve">Emergency plans, on-site medical </w:t>
      </w:r>
      <w:r w:rsidR="00AE0864" w:rsidRPr="005C1D96">
        <w:rPr>
          <w:rFonts w:ascii="Arial" w:hAnsi="Arial" w:cs="Arial"/>
        </w:rPr>
        <w:t>staff</w:t>
      </w:r>
      <w:r w:rsidRPr="005C1D96">
        <w:rPr>
          <w:rFonts w:ascii="Arial" w:hAnsi="Arial" w:cs="Arial"/>
        </w:rPr>
        <w:t>, and risk assessments ensure compliance with UK Health &amp; Safety Laws (</w:t>
      </w:r>
      <w:r w:rsidR="003D0C0E" w:rsidRPr="005C1D96">
        <w:rPr>
          <w:rFonts w:ascii="Arial" w:hAnsi="Arial" w:cs="Arial"/>
        </w:rPr>
        <w:t>Silvers et al., 2005</w:t>
      </w:r>
      <w:r w:rsidRPr="005C1D96">
        <w:rPr>
          <w:rFonts w:ascii="Arial" w:hAnsi="Arial" w:cs="Arial"/>
        </w:rPr>
        <w:t>).</w:t>
      </w:r>
    </w:p>
    <w:p w14:paraId="396EDA18" w14:textId="59100F22" w:rsidR="00CB116D" w:rsidRPr="005C1D96" w:rsidRDefault="00CB116D" w:rsidP="005C1D96">
      <w:pPr>
        <w:numPr>
          <w:ilvl w:val="0"/>
          <w:numId w:val="4"/>
        </w:numPr>
        <w:spacing w:line="360" w:lineRule="auto"/>
        <w:jc w:val="both"/>
        <w:rPr>
          <w:rFonts w:ascii="Arial" w:hAnsi="Arial" w:cs="Arial"/>
        </w:rPr>
      </w:pPr>
      <w:r w:rsidRPr="005C1D96">
        <w:rPr>
          <w:rFonts w:ascii="Arial" w:hAnsi="Arial" w:cs="Arial"/>
        </w:rPr>
        <w:t>Live streaming for remote attendees, digital registration, and high-quality audiovisual setups ensure seamless participation (</w:t>
      </w:r>
      <w:r w:rsidR="007E6AB4" w:rsidRPr="005C1D96">
        <w:rPr>
          <w:rFonts w:ascii="Arial" w:hAnsi="Arial" w:cs="Arial"/>
        </w:rPr>
        <w:t>Arnott, 202</w:t>
      </w:r>
      <w:r w:rsidR="00250F8E" w:rsidRPr="005C1D96">
        <w:rPr>
          <w:rFonts w:ascii="Arial" w:hAnsi="Arial" w:cs="Arial"/>
        </w:rPr>
        <w:t>0</w:t>
      </w:r>
      <w:r w:rsidRPr="005C1D96">
        <w:rPr>
          <w:rFonts w:ascii="Arial" w:hAnsi="Arial" w:cs="Arial"/>
        </w:rPr>
        <w:t>).</w:t>
      </w:r>
    </w:p>
    <w:p w14:paraId="6CB1A574" w14:textId="54900C18" w:rsidR="00CB116D" w:rsidRPr="005C1D96" w:rsidRDefault="00CB116D" w:rsidP="005C1D96">
      <w:pPr>
        <w:numPr>
          <w:ilvl w:val="0"/>
          <w:numId w:val="4"/>
        </w:numPr>
        <w:spacing w:line="360" w:lineRule="auto"/>
        <w:jc w:val="both"/>
        <w:rPr>
          <w:rFonts w:ascii="Arial" w:hAnsi="Arial" w:cs="Arial"/>
        </w:rPr>
      </w:pPr>
      <w:r w:rsidRPr="005C1D96">
        <w:rPr>
          <w:rFonts w:ascii="Arial" w:hAnsi="Arial" w:cs="Arial"/>
        </w:rPr>
        <w:lastRenderedPageBreak/>
        <w:t>Low-waste policies, recycling stations, and eco-friendly catering reduce the event’s environmental footprint (Van Antwerpen, 2023).</w:t>
      </w:r>
    </w:p>
    <w:p w14:paraId="76255211" w14:textId="6E917660" w:rsidR="00CB116D" w:rsidRPr="005C1D96" w:rsidRDefault="00CB116D" w:rsidP="005C1D96">
      <w:pPr>
        <w:pStyle w:val="ListParagraph"/>
        <w:numPr>
          <w:ilvl w:val="0"/>
          <w:numId w:val="16"/>
        </w:numPr>
        <w:spacing w:line="360" w:lineRule="auto"/>
        <w:jc w:val="both"/>
        <w:rPr>
          <w:rFonts w:ascii="Arial" w:hAnsi="Arial" w:cs="Arial"/>
          <w:b/>
          <w:bCs/>
        </w:rPr>
      </w:pPr>
      <w:r w:rsidRPr="005C1D96">
        <w:rPr>
          <w:rFonts w:ascii="Arial" w:hAnsi="Arial" w:cs="Arial"/>
          <w:b/>
          <w:bCs/>
        </w:rPr>
        <w:t>Risk Management</w:t>
      </w:r>
    </w:p>
    <w:p w14:paraId="10CA4AFE" w14:textId="6A67B0EF" w:rsidR="00CB116D" w:rsidRPr="005C1D96" w:rsidRDefault="00CB116D" w:rsidP="005C1D96">
      <w:pPr>
        <w:numPr>
          <w:ilvl w:val="0"/>
          <w:numId w:val="5"/>
        </w:numPr>
        <w:spacing w:line="360" w:lineRule="auto"/>
        <w:jc w:val="both"/>
        <w:rPr>
          <w:rFonts w:ascii="Arial" w:hAnsi="Arial" w:cs="Arial"/>
        </w:rPr>
      </w:pPr>
      <w:r w:rsidRPr="005C1D96">
        <w:rPr>
          <w:rFonts w:ascii="Arial" w:hAnsi="Arial" w:cs="Arial"/>
        </w:rPr>
        <w:t xml:space="preserve"> The event adheres to the Equality Act 2010, public liability insurance, and CCTV-monitored security measures (Arnott, 2020).</w:t>
      </w:r>
    </w:p>
    <w:p w14:paraId="3BABACA5" w14:textId="145AF87C" w:rsidR="00CB116D" w:rsidRPr="005C1D96" w:rsidRDefault="00CB116D" w:rsidP="005C1D96">
      <w:pPr>
        <w:numPr>
          <w:ilvl w:val="0"/>
          <w:numId w:val="5"/>
        </w:numPr>
        <w:spacing w:line="360" w:lineRule="auto"/>
        <w:jc w:val="both"/>
        <w:rPr>
          <w:rFonts w:ascii="Arial" w:hAnsi="Arial" w:cs="Arial"/>
        </w:rPr>
      </w:pPr>
      <w:r w:rsidRPr="005C1D96">
        <w:rPr>
          <w:rFonts w:ascii="Arial" w:hAnsi="Arial" w:cs="Arial"/>
        </w:rPr>
        <w:t>Clearly defined fire exits, evacuation protocols, and crowd control procedures ensure attendee safety (</w:t>
      </w:r>
      <w:r w:rsidR="003D0C0E" w:rsidRPr="005C1D96">
        <w:rPr>
          <w:rFonts w:ascii="Arial" w:hAnsi="Arial" w:cs="Arial"/>
        </w:rPr>
        <w:t>Silvers et al., 2005</w:t>
      </w:r>
      <w:r w:rsidRPr="005C1D96">
        <w:rPr>
          <w:rFonts w:ascii="Arial" w:hAnsi="Arial" w:cs="Arial"/>
        </w:rPr>
        <w:t>).</w:t>
      </w:r>
    </w:p>
    <w:p w14:paraId="74867E90" w14:textId="572F5484" w:rsidR="00CB116D" w:rsidRPr="005C1D96" w:rsidRDefault="00CB116D" w:rsidP="005C1D96">
      <w:pPr>
        <w:numPr>
          <w:ilvl w:val="0"/>
          <w:numId w:val="5"/>
        </w:numPr>
        <w:spacing w:line="360" w:lineRule="auto"/>
        <w:jc w:val="both"/>
        <w:rPr>
          <w:rFonts w:ascii="Arial" w:hAnsi="Arial" w:cs="Arial"/>
        </w:rPr>
      </w:pPr>
      <w:r w:rsidRPr="005C1D96">
        <w:rPr>
          <w:rFonts w:ascii="Arial" w:hAnsi="Arial" w:cs="Arial"/>
        </w:rPr>
        <w:t xml:space="preserve">Dedicated first-aid zones, well-trained security staff, and compliance checks </w:t>
      </w:r>
      <w:r w:rsidR="003478A6" w:rsidRPr="005C1D96">
        <w:rPr>
          <w:rFonts w:ascii="Arial" w:hAnsi="Arial" w:cs="Arial"/>
        </w:rPr>
        <w:t>improve</w:t>
      </w:r>
      <w:r w:rsidRPr="005C1D96">
        <w:rPr>
          <w:rFonts w:ascii="Arial" w:hAnsi="Arial" w:cs="Arial"/>
        </w:rPr>
        <w:t xml:space="preserve"> overall event resilience (Van Antwerpen, 2023).</w:t>
      </w:r>
    </w:p>
    <w:p w14:paraId="6C6D317A" w14:textId="77777777" w:rsidR="0005641D" w:rsidRPr="005C1D96" w:rsidRDefault="0005641D" w:rsidP="005C1D96">
      <w:pPr>
        <w:spacing w:line="360" w:lineRule="auto"/>
        <w:jc w:val="both"/>
        <w:rPr>
          <w:rFonts w:ascii="Arial" w:hAnsi="Arial" w:cs="Arial"/>
          <w:b/>
          <w:bCs/>
        </w:rPr>
      </w:pPr>
      <w:r w:rsidRPr="005C1D96">
        <w:rPr>
          <w:rFonts w:ascii="Arial" w:hAnsi="Arial" w:cs="Arial"/>
          <w:b/>
          <w:bCs/>
        </w:rPr>
        <w:t>EMBOK Phases and Application to the Event</w:t>
      </w:r>
    </w:p>
    <w:p w14:paraId="3410050A" w14:textId="6F5C977D" w:rsidR="0005641D" w:rsidRPr="005C1D96" w:rsidRDefault="0005641D" w:rsidP="005C1D96">
      <w:pPr>
        <w:pStyle w:val="ListParagraph"/>
        <w:numPr>
          <w:ilvl w:val="0"/>
          <w:numId w:val="18"/>
        </w:numPr>
        <w:spacing w:line="360" w:lineRule="auto"/>
        <w:jc w:val="both"/>
        <w:rPr>
          <w:rFonts w:ascii="Arial" w:hAnsi="Arial" w:cs="Arial"/>
        </w:rPr>
      </w:pPr>
      <w:r w:rsidRPr="005C1D96">
        <w:rPr>
          <w:rFonts w:ascii="Arial" w:hAnsi="Arial" w:cs="Arial"/>
          <w:b/>
          <w:bCs/>
        </w:rPr>
        <w:t>Initiation Phase</w:t>
      </w:r>
      <w:r w:rsidRPr="005C1D96">
        <w:rPr>
          <w:rFonts w:ascii="Arial" w:hAnsi="Arial" w:cs="Arial"/>
        </w:rPr>
        <w:br/>
        <w:t>Concept Development &amp; Feasibility Analysis involves assessing venue availability, funding models, and market demand (</w:t>
      </w:r>
      <w:r w:rsidR="007E6AB4" w:rsidRPr="005C1D96">
        <w:rPr>
          <w:rFonts w:ascii="Arial" w:hAnsi="Arial" w:cs="Arial"/>
        </w:rPr>
        <w:t>Bowdin et al., 2011</w:t>
      </w:r>
      <w:r w:rsidRPr="005C1D96">
        <w:rPr>
          <w:rFonts w:ascii="Arial" w:hAnsi="Arial" w:cs="Arial"/>
        </w:rPr>
        <w:t>). Sponsorship Engagement begins with initial talks with hospitality groups and childcare service providers (Arnott, 2020).</w:t>
      </w:r>
    </w:p>
    <w:p w14:paraId="659E2F6A" w14:textId="69B5A507" w:rsidR="0005641D" w:rsidRPr="005C1D96" w:rsidRDefault="0005641D" w:rsidP="005C1D96">
      <w:pPr>
        <w:pStyle w:val="ListParagraph"/>
        <w:numPr>
          <w:ilvl w:val="0"/>
          <w:numId w:val="18"/>
        </w:numPr>
        <w:spacing w:line="360" w:lineRule="auto"/>
        <w:jc w:val="both"/>
        <w:rPr>
          <w:rFonts w:ascii="Arial" w:hAnsi="Arial" w:cs="Arial"/>
        </w:rPr>
      </w:pPr>
      <w:r w:rsidRPr="005C1D96">
        <w:rPr>
          <w:rFonts w:ascii="Arial" w:hAnsi="Arial" w:cs="Arial"/>
          <w:b/>
          <w:bCs/>
        </w:rPr>
        <w:t>Planning Phase</w:t>
      </w:r>
      <w:r w:rsidRPr="005C1D96">
        <w:rPr>
          <w:rFonts w:ascii="Arial" w:hAnsi="Arial" w:cs="Arial"/>
        </w:rPr>
        <w:br/>
      </w:r>
      <w:r w:rsidR="005C1D96" w:rsidRPr="005C1D96">
        <w:rPr>
          <w:rFonts w:ascii="Arial" w:hAnsi="Arial" w:cs="Arial"/>
        </w:rPr>
        <w:t>Finalising</w:t>
      </w:r>
      <w:r w:rsidRPr="005C1D96">
        <w:rPr>
          <w:rFonts w:ascii="Arial" w:hAnsi="Arial" w:cs="Arial"/>
        </w:rPr>
        <w:t xml:space="preserve"> Contracts ensures venue, catering, security, and supplier agreements are confirmed (Van Antwerpen, 2023). Marketing Plan Execution launches campaigns across social media, PR, and email channels (Kariuki et al., 2020). Event Schedule Development confirms speakers, workshop leaders, and childcare zones setup (</w:t>
      </w:r>
      <w:r w:rsidR="003D0C0E" w:rsidRPr="005C1D96">
        <w:rPr>
          <w:rFonts w:ascii="Arial" w:hAnsi="Arial" w:cs="Arial"/>
        </w:rPr>
        <w:t>Silvers et al., 2005</w:t>
      </w:r>
      <w:r w:rsidRPr="005C1D96">
        <w:rPr>
          <w:rFonts w:ascii="Arial" w:hAnsi="Arial" w:cs="Arial"/>
        </w:rPr>
        <w:t>).</w:t>
      </w:r>
    </w:p>
    <w:p w14:paraId="008DED19" w14:textId="45639EBA" w:rsidR="0005641D" w:rsidRPr="005C1D96" w:rsidRDefault="0005641D" w:rsidP="005C1D96">
      <w:pPr>
        <w:pStyle w:val="ListParagraph"/>
        <w:numPr>
          <w:ilvl w:val="0"/>
          <w:numId w:val="18"/>
        </w:numPr>
        <w:spacing w:line="360" w:lineRule="auto"/>
        <w:jc w:val="both"/>
        <w:rPr>
          <w:rFonts w:ascii="Arial" w:hAnsi="Arial" w:cs="Arial"/>
        </w:rPr>
      </w:pPr>
      <w:r w:rsidRPr="005C1D96">
        <w:rPr>
          <w:rFonts w:ascii="Arial" w:hAnsi="Arial" w:cs="Arial"/>
          <w:b/>
          <w:bCs/>
        </w:rPr>
        <w:t>Implementation Phase</w:t>
      </w:r>
      <w:r w:rsidRPr="005C1D96">
        <w:rPr>
          <w:rFonts w:ascii="Arial" w:hAnsi="Arial" w:cs="Arial"/>
        </w:rPr>
        <w:br/>
        <w:t>Workforce &amp; Logistics Deployment assigns staff to roles and conducts pre-event technical checks (</w:t>
      </w:r>
      <w:r w:rsidR="007E6AB4" w:rsidRPr="005C1D96">
        <w:rPr>
          <w:rFonts w:ascii="Arial" w:hAnsi="Arial" w:cs="Arial"/>
        </w:rPr>
        <w:t>Bowdin et al., 2021</w:t>
      </w:r>
      <w:r w:rsidRPr="005C1D96">
        <w:rPr>
          <w:rFonts w:ascii="Arial" w:hAnsi="Arial" w:cs="Arial"/>
        </w:rPr>
        <w:t xml:space="preserve">). Risk Mitigation Measures Activated </w:t>
      </w:r>
      <w:r w:rsidR="005C1D96" w:rsidRPr="005C1D96">
        <w:rPr>
          <w:rFonts w:ascii="Arial" w:hAnsi="Arial" w:cs="Arial"/>
        </w:rPr>
        <w:t>include</w:t>
      </w:r>
      <w:r w:rsidRPr="005C1D96">
        <w:rPr>
          <w:rFonts w:ascii="Arial" w:hAnsi="Arial" w:cs="Arial"/>
        </w:rPr>
        <w:t xml:space="preserve"> security team briefings and health &amp; safety inspections (Arnott, 2020).</w:t>
      </w:r>
    </w:p>
    <w:p w14:paraId="5FCD87A9" w14:textId="50F91FE1" w:rsidR="0005641D" w:rsidRPr="005C1D96" w:rsidRDefault="0005641D" w:rsidP="005C1D96">
      <w:pPr>
        <w:pStyle w:val="ListParagraph"/>
        <w:numPr>
          <w:ilvl w:val="0"/>
          <w:numId w:val="18"/>
        </w:numPr>
        <w:spacing w:line="360" w:lineRule="auto"/>
        <w:jc w:val="both"/>
        <w:rPr>
          <w:rFonts w:ascii="Arial" w:hAnsi="Arial" w:cs="Arial"/>
        </w:rPr>
      </w:pPr>
      <w:r w:rsidRPr="005C1D96">
        <w:rPr>
          <w:rFonts w:ascii="Arial" w:hAnsi="Arial" w:cs="Arial"/>
          <w:b/>
          <w:bCs/>
        </w:rPr>
        <w:t>Event Phase</w:t>
      </w:r>
      <w:r w:rsidRPr="005C1D96">
        <w:rPr>
          <w:rFonts w:ascii="Arial" w:hAnsi="Arial" w:cs="Arial"/>
        </w:rPr>
        <w:br/>
        <w:t xml:space="preserve">Execution of </w:t>
      </w:r>
      <w:r w:rsidR="005C1D96" w:rsidRPr="005C1D96">
        <w:rPr>
          <w:rFonts w:ascii="Arial" w:hAnsi="Arial" w:cs="Arial"/>
        </w:rPr>
        <w:t xml:space="preserve">the </w:t>
      </w:r>
      <w:r w:rsidRPr="005C1D96">
        <w:rPr>
          <w:rFonts w:ascii="Arial" w:hAnsi="Arial" w:cs="Arial"/>
        </w:rPr>
        <w:t>Program ensures all scheduled workshops, panel discussions, and networking sessions go live (</w:t>
      </w:r>
      <w:r w:rsidR="007E6AB4" w:rsidRPr="005C1D96">
        <w:rPr>
          <w:rFonts w:ascii="Arial" w:hAnsi="Arial" w:cs="Arial"/>
        </w:rPr>
        <w:t>Getz and Page, 2024</w:t>
      </w:r>
      <w:r w:rsidRPr="005C1D96">
        <w:rPr>
          <w:rFonts w:ascii="Arial" w:hAnsi="Arial" w:cs="Arial"/>
        </w:rPr>
        <w:t>). Live Engagement Monitoring captures attendee feedback in real-time via mobile surveys and social media tracking (Kariuki et al., 2020).</w:t>
      </w:r>
    </w:p>
    <w:p w14:paraId="311084A1" w14:textId="176CE35B" w:rsidR="00E52A3A" w:rsidRPr="00B56631" w:rsidRDefault="0005641D" w:rsidP="005C1D96">
      <w:pPr>
        <w:pStyle w:val="ListParagraph"/>
        <w:numPr>
          <w:ilvl w:val="0"/>
          <w:numId w:val="18"/>
        </w:numPr>
        <w:spacing w:line="360" w:lineRule="auto"/>
        <w:jc w:val="both"/>
        <w:rPr>
          <w:rFonts w:ascii="Arial" w:hAnsi="Arial" w:cs="Arial"/>
        </w:rPr>
      </w:pPr>
      <w:r w:rsidRPr="005C1D96">
        <w:rPr>
          <w:rFonts w:ascii="Arial" w:hAnsi="Arial" w:cs="Arial"/>
          <w:b/>
          <w:bCs/>
        </w:rPr>
        <w:t>Closure Phase</w:t>
      </w:r>
      <w:r w:rsidRPr="005C1D96">
        <w:rPr>
          <w:rFonts w:ascii="Arial" w:hAnsi="Arial" w:cs="Arial"/>
        </w:rPr>
        <w:br/>
        <w:t>Post-Event Feedback Collection gathers attendee surveys, sponsor evaluations, and financial reconciliation (</w:t>
      </w:r>
      <w:r w:rsidR="003D0C0E" w:rsidRPr="005C1D96">
        <w:rPr>
          <w:rFonts w:ascii="Arial" w:hAnsi="Arial" w:cs="Arial"/>
        </w:rPr>
        <w:t>Silvers et al., 2005</w:t>
      </w:r>
      <w:r w:rsidRPr="005C1D96">
        <w:rPr>
          <w:rFonts w:ascii="Arial" w:hAnsi="Arial" w:cs="Arial"/>
        </w:rPr>
        <w:t xml:space="preserve">). Sustainability Impact Review measures waste reduction </w:t>
      </w:r>
      <w:r w:rsidRPr="005C1D96">
        <w:rPr>
          <w:rFonts w:ascii="Arial" w:hAnsi="Arial" w:cs="Arial"/>
        </w:rPr>
        <w:lastRenderedPageBreak/>
        <w:t>and energy efficiency strategies (Van Antwerpen, 2023). Future Recommendations focus on strategic improvements for next year’s edition of the event (Arnott, 2020).</w:t>
      </w:r>
    </w:p>
    <w:p w14:paraId="61BCD107" w14:textId="352D27A1" w:rsidR="00E52A3A" w:rsidRPr="005C1D96" w:rsidRDefault="00E52A3A" w:rsidP="005C1D96">
      <w:pPr>
        <w:spacing w:line="360" w:lineRule="auto"/>
        <w:jc w:val="both"/>
        <w:rPr>
          <w:rFonts w:ascii="Arial" w:hAnsi="Arial" w:cs="Arial"/>
          <w:b/>
          <w:bCs/>
        </w:rPr>
      </w:pPr>
      <w:r w:rsidRPr="005C1D96">
        <w:rPr>
          <w:rFonts w:ascii="Arial" w:hAnsi="Arial" w:cs="Arial"/>
          <w:b/>
          <w:bCs/>
        </w:rPr>
        <w:t>The Value of Integrating the Event Cycle and EMBOK</w:t>
      </w:r>
    </w:p>
    <w:p w14:paraId="6689B8B4" w14:textId="649BBD80" w:rsidR="00A65760" w:rsidRPr="005C1D96" w:rsidRDefault="002C74A9" w:rsidP="005C1D96">
      <w:pPr>
        <w:spacing w:line="360" w:lineRule="auto"/>
        <w:jc w:val="both"/>
        <w:rPr>
          <w:rFonts w:ascii="Arial" w:hAnsi="Arial" w:cs="Arial"/>
        </w:rPr>
      </w:pPr>
      <w:r w:rsidRPr="005C1D96">
        <w:rPr>
          <w:rFonts w:ascii="Arial" w:hAnsi="Arial" w:cs="Arial"/>
        </w:rPr>
        <w:t>The "Celebrating Parenthood in Hospitality" Festival is designed to be operationally efficient, risk-mitigated, and strategically aligned by integrating the EMBOK Model and the Event Cycle. The Event Cycle guarantees a well-organised timeline, which facilitates the seamless execution of events (</w:t>
      </w:r>
      <w:r w:rsidR="003D0C0E" w:rsidRPr="005C1D96">
        <w:rPr>
          <w:rFonts w:ascii="Arial" w:hAnsi="Arial" w:cs="Arial"/>
        </w:rPr>
        <w:t>Silvers et al., 2005</w:t>
      </w:r>
      <w:r w:rsidRPr="005C1D96">
        <w:rPr>
          <w:rFonts w:ascii="Arial" w:hAnsi="Arial" w:cs="Arial"/>
        </w:rPr>
        <w:t>). The EMBOK Model offers a comprehensive functional decomposition that considers financial, logistical, marketing, and risk management factors (Van Antwerpen, 2023). These models, when combined, enable the event to achieve its strategic objectives, thereby guaranteeing long-term sustainability and success (Kariuki et al., 2020).</w:t>
      </w:r>
    </w:p>
    <w:p w14:paraId="7C4A6086" w14:textId="77777777" w:rsidR="002C74A9" w:rsidRPr="005C1D96" w:rsidRDefault="002C74A9" w:rsidP="005C1D96">
      <w:pPr>
        <w:spacing w:line="360" w:lineRule="auto"/>
        <w:jc w:val="both"/>
        <w:rPr>
          <w:rFonts w:ascii="Arial" w:hAnsi="Arial" w:cs="Arial"/>
          <w:b/>
          <w:bCs/>
        </w:rPr>
      </w:pPr>
    </w:p>
    <w:p w14:paraId="4F08D6DE" w14:textId="011916C1" w:rsidR="000D19F7" w:rsidRDefault="000D19F7" w:rsidP="005F2104">
      <w:pPr>
        <w:spacing w:line="360" w:lineRule="auto"/>
        <w:jc w:val="center"/>
        <w:rPr>
          <w:rFonts w:ascii="Arial" w:hAnsi="Arial" w:cs="Arial"/>
          <w:b/>
          <w:bCs/>
        </w:rPr>
      </w:pPr>
      <w:r w:rsidRPr="005C1D96">
        <w:rPr>
          <w:rFonts w:ascii="Arial" w:hAnsi="Arial" w:cs="Arial"/>
          <w:b/>
          <w:bCs/>
        </w:rPr>
        <w:t>Appendix B</w:t>
      </w:r>
    </w:p>
    <w:p w14:paraId="6D9445D6" w14:textId="396E4692" w:rsidR="00C13161" w:rsidRPr="005C1D96" w:rsidRDefault="00C13161" w:rsidP="005C1D96">
      <w:pPr>
        <w:spacing w:line="360" w:lineRule="auto"/>
        <w:jc w:val="both"/>
        <w:rPr>
          <w:rFonts w:ascii="Arial" w:hAnsi="Arial" w:cs="Arial"/>
          <w:b/>
          <w:bCs/>
        </w:rPr>
      </w:pPr>
      <w:r w:rsidRPr="00C13161">
        <w:rPr>
          <w:rFonts w:ascii="Arial" w:hAnsi="Arial" w:cs="Arial"/>
          <w:b/>
          <w:bCs/>
          <w:noProof/>
        </w:rPr>
        <w:drawing>
          <wp:inline distT="0" distB="0" distL="0" distR="0" wp14:anchorId="56962CC6" wp14:editId="2754EE90">
            <wp:extent cx="5861082" cy="1063255"/>
            <wp:effectExtent l="0" t="0" r="6350" b="3810"/>
            <wp:docPr id="1924881804" name="Picture 1" descr="A purple arrow with a white circle and a black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81804" name="Picture 1" descr="A purple arrow with a white circle and a black letter&#10;&#10;AI-generated content may be incorrect."/>
                    <pic:cNvPicPr/>
                  </pic:nvPicPr>
                  <pic:blipFill>
                    <a:blip r:embed="rId50"/>
                    <a:stretch>
                      <a:fillRect/>
                    </a:stretch>
                  </pic:blipFill>
                  <pic:spPr>
                    <a:xfrm>
                      <a:off x="0" y="0"/>
                      <a:ext cx="5926679" cy="1075155"/>
                    </a:xfrm>
                    <a:prstGeom prst="rect">
                      <a:avLst/>
                    </a:prstGeom>
                  </pic:spPr>
                </pic:pic>
              </a:graphicData>
            </a:graphic>
          </wp:inline>
        </w:drawing>
      </w:r>
    </w:p>
    <w:p w14:paraId="4C7FC5E7" w14:textId="2D7BAA8B" w:rsidR="00A65760" w:rsidRPr="005C1D96" w:rsidRDefault="00A65760" w:rsidP="005C1D96">
      <w:pPr>
        <w:spacing w:line="360" w:lineRule="auto"/>
        <w:jc w:val="both"/>
        <w:rPr>
          <w:rFonts w:ascii="Arial" w:hAnsi="Arial" w:cs="Arial"/>
          <w:b/>
          <w:bCs/>
        </w:rPr>
      </w:pPr>
      <w:r w:rsidRPr="005C1D96">
        <w:rPr>
          <w:rFonts w:ascii="Arial" w:hAnsi="Arial" w:cs="Arial"/>
          <w:b/>
          <w:bCs/>
        </w:rPr>
        <w:t xml:space="preserve">SOAR Analysis </w:t>
      </w:r>
    </w:p>
    <w:p w14:paraId="5DF88470" w14:textId="77777777" w:rsidR="0043118E" w:rsidRPr="005C1D96" w:rsidRDefault="00261E46" w:rsidP="005C1D96">
      <w:pPr>
        <w:spacing w:line="360" w:lineRule="auto"/>
        <w:jc w:val="both"/>
        <w:rPr>
          <w:rFonts w:ascii="Arial" w:hAnsi="Arial" w:cs="Arial"/>
        </w:rPr>
      </w:pPr>
      <w:r w:rsidRPr="005C1D96">
        <w:rPr>
          <w:rFonts w:ascii="Arial" w:hAnsi="Arial" w:cs="Arial"/>
        </w:rPr>
        <w:t>The "Celebrating Parenthood in Hospitality" Festival implements a Strengths, Opportunities, Aspirations, and Results (SOAR) analysis that highlights positive strategic development and prioritise strengths over constraints (</w:t>
      </w:r>
      <w:proofErr w:type="spellStart"/>
      <w:r w:rsidRPr="005C1D96">
        <w:rPr>
          <w:rFonts w:ascii="Arial" w:hAnsi="Arial" w:cs="Arial"/>
        </w:rPr>
        <w:t>Khavarian-Garmsir</w:t>
      </w:r>
      <w:proofErr w:type="spellEnd"/>
      <w:r w:rsidRPr="005C1D96">
        <w:rPr>
          <w:rFonts w:ascii="Arial" w:hAnsi="Arial" w:cs="Arial"/>
        </w:rPr>
        <w:t xml:space="preserve"> and Stavros, 2017). This future-oriented approach permits the event to align with long-term inclusivity objectives and capitalise on industry opportunities. The event promises a strategic, sustainable approach to long-term development by focussing on possibilities rather than constraints by employing SOAR instead of traditional SWOT (</w:t>
      </w:r>
      <w:proofErr w:type="spellStart"/>
      <w:r w:rsidRPr="005C1D96">
        <w:rPr>
          <w:rFonts w:ascii="Arial" w:hAnsi="Arial" w:cs="Arial"/>
        </w:rPr>
        <w:t>Kamkankaew</w:t>
      </w:r>
      <w:proofErr w:type="spellEnd"/>
      <w:r w:rsidRPr="005C1D96">
        <w:rPr>
          <w:rFonts w:ascii="Arial" w:hAnsi="Arial" w:cs="Arial"/>
        </w:rPr>
        <w:t>, 2023).</w:t>
      </w:r>
    </w:p>
    <w:p w14:paraId="6A0A6E9A" w14:textId="77777777" w:rsidR="008C7137" w:rsidRDefault="008C7137" w:rsidP="005C1D96">
      <w:pPr>
        <w:spacing w:line="360" w:lineRule="auto"/>
        <w:jc w:val="both"/>
        <w:rPr>
          <w:rFonts w:ascii="Arial" w:hAnsi="Arial" w:cs="Arial"/>
          <w:b/>
          <w:bCs/>
        </w:rPr>
      </w:pPr>
    </w:p>
    <w:p w14:paraId="57BD5A4C" w14:textId="77777777" w:rsidR="008C7137" w:rsidRDefault="008C7137" w:rsidP="005C1D96">
      <w:pPr>
        <w:spacing w:line="360" w:lineRule="auto"/>
        <w:jc w:val="both"/>
        <w:rPr>
          <w:rFonts w:ascii="Arial" w:hAnsi="Arial" w:cs="Arial"/>
          <w:b/>
          <w:bCs/>
        </w:rPr>
      </w:pPr>
    </w:p>
    <w:p w14:paraId="696CCE46" w14:textId="2D41FE16" w:rsidR="00A65760" w:rsidRPr="005C1D96" w:rsidRDefault="00A65760" w:rsidP="005C1D96">
      <w:pPr>
        <w:spacing w:line="360" w:lineRule="auto"/>
        <w:jc w:val="both"/>
        <w:rPr>
          <w:rFonts w:ascii="Arial" w:hAnsi="Arial" w:cs="Arial"/>
          <w:b/>
          <w:bCs/>
        </w:rPr>
      </w:pPr>
      <w:r w:rsidRPr="005C1D96">
        <w:rPr>
          <w:rFonts w:ascii="Arial" w:hAnsi="Arial" w:cs="Arial"/>
          <w:b/>
          <w:bCs/>
        </w:rPr>
        <w:t>SOAR Framework Application</w:t>
      </w:r>
    </w:p>
    <w:p w14:paraId="0E3233F1" w14:textId="0CC337AB" w:rsidR="00A65760" w:rsidRPr="005C1D96" w:rsidRDefault="00A65760" w:rsidP="005C1D96">
      <w:pPr>
        <w:numPr>
          <w:ilvl w:val="0"/>
          <w:numId w:val="1"/>
        </w:numPr>
        <w:spacing w:line="360" w:lineRule="auto"/>
        <w:jc w:val="both"/>
        <w:rPr>
          <w:rFonts w:ascii="Arial" w:hAnsi="Arial" w:cs="Arial"/>
        </w:rPr>
      </w:pPr>
      <w:r w:rsidRPr="005C1D96">
        <w:rPr>
          <w:rFonts w:ascii="Arial" w:hAnsi="Arial" w:cs="Arial"/>
          <w:b/>
          <w:bCs/>
        </w:rPr>
        <w:t>Strengths</w:t>
      </w:r>
      <w:r w:rsidR="00336ED6" w:rsidRPr="005C1D96">
        <w:rPr>
          <w:rFonts w:ascii="Arial" w:hAnsi="Arial" w:cs="Arial"/>
          <w:b/>
          <w:bCs/>
        </w:rPr>
        <w:t>-</w:t>
      </w:r>
      <w:r w:rsidRPr="005C1D96">
        <w:rPr>
          <w:rFonts w:ascii="Arial" w:hAnsi="Arial" w:cs="Arial"/>
        </w:rPr>
        <w:t xml:space="preserve"> </w:t>
      </w:r>
      <w:r w:rsidR="003023EE" w:rsidRPr="005C1D96">
        <w:rPr>
          <w:rFonts w:ascii="Arial" w:hAnsi="Arial" w:cs="Arial"/>
        </w:rPr>
        <w:t xml:space="preserve">Differentiating the event from the MICE industry is its distinctive motif, which advocates for work-life balance in the hospitality sector. Strong sponsorships from Unilever, </w:t>
      </w:r>
      <w:r w:rsidR="003023EE" w:rsidRPr="005C1D96">
        <w:rPr>
          <w:rFonts w:ascii="Arial" w:hAnsi="Arial" w:cs="Arial"/>
        </w:rPr>
        <w:lastRenderedPageBreak/>
        <w:t>Tesco, and LEGO guarantee financial stability and credibility. The venue (</w:t>
      </w:r>
      <w:proofErr w:type="spellStart"/>
      <w:r w:rsidR="003023EE" w:rsidRPr="005C1D96">
        <w:rPr>
          <w:rFonts w:ascii="Arial" w:hAnsi="Arial" w:cs="Arial"/>
        </w:rPr>
        <w:t>ExCeL</w:t>
      </w:r>
      <w:proofErr w:type="spellEnd"/>
      <w:r w:rsidR="003023EE" w:rsidRPr="005C1D96">
        <w:rPr>
          <w:rFonts w:ascii="Arial" w:hAnsi="Arial" w:cs="Arial"/>
        </w:rPr>
        <w:t xml:space="preserve"> London) is extremely accessible, ensuring that families are included.</w:t>
      </w:r>
    </w:p>
    <w:p w14:paraId="36FF563B" w14:textId="10ABC8E9" w:rsidR="00A65760" w:rsidRPr="005C1D96" w:rsidRDefault="00A65760" w:rsidP="005C1D96">
      <w:pPr>
        <w:numPr>
          <w:ilvl w:val="0"/>
          <w:numId w:val="1"/>
        </w:numPr>
        <w:spacing w:line="360" w:lineRule="auto"/>
        <w:jc w:val="both"/>
        <w:rPr>
          <w:rFonts w:ascii="Arial" w:hAnsi="Arial" w:cs="Arial"/>
        </w:rPr>
      </w:pPr>
      <w:r w:rsidRPr="005C1D96">
        <w:rPr>
          <w:rFonts w:ascii="Arial" w:hAnsi="Arial" w:cs="Arial"/>
          <w:b/>
          <w:bCs/>
        </w:rPr>
        <w:t>Opportunities</w:t>
      </w:r>
      <w:r w:rsidR="00336ED6" w:rsidRPr="005C1D96">
        <w:rPr>
          <w:rFonts w:ascii="Arial" w:hAnsi="Arial" w:cs="Arial"/>
          <w:b/>
          <w:bCs/>
        </w:rPr>
        <w:t>-</w:t>
      </w:r>
      <w:r w:rsidRPr="005C1D96">
        <w:rPr>
          <w:rFonts w:ascii="Arial" w:hAnsi="Arial" w:cs="Arial"/>
        </w:rPr>
        <w:t xml:space="preserve"> </w:t>
      </w:r>
      <w:r w:rsidR="002F7E57" w:rsidRPr="005C1D96">
        <w:rPr>
          <w:rFonts w:ascii="Arial" w:hAnsi="Arial" w:cs="Arial"/>
        </w:rPr>
        <w:t>The development of digital engagement tools and hybrid events offers a chance to broaden the audience beyond the number of physical attendees. Furthermore, the potential for future sponsorships and policy advocacy partnerships may be attracted by the heightened corporate interest in workplace inclusivity (</w:t>
      </w:r>
      <w:proofErr w:type="spellStart"/>
      <w:r w:rsidR="002F7E57" w:rsidRPr="005C1D96">
        <w:rPr>
          <w:rFonts w:ascii="Arial" w:hAnsi="Arial" w:cs="Arial"/>
        </w:rPr>
        <w:t>Khavarian-Garmsir</w:t>
      </w:r>
      <w:proofErr w:type="spellEnd"/>
      <w:r w:rsidR="002F7E57" w:rsidRPr="005C1D96">
        <w:rPr>
          <w:rFonts w:ascii="Arial" w:hAnsi="Arial" w:cs="Arial"/>
        </w:rPr>
        <w:t xml:space="preserve"> </w:t>
      </w:r>
      <w:r w:rsidR="003E0AF8" w:rsidRPr="005C1D96">
        <w:rPr>
          <w:rFonts w:ascii="Arial" w:hAnsi="Arial" w:cs="Arial"/>
        </w:rPr>
        <w:t>and</w:t>
      </w:r>
      <w:r w:rsidR="002F7E57" w:rsidRPr="005C1D96">
        <w:rPr>
          <w:rFonts w:ascii="Arial" w:hAnsi="Arial" w:cs="Arial"/>
        </w:rPr>
        <w:t xml:space="preserve"> Zare, 2015).</w:t>
      </w:r>
    </w:p>
    <w:p w14:paraId="7C9BD951" w14:textId="24D190EB" w:rsidR="00A65760" w:rsidRPr="005C1D96" w:rsidRDefault="00A65760" w:rsidP="005C1D96">
      <w:pPr>
        <w:numPr>
          <w:ilvl w:val="0"/>
          <w:numId w:val="1"/>
        </w:numPr>
        <w:spacing w:line="360" w:lineRule="auto"/>
        <w:jc w:val="both"/>
        <w:rPr>
          <w:rFonts w:ascii="Arial" w:hAnsi="Arial" w:cs="Arial"/>
        </w:rPr>
      </w:pPr>
      <w:r w:rsidRPr="005C1D96">
        <w:rPr>
          <w:rFonts w:ascii="Arial" w:hAnsi="Arial" w:cs="Arial"/>
          <w:b/>
          <w:bCs/>
        </w:rPr>
        <w:t>Aspirations</w:t>
      </w:r>
      <w:r w:rsidR="00336ED6" w:rsidRPr="005C1D96">
        <w:rPr>
          <w:rFonts w:ascii="Arial" w:hAnsi="Arial" w:cs="Arial"/>
          <w:b/>
          <w:bCs/>
        </w:rPr>
        <w:t>-</w:t>
      </w:r>
      <w:r w:rsidRPr="005C1D96">
        <w:rPr>
          <w:rFonts w:ascii="Arial" w:hAnsi="Arial" w:cs="Arial"/>
        </w:rPr>
        <w:t xml:space="preserve"> </w:t>
      </w:r>
      <w:r w:rsidR="00F24355" w:rsidRPr="005C1D96">
        <w:rPr>
          <w:rFonts w:ascii="Arial" w:hAnsi="Arial" w:cs="Arial"/>
        </w:rPr>
        <w:t>The festival aims to position itself as a leader in employee well-being by becoming an annual flagship event that influences hospitality HR policies.</w:t>
      </w:r>
    </w:p>
    <w:p w14:paraId="08CE0842" w14:textId="222AB605" w:rsidR="00F05CA8" w:rsidRPr="005C1D96" w:rsidRDefault="00A65760" w:rsidP="005C1D96">
      <w:pPr>
        <w:numPr>
          <w:ilvl w:val="0"/>
          <w:numId w:val="1"/>
        </w:numPr>
        <w:spacing w:line="360" w:lineRule="auto"/>
        <w:jc w:val="both"/>
        <w:rPr>
          <w:rFonts w:ascii="Arial" w:hAnsi="Arial" w:cs="Arial"/>
        </w:rPr>
      </w:pPr>
      <w:r w:rsidRPr="005C1D96">
        <w:rPr>
          <w:rFonts w:ascii="Arial" w:hAnsi="Arial" w:cs="Arial"/>
          <w:b/>
          <w:bCs/>
        </w:rPr>
        <w:t>Results</w:t>
      </w:r>
      <w:r w:rsidR="00336ED6" w:rsidRPr="005C1D96">
        <w:rPr>
          <w:rFonts w:ascii="Arial" w:hAnsi="Arial" w:cs="Arial"/>
          <w:b/>
          <w:bCs/>
        </w:rPr>
        <w:t>-</w:t>
      </w:r>
      <w:r w:rsidRPr="005C1D96">
        <w:rPr>
          <w:rFonts w:ascii="Arial" w:hAnsi="Arial" w:cs="Arial"/>
        </w:rPr>
        <w:t xml:space="preserve"> </w:t>
      </w:r>
      <w:r w:rsidR="003C7ABE" w:rsidRPr="005C1D96">
        <w:rPr>
          <w:rFonts w:ascii="Arial" w:hAnsi="Arial" w:cs="Arial"/>
        </w:rPr>
        <w:t>Attendee satisfaction rates, sponsorship retention, and employer engagement will be used to quantify success.</w:t>
      </w:r>
    </w:p>
    <w:sectPr w:rsidR="00F05CA8" w:rsidRPr="005C1D96"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298B1" w14:textId="77777777" w:rsidR="00732A6F" w:rsidRDefault="00732A6F" w:rsidP="00C14E89">
      <w:pPr>
        <w:spacing w:after="0" w:line="240" w:lineRule="auto"/>
      </w:pPr>
      <w:r>
        <w:separator/>
      </w:r>
    </w:p>
  </w:endnote>
  <w:endnote w:type="continuationSeparator" w:id="0">
    <w:p w14:paraId="1306ADDD" w14:textId="77777777" w:rsidR="00732A6F" w:rsidRDefault="00732A6F" w:rsidP="00C14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50DC1" w14:textId="77777777" w:rsidR="00732A6F" w:rsidRDefault="00732A6F" w:rsidP="00C14E89">
      <w:pPr>
        <w:spacing w:after="0" w:line="240" w:lineRule="auto"/>
      </w:pPr>
      <w:r>
        <w:separator/>
      </w:r>
    </w:p>
  </w:footnote>
  <w:footnote w:type="continuationSeparator" w:id="0">
    <w:p w14:paraId="643C240F" w14:textId="77777777" w:rsidR="00732A6F" w:rsidRDefault="00732A6F" w:rsidP="00C14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05C8C"/>
    <w:multiLevelType w:val="hybridMultilevel"/>
    <w:tmpl w:val="7C9851CE"/>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A578B4"/>
    <w:multiLevelType w:val="multilevel"/>
    <w:tmpl w:val="B400FDB8"/>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D302DA5"/>
    <w:multiLevelType w:val="multilevel"/>
    <w:tmpl w:val="FDAA102E"/>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3182616"/>
    <w:multiLevelType w:val="multilevel"/>
    <w:tmpl w:val="61F2D836"/>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C0B60CF"/>
    <w:multiLevelType w:val="hybridMultilevel"/>
    <w:tmpl w:val="3B8CC05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B00274"/>
    <w:multiLevelType w:val="hybridMultilevel"/>
    <w:tmpl w:val="0F4AFC64"/>
    <w:lvl w:ilvl="0" w:tplc="5366DEFE">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1D55B66"/>
    <w:multiLevelType w:val="hybridMultilevel"/>
    <w:tmpl w:val="169E30B0"/>
    <w:lvl w:ilvl="0" w:tplc="3B7EC7D6">
      <w:start w:val="1"/>
      <w:numFmt w:val="lowerLetter"/>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B1D52DC"/>
    <w:multiLevelType w:val="multilevel"/>
    <w:tmpl w:val="E8DA80C4"/>
    <w:lvl w:ilvl="0">
      <w:start w:val="1"/>
      <w:numFmt w:val="decimal"/>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FB62FA2"/>
    <w:multiLevelType w:val="multilevel"/>
    <w:tmpl w:val="53042F3E"/>
    <w:lvl w:ilvl="0">
      <w:start w:val="1"/>
      <w:numFmt w:val="lowerLetter"/>
      <w:lvlText w:val="%1)"/>
      <w:lvlJc w:val="left"/>
      <w:pPr>
        <w:ind w:left="360" w:hanging="360"/>
      </w:pPr>
      <w:rPr>
        <w:b/>
        <w:bCs/>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4EE7071"/>
    <w:multiLevelType w:val="hybridMultilevel"/>
    <w:tmpl w:val="F0081A1C"/>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6A37553"/>
    <w:multiLevelType w:val="multilevel"/>
    <w:tmpl w:val="4BA8BEEC"/>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A286A44"/>
    <w:multiLevelType w:val="multilevel"/>
    <w:tmpl w:val="97949A3C"/>
    <w:lvl w:ilvl="0">
      <w:start w:val="1"/>
      <w:numFmt w:val="lowerLetter"/>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6669214D"/>
    <w:multiLevelType w:val="hybridMultilevel"/>
    <w:tmpl w:val="A93039EC"/>
    <w:lvl w:ilvl="0" w:tplc="04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70B6268"/>
    <w:multiLevelType w:val="multilevel"/>
    <w:tmpl w:val="1D20A482"/>
    <w:lvl w:ilvl="0">
      <w:start w:val="1"/>
      <w:numFmt w:val="decimal"/>
      <w:lvlText w:val="%1)"/>
      <w:lvlJc w:val="left"/>
      <w:pPr>
        <w:tabs>
          <w:tab w:val="num" w:pos="720"/>
        </w:tabs>
        <w:ind w:left="720" w:hanging="360"/>
      </w:pPr>
      <w:rPr>
        <w:b/>
        <w:bCs/>
      </w:rPr>
    </w:lvl>
    <w:lvl w:ilvl="1">
      <w:start w:val="1"/>
      <w:numFmt w:val="lowerLetter"/>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D10394"/>
    <w:multiLevelType w:val="multilevel"/>
    <w:tmpl w:val="E1D68F5E"/>
    <w:lvl w:ilvl="0">
      <w:start w:val="1"/>
      <w:numFmt w:val="decimal"/>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68EC6ECF"/>
    <w:multiLevelType w:val="multilevel"/>
    <w:tmpl w:val="614CFAF4"/>
    <w:lvl w:ilvl="0">
      <w:start w:val="1"/>
      <w:numFmt w:val="decimal"/>
      <w:lvlText w:val="%1)"/>
      <w:lvlJc w:val="left"/>
      <w:pPr>
        <w:tabs>
          <w:tab w:val="num" w:pos="720"/>
        </w:tabs>
        <w:ind w:left="720" w:hanging="360"/>
      </w:pPr>
      <w:rPr>
        <w:rFonts w:hint="default"/>
        <w:sz w:val="20"/>
      </w:rPr>
    </w:lvl>
    <w:lvl w:ilvl="1">
      <w:start w:val="1"/>
      <w:numFmt w:val="lowerLetter"/>
      <w:lvlText w:val="%2)"/>
      <w:lvlJc w:val="left"/>
      <w:pPr>
        <w:ind w:left="1440" w:hanging="360"/>
      </w:pPr>
    </w:lvl>
    <w:lvl w:ilvl="2">
      <w:start w:val="1"/>
      <w:numFmt w:val="bullet"/>
      <w:lvlText w:val=""/>
      <w:lvlJc w:val="left"/>
      <w:pPr>
        <w:ind w:left="2160" w:hanging="360"/>
      </w:pPr>
      <w:rPr>
        <w:rFonts w:ascii="Symbol" w:hAnsi="Symbol"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021B62"/>
    <w:multiLevelType w:val="multilevel"/>
    <w:tmpl w:val="228CD956"/>
    <w:lvl w:ilvl="0">
      <w:start w:val="1"/>
      <w:numFmt w:val="decimal"/>
      <w:lvlText w:val="%1)"/>
      <w:lvlJc w:val="left"/>
      <w:pPr>
        <w:tabs>
          <w:tab w:val="num" w:pos="360"/>
        </w:tabs>
        <w:ind w:left="360" w:hanging="360"/>
      </w:pPr>
      <w:rPr>
        <w:rFonts w:hint="default"/>
        <w:b/>
        <w:bCs/>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6C75222F"/>
    <w:multiLevelType w:val="multilevel"/>
    <w:tmpl w:val="4E581C42"/>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742D254B"/>
    <w:multiLevelType w:val="hybridMultilevel"/>
    <w:tmpl w:val="BDFAC2FC"/>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48B4AC5"/>
    <w:multiLevelType w:val="hybridMultilevel"/>
    <w:tmpl w:val="032ADD5A"/>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EBC3E15"/>
    <w:multiLevelType w:val="multilevel"/>
    <w:tmpl w:val="E4E0E188"/>
    <w:lvl w:ilvl="0">
      <w:start w:val="1"/>
      <w:numFmt w:val="lowerLetter"/>
      <w:lvlText w:val="%1)"/>
      <w:lvlJc w:val="left"/>
      <w:pPr>
        <w:tabs>
          <w:tab w:val="num" w:pos="360"/>
        </w:tabs>
        <w:ind w:left="360" w:hanging="360"/>
      </w:pPr>
      <w:rPr>
        <w:rFonts w:hint="default"/>
        <w:b w:val="0"/>
        <w:bCs w:val="0"/>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424156711">
    <w:abstractNumId w:val="7"/>
  </w:num>
  <w:num w:numId="2" w16cid:durableId="1813600114">
    <w:abstractNumId w:val="10"/>
  </w:num>
  <w:num w:numId="3" w16cid:durableId="174615959">
    <w:abstractNumId w:val="17"/>
  </w:num>
  <w:num w:numId="4" w16cid:durableId="1065953969">
    <w:abstractNumId w:val="1"/>
  </w:num>
  <w:num w:numId="5" w16cid:durableId="1545362721">
    <w:abstractNumId w:val="3"/>
  </w:num>
  <w:num w:numId="6" w16cid:durableId="1119253048">
    <w:abstractNumId w:val="16"/>
  </w:num>
  <w:num w:numId="7" w16cid:durableId="1731952096">
    <w:abstractNumId w:val="14"/>
  </w:num>
  <w:num w:numId="8" w16cid:durableId="1187332769">
    <w:abstractNumId w:val="2"/>
  </w:num>
  <w:num w:numId="9" w16cid:durableId="153646934">
    <w:abstractNumId w:val="19"/>
  </w:num>
  <w:num w:numId="10" w16cid:durableId="118190765">
    <w:abstractNumId w:val="12"/>
  </w:num>
  <w:num w:numId="11" w16cid:durableId="1897273535">
    <w:abstractNumId w:val="0"/>
  </w:num>
  <w:num w:numId="12" w16cid:durableId="200637099">
    <w:abstractNumId w:val="8"/>
  </w:num>
  <w:num w:numId="13" w16cid:durableId="1868250501">
    <w:abstractNumId w:val="11"/>
  </w:num>
  <w:num w:numId="14" w16cid:durableId="1269048778">
    <w:abstractNumId w:val="18"/>
  </w:num>
  <w:num w:numId="15" w16cid:durableId="380518572">
    <w:abstractNumId w:val="6"/>
  </w:num>
  <w:num w:numId="16" w16cid:durableId="642275842">
    <w:abstractNumId w:val="9"/>
  </w:num>
  <w:num w:numId="17" w16cid:durableId="1779450200">
    <w:abstractNumId w:val="20"/>
  </w:num>
  <w:num w:numId="18" w16cid:durableId="400640682">
    <w:abstractNumId w:val="5"/>
  </w:num>
  <w:num w:numId="19" w16cid:durableId="1896892264">
    <w:abstractNumId w:val="4"/>
  </w:num>
  <w:num w:numId="20" w16cid:durableId="1616524856">
    <w:abstractNumId w:val="13"/>
  </w:num>
  <w:num w:numId="21" w16cid:durableId="72238554">
    <w:abstractNumId w:val="1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A63"/>
    <w:rsid w:val="000131E0"/>
    <w:rsid w:val="000233E9"/>
    <w:rsid w:val="000310FE"/>
    <w:rsid w:val="000324A8"/>
    <w:rsid w:val="00035435"/>
    <w:rsid w:val="0005641D"/>
    <w:rsid w:val="00056BF7"/>
    <w:rsid w:val="00063BDC"/>
    <w:rsid w:val="000740D3"/>
    <w:rsid w:val="00074C00"/>
    <w:rsid w:val="000A3EB4"/>
    <w:rsid w:val="000B13DD"/>
    <w:rsid w:val="000B64C4"/>
    <w:rsid w:val="000D19F7"/>
    <w:rsid w:val="000E21C5"/>
    <w:rsid w:val="000E4D85"/>
    <w:rsid w:val="000F0908"/>
    <w:rsid w:val="001055A3"/>
    <w:rsid w:val="00120DD7"/>
    <w:rsid w:val="001536ED"/>
    <w:rsid w:val="0017483A"/>
    <w:rsid w:val="001A3166"/>
    <w:rsid w:val="001D18D8"/>
    <w:rsid w:val="001D7AB8"/>
    <w:rsid w:val="001E4A63"/>
    <w:rsid w:val="001E6A47"/>
    <w:rsid w:val="001E6E79"/>
    <w:rsid w:val="0020155F"/>
    <w:rsid w:val="00201FC2"/>
    <w:rsid w:val="00236790"/>
    <w:rsid w:val="002408EB"/>
    <w:rsid w:val="00244B5E"/>
    <w:rsid w:val="00250F8E"/>
    <w:rsid w:val="00261E46"/>
    <w:rsid w:val="00267ED2"/>
    <w:rsid w:val="002772A7"/>
    <w:rsid w:val="00291F91"/>
    <w:rsid w:val="00295616"/>
    <w:rsid w:val="002B6658"/>
    <w:rsid w:val="002C5E25"/>
    <w:rsid w:val="002C74A9"/>
    <w:rsid w:val="002D71F3"/>
    <w:rsid w:val="002E0CFA"/>
    <w:rsid w:val="002E2637"/>
    <w:rsid w:val="002F7E57"/>
    <w:rsid w:val="00300120"/>
    <w:rsid w:val="003023EE"/>
    <w:rsid w:val="00304B20"/>
    <w:rsid w:val="00310463"/>
    <w:rsid w:val="00313D0D"/>
    <w:rsid w:val="00336ED6"/>
    <w:rsid w:val="003478A6"/>
    <w:rsid w:val="0035232F"/>
    <w:rsid w:val="00366B1C"/>
    <w:rsid w:val="003804DA"/>
    <w:rsid w:val="0038445D"/>
    <w:rsid w:val="00386C32"/>
    <w:rsid w:val="003943CE"/>
    <w:rsid w:val="003A0AE0"/>
    <w:rsid w:val="003B0683"/>
    <w:rsid w:val="003B1DF7"/>
    <w:rsid w:val="003B2E53"/>
    <w:rsid w:val="003B4D3A"/>
    <w:rsid w:val="003B7925"/>
    <w:rsid w:val="003C01DE"/>
    <w:rsid w:val="003C7ABE"/>
    <w:rsid w:val="003D0C0E"/>
    <w:rsid w:val="003D63BC"/>
    <w:rsid w:val="003E0AF8"/>
    <w:rsid w:val="00400CD4"/>
    <w:rsid w:val="00401175"/>
    <w:rsid w:val="004176DB"/>
    <w:rsid w:val="0043118E"/>
    <w:rsid w:val="00496958"/>
    <w:rsid w:val="004B19D7"/>
    <w:rsid w:val="004C042B"/>
    <w:rsid w:val="004C22C1"/>
    <w:rsid w:val="004D33C9"/>
    <w:rsid w:val="004E65DF"/>
    <w:rsid w:val="004F1E73"/>
    <w:rsid w:val="00507566"/>
    <w:rsid w:val="00515643"/>
    <w:rsid w:val="00526170"/>
    <w:rsid w:val="00562ACE"/>
    <w:rsid w:val="005766F2"/>
    <w:rsid w:val="00577015"/>
    <w:rsid w:val="00582AE6"/>
    <w:rsid w:val="00592FD5"/>
    <w:rsid w:val="00593D91"/>
    <w:rsid w:val="005A46E4"/>
    <w:rsid w:val="005A666B"/>
    <w:rsid w:val="005B0D81"/>
    <w:rsid w:val="005B4CC0"/>
    <w:rsid w:val="005C1D96"/>
    <w:rsid w:val="005D0CDF"/>
    <w:rsid w:val="005E3258"/>
    <w:rsid w:val="005E47CB"/>
    <w:rsid w:val="005E7229"/>
    <w:rsid w:val="005F2104"/>
    <w:rsid w:val="005F5859"/>
    <w:rsid w:val="006041CA"/>
    <w:rsid w:val="006047E8"/>
    <w:rsid w:val="00605580"/>
    <w:rsid w:val="006056AC"/>
    <w:rsid w:val="00623611"/>
    <w:rsid w:val="00640B9D"/>
    <w:rsid w:val="00651926"/>
    <w:rsid w:val="00660790"/>
    <w:rsid w:val="0066434A"/>
    <w:rsid w:val="00685332"/>
    <w:rsid w:val="00695718"/>
    <w:rsid w:val="006A742D"/>
    <w:rsid w:val="006B0BD2"/>
    <w:rsid w:val="006B240D"/>
    <w:rsid w:val="006E3F34"/>
    <w:rsid w:val="006F1CBF"/>
    <w:rsid w:val="00716FFB"/>
    <w:rsid w:val="00732A6F"/>
    <w:rsid w:val="0073700A"/>
    <w:rsid w:val="007536FA"/>
    <w:rsid w:val="007652E2"/>
    <w:rsid w:val="00766C3A"/>
    <w:rsid w:val="00786035"/>
    <w:rsid w:val="00790F3C"/>
    <w:rsid w:val="007922AB"/>
    <w:rsid w:val="007951E8"/>
    <w:rsid w:val="007A0F89"/>
    <w:rsid w:val="007B4765"/>
    <w:rsid w:val="007C021E"/>
    <w:rsid w:val="007C2377"/>
    <w:rsid w:val="007C3DD0"/>
    <w:rsid w:val="007E6AB4"/>
    <w:rsid w:val="008032BB"/>
    <w:rsid w:val="00840430"/>
    <w:rsid w:val="00842D1C"/>
    <w:rsid w:val="008463B8"/>
    <w:rsid w:val="00853C38"/>
    <w:rsid w:val="00862421"/>
    <w:rsid w:val="008636AE"/>
    <w:rsid w:val="008B6D75"/>
    <w:rsid w:val="008C7137"/>
    <w:rsid w:val="008D50AB"/>
    <w:rsid w:val="00907BBF"/>
    <w:rsid w:val="00921C73"/>
    <w:rsid w:val="009276E6"/>
    <w:rsid w:val="00935CDD"/>
    <w:rsid w:val="00955AD2"/>
    <w:rsid w:val="009602D3"/>
    <w:rsid w:val="009634FD"/>
    <w:rsid w:val="0098485B"/>
    <w:rsid w:val="0098755B"/>
    <w:rsid w:val="00987C75"/>
    <w:rsid w:val="009A0D45"/>
    <w:rsid w:val="009A1D60"/>
    <w:rsid w:val="009F43FB"/>
    <w:rsid w:val="009F4DBB"/>
    <w:rsid w:val="00A110BB"/>
    <w:rsid w:val="00A61C00"/>
    <w:rsid w:val="00A65760"/>
    <w:rsid w:val="00AB1F3D"/>
    <w:rsid w:val="00AD4CBD"/>
    <w:rsid w:val="00AE0864"/>
    <w:rsid w:val="00AE1F24"/>
    <w:rsid w:val="00AE2681"/>
    <w:rsid w:val="00AE3FD3"/>
    <w:rsid w:val="00B03771"/>
    <w:rsid w:val="00B13983"/>
    <w:rsid w:val="00B1614F"/>
    <w:rsid w:val="00B36E11"/>
    <w:rsid w:val="00B411B7"/>
    <w:rsid w:val="00B45AE6"/>
    <w:rsid w:val="00B51D46"/>
    <w:rsid w:val="00B543A9"/>
    <w:rsid w:val="00B56631"/>
    <w:rsid w:val="00B776A6"/>
    <w:rsid w:val="00BA7A1D"/>
    <w:rsid w:val="00BB12BB"/>
    <w:rsid w:val="00BC0597"/>
    <w:rsid w:val="00BD63A7"/>
    <w:rsid w:val="00BF672F"/>
    <w:rsid w:val="00BF70B9"/>
    <w:rsid w:val="00C13161"/>
    <w:rsid w:val="00C14E89"/>
    <w:rsid w:val="00C2324B"/>
    <w:rsid w:val="00C248F8"/>
    <w:rsid w:val="00C4161D"/>
    <w:rsid w:val="00C47434"/>
    <w:rsid w:val="00C670B6"/>
    <w:rsid w:val="00C70934"/>
    <w:rsid w:val="00C72C76"/>
    <w:rsid w:val="00C84496"/>
    <w:rsid w:val="00C86602"/>
    <w:rsid w:val="00C95BAC"/>
    <w:rsid w:val="00CA02ED"/>
    <w:rsid w:val="00CA2979"/>
    <w:rsid w:val="00CA31C9"/>
    <w:rsid w:val="00CB116D"/>
    <w:rsid w:val="00CC0CF5"/>
    <w:rsid w:val="00CD7FB2"/>
    <w:rsid w:val="00CF002E"/>
    <w:rsid w:val="00D10C75"/>
    <w:rsid w:val="00D16AB7"/>
    <w:rsid w:val="00D260C7"/>
    <w:rsid w:val="00D40576"/>
    <w:rsid w:val="00D42A93"/>
    <w:rsid w:val="00D533A5"/>
    <w:rsid w:val="00D5570A"/>
    <w:rsid w:val="00D647DB"/>
    <w:rsid w:val="00D813A2"/>
    <w:rsid w:val="00D95952"/>
    <w:rsid w:val="00DB2EA0"/>
    <w:rsid w:val="00DB7B7A"/>
    <w:rsid w:val="00DD2EAC"/>
    <w:rsid w:val="00DE56C3"/>
    <w:rsid w:val="00DF1C4F"/>
    <w:rsid w:val="00E0275C"/>
    <w:rsid w:val="00E03F38"/>
    <w:rsid w:val="00E144C2"/>
    <w:rsid w:val="00E30DDC"/>
    <w:rsid w:val="00E41188"/>
    <w:rsid w:val="00E47B14"/>
    <w:rsid w:val="00E51869"/>
    <w:rsid w:val="00E52A3A"/>
    <w:rsid w:val="00E81152"/>
    <w:rsid w:val="00E8212D"/>
    <w:rsid w:val="00E956E3"/>
    <w:rsid w:val="00EA3147"/>
    <w:rsid w:val="00EA3879"/>
    <w:rsid w:val="00EC11DF"/>
    <w:rsid w:val="00EC11F7"/>
    <w:rsid w:val="00ED1A6F"/>
    <w:rsid w:val="00EF0D73"/>
    <w:rsid w:val="00EF1689"/>
    <w:rsid w:val="00F02825"/>
    <w:rsid w:val="00F046FB"/>
    <w:rsid w:val="00F05CA8"/>
    <w:rsid w:val="00F23143"/>
    <w:rsid w:val="00F24355"/>
    <w:rsid w:val="00F3696F"/>
    <w:rsid w:val="00F76C30"/>
    <w:rsid w:val="00F810B5"/>
    <w:rsid w:val="00F833B3"/>
    <w:rsid w:val="00F8485E"/>
    <w:rsid w:val="00F900C2"/>
    <w:rsid w:val="00F9145F"/>
    <w:rsid w:val="00FA11C2"/>
    <w:rsid w:val="00FA585A"/>
    <w:rsid w:val="00FB0C04"/>
    <w:rsid w:val="00FB6036"/>
    <w:rsid w:val="00FC75A6"/>
    <w:rsid w:val="00FE5E55"/>
    <w:rsid w:val="00FF06D2"/>
    <w:rsid w:val="00FF3E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9159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760"/>
  </w:style>
  <w:style w:type="paragraph" w:styleId="Heading1">
    <w:name w:val="heading 1"/>
    <w:basedOn w:val="Normal"/>
    <w:next w:val="Normal"/>
    <w:link w:val="Heading1Char"/>
    <w:uiPriority w:val="9"/>
    <w:qFormat/>
    <w:rsid w:val="001E4A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A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A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A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A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A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A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A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A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A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A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A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A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A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A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A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A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A63"/>
    <w:rPr>
      <w:rFonts w:eastAsiaTheme="majorEastAsia" w:cstheme="majorBidi"/>
      <w:color w:val="272727" w:themeColor="text1" w:themeTint="D8"/>
    </w:rPr>
  </w:style>
  <w:style w:type="paragraph" w:styleId="Title">
    <w:name w:val="Title"/>
    <w:basedOn w:val="Normal"/>
    <w:next w:val="Normal"/>
    <w:link w:val="TitleChar"/>
    <w:uiPriority w:val="10"/>
    <w:qFormat/>
    <w:rsid w:val="001E4A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A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A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A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A63"/>
    <w:pPr>
      <w:spacing w:before="160"/>
      <w:jc w:val="center"/>
    </w:pPr>
    <w:rPr>
      <w:i/>
      <w:iCs/>
      <w:color w:val="404040" w:themeColor="text1" w:themeTint="BF"/>
    </w:rPr>
  </w:style>
  <w:style w:type="character" w:customStyle="1" w:styleId="QuoteChar">
    <w:name w:val="Quote Char"/>
    <w:basedOn w:val="DefaultParagraphFont"/>
    <w:link w:val="Quote"/>
    <w:uiPriority w:val="29"/>
    <w:rsid w:val="001E4A63"/>
    <w:rPr>
      <w:i/>
      <w:iCs/>
      <w:color w:val="404040" w:themeColor="text1" w:themeTint="BF"/>
    </w:rPr>
  </w:style>
  <w:style w:type="paragraph" w:styleId="ListParagraph">
    <w:name w:val="List Paragraph"/>
    <w:basedOn w:val="Normal"/>
    <w:uiPriority w:val="34"/>
    <w:qFormat/>
    <w:rsid w:val="001E4A63"/>
    <w:pPr>
      <w:ind w:left="720"/>
      <w:contextualSpacing/>
    </w:pPr>
  </w:style>
  <w:style w:type="character" w:styleId="IntenseEmphasis">
    <w:name w:val="Intense Emphasis"/>
    <w:basedOn w:val="DefaultParagraphFont"/>
    <w:uiPriority w:val="21"/>
    <w:qFormat/>
    <w:rsid w:val="001E4A63"/>
    <w:rPr>
      <w:i/>
      <w:iCs/>
      <w:color w:val="0F4761" w:themeColor="accent1" w:themeShade="BF"/>
    </w:rPr>
  </w:style>
  <w:style w:type="paragraph" w:styleId="IntenseQuote">
    <w:name w:val="Intense Quote"/>
    <w:basedOn w:val="Normal"/>
    <w:next w:val="Normal"/>
    <w:link w:val="IntenseQuoteChar"/>
    <w:uiPriority w:val="30"/>
    <w:qFormat/>
    <w:rsid w:val="001E4A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A63"/>
    <w:rPr>
      <w:i/>
      <w:iCs/>
      <w:color w:val="0F4761" w:themeColor="accent1" w:themeShade="BF"/>
    </w:rPr>
  </w:style>
  <w:style w:type="character" w:styleId="IntenseReference">
    <w:name w:val="Intense Reference"/>
    <w:basedOn w:val="DefaultParagraphFont"/>
    <w:uiPriority w:val="32"/>
    <w:qFormat/>
    <w:rsid w:val="001E4A63"/>
    <w:rPr>
      <w:b/>
      <w:bCs/>
      <w:smallCaps/>
      <w:color w:val="0F4761" w:themeColor="accent1" w:themeShade="BF"/>
      <w:spacing w:val="5"/>
    </w:rPr>
  </w:style>
  <w:style w:type="character" w:styleId="Hyperlink">
    <w:name w:val="Hyperlink"/>
    <w:basedOn w:val="DefaultParagraphFont"/>
    <w:uiPriority w:val="99"/>
    <w:unhideWhenUsed/>
    <w:rsid w:val="00A65760"/>
    <w:rPr>
      <w:color w:val="467886" w:themeColor="hyperlink"/>
      <w:u w:val="single"/>
    </w:rPr>
  </w:style>
  <w:style w:type="character" w:styleId="UnresolvedMention">
    <w:name w:val="Unresolved Mention"/>
    <w:basedOn w:val="DefaultParagraphFont"/>
    <w:uiPriority w:val="99"/>
    <w:semiHidden/>
    <w:unhideWhenUsed/>
    <w:rsid w:val="00E52A3A"/>
    <w:rPr>
      <w:color w:val="605E5C"/>
      <w:shd w:val="clear" w:color="auto" w:fill="E1DFDD"/>
    </w:rPr>
  </w:style>
  <w:style w:type="table" w:styleId="TableGrid">
    <w:name w:val="Table Grid"/>
    <w:basedOn w:val="TableNormal"/>
    <w:uiPriority w:val="39"/>
    <w:rsid w:val="00842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5859"/>
    <w:rPr>
      <w:color w:val="96607D" w:themeColor="followedHyperlink"/>
      <w:u w:val="single"/>
    </w:rPr>
  </w:style>
  <w:style w:type="paragraph" w:styleId="NormalWeb">
    <w:name w:val="Normal (Web)"/>
    <w:basedOn w:val="Normal"/>
    <w:uiPriority w:val="99"/>
    <w:semiHidden/>
    <w:unhideWhenUsed/>
    <w:rsid w:val="00FC75A6"/>
    <w:rPr>
      <w:rFonts w:ascii="Times New Roman" w:hAnsi="Times New Roman" w:cs="Times New Roman"/>
      <w:sz w:val="24"/>
      <w:szCs w:val="24"/>
    </w:rPr>
  </w:style>
  <w:style w:type="paragraph" w:styleId="Header">
    <w:name w:val="header"/>
    <w:basedOn w:val="Normal"/>
    <w:link w:val="HeaderChar"/>
    <w:uiPriority w:val="99"/>
    <w:unhideWhenUsed/>
    <w:rsid w:val="00C14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E89"/>
  </w:style>
  <w:style w:type="paragraph" w:styleId="Footer">
    <w:name w:val="footer"/>
    <w:basedOn w:val="Normal"/>
    <w:link w:val="FooterChar"/>
    <w:uiPriority w:val="99"/>
    <w:unhideWhenUsed/>
    <w:rsid w:val="00C14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15410">
      <w:bodyDiv w:val="1"/>
      <w:marLeft w:val="0"/>
      <w:marRight w:val="0"/>
      <w:marTop w:val="0"/>
      <w:marBottom w:val="0"/>
      <w:divBdr>
        <w:top w:val="none" w:sz="0" w:space="0" w:color="auto"/>
        <w:left w:val="none" w:sz="0" w:space="0" w:color="auto"/>
        <w:bottom w:val="none" w:sz="0" w:space="0" w:color="auto"/>
        <w:right w:val="none" w:sz="0" w:space="0" w:color="auto"/>
      </w:divBdr>
    </w:div>
    <w:div w:id="60056974">
      <w:bodyDiv w:val="1"/>
      <w:marLeft w:val="0"/>
      <w:marRight w:val="0"/>
      <w:marTop w:val="0"/>
      <w:marBottom w:val="0"/>
      <w:divBdr>
        <w:top w:val="none" w:sz="0" w:space="0" w:color="auto"/>
        <w:left w:val="none" w:sz="0" w:space="0" w:color="auto"/>
        <w:bottom w:val="none" w:sz="0" w:space="0" w:color="auto"/>
        <w:right w:val="none" w:sz="0" w:space="0" w:color="auto"/>
      </w:divBdr>
    </w:div>
    <w:div w:id="142091973">
      <w:bodyDiv w:val="1"/>
      <w:marLeft w:val="0"/>
      <w:marRight w:val="0"/>
      <w:marTop w:val="0"/>
      <w:marBottom w:val="0"/>
      <w:divBdr>
        <w:top w:val="none" w:sz="0" w:space="0" w:color="auto"/>
        <w:left w:val="none" w:sz="0" w:space="0" w:color="auto"/>
        <w:bottom w:val="none" w:sz="0" w:space="0" w:color="auto"/>
        <w:right w:val="none" w:sz="0" w:space="0" w:color="auto"/>
      </w:divBdr>
    </w:div>
    <w:div w:id="228342949">
      <w:bodyDiv w:val="1"/>
      <w:marLeft w:val="0"/>
      <w:marRight w:val="0"/>
      <w:marTop w:val="0"/>
      <w:marBottom w:val="0"/>
      <w:divBdr>
        <w:top w:val="none" w:sz="0" w:space="0" w:color="auto"/>
        <w:left w:val="none" w:sz="0" w:space="0" w:color="auto"/>
        <w:bottom w:val="none" w:sz="0" w:space="0" w:color="auto"/>
        <w:right w:val="none" w:sz="0" w:space="0" w:color="auto"/>
      </w:divBdr>
    </w:div>
    <w:div w:id="229854331">
      <w:bodyDiv w:val="1"/>
      <w:marLeft w:val="0"/>
      <w:marRight w:val="0"/>
      <w:marTop w:val="0"/>
      <w:marBottom w:val="0"/>
      <w:divBdr>
        <w:top w:val="none" w:sz="0" w:space="0" w:color="auto"/>
        <w:left w:val="none" w:sz="0" w:space="0" w:color="auto"/>
        <w:bottom w:val="none" w:sz="0" w:space="0" w:color="auto"/>
        <w:right w:val="none" w:sz="0" w:space="0" w:color="auto"/>
      </w:divBdr>
    </w:div>
    <w:div w:id="238485710">
      <w:bodyDiv w:val="1"/>
      <w:marLeft w:val="0"/>
      <w:marRight w:val="0"/>
      <w:marTop w:val="0"/>
      <w:marBottom w:val="0"/>
      <w:divBdr>
        <w:top w:val="none" w:sz="0" w:space="0" w:color="auto"/>
        <w:left w:val="none" w:sz="0" w:space="0" w:color="auto"/>
        <w:bottom w:val="none" w:sz="0" w:space="0" w:color="auto"/>
        <w:right w:val="none" w:sz="0" w:space="0" w:color="auto"/>
      </w:divBdr>
    </w:div>
    <w:div w:id="282541238">
      <w:bodyDiv w:val="1"/>
      <w:marLeft w:val="0"/>
      <w:marRight w:val="0"/>
      <w:marTop w:val="0"/>
      <w:marBottom w:val="0"/>
      <w:divBdr>
        <w:top w:val="none" w:sz="0" w:space="0" w:color="auto"/>
        <w:left w:val="none" w:sz="0" w:space="0" w:color="auto"/>
        <w:bottom w:val="none" w:sz="0" w:space="0" w:color="auto"/>
        <w:right w:val="none" w:sz="0" w:space="0" w:color="auto"/>
      </w:divBdr>
    </w:div>
    <w:div w:id="293759094">
      <w:bodyDiv w:val="1"/>
      <w:marLeft w:val="0"/>
      <w:marRight w:val="0"/>
      <w:marTop w:val="0"/>
      <w:marBottom w:val="0"/>
      <w:divBdr>
        <w:top w:val="none" w:sz="0" w:space="0" w:color="auto"/>
        <w:left w:val="none" w:sz="0" w:space="0" w:color="auto"/>
        <w:bottom w:val="none" w:sz="0" w:space="0" w:color="auto"/>
        <w:right w:val="none" w:sz="0" w:space="0" w:color="auto"/>
      </w:divBdr>
    </w:div>
    <w:div w:id="320044222">
      <w:bodyDiv w:val="1"/>
      <w:marLeft w:val="0"/>
      <w:marRight w:val="0"/>
      <w:marTop w:val="0"/>
      <w:marBottom w:val="0"/>
      <w:divBdr>
        <w:top w:val="none" w:sz="0" w:space="0" w:color="auto"/>
        <w:left w:val="none" w:sz="0" w:space="0" w:color="auto"/>
        <w:bottom w:val="none" w:sz="0" w:space="0" w:color="auto"/>
        <w:right w:val="none" w:sz="0" w:space="0" w:color="auto"/>
      </w:divBdr>
    </w:div>
    <w:div w:id="339888969">
      <w:bodyDiv w:val="1"/>
      <w:marLeft w:val="0"/>
      <w:marRight w:val="0"/>
      <w:marTop w:val="0"/>
      <w:marBottom w:val="0"/>
      <w:divBdr>
        <w:top w:val="none" w:sz="0" w:space="0" w:color="auto"/>
        <w:left w:val="none" w:sz="0" w:space="0" w:color="auto"/>
        <w:bottom w:val="none" w:sz="0" w:space="0" w:color="auto"/>
        <w:right w:val="none" w:sz="0" w:space="0" w:color="auto"/>
      </w:divBdr>
    </w:div>
    <w:div w:id="459570635">
      <w:bodyDiv w:val="1"/>
      <w:marLeft w:val="0"/>
      <w:marRight w:val="0"/>
      <w:marTop w:val="0"/>
      <w:marBottom w:val="0"/>
      <w:divBdr>
        <w:top w:val="none" w:sz="0" w:space="0" w:color="auto"/>
        <w:left w:val="none" w:sz="0" w:space="0" w:color="auto"/>
        <w:bottom w:val="none" w:sz="0" w:space="0" w:color="auto"/>
        <w:right w:val="none" w:sz="0" w:space="0" w:color="auto"/>
      </w:divBdr>
    </w:div>
    <w:div w:id="468863745">
      <w:bodyDiv w:val="1"/>
      <w:marLeft w:val="0"/>
      <w:marRight w:val="0"/>
      <w:marTop w:val="0"/>
      <w:marBottom w:val="0"/>
      <w:divBdr>
        <w:top w:val="none" w:sz="0" w:space="0" w:color="auto"/>
        <w:left w:val="none" w:sz="0" w:space="0" w:color="auto"/>
        <w:bottom w:val="none" w:sz="0" w:space="0" w:color="auto"/>
        <w:right w:val="none" w:sz="0" w:space="0" w:color="auto"/>
      </w:divBdr>
    </w:div>
    <w:div w:id="488131613">
      <w:bodyDiv w:val="1"/>
      <w:marLeft w:val="0"/>
      <w:marRight w:val="0"/>
      <w:marTop w:val="0"/>
      <w:marBottom w:val="0"/>
      <w:divBdr>
        <w:top w:val="none" w:sz="0" w:space="0" w:color="auto"/>
        <w:left w:val="none" w:sz="0" w:space="0" w:color="auto"/>
        <w:bottom w:val="none" w:sz="0" w:space="0" w:color="auto"/>
        <w:right w:val="none" w:sz="0" w:space="0" w:color="auto"/>
      </w:divBdr>
    </w:div>
    <w:div w:id="565842092">
      <w:bodyDiv w:val="1"/>
      <w:marLeft w:val="0"/>
      <w:marRight w:val="0"/>
      <w:marTop w:val="0"/>
      <w:marBottom w:val="0"/>
      <w:divBdr>
        <w:top w:val="none" w:sz="0" w:space="0" w:color="auto"/>
        <w:left w:val="none" w:sz="0" w:space="0" w:color="auto"/>
        <w:bottom w:val="none" w:sz="0" w:space="0" w:color="auto"/>
        <w:right w:val="none" w:sz="0" w:space="0" w:color="auto"/>
      </w:divBdr>
    </w:div>
    <w:div w:id="571357771">
      <w:bodyDiv w:val="1"/>
      <w:marLeft w:val="0"/>
      <w:marRight w:val="0"/>
      <w:marTop w:val="0"/>
      <w:marBottom w:val="0"/>
      <w:divBdr>
        <w:top w:val="none" w:sz="0" w:space="0" w:color="auto"/>
        <w:left w:val="none" w:sz="0" w:space="0" w:color="auto"/>
        <w:bottom w:val="none" w:sz="0" w:space="0" w:color="auto"/>
        <w:right w:val="none" w:sz="0" w:space="0" w:color="auto"/>
      </w:divBdr>
    </w:div>
    <w:div w:id="659624203">
      <w:bodyDiv w:val="1"/>
      <w:marLeft w:val="0"/>
      <w:marRight w:val="0"/>
      <w:marTop w:val="0"/>
      <w:marBottom w:val="0"/>
      <w:divBdr>
        <w:top w:val="none" w:sz="0" w:space="0" w:color="auto"/>
        <w:left w:val="none" w:sz="0" w:space="0" w:color="auto"/>
        <w:bottom w:val="none" w:sz="0" w:space="0" w:color="auto"/>
        <w:right w:val="none" w:sz="0" w:space="0" w:color="auto"/>
      </w:divBdr>
    </w:div>
    <w:div w:id="662397457">
      <w:bodyDiv w:val="1"/>
      <w:marLeft w:val="0"/>
      <w:marRight w:val="0"/>
      <w:marTop w:val="0"/>
      <w:marBottom w:val="0"/>
      <w:divBdr>
        <w:top w:val="none" w:sz="0" w:space="0" w:color="auto"/>
        <w:left w:val="none" w:sz="0" w:space="0" w:color="auto"/>
        <w:bottom w:val="none" w:sz="0" w:space="0" w:color="auto"/>
        <w:right w:val="none" w:sz="0" w:space="0" w:color="auto"/>
      </w:divBdr>
    </w:div>
    <w:div w:id="701052060">
      <w:bodyDiv w:val="1"/>
      <w:marLeft w:val="0"/>
      <w:marRight w:val="0"/>
      <w:marTop w:val="0"/>
      <w:marBottom w:val="0"/>
      <w:divBdr>
        <w:top w:val="none" w:sz="0" w:space="0" w:color="auto"/>
        <w:left w:val="none" w:sz="0" w:space="0" w:color="auto"/>
        <w:bottom w:val="none" w:sz="0" w:space="0" w:color="auto"/>
        <w:right w:val="none" w:sz="0" w:space="0" w:color="auto"/>
      </w:divBdr>
    </w:div>
    <w:div w:id="740520565">
      <w:bodyDiv w:val="1"/>
      <w:marLeft w:val="0"/>
      <w:marRight w:val="0"/>
      <w:marTop w:val="0"/>
      <w:marBottom w:val="0"/>
      <w:divBdr>
        <w:top w:val="none" w:sz="0" w:space="0" w:color="auto"/>
        <w:left w:val="none" w:sz="0" w:space="0" w:color="auto"/>
        <w:bottom w:val="none" w:sz="0" w:space="0" w:color="auto"/>
        <w:right w:val="none" w:sz="0" w:space="0" w:color="auto"/>
      </w:divBdr>
    </w:div>
    <w:div w:id="757748648">
      <w:bodyDiv w:val="1"/>
      <w:marLeft w:val="0"/>
      <w:marRight w:val="0"/>
      <w:marTop w:val="0"/>
      <w:marBottom w:val="0"/>
      <w:divBdr>
        <w:top w:val="none" w:sz="0" w:space="0" w:color="auto"/>
        <w:left w:val="none" w:sz="0" w:space="0" w:color="auto"/>
        <w:bottom w:val="none" w:sz="0" w:space="0" w:color="auto"/>
        <w:right w:val="none" w:sz="0" w:space="0" w:color="auto"/>
      </w:divBdr>
    </w:div>
    <w:div w:id="782847748">
      <w:bodyDiv w:val="1"/>
      <w:marLeft w:val="0"/>
      <w:marRight w:val="0"/>
      <w:marTop w:val="0"/>
      <w:marBottom w:val="0"/>
      <w:divBdr>
        <w:top w:val="none" w:sz="0" w:space="0" w:color="auto"/>
        <w:left w:val="none" w:sz="0" w:space="0" w:color="auto"/>
        <w:bottom w:val="none" w:sz="0" w:space="0" w:color="auto"/>
        <w:right w:val="none" w:sz="0" w:space="0" w:color="auto"/>
      </w:divBdr>
    </w:div>
    <w:div w:id="791827619">
      <w:bodyDiv w:val="1"/>
      <w:marLeft w:val="0"/>
      <w:marRight w:val="0"/>
      <w:marTop w:val="0"/>
      <w:marBottom w:val="0"/>
      <w:divBdr>
        <w:top w:val="none" w:sz="0" w:space="0" w:color="auto"/>
        <w:left w:val="none" w:sz="0" w:space="0" w:color="auto"/>
        <w:bottom w:val="none" w:sz="0" w:space="0" w:color="auto"/>
        <w:right w:val="none" w:sz="0" w:space="0" w:color="auto"/>
      </w:divBdr>
    </w:div>
    <w:div w:id="800153184">
      <w:bodyDiv w:val="1"/>
      <w:marLeft w:val="0"/>
      <w:marRight w:val="0"/>
      <w:marTop w:val="0"/>
      <w:marBottom w:val="0"/>
      <w:divBdr>
        <w:top w:val="none" w:sz="0" w:space="0" w:color="auto"/>
        <w:left w:val="none" w:sz="0" w:space="0" w:color="auto"/>
        <w:bottom w:val="none" w:sz="0" w:space="0" w:color="auto"/>
        <w:right w:val="none" w:sz="0" w:space="0" w:color="auto"/>
      </w:divBdr>
    </w:div>
    <w:div w:id="861165193">
      <w:bodyDiv w:val="1"/>
      <w:marLeft w:val="0"/>
      <w:marRight w:val="0"/>
      <w:marTop w:val="0"/>
      <w:marBottom w:val="0"/>
      <w:divBdr>
        <w:top w:val="none" w:sz="0" w:space="0" w:color="auto"/>
        <w:left w:val="none" w:sz="0" w:space="0" w:color="auto"/>
        <w:bottom w:val="none" w:sz="0" w:space="0" w:color="auto"/>
        <w:right w:val="none" w:sz="0" w:space="0" w:color="auto"/>
      </w:divBdr>
    </w:div>
    <w:div w:id="890111642">
      <w:bodyDiv w:val="1"/>
      <w:marLeft w:val="0"/>
      <w:marRight w:val="0"/>
      <w:marTop w:val="0"/>
      <w:marBottom w:val="0"/>
      <w:divBdr>
        <w:top w:val="none" w:sz="0" w:space="0" w:color="auto"/>
        <w:left w:val="none" w:sz="0" w:space="0" w:color="auto"/>
        <w:bottom w:val="none" w:sz="0" w:space="0" w:color="auto"/>
        <w:right w:val="none" w:sz="0" w:space="0" w:color="auto"/>
      </w:divBdr>
    </w:div>
    <w:div w:id="910118238">
      <w:bodyDiv w:val="1"/>
      <w:marLeft w:val="0"/>
      <w:marRight w:val="0"/>
      <w:marTop w:val="0"/>
      <w:marBottom w:val="0"/>
      <w:divBdr>
        <w:top w:val="none" w:sz="0" w:space="0" w:color="auto"/>
        <w:left w:val="none" w:sz="0" w:space="0" w:color="auto"/>
        <w:bottom w:val="none" w:sz="0" w:space="0" w:color="auto"/>
        <w:right w:val="none" w:sz="0" w:space="0" w:color="auto"/>
      </w:divBdr>
    </w:div>
    <w:div w:id="990446515">
      <w:bodyDiv w:val="1"/>
      <w:marLeft w:val="0"/>
      <w:marRight w:val="0"/>
      <w:marTop w:val="0"/>
      <w:marBottom w:val="0"/>
      <w:divBdr>
        <w:top w:val="none" w:sz="0" w:space="0" w:color="auto"/>
        <w:left w:val="none" w:sz="0" w:space="0" w:color="auto"/>
        <w:bottom w:val="none" w:sz="0" w:space="0" w:color="auto"/>
        <w:right w:val="none" w:sz="0" w:space="0" w:color="auto"/>
      </w:divBdr>
    </w:div>
    <w:div w:id="1018118540">
      <w:bodyDiv w:val="1"/>
      <w:marLeft w:val="0"/>
      <w:marRight w:val="0"/>
      <w:marTop w:val="0"/>
      <w:marBottom w:val="0"/>
      <w:divBdr>
        <w:top w:val="none" w:sz="0" w:space="0" w:color="auto"/>
        <w:left w:val="none" w:sz="0" w:space="0" w:color="auto"/>
        <w:bottom w:val="none" w:sz="0" w:space="0" w:color="auto"/>
        <w:right w:val="none" w:sz="0" w:space="0" w:color="auto"/>
      </w:divBdr>
    </w:div>
    <w:div w:id="1056777479">
      <w:bodyDiv w:val="1"/>
      <w:marLeft w:val="0"/>
      <w:marRight w:val="0"/>
      <w:marTop w:val="0"/>
      <w:marBottom w:val="0"/>
      <w:divBdr>
        <w:top w:val="none" w:sz="0" w:space="0" w:color="auto"/>
        <w:left w:val="none" w:sz="0" w:space="0" w:color="auto"/>
        <w:bottom w:val="none" w:sz="0" w:space="0" w:color="auto"/>
        <w:right w:val="none" w:sz="0" w:space="0" w:color="auto"/>
      </w:divBdr>
    </w:div>
    <w:div w:id="1058675726">
      <w:bodyDiv w:val="1"/>
      <w:marLeft w:val="0"/>
      <w:marRight w:val="0"/>
      <w:marTop w:val="0"/>
      <w:marBottom w:val="0"/>
      <w:divBdr>
        <w:top w:val="none" w:sz="0" w:space="0" w:color="auto"/>
        <w:left w:val="none" w:sz="0" w:space="0" w:color="auto"/>
        <w:bottom w:val="none" w:sz="0" w:space="0" w:color="auto"/>
        <w:right w:val="none" w:sz="0" w:space="0" w:color="auto"/>
      </w:divBdr>
    </w:div>
    <w:div w:id="1096097902">
      <w:bodyDiv w:val="1"/>
      <w:marLeft w:val="0"/>
      <w:marRight w:val="0"/>
      <w:marTop w:val="0"/>
      <w:marBottom w:val="0"/>
      <w:divBdr>
        <w:top w:val="none" w:sz="0" w:space="0" w:color="auto"/>
        <w:left w:val="none" w:sz="0" w:space="0" w:color="auto"/>
        <w:bottom w:val="none" w:sz="0" w:space="0" w:color="auto"/>
        <w:right w:val="none" w:sz="0" w:space="0" w:color="auto"/>
      </w:divBdr>
    </w:div>
    <w:div w:id="1097335489">
      <w:bodyDiv w:val="1"/>
      <w:marLeft w:val="0"/>
      <w:marRight w:val="0"/>
      <w:marTop w:val="0"/>
      <w:marBottom w:val="0"/>
      <w:divBdr>
        <w:top w:val="none" w:sz="0" w:space="0" w:color="auto"/>
        <w:left w:val="none" w:sz="0" w:space="0" w:color="auto"/>
        <w:bottom w:val="none" w:sz="0" w:space="0" w:color="auto"/>
        <w:right w:val="none" w:sz="0" w:space="0" w:color="auto"/>
      </w:divBdr>
    </w:div>
    <w:div w:id="1197280143">
      <w:bodyDiv w:val="1"/>
      <w:marLeft w:val="0"/>
      <w:marRight w:val="0"/>
      <w:marTop w:val="0"/>
      <w:marBottom w:val="0"/>
      <w:divBdr>
        <w:top w:val="none" w:sz="0" w:space="0" w:color="auto"/>
        <w:left w:val="none" w:sz="0" w:space="0" w:color="auto"/>
        <w:bottom w:val="none" w:sz="0" w:space="0" w:color="auto"/>
        <w:right w:val="none" w:sz="0" w:space="0" w:color="auto"/>
      </w:divBdr>
    </w:div>
    <w:div w:id="1197696088">
      <w:bodyDiv w:val="1"/>
      <w:marLeft w:val="0"/>
      <w:marRight w:val="0"/>
      <w:marTop w:val="0"/>
      <w:marBottom w:val="0"/>
      <w:divBdr>
        <w:top w:val="none" w:sz="0" w:space="0" w:color="auto"/>
        <w:left w:val="none" w:sz="0" w:space="0" w:color="auto"/>
        <w:bottom w:val="none" w:sz="0" w:space="0" w:color="auto"/>
        <w:right w:val="none" w:sz="0" w:space="0" w:color="auto"/>
      </w:divBdr>
    </w:div>
    <w:div w:id="1222329249">
      <w:bodyDiv w:val="1"/>
      <w:marLeft w:val="0"/>
      <w:marRight w:val="0"/>
      <w:marTop w:val="0"/>
      <w:marBottom w:val="0"/>
      <w:divBdr>
        <w:top w:val="none" w:sz="0" w:space="0" w:color="auto"/>
        <w:left w:val="none" w:sz="0" w:space="0" w:color="auto"/>
        <w:bottom w:val="none" w:sz="0" w:space="0" w:color="auto"/>
        <w:right w:val="none" w:sz="0" w:space="0" w:color="auto"/>
      </w:divBdr>
    </w:div>
    <w:div w:id="1246650502">
      <w:bodyDiv w:val="1"/>
      <w:marLeft w:val="0"/>
      <w:marRight w:val="0"/>
      <w:marTop w:val="0"/>
      <w:marBottom w:val="0"/>
      <w:divBdr>
        <w:top w:val="none" w:sz="0" w:space="0" w:color="auto"/>
        <w:left w:val="none" w:sz="0" w:space="0" w:color="auto"/>
        <w:bottom w:val="none" w:sz="0" w:space="0" w:color="auto"/>
        <w:right w:val="none" w:sz="0" w:space="0" w:color="auto"/>
      </w:divBdr>
    </w:div>
    <w:div w:id="1263682834">
      <w:bodyDiv w:val="1"/>
      <w:marLeft w:val="0"/>
      <w:marRight w:val="0"/>
      <w:marTop w:val="0"/>
      <w:marBottom w:val="0"/>
      <w:divBdr>
        <w:top w:val="none" w:sz="0" w:space="0" w:color="auto"/>
        <w:left w:val="none" w:sz="0" w:space="0" w:color="auto"/>
        <w:bottom w:val="none" w:sz="0" w:space="0" w:color="auto"/>
        <w:right w:val="none" w:sz="0" w:space="0" w:color="auto"/>
      </w:divBdr>
    </w:div>
    <w:div w:id="1269587003">
      <w:bodyDiv w:val="1"/>
      <w:marLeft w:val="0"/>
      <w:marRight w:val="0"/>
      <w:marTop w:val="0"/>
      <w:marBottom w:val="0"/>
      <w:divBdr>
        <w:top w:val="none" w:sz="0" w:space="0" w:color="auto"/>
        <w:left w:val="none" w:sz="0" w:space="0" w:color="auto"/>
        <w:bottom w:val="none" w:sz="0" w:space="0" w:color="auto"/>
        <w:right w:val="none" w:sz="0" w:space="0" w:color="auto"/>
      </w:divBdr>
    </w:div>
    <w:div w:id="1300766542">
      <w:bodyDiv w:val="1"/>
      <w:marLeft w:val="0"/>
      <w:marRight w:val="0"/>
      <w:marTop w:val="0"/>
      <w:marBottom w:val="0"/>
      <w:divBdr>
        <w:top w:val="none" w:sz="0" w:space="0" w:color="auto"/>
        <w:left w:val="none" w:sz="0" w:space="0" w:color="auto"/>
        <w:bottom w:val="none" w:sz="0" w:space="0" w:color="auto"/>
        <w:right w:val="none" w:sz="0" w:space="0" w:color="auto"/>
      </w:divBdr>
    </w:div>
    <w:div w:id="1301226665">
      <w:bodyDiv w:val="1"/>
      <w:marLeft w:val="0"/>
      <w:marRight w:val="0"/>
      <w:marTop w:val="0"/>
      <w:marBottom w:val="0"/>
      <w:divBdr>
        <w:top w:val="none" w:sz="0" w:space="0" w:color="auto"/>
        <w:left w:val="none" w:sz="0" w:space="0" w:color="auto"/>
        <w:bottom w:val="none" w:sz="0" w:space="0" w:color="auto"/>
        <w:right w:val="none" w:sz="0" w:space="0" w:color="auto"/>
      </w:divBdr>
    </w:div>
    <w:div w:id="1366447395">
      <w:bodyDiv w:val="1"/>
      <w:marLeft w:val="0"/>
      <w:marRight w:val="0"/>
      <w:marTop w:val="0"/>
      <w:marBottom w:val="0"/>
      <w:divBdr>
        <w:top w:val="none" w:sz="0" w:space="0" w:color="auto"/>
        <w:left w:val="none" w:sz="0" w:space="0" w:color="auto"/>
        <w:bottom w:val="none" w:sz="0" w:space="0" w:color="auto"/>
        <w:right w:val="none" w:sz="0" w:space="0" w:color="auto"/>
      </w:divBdr>
    </w:div>
    <w:div w:id="1367028538">
      <w:bodyDiv w:val="1"/>
      <w:marLeft w:val="0"/>
      <w:marRight w:val="0"/>
      <w:marTop w:val="0"/>
      <w:marBottom w:val="0"/>
      <w:divBdr>
        <w:top w:val="none" w:sz="0" w:space="0" w:color="auto"/>
        <w:left w:val="none" w:sz="0" w:space="0" w:color="auto"/>
        <w:bottom w:val="none" w:sz="0" w:space="0" w:color="auto"/>
        <w:right w:val="none" w:sz="0" w:space="0" w:color="auto"/>
      </w:divBdr>
    </w:div>
    <w:div w:id="1378239455">
      <w:bodyDiv w:val="1"/>
      <w:marLeft w:val="0"/>
      <w:marRight w:val="0"/>
      <w:marTop w:val="0"/>
      <w:marBottom w:val="0"/>
      <w:divBdr>
        <w:top w:val="none" w:sz="0" w:space="0" w:color="auto"/>
        <w:left w:val="none" w:sz="0" w:space="0" w:color="auto"/>
        <w:bottom w:val="none" w:sz="0" w:space="0" w:color="auto"/>
        <w:right w:val="none" w:sz="0" w:space="0" w:color="auto"/>
      </w:divBdr>
    </w:div>
    <w:div w:id="1420325435">
      <w:bodyDiv w:val="1"/>
      <w:marLeft w:val="0"/>
      <w:marRight w:val="0"/>
      <w:marTop w:val="0"/>
      <w:marBottom w:val="0"/>
      <w:divBdr>
        <w:top w:val="none" w:sz="0" w:space="0" w:color="auto"/>
        <w:left w:val="none" w:sz="0" w:space="0" w:color="auto"/>
        <w:bottom w:val="none" w:sz="0" w:space="0" w:color="auto"/>
        <w:right w:val="none" w:sz="0" w:space="0" w:color="auto"/>
      </w:divBdr>
    </w:div>
    <w:div w:id="1460490028">
      <w:bodyDiv w:val="1"/>
      <w:marLeft w:val="0"/>
      <w:marRight w:val="0"/>
      <w:marTop w:val="0"/>
      <w:marBottom w:val="0"/>
      <w:divBdr>
        <w:top w:val="none" w:sz="0" w:space="0" w:color="auto"/>
        <w:left w:val="none" w:sz="0" w:space="0" w:color="auto"/>
        <w:bottom w:val="none" w:sz="0" w:space="0" w:color="auto"/>
        <w:right w:val="none" w:sz="0" w:space="0" w:color="auto"/>
      </w:divBdr>
    </w:div>
    <w:div w:id="1511991015">
      <w:bodyDiv w:val="1"/>
      <w:marLeft w:val="0"/>
      <w:marRight w:val="0"/>
      <w:marTop w:val="0"/>
      <w:marBottom w:val="0"/>
      <w:divBdr>
        <w:top w:val="none" w:sz="0" w:space="0" w:color="auto"/>
        <w:left w:val="none" w:sz="0" w:space="0" w:color="auto"/>
        <w:bottom w:val="none" w:sz="0" w:space="0" w:color="auto"/>
        <w:right w:val="none" w:sz="0" w:space="0" w:color="auto"/>
      </w:divBdr>
    </w:div>
    <w:div w:id="1536968623">
      <w:bodyDiv w:val="1"/>
      <w:marLeft w:val="0"/>
      <w:marRight w:val="0"/>
      <w:marTop w:val="0"/>
      <w:marBottom w:val="0"/>
      <w:divBdr>
        <w:top w:val="none" w:sz="0" w:space="0" w:color="auto"/>
        <w:left w:val="none" w:sz="0" w:space="0" w:color="auto"/>
        <w:bottom w:val="none" w:sz="0" w:space="0" w:color="auto"/>
        <w:right w:val="none" w:sz="0" w:space="0" w:color="auto"/>
      </w:divBdr>
    </w:div>
    <w:div w:id="1539931503">
      <w:bodyDiv w:val="1"/>
      <w:marLeft w:val="0"/>
      <w:marRight w:val="0"/>
      <w:marTop w:val="0"/>
      <w:marBottom w:val="0"/>
      <w:divBdr>
        <w:top w:val="none" w:sz="0" w:space="0" w:color="auto"/>
        <w:left w:val="none" w:sz="0" w:space="0" w:color="auto"/>
        <w:bottom w:val="none" w:sz="0" w:space="0" w:color="auto"/>
        <w:right w:val="none" w:sz="0" w:space="0" w:color="auto"/>
      </w:divBdr>
    </w:div>
    <w:div w:id="1578176175">
      <w:bodyDiv w:val="1"/>
      <w:marLeft w:val="0"/>
      <w:marRight w:val="0"/>
      <w:marTop w:val="0"/>
      <w:marBottom w:val="0"/>
      <w:divBdr>
        <w:top w:val="none" w:sz="0" w:space="0" w:color="auto"/>
        <w:left w:val="none" w:sz="0" w:space="0" w:color="auto"/>
        <w:bottom w:val="none" w:sz="0" w:space="0" w:color="auto"/>
        <w:right w:val="none" w:sz="0" w:space="0" w:color="auto"/>
      </w:divBdr>
    </w:div>
    <w:div w:id="1660571229">
      <w:bodyDiv w:val="1"/>
      <w:marLeft w:val="0"/>
      <w:marRight w:val="0"/>
      <w:marTop w:val="0"/>
      <w:marBottom w:val="0"/>
      <w:divBdr>
        <w:top w:val="none" w:sz="0" w:space="0" w:color="auto"/>
        <w:left w:val="none" w:sz="0" w:space="0" w:color="auto"/>
        <w:bottom w:val="none" w:sz="0" w:space="0" w:color="auto"/>
        <w:right w:val="none" w:sz="0" w:space="0" w:color="auto"/>
      </w:divBdr>
    </w:div>
    <w:div w:id="1754157713">
      <w:bodyDiv w:val="1"/>
      <w:marLeft w:val="0"/>
      <w:marRight w:val="0"/>
      <w:marTop w:val="0"/>
      <w:marBottom w:val="0"/>
      <w:divBdr>
        <w:top w:val="none" w:sz="0" w:space="0" w:color="auto"/>
        <w:left w:val="none" w:sz="0" w:space="0" w:color="auto"/>
        <w:bottom w:val="none" w:sz="0" w:space="0" w:color="auto"/>
        <w:right w:val="none" w:sz="0" w:space="0" w:color="auto"/>
      </w:divBdr>
    </w:div>
    <w:div w:id="1800802138">
      <w:bodyDiv w:val="1"/>
      <w:marLeft w:val="0"/>
      <w:marRight w:val="0"/>
      <w:marTop w:val="0"/>
      <w:marBottom w:val="0"/>
      <w:divBdr>
        <w:top w:val="none" w:sz="0" w:space="0" w:color="auto"/>
        <w:left w:val="none" w:sz="0" w:space="0" w:color="auto"/>
        <w:bottom w:val="none" w:sz="0" w:space="0" w:color="auto"/>
        <w:right w:val="none" w:sz="0" w:space="0" w:color="auto"/>
      </w:divBdr>
    </w:div>
    <w:div w:id="1881702225">
      <w:bodyDiv w:val="1"/>
      <w:marLeft w:val="0"/>
      <w:marRight w:val="0"/>
      <w:marTop w:val="0"/>
      <w:marBottom w:val="0"/>
      <w:divBdr>
        <w:top w:val="none" w:sz="0" w:space="0" w:color="auto"/>
        <w:left w:val="none" w:sz="0" w:space="0" w:color="auto"/>
        <w:bottom w:val="none" w:sz="0" w:space="0" w:color="auto"/>
        <w:right w:val="none" w:sz="0" w:space="0" w:color="auto"/>
      </w:divBdr>
    </w:div>
    <w:div w:id="1899902415">
      <w:bodyDiv w:val="1"/>
      <w:marLeft w:val="0"/>
      <w:marRight w:val="0"/>
      <w:marTop w:val="0"/>
      <w:marBottom w:val="0"/>
      <w:divBdr>
        <w:top w:val="none" w:sz="0" w:space="0" w:color="auto"/>
        <w:left w:val="none" w:sz="0" w:space="0" w:color="auto"/>
        <w:bottom w:val="none" w:sz="0" w:space="0" w:color="auto"/>
        <w:right w:val="none" w:sz="0" w:space="0" w:color="auto"/>
      </w:divBdr>
    </w:div>
    <w:div w:id="1912812842">
      <w:bodyDiv w:val="1"/>
      <w:marLeft w:val="0"/>
      <w:marRight w:val="0"/>
      <w:marTop w:val="0"/>
      <w:marBottom w:val="0"/>
      <w:divBdr>
        <w:top w:val="none" w:sz="0" w:space="0" w:color="auto"/>
        <w:left w:val="none" w:sz="0" w:space="0" w:color="auto"/>
        <w:bottom w:val="none" w:sz="0" w:space="0" w:color="auto"/>
        <w:right w:val="none" w:sz="0" w:space="0" w:color="auto"/>
      </w:divBdr>
    </w:div>
    <w:div w:id="1979066843">
      <w:bodyDiv w:val="1"/>
      <w:marLeft w:val="0"/>
      <w:marRight w:val="0"/>
      <w:marTop w:val="0"/>
      <w:marBottom w:val="0"/>
      <w:divBdr>
        <w:top w:val="none" w:sz="0" w:space="0" w:color="auto"/>
        <w:left w:val="none" w:sz="0" w:space="0" w:color="auto"/>
        <w:bottom w:val="none" w:sz="0" w:space="0" w:color="auto"/>
        <w:right w:val="none" w:sz="0" w:space="0" w:color="auto"/>
      </w:divBdr>
    </w:div>
    <w:div w:id="2080513139">
      <w:bodyDiv w:val="1"/>
      <w:marLeft w:val="0"/>
      <w:marRight w:val="0"/>
      <w:marTop w:val="0"/>
      <w:marBottom w:val="0"/>
      <w:divBdr>
        <w:top w:val="none" w:sz="0" w:space="0" w:color="auto"/>
        <w:left w:val="none" w:sz="0" w:space="0" w:color="auto"/>
        <w:bottom w:val="none" w:sz="0" w:space="0" w:color="auto"/>
        <w:right w:val="none" w:sz="0" w:space="0" w:color="auto"/>
      </w:divBdr>
    </w:div>
    <w:div w:id="2103062024">
      <w:bodyDiv w:val="1"/>
      <w:marLeft w:val="0"/>
      <w:marRight w:val="0"/>
      <w:marTop w:val="0"/>
      <w:marBottom w:val="0"/>
      <w:divBdr>
        <w:top w:val="none" w:sz="0" w:space="0" w:color="auto"/>
        <w:left w:val="none" w:sz="0" w:space="0" w:color="auto"/>
        <w:bottom w:val="none" w:sz="0" w:space="0" w:color="auto"/>
        <w:right w:val="none" w:sz="0" w:space="0" w:color="auto"/>
      </w:divBdr>
    </w:div>
    <w:div w:id="211570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proquest.com/scholarly-journals/shaping-event-portfolio-management-field-premises/docview/2459891278/se-2?accountid=130472" TargetMode="External"/><Relationship Id="rId26" Type="http://schemas.openxmlformats.org/officeDocument/2006/relationships/hyperlink" Target="https://doi.org/10.23977/tmte.2024.070210" TargetMode="External"/><Relationship Id="rId39" Type="http://schemas.openxmlformats.org/officeDocument/2006/relationships/hyperlink" Target="https://doi.org/10.1177/02761467231187848" TargetMode="External"/><Relationship Id="rId21" Type="http://schemas.openxmlformats.org/officeDocument/2006/relationships/hyperlink" Target="https://www.cvent.com/en/blog/events/event-app-features" TargetMode="External"/><Relationship Id="rId34" Type="http://schemas.openxmlformats.org/officeDocument/2006/relationships/hyperlink" Target="https://doi.org/10.33119/jmfs.2023.50.9" TargetMode="External"/><Relationship Id="rId42" Type="http://schemas.openxmlformats.org/officeDocument/2006/relationships/hyperlink" Target="https://doi.org/10.3727/152599522x16419948390925" TargetMode="External"/><Relationship Id="rId47" Type="http://schemas.openxmlformats.org/officeDocument/2006/relationships/hyperlink" Target="https://www.researchgate.net/publication/281645364_Assessing_the_implications_of_work-life_balance_practices_on_employees'_performance_in_the_hospitality_sector" TargetMode="External"/><Relationship Id="rId50" Type="http://schemas.openxmlformats.org/officeDocument/2006/relationships/image" Target="media/image1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60101/gbafr.2023.269044" TargetMode="External"/><Relationship Id="rId11" Type="http://schemas.openxmlformats.org/officeDocument/2006/relationships/image" Target="media/image4.jpeg"/><Relationship Id="rId24" Type="http://schemas.openxmlformats.org/officeDocument/2006/relationships/hyperlink" Target="https://doi.org/10.36948/ijfmr.2024.v06i05.28486" TargetMode="External"/><Relationship Id="rId32" Type="http://schemas.openxmlformats.org/officeDocument/2006/relationships/hyperlink" Target="https://doi.org/10.1080/21568316.2014.960595" TargetMode="External"/><Relationship Id="rId37" Type="http://schemas.openxmlformats.org/officeDocument/2006/relationships/hyperlink" Target="https://doi.org/10.3727/152599519x15506259856228" TargetMode="External"/><Relationship Id="rId40" Type="http://schemas.openxmlformats.org/officeDocument/2006/relationships/hyperlink" Target="https://openresearch.surrey.ac.uk/esploro/fulltext/journalArticle/Collaborative-Innovation-Catalyst-for-a-Destinations/99515397602346?repId=12139713210002346&amp;mId=13140282670002346&amp;institution=44SUR_INST" TargetMode="External"/><Relationship Id="rId45" Type="http://schemas.openxmlformats.org/officeDocument/2006/relationships/hyperlink" Target="https://doi.org/10.3727/152599519x1550625985631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brarysearch.uwtsd.ac.uk/permalink/44WHELF_UWTSD/upgrip/alma99100647735602421" TargetMode="External"/><Relationship Id="rId28" Type="http://schemas.openxmlformats.org/officeDocument/2006/relationships/hyperlink" Target="https://librarysearch.uwtsd.ac.uk/permalink/44WHELF_UWTSD/11c0l68/alma99100509002002421" TargetMode="External"/><Relationship Id="rId36" Type="http://schemas.openxmlformats.org/officeDocument/2006/relationships/hyperlink" Target="https://doi.org/10.21608/ijtah.2023.185020.1027" TargetMode="External"/><Relationship Id="rId49"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hyperlink" Target="https://www.academia.edu/download/64455302/Career%20paths%20and%20mobility%20in%20the%20Swe%20hospitaltiy%20sectorpdf.pdf" TargetMode="External"/><Relationship Id="rId31" Type="http://schemas.openxmlformats.org/officeDocument/2006/relationships/hyperlink" Target="https://doi.org/10.3727/152599517X14809630271311" TargetMode="External"/><Relationship Id="rId44" Type="http://schemas.openxmlformats.org/officeDocument/2006/relationships/hyperlink" Target="https://doi.org/10.31940/ijaste.v7i2.108-119"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3133/2037-3643_73.293_4" TargetMode="External"/><Relationship Id="rId27" Type="http://schemas.openxmlformats.org/officeDocument/2006/relationships/hyperlink" Target="https://doi.org/10.22610/imbr.v16i3(i).3916" TargetMode="External"/><Relationship Id="rId30" Type="http://schemas.openxmlformats.org/officeDocument/2006/relationships/hyperlink" Target="https://doi.org/10.24940/IJIRD/2020/V9/I12/DEC20033" TargetMode="External"/><Relationship Id="rId35" Type="http://schemas.openxmlformats.org/officeDocument/2006/relationships/hyperlink" Target="https://www.proquest.com/scholarly-journals/investigating-triangular-relationship-between/docview/2498996211/se-2?accountid=130472" TargetMode="External"/><Relationship Id="rId43" Type="http://schemas.openxmlformats.org/officeDocument/2006/relationships/hyperlink" Target="https://www.legislation.gov.uk/ukpga/2010/15/contents" TargetMode="External"/><Relationship Id="rId48" Type="http://schemas.openxmlformats.org/officeDocument/2006/relationships/hyperlink" Target="https://doi.org/10.4018/978-1-7998-3230-0.CH001" TargetMode="Externa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proquest.com/scholarly-journals/best-practice-marketing-strategies-malaysian/docview/2646686874/se-2?accountid=130472" TargetMode="External"/><Relationship Id="rId33" Type="http://schemas.openxmlformats.org/officeDocument/2006/relationships/hyperlink" Target="https://journals.ekb.eg/article_283564_ce9340ba3c4e8a64907131af0801d39c.pdf" TargetMode="External"/><Relationship Id="rId38" Type="http://schemas.openxmlformats.org/officeDocument/2006/relationships/hyperlink" Target="https://doi.org/10.33474/jisop.v5i1.20035" TargetMode="External"/><Relationship Id="rId46" Type="http://schemas.openxmlformats.org/officeDocument/2006/relationships/hyperlink" Target="https://www.proquest.com/scholarly-journals/towards-international-event-management-body/docview/2779475569/se-2?accountid=130472" TargetMode="External"/><Relationship Id="rId20" Type="http://schemas.openxmlformats.org/officeDocument/2006/relationships/hyperlink" Target="https://doi.org/10.4018/IJEPR.2018010102" TargetMode="External"/><Relationship Id="rId41" Type="http://schemas.openxmlformats.org/officeDocument/2006/relationships/hyperlink" Target="https://doi.org/10.1080/09537325.2023.229385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62043B-6B56-44D8-8E1B-D7B6C832B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6145</Words>
  <Characters>35031</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2025-02-22T20:59:00Z</dcterms:created>
  <dcterms:modified xsi:type="dcterms:W3CDTF">2025-02-28T22:28:00Z</dcterms:modified>
</cp:coreProperties>
</file>