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F49D98" w14:textId="77777777" w:rsidR="00547FA1" w:rsidRPr="001C066C" w:rsidRDefault="001E1BB8">
      <w:pPr>
        <w:rPr>
          <w:rFonts w:ascii="Arial" w:hAnsi="Arial" w:cs="Arial"/>
          <w:sz w:val="24"/>
          <w:szCs w:val="24"/>
          <w:u w:val="single"/>
        </w:rPr>
      </w:pPr>
      <w:r w:rsidRPr="001C066C">
        <w:rPr>
          <w:rFonts w:ascii="Arial" w:hAnsi="Arial" w:cs="Arial"/>
          <w:sz w:val="24"/>
          <w:szCs w:val="24"/>
          <w:u w:val="single"/>
        </w:rPr>
        <w:t xml:space="preserve">Reference list </w:t>
      </w:r>
      <w:r w:rsidR="00B1087A" w:rsidRPr="001C066C">
        <w:rPr>
          <w:rFonts w:ascii="Arial" w:hAnsi="Arial" w:cs="Arial"/>
          <w:sz w:val="24"/>
          <w:szCs w:val="24"/>
          <w:u w:val="single"/>
        </w:rPr>
        <w:t xml:space="preserve">                                                                                            </w:t>
      </w:r>
    </w:p>
    <w:p w14:paraId="79E61E1F" w14:textId="642C7E42" w:rsidR="00D23A86" w:rsidRPr="001C066C" w:rsidRDefault="006C7BFE">
      <w:pPr>
        <w:rPr>
          <w:rFonts w:ascii="Arial" w:hAnsi="Arial" w:cs="Arial"/>
          <w:sz w:val="24"/>
          <w:szCs w:val="24"/>
          <w:u w:val="single"/>
        </w:rPr>
      </w:pPr>
      <w:r w:rsidRPr="001C066C">
        <w:rPr>
          <w:rFonts w:ascii="Arial" w:hAnsi="Arial" w:cs="Arial"/>
          <w:sz w:val="24"/>
          <w:szCs w:val="24"/>
          <w:u w:val="single"/>
        </w:rPr>
        <w:t>EAEE4006</w:t>
      </w:r>
    </w:p>
    <w:p w14:paraId="14888F06" w14:textId="55E38F5A" w:rsidR="00211110" w:rsidRPr="001C066C" w:rsidRDefault="00211110">
      <w:pPr>
        <w:rPr>
          <w:rFonts w:ascii="Arial" w:hAnsi="Arial" w:cs="Arial"/>
          <w:sz w:val="24"/>
          <w:szCs w:val="24"/>
        </w:rPr>
      </w:pPr>
    </w:p>
    <w:p w14:paraId="12DAC671" w14:textId="5ACE2A5C" w:rsidR="001F0EC7" w:rsidRPr="001C066C" w:rsidRDefault="001F0EC7">
      <w:pPr>
        <w:rPr>
          <w:rFonts w:ascii="Arial" w:hAnsi="Arial" w:cs="Arial"/>
          <w:sz w:val="24"/>
          <w:szCs w:val="24"/>
        </w:rPr>
      </w:pPr>
      <w:r w:rsidRPr="001C066C">
        <w:rPr>
          <w:rFonts w:ascii="Arial" w:hAnsi="Arial" w:cs="Arial"/>
          <w:sz w:val="24"/>
          <w:szCs w:val="24"/>
        </w:rPr>
        <w:t xml:space="preserve">Early Years Careers (2016). </w:t>
      </w:r>
      <w:r w:rsidRPr="001C066C">
        <w:rPr>
          <w:rFonts w:ascii="Arial" w:hAnsi="Arial" w:cs="Arial"/>
          <w:i/>
          <w:iCs/>
          <w:sz w:val="24"/>
          <w:szCs w:val="24"/>
        </w:rPr>
        <w:t>The adult’s role in supporting bilingual children.</w:t>
      </w:r>
      <w:r w:rsidRPr="001C066C">
        <w:rPr>
          <w:rFonts w:ascii="Arial" w:hAnsi="Arial" w:cs="Arial"/>
          <w:sz w:val="24"/>
          <w:szCs w:val="24"/>
        </w:rPr>
        <w:t xml:space="preserve"> </w:t>
      </w:r>
      <w:r w:rsidR="001C066C" w:rsidRPr="001C066C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="001C066C" w:rsidRPr="001C066C">
          <w:rPr>
            <w:rStyle w:val="Hyperlink"/>
            <w:rFonts w:ascii="Arial" w:hAnsi="Arial" w:cs="Arial"/>
            <w:sz w:val="24"/>
            <w:szCs w:val="24"/>
          </w:rPr>
          <w:t>https://www.earlyyearscareers.com/eyc/learning-and-development/the-adults-role-in-supporting-bilingual-children/</w:t>
        </w:r>
      </w:hyperlink>
      <w:r w:rsidRPr="001C066C">
        <w:rPr>
          <w:rFonts w:ascii="Arial" w:hAnsi="Arial" w:cs="Arial"/>
          <w:sz w:val="24"/>
          <w:szCs w:val="24"/>
        </w:rPr>
        <w:t xml:space="preserve"> [Accessed on 7</w:t>
      </w:r>
      <w:r w:rsidRPr="001C066C">
        <w:rPr>
          <w:rFonts w:ascii="Arial" w:hAnsi="Arial" w:cs="Arial"/>
          <w:sz w:val="24"/>
          <w:szCs w:val="24"/>
          <w:vertAlign w:val="superscript"/>
        </w:rPr>
        <w:t>th</w:t>
      </w:r>
      <w:r w:rsidRPr="001C066C">
        <w:rPr>
          <w:rFonts w:ascii="Arial" w:hAnsi="Arial" w:cs="Arial"/>
          <w:sz w:val="24"/>
          <w:szCs w:val="24"/>
        </w:rPr>
        <w:t xml:space="preserve"> July 2021]</w:t>
      </w:r>
    </w:p>
    <w:p w14:paraId="244654CD" w14:textId="77777777" w:rsidR="00DC34A8" w:rsidRDefault="00DC34A8">
      <w:pPr>
        <w:rPr>
          <w:rFonts w:ascii="Arial" w:hAnsi="Arial" w:cs="Arial"/>
          <w:sz w:val="24"/>
          <w:szCs w:val="24"/>
        </w:rPr>
      </w:pPr>
    </w:p>
    <w:p w14:paraId="6DFB92EC" w14:textId="654BB407" w:rsidR="001F0EC7" w:rsidRPr="001C066C" w:rsidRDefault="001F0EC7">
      <w:pPr>
        <w:rPr>
          <w:rFonts w:ascii="Arial" w:hAnsi="Arial" w:cs="Arial"/>
          <w:sz w:val="24"/>
          <w:szCs w:val="24"/>
        </w:rPr>
      </w:pPr>
      <w:r w:rsidRPr="001C066C">
        <w:rPr>
          <w:rFonts w:ascii="Arial" w:hAnsi="Arial" w:cs="Arial"/>
          <w:sz w:val="24"/>
          <w:szCs w:val="24"/>
        </w:rPr>
        <w:t xml:space="preserve">International School Parents (2021). </w:t>
      </w:r>
      <w:r w:rsidRPr="001C066C">
        <w:rPr>
          <w:rFonts w:ascii="Arial" w:hAnsi="Arial" w:cs="Arial"/>
          <w:i/>
          <w:iCs/>
          <w:sz w:val="24"/>
          <w:szCs w:val="24"/>
        </w:rPr>
        <w:t>The benefits of a bilingual education</w:t>
      </w:r>
      <w:r w:rsidRPr="001C066C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1C066C">
          <w:rPr>
            <w:rStyle w:val="Hyperlink"/>
            <w:rFonts w:ascii="Arial" w:hAnsi="Arial" w:cs="Arial"/>
            <w:sz w:val="24"/>
            <w:szCs w:val="24"/>
          </w:rPr>
          <w:t>https://www.internationalschoolparent.com/articles/benefits-bilingual-education</w:t>
        </w:r>
      </w:hyperlink>
      <w:r w:rsidRPr="001C066C">
        <w:rPr>
          <w:rFonts w:ascii="Arial" w:hAnsi="Arial" w:cs="Arial"/>
          <w:sz w:val="24"/>
          <w:szCs w:val="24"/>
        </w:rPr>
        <w:t xml:space="preserve"> [Accessed on 5</w:t>
      </w:r>
      <w:r w:rsidRPr="001C066C">
        <w:rPr>
          <w:rFonts w:ascii="Arial" w:hAnsi="Arial" w:cs="Arial"/>
          <w:sz w:val="24"/>
          <w:szCs w:val="24"/>
          <w:vertAlign w:val="superscript"/>
        </w:rPr>
        <w:t>th</w:t>
      </w:r>
      <w:r w:rsidRPr="001C066C">
        <w:rPr>
          <w:rFonts w:ascii="Arial" w:hAnsi="Arial" w:cs="Arial"/>
          <w:sz w:val="24"/>
          <w:szCs w:val="24"/>
        </w:rPr>
        <w:t xml:space="preserve"> July 2021]</w:t>
      </w:r>
    </w:p>
    <w:p w14:paraId="7F48CC9E" w14:textId="77777777" w:rsidR="00DC34A8" w:rsidRDefault="00DC34A8">
      <w:pPr>
        <w:rPr>
          <w:rFonts w:ascii="Arial" w:hAnsi="Arial" w:cs="Arial"/>
          <w:sz w:val="24"/>
          <w:szCs w:val="24"/>
        </w:rPr>
      </w:pPr>
    </w:p>
    <w:p w14:paraId="177319EF" w14:textId="392FF14C" w:rsidR="001F0EC7" w:rsidRPr="001C066C" w:rsidRDefault="001F0EC7">
      <w:pPr>
        <w:rPr>
          <w:rFonts w:ascii="Arial" w:hAnsi="Arial" w:cs="Arial"/>
          <w:sz w:val="24"/>
          <w:szCs w:val="24"/>
        </w:rPr>
      </w:pPr>
      <w:r w:rsidRPr="001C066C">
        <w:rPr>
          <w:rFonts w:ascii="Arial" w:hAnsi="Arial" w:cs="Arial"/>
          <w:sz w:val="24"/>
          <w:szCs w:val="24"/>
        </w:rPr>
        <w:t xml:space="preserve">Michigan State University white graphic Menu MSU Extension Early Childhood Development (2019). </w:t>
      </w:r>
      <w:r w:rsidRPr="001C066C">
        <w:rPr>
          <w:rFonts w:ascii="Arial" w:hAnsi="Arial" w:cs="Arial"/>
          <w:i/>
          <w:iCs/>
          <w:sz w:val="24"/>
          <w:szCs w:val="24"/>
        </w:rPr>
        <w:t xml:space="preserve">Advantages of a bilingual brain. </w:t>
      </w:r>
      <w:hyperlink r:id="rId7" w:history="1">
        <w:r w:rsidRPr="001C066C">
          <w:rPr>
            <w:rStyle w:val="Hyperlink"/>
            <w:rFonts w:ascii="Arial" w:hAnsi="Arial" w:cs="Arial"/>
            <w:sz w:val="24"/>
            <w:szCs w:val="24"/>
          </w:rPr>
          <w:t>https://www.canr.msu.edu/news/advantages_of_a_bilingual_brain</w:t>
        </w:r>
      </w:hyperlink>
      <w:r w:rsidRPr="001C066C">
        <w:rPr>
          <w:rFonts w:ascii="Arial" w:hAnsi="Arial" w:cs="Arial"/>
          <w:sz w:val="24"/>
          <w:szCs w:val="24"/>
        </w:rPr>
        <w:t xml:space="preserve"> [Accessed 7</w:t>
      </w:r>
      <w:r w:rsidRPr="001C066C">
        <w:rPr>
          <w:rFonts w:ascii="Arial" w:hAnsi="Arial" w:cs="Arial"/>
          <w:sz w:val="24"/>
          <w:szCs w:val="24"/>
          <w:vertAlign w:val="superscript"/>
        </w:rPr>
        <w:t>th</w:t>
      </w:r>
      <w:r w:rsidRPr="001C066C">
        <w:rPr>
          <w:rFonts w:ascii="Arial" w:hAnsi="Arial" w:cs="Arial"/>
          <w:sz w:val="24"/>
          <w:szCs w:val="24"/>
        </w:rPr>
        <w:t xml:space="preserve"> July 2021] </w:t>
      </w:r>
    </w:p>
    <w:p w14:paraId="4C396712" w14:textId="77777777" w:rsidR="00DC34A8" w:rsidRDefault="00DC34A8">
      <w:pPr>
        <w:rPr>
          <w:rFonts w:ascii="Arial" w:hAnsi="Arial" w:cs="Arial"/>
          <w:sz w:val="24"/>
          <w:szCs w:val="24"/>
        </w:rPr>
      </w:pPr>
    </w:p>
    <w:p w14:paraId="4D542388" w14:textId="26DECBB3" w:rsidR="006908CD" w:rsidRPr="001C066C" w:rsidRDefault="001F0EC7">
      <w:pPr>
        <w:rPr>
          <w:rFonts w:ascii="Arial" w:hAnsi="Arial" w:cs="Arial"/>
          <w:sz w:val="24"/>
          <w:szCs w:val="24"/>
        </w:rPr>
      </w:pPr>
      <w:r w:rsidRPr="001C066C">
        <w:rPr>
          <w:rFonts w:ascii="Arial" w:hAnsi="Arial" w:cs="Arial"/>
          <w:sz w:val="24"/>
          <w:szCs w:val="24"/>
        </w:rPr>
        <w:t xml:space="preserve">Science Direct (2021). </w:t>
      </w:r>
      <w:r w:rsidRPr="001C066C">
        <w:rPr>
          <w:rFonts w:ascii="Arial" w:hAnsi="Arial" w:cs="Arial"/>
          <w:i/>
          <w:iCs/>
          <w:sz w:val="24"/>
          <w:szCs w:val="24"/>
        </w:rPr>
        <w:t>Bilingualism</w:t>
      </w:r>
      <w:r w:rsidRPr="001C066C">
        <w:rPr>
          <w:rFonts w:ascii="Arial" w:hAnsi="Arial" w:cs="Arial"/>
          <w:sz w:val="24"/>
          <w:szCs w:val="24"/>
        </w:rPr>
        <w:t xml:space="preserve">. Available at:  </w:t>
      </w:r>
      <w:hyperlink r:id="rId8" w:history="1">
        <w:r w:rsidRPr="001C066C">
          <w:rPr>
            <w:rStyle w:val="Hyperlink"/>
            <w:rFonts w:ascii="Arial" w:hAnsi="Arial" w:cs="Arial"/>
            <w:sz w:val="24"/>
            <w:szCs w:val="24"/>
          </w:rPr>
          <w:t>https://www.sciencedirect.com/topics/social-sciences/bilingualism</w:t>
        </w:r>
      </w:hyperlink>
      <w:r w:rsidRPr="001C066C">
        <w:rPr>
          <w:rFonts w:ascii="Arial" w:hAnsi="Arial" w:cs="Arial"/>
          <w:sz w:val="24"/>
          <w:szCs w:val="24"/>
        </w:rPr>
        <w:t xml:space="preserve"> [Accessed on 5</w:t>
      </w:r>
      <w:r w:rsidRPr="001C066C">
        <w:rPr>
          <w:rFonts w:ascii="Arial" w:hAnsi="Arial" w:cs="Arial"/>
          <w:sz w:val="24"/>
          <w:szCs w:val="24"/>
          <w:vertAlign w:val="superscript"/>
        </w:rPr>
        <w:t>th</w:t>
      </w:r>
      <w:r w:rsidRPr="001C066C">
        <w:rPr>
          <w:rFonts w:ascii="Arial" w:hAnsi="Arial" w:cs="Arial"/>
          <w:sz w:val="24"/>
          <w:szCs w:val="24"/>
        </w:rPr>
        <w:t xml:space="preserve"> July 2021]. </w:t>
      </w:r>
    </w:p>
    <w:p w14:paraId="5294AB2D" w14:textId="77777777" w:rsidR="00DC34A8" w:rsidRDefault="00DC34A8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9AEA667" w14:textId="5133FD99" w:rsidR="002079B6" w:rsidRPr="001C066C" w:rsidRDefault="002079B6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Baker, C., n.d.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Advantages of Bilingualism in Welsh and English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. Senedd. Wales. Available at: https://senedd.wales/NAfW%20Documents/paper_3_-_prof._colin_baker.pdf%20-%2002092010/paper_3_-_prof._colin_baker-English.pdf [Accessed 26 July 2021].</w:t>
      </w:r>
    </w:p>
    <w:p w14:paraId="6B3E4B92" w14:textId="77777777" w:rsidR="00CC4CE8" w:rsidRPr="001C066C" w:rsidRDefault="00CC4CE8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C32AA11" w14:textId="77777777" w:rsidR="002079B6" w:rsidRPr="001C066C" w:rsidRDefault="002079B6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Carmarthenshire.gov.wales (2021).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Advantages of being bilingual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 https://www.carmarthenshire.gov.wales/home/council-services/education-schools/bilingual-education/advantages-of-being-bilingual [Accessed 26 July 2021].</w:t>
      </w:r>
    </w:p>
    <w:p w14:paraId="5EB31030" w14:textId="4D94AB02" w:rsidR="002079B6" w:rsidRPr="001C066C" w:rsidRDefault="002079B6" w:rsidP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</w:p>
    <w:p w14:paraId="688E62C8" w14:textId="53CB9CA6" w:rsidR="002079B6" w:rsidRPr="001C066C" w:rsidRDefault="002079B6" w:rsidP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Drury, R. and Robertson, L (2008).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Why support bilingualism?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Naldic.org.uk. Available at: http://www.naldic.org.uk/Resources/NALDIC/Teaching%20and%20Learning/Documents/Whysupportbilingualism.pdf [Accessed 26 July 2021]. </w:t>
      </w:r>
    </w:p>
    <w:p w14:paraId="4CB8E11C" w14:textId="77777777" w:rsidR="00EA347E" w:rsidRPr="001C066C" w:rsidRDefault="00EA347E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C660EA0" w14:textId="514F0F2E" w:rsidR="002079B6" w:rsidRPr="001C066C" w:rsidRDefault="002079B6" w:rsidP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Hommel, B., Colzato, L., Fischer, R. and Christoffels, I (2011).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Bilingualism and creativity: benefits in convergent thinking come with losses in divergent thinking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Available at: https://www.frontiersin.org/articles/10.3389/fpsyg.2011.00273/full [Accessed 26 July 2021].</w:t>
      </w:r>
    </w:p>
    <w:p w14:paraId="624BD475" w14:textId="77777777" w:rsidR="002079B6" w:rsidRPr="001C066C" w:rsidRDefault="002079B6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2227F86" w14:textId="275F051F" w:rsidR="002079B6" w:rsidRPr="001C066C" w:rsidRDefault="002079B6" w:rsidP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Hwb.gov.wales (</w:t>
      </w:r>
      <w:proofErr w:type="spellStart"/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n.d</w:t>
      </w:r>
      <w:proofErr w:type="spellEnd"/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).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Welsh second language in the National Curriculum for Wales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https://hwb.gov.wales/api/storage/535c1f8f-5b2f-4243-a232-e669a3ec6a0b/welsh-second-language-in-the-national-curriculum.pdf [Accessed 26 July 2021]. </w:t>
      </w:r>
    </w:p>
    <w:p w14:paraId="035438F4" w14:textId="77777777" w:rsidR="000B50B8" w:rsidRPr="001C066C" w:rsidRDefault="000B50B8" w:rsidP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</w:p>
    <w:p w14:paraId="4878DB3B" w14:textId="2BA35810" w:rsidR="002079B6" w:rsidRPr="001C066C" w:rsidRDefault="002079B6" w:rsidP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Hwb.gov.wales (2003).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Developing the Curriculum Cymreig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 https://hwb.gov.wales/api/storage/8e68e2f5-851f-43b8-af24-9eb38cf62482/developing-the-curriculum-cymreig.pdf [Accessed 26 July 2021].</w:t>
      </w:r>
    </w:p>
    <w:p w14:paraId="40539CCA" w14:textId="77777777" w:rsidR="0002434E" w:rsidRPr="001C066C" w:rsidRDefault="0002434E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FB1F087" w14:textId="2F0B82AE" w:rsidR="002079B6" w:rsidRPr="001C066C" w:rsidRDefault="002079B6" w:rsidP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Hwb.gov.wales (2015).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Foundation Phase Framework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 https://hwb.gov.wales/api/storage/d5d8e39c-b534-40cb-a3f5-7e2e126d8077/foundation-phase-framework.pdf [Accessed 26 July 2021].</w:t>
      </w:r>
    </w:p>
    <w:p w14:paraId="58652509" w14:textId="77777777" w:rsidR="002079B6" w:rsidRPr="001C066C" w:rsidRDefault="002079B6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B4ABABD" w14:textId="433C45D0" w:rsidR="002079B6" w:rsidRDefault="002079B6" w:rsidP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Naldic.org.uk (2007).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Supporting children learning English as an additional language Guidance for practitioners in the Early Years Foundation Stage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https://www.naldic.org.uk/Resources/NALDIC/Teaching [Accessed 26 July 2021]. </w:t>
      </w:r>
    </w:p>
    <w:p w14:paraId="4A0F2CF3" w14:textId="77777777" w:rsidR="001C066C" w:rsidRPr="001C066C" w:rsidRDefault="001C066C" w:rsidP="002079B6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9F8E837" w14:textId="331B18DF" w:rsidR="006908CD" w:rsidRPr="001C066C" w:rsidRDefault="002079B6">
      <w:pPr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National Literacy Trust (2017). </w:t>
      </w:r>
      <w:r w:rsidRPr="001C06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Understanding bilingualism in the early years | National Literacy Trust</w:t>
      </w:r>
      <w:r w:rsidRPr="001C066C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 https://literacytrust.org.uk/resources/understanding-bilingualism-early-years [Accessed 26 July 2021].</w:t>
      </w:r>
    </w:p>
    <w:p w14:paraId="179337D0" w14:textId="05D0D3D3" w:rsidR="006908CD" w:rsidRPr="001C066C" w:rsidRDefault="006908CD">
      <w:pPr>
        <w:rPr>
          <w:rFonts w:ascii="Arial" w:hAnsi="Arial" w:cs="Arial"/>
          <w:sz w:val="24"/>
          <w:szCs w:val="24"/>
        </w:rPr>
      </w:pPr>
    </w:p>
    <w:sectPr w:rsidR="006908CD" w:rsidRPr="001C06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CA2"/>
    <w:rsid w:val="0002434E"/>
    <w:rsid w:val="00065D5E"/>
    <w:rsid w:val="000B50B8"/>
    <w:rsid w:val="000C7E9A"/>
    <w:rsid w:val="00171A7C"/>
    <w:rsid w:val="00172255"/>
    <w:rsid w:val="001B002A"/>
    <w:rsid w:val="001C066C"/>
    <w:rsid w:val="001E1BB8"/>
    <w:rsid w:val="001F0EC7"/>
    <w:rsid w:val="002079B6"/>
    <w:rsid w:val="00211110"/>
    <w:rsid w:val="002437BF"/>
    <w:rsid w:val="0024639A"/>
    <w:rsid w:val="0025324E"/>
    <w:rsid w:val="00291AC1"/>
    <w:rsid w:val="003236E1"/>
    <w:rsid w:val="0034707D"/>
    <w:rsid w:val="00374B71"/>
    <w:rsid w:val="0038204E"/>
    <w:rsid w:val="00420CD2"/>
    <w:rsid w:val="004F75FC"/>
    <w:rsid w:val="005154C5"/>
    <w:rsid w:val="00547FA1"/>
    <w:rsid w:val="006817A4"/>
    <w:rsid w:val="006908CD"/>
    <w:rsid w:val="006A6B2D"/>
    <w:rsid w:val="006C7BFE"/>
    <w:rsid w:val="00795631"/>
    <w:rsid w:val="007E2593"/>
    <w:rsid w:val="00821D3B"/>
    <w:rsid w:val="008C444F"/>
    <w:rsid w:val="009177BD"/>
    <w:rsid w:val="00935E74"/>
    <w:rsid w:val="009C39BB"/>
    <w:rsid w:val="00B1087A"/>
    <w:rsid w:val="00B21589"/>
    <w:rsid w:val="00B410B6"/>
    <w:rsid w:val="00B847F2"/>
    <w:rsid w:val="00BA78C3"/>
    <w:rsid w:val="00BD5060"/>
    <w:rsid w:val="00C32CA2"/>
    <w:rsid w:val="00C47AF5"/>
    <w:rsid w:val="00C77FC6"/>
    <w:rsid w:val="00C91018"/>
    <w:rsid w:val="00C910F9"/>
    <w:rsid w:val="00C96FC0"/>
    <w:rsid w:val="00C97398"/>
    <w:rsid w:val="00CC4CE8"/>
    <w:rsid w:val="00D20ED3"/>
    <w:rsid w:val="00D23A86"/>
    <w:rsid w:val="00D277AB"/>
    <w:rsid w:val="00D756DD"/>
    <w:rsid w:val="00DC34A8"/>
    <w:rsid w:val="00EA347E"/>
    <w:rsid w:val="00EB2CDF"/>
    <w:rsid w:val="00ED6FD4"/>
    <w:rsid w:val="00F5275C"/>
    <w:rsid w:val="00F950AC"/>
    <w:rsid w:val="00FE4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42F29"/>
  <w15:chartTrackingRefBased/>
  <w15:docId w15:val="{594B7C21-5689-4E50-A4EE-008F07A3C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7E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2C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CA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2CA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C7E9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topics/social-sciences/bilingualis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anr.msu.edu/news/advantages_of_a_bilingual_brai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internationalschoolparent.com/articles/benefits-bilingual-education" TargetMode="External"/><Relationship Id="rId5" Type="http://schemas.openxmlformats.org/officeDocument/2006/relationships/hyperlink" Target="https://www.earlyyearscareers.com/eyc/learning-and-development/the-adults-role-in-supporting-bilingual-children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FC7C8E-C47E-43CF-BC17-877A6A7F14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2</Pages>
  <Words>505</Words>
  <Characters>2885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Tasha Cooney</dc:creator>
  <cp:keywords/>
  <dc:description/>
  <cp:lastModifiedBy>Natashia Cooney (2006255)</cp:lastModifiedBy>
  <cp:revision>59</cp:revision>
  <dcterms:created xsi:type="dcterms:W3CDTF">2021-03-27T20:15:00Z</dcterms:created>
  <dcterms:modified xsi:type="dcterms:W3CDTF">2021-07-27T18:01:00Z</dcterms:modified>
</cp:coreProperties>
</file>