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255A2" w14:textId="77777777" w:rsidR="00EA75F3" w:rsidRDefault="00EA75F3">
      <w:pPr>
        <w:spacing w:after="1200"/>
      </w:pPr>
    </w:p>
    <w:p w14:paraId="641C08E2" w14:textId="3BE4CADA" w:rsidR="00EA75F3" w:rsidRDefault="00000000">
      <w:pPr>
        <w:spacing w:after="200"/>
        <w:jc w:val="center"/>
      </w:pPr>
      <w:r>
        <w:rPr>
          <w:b/>
          <w:bCs/>
          <w:sz w:val="32"/>
          <w:szCs w:val="32"/>
        </w:rPr>
        <w:t>Ad</w:t>
      </w:r>
      <w:r w:rsidR="00244FF5">
        <w:rPr>
          <w:b/>
          <w:bCs/>
          <w:sz w:val="32"/>
          <w:szCs w:val="32"/>
        </w:rPr>
        <w:t>ebukola Abayomi</w:t>
      </w:r>
    </w:p>
    <w:p w14:paraId="228DA88F" w14:textId="6BB60704" w:rsidR="00EA75F3" w:rsidRDefault="00244FF5">
      <w:pPr>
        <w:spacing w:after="600"/>
        <w:jc w:val="center"/>
      </w:pPr>
      <w:r>
        <w:rPr>
          <w:sz w:val="24"/>
          <w:szCs w:val="24"/>
        </w:rPr>
        <w:t>2532397</w:t>
      </w:r>
    </w:p>
    <w:p w14:paraId="2F88435A" w14:textId="77777777" w:rsidR="00EA75F3" w:rsidRDefault="00000000">
      <w:pPr>
        <w:spacing w:after="200"/>
        <w:jc w:val="center"/>
      </w:pPr>
      <w:r>
        <w:rPr>
          <w:b/>
          <w:bCs/>
          <w:sz w:val="26"/>
          <w:szCs w:val="26"/>
        </w:rPr>
        <w:t>Module: LCHS4007</w:t>
      </w:r>
    </w:p>
    <w:p w14:paraId="198C9F87" w14:textId="0F740096" w:rsidR="00EA75F3" w:rsidRDefault="00244FF5">
      <w:pPr>
        <w:spacing w:after="600"/>
        <w:jc w:val="center"/>
      </w:pPr>
      <w:r>
        <w:rPr>
          <w:sz w:val="24"/>
          <w:szCs w:val="24"/>
        </w:rPr>
        <w:t>Dr Kwame Assa-Agyei</w:t>
      </w:r>
    </w:p>
    <w:p w14:paraId="42D0AAA0" w14:textId="77777777" w:rsidR="00EA75F3" w:rsidRDefault="00000000">
      <w:pPr>
        <w:spacing w:after="200"/>
        <w:jc w:val="center"/>
      </w:pPr>
      <w:r>
        <w:rPr>
          <w:b/>
          <w:bCs/>
          <w:sz w:val="28"/>
          <w:szCs w:val="28"/>
        </w:rPr>
        <w:t>‘She Didn't Know How to Go Back’: School Attendance Problems in the Context of the COVID-19 Pandemic</w:t>
      </w:r>
    </w:p>
    <w:p w14:paraId="5A2E98E3" w14:textId="77777777" w:rsidR="00EA75F3" w:rsidRDefault="00000000">
      <w:pPr>
        <w:spacing w:after="1200"/>
        <w:jc w:val="center"/>
      </w:pPr>
      <w:r>
        <w:rPr>
          <w:i/>
          <w:iCs/>
          <w:sz w:val="24"/>
          <w:szCs w:val="24"/>
        </w:rPr>
        <w:t>Individual Report (Component 2)</w:t>
      </w:r>
    </w:p>
    <w:p w14:paraId="48AC115C" w14:textId="77777777" w:rsidR="00EA75F3" w:rsidRDefault="00000000">
      <w:r>
        <w:br w:type="page"/>
      </w:r>
    </w:p>
    <w:p w14:paraId="0C22C88C" w14:textId="77777777" w:rsidR="00EA75F3" w:rsidRDefault="00000000">
      <w:pPr>
        <w:pStyle w:val="Heading1"/>
        <w:spacing w:before="320" w:after="160"/>
      </w:pPr>
      <w:r>
        <w:lastRenderedPageBreak/>
        <w:t>Section 1: Introducing the Research Paper and Topic Development</w:t>
      </w:r>
    </w:p>
    <w:p w14:paraId="2D745955" w14:textId="77777777" w:rsidR="00EA75F3" w:rsidRDefault="00000000">
      <w:pPr>
        <w:pStyle w:val="Heading2"/>
        <w:spacing w:before="240" w:after="120"/>
      </w:pPr>
      <w:r>
        <w:t>1.1 Paper Details (Title, Author(s) and Year of Publication)</w:t>
      </w:r>
    </w:p>
    <w:p w14:paraId="6393EDBD" w14:textId="77777777" w:rsidR="00EA75F3" w:rsidRDefault="00000000">
      <w:pPr>
        <w:spacing w:after="200" w:line="360" w:lineRule="auto"/>
      </w:pPr>
      <w:r>
        <w:t>This report examines a paper entitled '‘She didn't know how to go back’: School attendance problems in the context of the COVID-19 pandemic — A multiple stakeholder qualitative study with parents and professionals', written by Brontë McDonald, Kathryn J. Lester and Daniel Michelson, and published in 2023 in the British Journal of Educational Psychology.</w:t>
      </w:r>
    </w:p>
    <w:p w14:paraId="3D146006" w14:textId="77777777" w:rsidR="00EA75F3" w:rsidRDefault="00000000">
      <w:pPr>
        <w:pStyle w:val="Heading2"/>
        <w:spacing w:before="240" w:after="120"/>
      </w:pPr>
      <w:r>
        <w:t>1.2 Main Topic or Problem Explored in the Paper</w:t>
      </w:r>
    </w:p>
    <w:p w14:paraId="51B4A364" w14:textId="77777777" w:rsidR="00EA75F3" w:rsidRDefault="00000000">
      <w:pPr>
        <w:spacing w:after="200" w:line="360" w:lineRule="auto"/>
      </w:pPr>
      <w:r>
        <w:t>Why did getting children back through the school gates prove so much harder for some families than others once lockdowns lifted? That is the puzzle sitting at the centre of this paper. McDonald, Lester and Michelson (2023) noticed that persistent school absence did not simply disappear once restrictions eased, and they wanted to understand what was really going on underneath the headline attendance figures. Rather than assuming children were simply choosing not to go in, the researchers explored a tangle of contributing factors, ranging from anxiety about catching the virus and confusion over constantly shifting rules, through to children who had grown so used to the routines of home learning that school itself had started to feel unfamiliar and even frightening. The pandemic had not created these difficulties from nothing, but it had clearly made existing vulnerabilities, such as anxiety or unmet additional needs, considerably harder to manage.</w:t>
      </w:r>
    </w:p>
    <w:p w14:paraId="19ED0BAC" w14:textId="77777777" w:rsidR="00EA75F3" w:rsidRDefault="00000000">
      <w:pPr>
        <w:pStyle w:val="Heading2"/>
        <w:spacing w:before="240" w:after="120"/>
      </w:pPr>
      <w:r>
        <w:t>1.3 Who Is the Research About?</w:t>
      </w:r>
    </w:p>
    <w:p w14:paraId="35E57EE1" w14:textId="77777777" w:rsidR="00EA75F3" w:rsidRDefault="00000000">
      <w:pPr>
        <w:spacing w:after="200" w:line="360" w:lineRule="auto"/>
      </w:pPr>
      <w:r>
        <w:t xml:space="preserve">The study draws on two groups of people: parents of primary school children who had experienced attendance difficulties, and the professionals working alongside them, including headteachers, class teachers, educational psychologists and mental health practitioners. Twenty-nine parents and nineteen professionals contributed to an initial survey stage, and a smaller subset, ten parents and twelve professionals, went on to take part in longer, more detailed interviews. Bringing both perspectives together mattered here, since parents could describe what attendance problems </w:t>
      </w:r>
      <w:proofErr w:type="gramStart"/>
      <w:r>
        <w:t>actually looked</w:t>
      </w:r>
      <w:proofErr w:type="gramEnd"/>
      <w:r>
        <w:t xml:space="preserve"> like at home each morning, while professionals could speak to the wider school systems, routines and policy pressures shaping how those problems were being handled.</w:t>
      </w:r>
    </w:p>
    <w:p w14:paraId="40415CD3" w14:textId="77777777" w:rsidR="00EA75F3" w:rsidRDefault="00000000">
      <w:pPr>
        <w:pStyle w:val="Heading2"/>
        <w:spacing w:before="240" w:after="120"/>
      </w:pPr>
      <w:r>
        <w:t>1.4 Why Is This Topic Important in UK Health and Social Care?</w:t>
      </w:r>
    </w:p>
    <w:p w14:paraId="2692D163" w14:textId="77777777" w:rsidR="00EA75F3" w:rsidRDefault="00000000">
      <w:pPr>
        <w:spacing w:after="200" w:line="360" w:lineRule="auto"/>
      </w:pPr>
      <w:r>
        <w:t xml:space="preserve">School attendance might sound like a purely educational concern, but it sits much closer to health and social care than it first appears. Persistent absence has long been linked to poorer mental health, social isolation and weaker long-term outcomes for children, and the Children's Commissioner (2022) found that a large share of pandemic-era absences </w:t>
      </w:r>
      <w:proofErr w:type="gramStart"/>
      <w:r>
        <w:t>were</w:t>
      </w:r>
      <w:proofErr w:type="gramEnd"/>
      <w:r>
        <w:t xml:space="preserve"> </w:t>
      </w:r>
      <w:r>
        <w:lastRenderedPageBreak/>
        <w:t>driven by anxiety and disrupted routines rather than illness itself. Creswell et al. (2021) add further weight to this, reporting a marked rise in child and adolescent mental health difficulties across the pandemic period, particularly among children already facing additional needs or family stress. Taken together, this suggests that tackling school attendance properly cannot be left to schools alone, and instead calls for closer coordination between education, health and social care services.</w:t>
      </w:r>
    </w:p>
    <w:p w14:paraId="6977886C" w14:textId="77777777" w:rsidR="00EA75F3" w:rsidRDefault="00000000">
      <w:pPr>
        <w:pStyle w:val="Heading1"/>
        <w:spacing w:before="320" w:after="160"/>
      </w:pPr>
      <w:r>
        <w:t>Section 2: Understanding the Purpose and Research Question</w:t>
      </w:r>
    </w:p>
    <w:p w14:paraId="29B97FB0" w14:textId="77777777" w:rsidR="00EA75F3" w:rsidRDefault="00000000">
      <w:pPr>
        <w:pStyle w:val="Heading2"/>
        <w:spacing w:before="240" w:after="120"/>
      </w:pPr>
      <w:r>
        <w:t>2.1 Research Question(s) or Objectives</w:t>
      </w:r>
    </w:p>
    <w:p w14:paraId="4C643E5B" w14:textId="77777777" w:rsidR="00EA75F3" w:rsidRDefault="00000000">
      <w:pPr>
        <w:spacing w:after="200" w:line="360" w:lineRule="auto"/>
      </w:pPr>
      <w:r>
        <w:t>The researchers were chasing three connected answers: what factors were actually driving attendance problems among primary-aged children during the pandemic; what support, whether official or informal, families had already turned to and how well it had worked; and what else might realistically help, along with how any new support could actually be delivered in practice. Rather than simply counting absences, the study was really trying to understand the lived reasons behind them, and to use that understanding to shape more useful support going forward.</w:t>
      </w:r>
    </w:p>
    <w:p w14:paraId="3CB90479" w14:textId="77777777" w:rsidR="00EA75F3" w:rsidRDefault="00000000">
      <w:pPr>
        <w:pStyle w:val="Heading1"/>
        <w:spacing w:before="320" w:after="160"/>
      </w:pPr>
      <w:r>
        <w:t>Section 3: Understanding the Research Methods</w:t>
      </w:r>
    </w:p>
    <w:p w14:paraId="20ED6083" w14:textId="77777777" w:rsidR="00EA75F3" w:rsidRDefault="00000000">
      <w:pPr>
        <w:pStyle w:val="Heading2"/>
        <w:spacing w:before="240" w:after="120"/>
      </w:pPr>
      <w:r>
        <w:t>3.1 Overview of Quantitative, Qualitative, and Mixed-Methods Research</w:t>
      </w:r>
    </w:p>
    <w:p w14:paraId="4D9C512A" w14:textId="77777777" w:rsidR="00EA75F3" w:rsidRDefault="00000000">
      <w:pPr>
        <w:spacing w:after="200" w:line="360" w:lineRule="auto"/>
      </w:pPr>
      <w:r>
        <w:t>Health and social care studies are usually built around one of three broad approaches. Quantitative research measures things that can be counted, using tools such as structured surveys or existing statistics, and applies statistical tests to check for patterns or genuine differences between groups (Bryman, 2016); it is the natural fit for questions like how many children met a national threshold for persistent absence. Qualitative research instead works with people's own accounts of their experiences, gathered through interviews, focus groups or open-ended questions, and analysed by drawing out recurring themes rather than by running statistics (Braun and Clarke, 2013); this suits situations where a topic is still poorly understood and a researcher wants real depth rather than breadth. Mixed-methods research borrows tools from both traditions within a single study, allowing a researcher to measure the size of a problem numerically while also exploring the reasoning behind it through people's own words (Creswell and Plano Clark, 2018), such as pairing attendance statistics with parent interviews to explain what sits behind the numbers.</w:t>
      </w:r>
    </w:p>
    <w:p w14:paraId="00E28E5B" w14:textId="77777777" w:rsidR="00EA75F3" w:rsidRDefault="00000000">
      <w:pPr>
        <w:pStyle w:val="Heading2"/>
        <w:spacing w:before="240" w:after="120"/>
      </w:pPr>
      <w:r>
        <w:t>3.2 Research Methodology Used in Your Chosen Paper and Why</w:t>
      </w:r>
    </w:p>
    <w:p w14:paraId="0E7BE139" w14:textId="77777777" w:rsidR="00EA75F3" w:rsidRDefault="00000000">
      <w:pPr>
        <w:spacing w:after="200" w:line="360" w:lineRule="auto"/>
      </w:pPr>
      <w:r>
        <w:t xml:space="preserve">This paper is a qualitative study, carried out across two connected stages. The first stage used open-ended surveys to gather initial views from parents and professionals, and these </w:t>
      </w:r>
      <w:r>
        <w:lastRenderedPageBreak/>
        <w:t>early findings then shaped the interview questions used in the second stage, where a smaller group took part in longer, semi-structured conversations by phone or video call. Nothing in this dataset was numerical; it was all made up of written comments and spoken accounts, which the researchers worked through using thematic framework analysis, a method built around identifying themes that come both from the research questions themselves and from patterns that surface naturally in what participants actually said (Gale et al., 2013).</w:t>
      </w:r>
    </w:p>
    <w:p w14:paraId="417C08F9" w14:textId="77777777" w:rsidR="00EA75F3" w:rsidRDefault="00000000">
      <w:pPr>
        <w:spacing w:after="200" w:line="360" w:lineRule="auto"/>
      </w:pPr>
      <w:r>
        <w:t xml:space="preserve">A qualitative design fits this </w:t>
      </w:r>
      <w:proofErr w:type="gramStart"/>
      <w:r>
        <w:t>particular topic</w:t>
      </w:r>
      <w:proofErr w:type="gramEnd"/>
      <w:r>
        <w:t xml:space="preserve"> well. School attendance problems during a pandemic were still a fresh, poorly mapped issue, and one that looked noticeably different depending on whether a parent or a professional was describing it. By interviewing both groups separately and then comparing accounts, the researchers could see clearly where views lined up and where they pulled apart, a level of nuance that a straightforward attendance survey would never have picked up.</w:t>
      </w:r>
    </w:p>
    <w:p w14:paraId="4E70FF73" w14:textId="77777777" w:rsidR="00EA75F3" w:rsidRDefault="00000000">
      <w:pPr>
        <w:pStyle w:val="Heading2"/>
        <w:spacing w:before="240" w:after="120"/>
      </w:pPr>
      <w:r>
        <w:t>3.3 Primary and Secondary Data: Definitions, Differences, and Application to Your Paper</w:t>
      </w:r>
    </w:p>
    <w:p w14:paraId="6004CFC4" w14:textId="77777777" w:rsidR="00EA75F3" w:rsidRDefault="00000000">
      <w:pPr>
        <w:spacing w:after="200" w:line="360" w:lineRule="auto"/>
      </w:pPr>
      <w:r>
        <w:t xml:space="preserve">Primary data is gathered directly by a researcher for their own specific study, while secondary data already exists, usually collected by someone else for an unrelated purpose, and is simply reused </w:t>
      </w:r>
      <w:proofErr w:type="gramStart"/>
      <w:r>
        <w:t>later on</w:t>
      </w:r>
      <w:proofErr w:type="gramEnd"/>
      <w:r>
        <w:t xml:space="preserve"> (Polit and Beck, 2017). Primary data hands the researcher much tighter control over exactly what gets asked and how, whereas secondary data is quicker to access, even where it does not map neatly onto a new research question.</w:t>
      </w:r>
    </w:p>
    <w:p w14:paraId="33A38F1C" w14:textId="77777777" w:rsidR="00EA75F3" w:rsidRDefault="00000000">
      <w:pPr>
        <w:spacing w:after="200" w:line="360" w:lineRule="auto"/>
      </w:pPr>
      <w:r>
        <w:t>The data in this study were overwhelmingly primary, built from open-ended surveys and semi-structured interviews conducted directly with parents and professionals across East Sussex, West Sussex and Brighton and Hove. Interviews ran for roughly 45 to 60 minutes, and were recorded, transcribed in full and anonymised before analysis, with everything then examined through thematic framework analysis. Secondary data makes only a brief appearance, mainly through national school absence statistics published by the Department for Education (2022), which the authors use to sketch the scale of the wider problem rather than as material feeding directly into their own analysis.</w:t>
      </w:r>
    </w:p>
    <w:p w14:paraId="24B5F725" w14:textId="77777777" w:rsidR="00EA75F3" w:rsidRDefault="00000000">
      <w:pPr>
        <w:pStyle w:val="Heading1"/>
        <w:spacing w:before="320" w:after="160"/>
      </w:pPr>
      <w:r>
        <w:t>Section 4: Conclusion</w:t>
      </w:r>
    </w:p>
    <w:p w14:paraId="73D71557" w14:textId="77777777" w:rsidR="00EA75F3" w:rsidRDefault="00000000">
      <w:pPr>
        <w:spacing w:after="200" w:line="360" w:lineRule="auto"/>
      </w:pPr>
      <w:r>
        <w:t xml:space="preserve">This report has worked through McDonald, Lester and Michelson's (2023) qualitative study of school attendance problems among primary-aged children during the COVID-19 pandemic. The research uncovered a genuinely mixed picture of causes, spanning pre-existing anxiety and additional needs, pandemic-specific fears, and strained communication between schools and families, built from the accounts of both parents and professionals. </w:t>
      </w:r>
      <w:r>
        <w:lastRenderedPageBreak/>
        <w:t>This carries real weight for UK health and social care, given how closely persistent absence is tied to children's mental health, and given that absence rates rose sharply once schools reopened (Children's Commissioner, 2022).</w:t>
      </w:r>
    </w:p>
    <w:p w14:paraId="1D5A8EB6" w14:textId="77777777" w:rsidR="00EA75F3" w:rsidRDefault="00000000">
      <w:pPr>
        <w:spacing w:after="200" w:line="360" w:lineRule="auto"/>
      </w:pPr>
      <w:r>
        <w:t>The researchers set out to understand what was driving these attendance problems, what support had already reached families, and what else might genuinely help, answering all three through a qualitative design built on surveys and interviews, all of it primary data analysed thematically.</w:t>
      </w:r>
    </w:p>
    <w:p w14:paraId="3621A95F" w14:textId="77777777" w:rsidR="00EA75F3" w:rsidRDefault="00000000">
      <w:pPr>
        <w:spacing w:after="200" w:line="360" w:lineRule="auto"/>
      </w:pPr>
      <w:r>
        <w:t xml:space="preserve">Putting this report together has made it much clearer to me why a qualitative approach made sense here: a topic this new, this sensitive, and this dependent on whose perspective you asked, was never going to be captured properly through numbers alone. I also feel far more confident distinguishing primary data, collected first-hand, from secondary data, which already exists and gets reused for a different purpose, and in thinking about why a researcher picks one design over another based on what they are </w:t>
      </w:r>
      <w:proofErr w:type="gramStart"/>
      <w:r>
        <w:t>actually trying</w:t>
      </w:r>
      <w:proofErr w:type="gramEnd"/>
      <w:r>
        <w:t xml:space="preserve"> to find out. I expect these skills to carry over well beyond this assignment, both into future coursework and into practice, where listening carefully to people's actual experiences often matters just as much as measuring outcomes.</w:t>
      </w:r>
    </w:p>
    <w:p w14:paraId="446B5F67" w14:textId="77777777" w:rsidR="00EA75F3" w:rsidRDefault="00000000">
      <w:pPr>
        <w:pStyle w:val="Heading1"/>
        <w:spacing w:before="320" w:after="160"/>
      </w:pPr>
      <w:r>
        <w:t>References</w:t>
      </w:r>
    </w:p>
    <w:p w14:paraId="6637CD9B" w14:textId="77777777" w:rsidR="00EA75F3" w:rsidRDefault="00000000">
      <w:pPr>
        <w:spacing w:after="160" w:line="360" w:lineRule="auto"/>
        <w:ind w:left="720" w:hanging="720"/>
      </w:pPr>
      <w:r>
        <w:t>Braun, V. and Clarke, V. (2013) Successful Qualitative Research: A Practical Guide for Beginners. London: Sage.</w:t>
      </w:r>
    </w:p>
    <w:p w14:paraId="05D78F53" w14:textId="77777777" w:rsidR="00EA75F3" w:rsidRDefault="00000000">
      <w:pPr>
        <w:spacing w:after="160" w:line="360" w:lineRule="auto"/>
        <w:ind w:left="720" w:hanging="720"/>
      </w:pPr>
      <w:r>
        <w:t xml:space="preserve">Bryman, A. (2016) Social Research Methods. 5th </w:t>
      </w:r>
      <w:proofErr w:type="spellStart"/>
      <w:r>
        <w:t>edn</w:t>
      </w:r>
      <w:proofErr w:type="spellEnd"/>
      <w:r>
        <w:t>. Oxford: Oxford University Press.</w:t>
      </w:r>
    </w:p>
    <w:p w14:paraId="39A218BA" w14:textId="77777777" w:rsidR="00EA75F3" w:rsidRDefault="00000000">
      <w:pPr>
        <w:spacing w:after="160" w:line="360" w:lineRule="auto"/>
        <w:ind w:left="720" w:hanging="720"/>
      </w:pPr>
      <w:r>
        <w:t>Children's Commissioner (2022) Where Are England's Children? Interim Findings from the Children's Commissioner's Attendance Audit. London: Children's Commissioner for England.</w:t>
      </w:r>
    </w:p>
    <w:p w14:paraId="1A9B6C8B" w14:textId="77777777" w:rsidR="00EA75F3" w:rsidRDefault="00000000">
      <w:pPr>
        <w:spacing w:after="160" w:line="360" w:lineRule="auto"/>
        <w:ind w:left="720" w:hanging="720"/>
      </w:pPr>
      <w:r>
        <w:t xml:space="preserve">Creswell, C., Shum, A., Pearcey, S., </w:t>
      </w:r>
      <w:proofErr w:type="spellStart"/>
      <w:r>
        <w:t>Skripkauskaite</w:t>
      </w:r>
      <w:proofErr w:type="spellEnd"/>
      <w:r>
        <w:t xml:space="preserve">, S., </w:t>
      </w:r>
      <w:proofErr w:type="spellStart"/>
      <w:r>
        <w:t>Patalay</w:t>
      </w:r>
      <w:proofErr w:type="spellEnd"/>
      <w:r>
        <w:t>, P. and Waite, P. (2021) 'Young people's mental health during the COVID-19 pandemic', The Lancet Child &amp; Adolescent Health, 5(8), pp. 535-537.</w:t>
      </w:r>
    </w:p>
    <w:p w14:paraId="579FC339" w14:textId="77777777" w:rsidR="00EA75F3" w:rsidRDefault="00000000">
      <w:pPr>
        <w:spacing w:after="160" w:line="360" w:lineRule="auto"/>
        <w:ind w:left="720" w:hanging="720"/>
      </w:pPr>
      <w:r>
        <w:t xml:space="preserve">Creswell, J.W. and Plano Clark, V.L. (2018) Designing and Conducting Mixed Methods Research. 3rd </w:t>
      </w:r>
      <w:proofErr w:type="spellStart"/>
      <w:r>
        <w:t>edn</w:t>
      </w:r>
      <w:proofErr w:type="spellEnd"/>
      <w:r>
        <w:t>. Thousand Oaks, CA: Sage.</w:t>
      </w:r>
    </w:p>
    <w:p w14:paraId="27113A6D" w14:textId="77777777" w:rsidR="00EA75F3" w:rsidRDefault="00000000">
      <w:pPr>
        <w:spacing w:after="160" w:line="360" w:lineRule="auto"/>
        <w:ind w:left="720" w:hanging="720"/>
      </w:pPr>
      <w:r>
        <w:t>Department for Education (2022) Pupil Absences in England. London: Department for Education. Available at: https://explore-education-statistics.service.gov.uk/find-statistics/pupil-absence-in-schools-in-england (Accessed: 3 August 2026).</w:t>
      </w:r>
    </w:p>
    <w:p w14:paraId="5AFB1D78" w14:textId="77777777" w:rsidR="00EA75F3" w:rsidRDefault="00000000">
      <w:pPr>
        <w:spacing w:after="160" w:line="360" w:lineRule="auto"/>
        <w:ind w:left="720" w:hanging="720"/>
      </w:pPr>
      <w:r>
        <w:lastRenderedPageBreak/>
        <w:t>Gale, N.K., Heath, G., Cameron, E., Rashid, S. and Redwood, S. (2013) 'Using the framework method for the analysis of qualitative data in multi-disciplinary health research', BMC Medical Research Methodology, 13(1), p. 117.</w:t>
      </w:r>
    </w:p>
    <w:p w14:paraId="6EA6756F" w14:textId="77777777" w:rsidR="00EA75F3" w:rsidRDefault="00000000">
      <w:pPr>
        <w:spacing w:after="160" w:line="360" w:lineRule="auto"/>
        <w:ind w:left="720" w:hanging="720"/>
      </w:pPr>
      <w:r>
        <w:t>McDonald, B., Lester, K.J. and Michelson, D. (2023) '‘She didn't know how to go back’: school attendance problems in the context of the COVID-19 pandemic — a multiple stakeholder qualitative study with parents and professionals', British Journal of Educational Psychology, 93, pp. 386-401.</w:t>
      </w:r>
    </w:p>
    <w:p w14:paraId="02F4124C" w14:textId="77777777" w:rsidR="00EA75F3" w:rsidRDefault="00000000">
      <w:pPr>
        <w:spacing w:after="160" w:line="360" w:lineRule="auto"/>
        <w:ind w:left="720" w:hanging="720"/>
      </w:pPr>
      <w:r>
        <w:t xml:space="preserve">Polit, D.F. and Beck, C.T. (2017) Nursing Research: Generating and Assessing Evidence for Nursing Practice. 10th </w:t>
      </w:r>
      <w:proofErr w:type="spellStart"/>
      <w:r>
        <w:t>edn</w:t>
      </w:r>
      <w:proofErr w:type="spellEnd"/>
      <w:r>
        <w:t>. Philadelphia: Wolters Kluwer.</w:t>
      </w:r>
    </w:p>
    <w:sectPr w:rsidR="00EA75F3">
      <w:footerReference w:type="default" r:id="rId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064BF" w14:textId="77777777" w:rsidR="00654321" w:rsidRDefault="00654321">
      <w:r>
        <w:separator/>
      </w:r>
    </w:p>
  </w:endnote>
  <w:endnote w:type="continuationSeparator" w:id="0">
    <w:p w14:paraId="3010C1C0" w14:textId="77777777" w:rsidR="00654321" w:rsidRDefault="00654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6B6F9" w14:textId="77777777" w:rsidR="00EA75F3" w:rsidRDefault="00000000">
    <w:pPr>
      <w:jc w:val="center"/>
    </w:pPr>
    <w:r>
      <w:fldChar w:fldCharType="begin"/>
    </w:r>
    <w:r>
      <w:instrText>PAGE</w:instrText>
    </w:r>
    <w:r>
      <w:fldChar w:fldCharType="separate"/>
    </w:r>
    <w:r w:rsidR="00244FF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01502" w14:textId="77777777" w:rsidR="00654321" w:rsidRDefault="00654321">
      <w:r>
        <w:separator/>
      </w:r>
    </w:p>
  </w:footnote>
  <w:footnote w:type="continuationSeparator" w:id="0">
    <w:p w14:paraId="5015663C" w14:textId="77777777" w:rsidR="00654321" w:rsidRDefault="006543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37E54"/>
    <w:multiLevelType w:val="hybridMultilevel"/>
    <w:tmpl w:val="4D8ED39A"/>
    <w:lvl w:ilvl="0" w:tplc="526208C4">
      <w:start w:val="1"/>
      <w:numFmt w:val="bullet"/>
      <w:lvlText w:val="●"/>
      <w:lvlJc w:val="left"/>
      <w:pPr>
        <w:ind w:left="720" w:hanging="360"/>
      </w:pPr>
    </w:lvl>
    <w:lvl w:ilvl="1" w:tplc="81CE3822">
      <w:start w:val="1"/>
      <w:numFmt w:val="bullet"/>
      <w:lvlText w:val="○"/>
      <w:lvlJc w:val="left"/>
      <w:pPr>
        <w:ind w:left="1440" w:hanging="360"/>
      </w:pPr>
    </w:lvl>
    <w:lvl w:ilvl="2" w:tplc="B882070C">
      <w:start w:val="1"/>
      <w:numFmt w:val="bullet"/>
      <w:lvlText w:val="■"/>
      <w:lvlJc w:val="left"/>
      <w:pPr>
        <w:ind w:left="2160" w:hanging="360"/>
      </w:pPr>
    </w:lvl>
    <w:lvl w:ilvl="3" w:tplc="97C84FE0">
      <w:start w:val="1"/>
      <w:numFmt w:val="bullet"/>
      <w:lvlText w:val="●"/>
      <w:lvlJc w:val="left"/>
      <w:pPr>
        <w:ind w:left="2880" w:hanging="360"/>
      </w:pPr>
    </w:lvl>
    <w:lvl w:ilvl="4" w:tplc="BD4473B8">
      <w:start w:val="1"/>
      <w:numFmt w:val="bullet"/>
      <w:lvlText w:val="○"/>
      <w:lvlJc w:val="left"/>
      <w:pPr>
        <w:ind w:left="3600" w:hanging="360"/>
      </w:pPr>
    </w:lvl>
    <w:lvl w:ilvl="5" w:tplc="B2F26306">
      <w:start w:val="1"/>
      <w:numFmt w:val="bullet"/>
      <w:lvlText w:val="■"/>
      <w:lvlJc w:val="left"/>
      <w:pPr>
        <w:ind w:left="4320" w:hanging="360"/>
      </w:pPr>
    </w:lvl>
    <w:lvl w:ilvl="6" w:tplc="688AFC38">
      <w:start w:val="1"/>
      <w:numFmt w:val="bullet"/>
      <w:lvlText w:val="●"/>
      <w:lvlJc w:val="left"/>
      <w:pPr>
        <w:ind w:left="5040" w:hanging="360"/>
      </w:pPr>
    </w:lvl>
    <w:lvl w:ilvl="7" w:tplc="7ECA9896">
      <w:start w:val="1"/>
      <w:numFmt w:val="bullet"/>
      <w:lvlText w:val="●"/>
      <w:lvlJc w:val="left"/>
      <w:pPr>
        <w:ind w:left="5760" w:hanging="360"/>
      </w:pPr>
    </w:lvl>
    <w:lvl w:ilvl="8" w:tplc="33442C0A">
      <w:start w:val="1"/>
      <w:numFmt w:val="bullet"/>
      <w:lvlText w:val="●"/>
      <w:lvlJc w:val="left"/>
      <w:pPr>
        <w:ind w:left="6480" w:hanging="360"/>
      </w:pPr>
    </w:lvl>
  </w:abstractNum>
  <w:num w:numId="1" w16cid:durableId="61953169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5F3"/>
    <w:rsid w:val="001F2C4D"/>
    <w:rsid w:val="00244FF5"/>
    <w:rsid w:val="00654321"/>
    <w:rsid w:val="00EA75F3"/>
    <w:rsid w:val="00FA0A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085E0"/>
  <w15:docId w15:val="{C24C2BD8-92C2-4922-8B28-5A3735406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1660</Words>
  <Characters>9466</Characters>
  <Application>Microsoft Office Word</Application>
  <DocSecurity>0</DocSecurity>
  <Lines>78</Lines>
  <Paragraphs>22</Paragraphs>
  <ScaleCrop>false</ScaleCrop>
  <Company/>
  <LinksUpToDate>false</LinksUpToDate>
  <CharactersWithSpaces>11104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Adebukola Abayomi (2532397)</cp:lastModifiedBy>
  <cp:revision>2</cp:revision>
  <dcterms:created xsi:type="dcterms:W3CDTF">2026-08-03T12:27:00Z</dcterms:created>
  <dcterms:modified xsi:type="dcterms:W3CDTF">2026-08-03T12:27:00Z</dcterms:modified>
</cp:coreProperties>
</file>