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EF0E4B5" w:rsidR="7908378C" w:rsidRDefault="7908378C" w:rsidP="33572C6E">
            <w:pPr>
              <w:ind w:right="237"/>
              <w:rPr>
                <w:b/>
                <w:bCs/>
                <w:color w:val="auto"/>
                <w:sz w:val="32"/>
                <w:szCs w:val="32"/>
              </w:rPr>
            </w:pPr>
            <w:r w:rsidRPr="33572C6E">
              <w:rPr>
                <w:b/>
                <w:bCs/>
                <w:color w:val="auto"/>
                <w:sz w:val="32"/>
                <w:szCs w:val="32"/>
              </w:rPr>
              <w:t xml:space="preserve">Learner name: </w:t>
            </w:r>
            <w:r w:rsidR="003327ED">
              <w:rPr>
                <w:b/>
                <w:bCs/>
                <w:color w:val="auto"/>
                <w:sz w:val="32"/>
                <w:szCs w:val="32"/>
              </w:rPr>
              <w:t>Jasmin Williams</w:t>
            </w:r>
          </w:p>
          <w:p w14:paraId="3A3A802D" w14:textId="77777777" w:rsidR="33572C6E" w:rsidRDefault="33572C6E" w:rsidP="33572C6E">
            <w:pPr>
              <w:ind w:right="237"/>
              <w:rPr>
                <w:b/>
                <w:bCs/>
                <w:color w:val="auto"/>
                <w:sz w:val="32"/>
                <w:szCs w:val="32"/>
              </w:rPr>
            </w:pPr>
          </w:p>
          <w:p w14:paraId="1209FB99" w14:textId="3BE0F4FE" w:rsidR="33572C6E" w:rsidRDefault="7908378C" w:rsidP="33572C6E">
            <w:pPr>
              <w:ind w:right="237"/>
              <w:rPr>
                <w:b/>
                <w:bCs/>
                <w:color w:val="auto"/>
                <w:sz w:val="32"/>
                <w:szCs w:val="32"/>
              </w:rPr>
            </w:pPr>
            <w:r w:rsidRPr="33572C6E">
              <w:rPr>
                <w:b/>
                <w:bCs/>
                <w:color w:val="auto"/>
                <w:sz w:val="32"/>
                <w:szCs w:val="32"/>
              </w:rPr>
              <w:t>Learner’s University Registration Number:</w:t>
            </w:r>
            <w:r w:rsidR="00BC06C3">
              <w:rPr>
                <w:b/>
                <w:bCs/>
                <w:color w:val="auto"/>
                <w:sz w:val="32"/>
                <w:szCs w:val="32"/>
              </w:rPr>
              <w:t xml:space="preserve"> 2</w:t>
            </w:r>
            <w:r w:rsidR="00DC6670">
              <w:rPr>
                <w:b/>
                <w:bCs/>
                <w:color w:val="auto"/>
                <w:sz w:val="32"/>
                <w:szCs w:val="32"/>
              </w:rPr>
              <w:t>23</w:t>
            </w:r>
            <w:r w:rsidR="00BC06C3">
              <w:rPr>
                <w:b/>
                <w:bCs/>
                <w:color w:val="auto"/>
                <w:sz w:val="32"/>
                <w:szCs w:val="32"/>
              </w:rPr>
              <w:t>6912</w:t>
            </w:r>
          </w:p>
          <w:p w14:paraId="3034F304" w14:textId="77777777" w:rsidR="00BC06C3" w:rsidRDefault="00BC06C3"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419F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5C40E493"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I have attended a high-risk domestic violence call the victim had been staying at the hotel with her partner, the female contacted the police she was distressed, informing police of her location, and detailing that her partner had thrown an iPad holder at her. And when the victim had attempted to lock herself in the bathroom the partner had pulled the shower door off using this to hit the victim.</w:t>
      </w:r>
    </w:p>
    <w:p w14:paraId="140716ED" w14:textId="77777777" w:rsidR="008419F4" w:rsidRPr="00982EAB" w:rsidRDefault="008419F4" w:rsidP="00D829E7">
      <w:pPr>
        <w:spacing w:line="360" w:lineRule="auto"/>
        <w:rPr>
          <w:rFonts w:asciiTheme="minorHAnsi" w:hAnsiTheme="minorHAnsi" w:cstheme="minorHAnsi"/>
          <w:sz w:val="24"/>
          <w:szCs w:val="24"/>
        </w:rPr>
      </w:pPr>
    </w:p>
    <w:p w14:paraId="408DC3C7" w14:textId="77777777" w:rsidR="00D829E7" w:rsidRPr="00982EAB"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In another attempt to flee the partner put the female onto the bed putting a knife to the victims throat, threatening to use the knife and use racial comments towards the victim.</w:t>
      </w:r>
    </w:p>
    <w:p w14:paraId="199C841C"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When the victim had escaped, she was hidden by staff. The partner found the victim at the back of the hotel, he has then run towards the victim grabbing the phone out of her hands, smashing it onto the wall.</w:t>
      </w:r>
    </w:p>
    <w:p w14:paraId="03C44CE3" w14:textId="77777777" w:rsidR="008419F4" w:rsidRPr="00982EAB" w:rsidRDefault="008419F4" w:rsidP="00D829E7">
      <w:pPr>
        <w:spacing w:line="360" w:lineRule="auto"/>
        <w:rPr>
          <w:rFonts w:asciiTheme="minorHAnsi" w:hAnsiTheme="minorHAnsi" w:cstheme="minorHAnsi"/>
          <w:sz w:val="24"/>
          <w:szCs w:val="24"/>
        </w:rPr>
      </w:pPr>
    </w:p>
    <w:p w14:paraId="2484DF58" w14:textId="77777777" w:rsidR="00D829E7" w:rsidRPr="00982EAB"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Police have attended whereby the victim was still at the back of the hotel and the partner had made off back into the hotel.</w:t>
      </w:r>
    </w:p>
    <w:p w14:paraId="1878FD27" w14:textId="77777777" w:rsidR="00D829E7" w:rsidRPr="00982EAB"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 xml:space="preserve">Officers have completed a search of the hotel, the partner was found and became violent, taser was drawn and the male was arrested for Criminal Damage and Common Assault. </w:t>
      </w:r>
    </w:p>
    <w:p w14:paraId="74946DE6"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 xml:space="preserve">The partner was taken to custody, he made several racial slurs to the officer. He partners was further arrested for Racially Aggravated against the Police Officer. The partner was </w:t>
      </w:r>
      <w:r w:rsidRPr="00982EAB">
        <w:rPr>
          <w:rFonts w:asciiTheme="minorHAnsi" w:hAnsiTheme="minorHAnsi" w:cstheme="minorHAnsi"/>
          <w:sz w:val="24"/>
          <w:szCs w:val="24"/>
        </w:rPr>
        <w:lastRenderedPageBreak/>
        <w:t xml:space="preserve">taken to custody I was then informed that I would not be able to attend to interview straight away as the partner was highly intoxicated from alcohol and mentioned the use of cocaine when being booked into custody. </w:t>
      </w:r>
    </w:p>
    <w:p w14:paraId="7FBD1426" w14:textId="77777777" w:rsidR="008419F4" w:rsidRPr="00982EAB" w:rsidRDefault="008419F4" w:rsidP="00D829E7">
      <w:pPr>
        <w:spacing w:line="360" w:lineRule="auto"/>
        <w:rPr>
          <w:rFonts w:asciiTheme="minorHAnsi" w:hAnsiTheme="minorHAnsi" w:cstheme="minorHAnsi"/>
          <w:sz w:val="24"/>
          <w:szCs w:val="24"/>
        </w:rPr>
      </w:pPr>
    </w:p>
    <w:p w14:paraId="7D48FB40"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The victim wanted to make a formal police complaint however this was not able to take place at the scene as the female was also heavily intoxicated and would not be able to complete a statement.</w:t>
      </w:r>
    </w:p>
    <w:p w14:paraId="08092AA1" w14:textId="77777777" w:rsidR="008419F4" w:rsidRPr="00982EAB" w:rsidRDefault="008419F4" w:rsidP="00D829E7">
      <w:pPr>
        <w:spacing w:line="360" w:lineRule="auto"/>
        <w:rPr>
          <w:rFonts w:asciiTheme="minorHAnsi" w:hAnsiTheme="minorHAnsi" w:cstheme="minorHAnsi"/>
          <w:sz w:val="24"/>
          <w:szCs w:val="24"/>
        </w:rPr>
      </w:pPr>
    </w:p>
    <w:p w14:paraId="73DBB943"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 xml:space="preserve">Due to this being a Police Incident, throughout this the THRIVE method has been used by all officers as the Ministry of Defence (2023) state the use of THRIVE as “It identifies the key considerations for evaluating any given situation, these being but not limited to, Threat, Harm, Risk, Investigation, Vulnerability, Engagement and Prevention”. </w:t>
      </w:r>
    </w:p>
    <w:p w14:paraId="5A153F83" w14:textId="77777777" w:rsidR="008419F4" w:rsidRPr="00982EAB" w:rsidRDefault="008419F4" w:rsidP="00D829E7">
      <w:pPr>
        <w:spacing w:line="360" w:lineRule="auto"/>
        <w:rPr>
          <w:rFonts w:asciiTheme="minorHAnsi" w:hAnsiTheme="minorHAnsi" w:cstheme="minorHAnsi"/>
          <w:sz w:val="24"/>
          <w:szCs w:val="24"/>
        </w:rPr>
      </w:pPr>
    </w:p>
    <w:p w14:paraId="4F5F38A6"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 xml:space="preserve">When at the incident officers have to be able to assess their threat, harm, and risk management to officers and also to the victim, being able asses this as a Domestic Violence incident and the high-risk grading from the call as there was high violence and use of a knife, managing the threat harm and risk to the victim also as she was still at the hotel, getting her away from the partner and safe. </w:t>
      </w:r>
    </w:p>
    <w:p w14:paraId="33381551" w14:textId="77777777" w:rsidR="008419F4" w:rsidRPr="00982EAB" w:rsidRDefault="008419F4" w:rsidP="00D829E7">
      <w:pPr>
        <w:spacing w:line="360" w:lineRule="auto"/>
        <w:rPr>
          <w:rFonts w:asciiTheme="minorHAnsi" w:hAnsiTheme="minorHAnsi" w:cstheme="minorHAnsi"/>
          <w:sz w:val="24"/>
          <w:szCs w:val="24"/>
        </w:rPr>
      </w:pPr>
    </w:p>
    <w:p w14:paraId="130D1525"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I have then been able use THRIVE, whereby I started all lines of enquiries, for example, CCTV, house to house checks, CSI to attend the room for forensics, search of the room for the knife and any other evidence, allowing myself to further the investigation and build evidence for questioning the partner.</w:t>
      </w:r>
    </w:p>
    <w:p w14:paraId="6EBBD0FB" w14:textId="77777777" w:rsidR="008419F4" w:rsidRPr="00982EAB" w:rsidRDefault="008419F4" w:rsidP="00D829E7">
      <w:pPr>
        <w:spacing w:line="360" w:lineRule="auto"/>
        <w:rPr>
          <w:rFonts w:asciiTheme="minorHAnsi" w:hAnsiTheme="minorHAnsi" w:cstheme="minorHAnsi"/>
          <w:sz w:val="24"/>
          <w:szCs w:val="24"/>
        </w:rPr>
      </w:pPr>
    </w:p>
    <w:p w14:paraId="77F0E1F0"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 xml:space="preserve">I have then had to make sure any vulnerabilities were also taken into consideration. In order to identify a vulnerable person College of Policing define a vulnerable person as “a result of their situation or circumstances, they are unable to take care or protect themselves or others from harm or exploitation". Relating to the victim due to the situation as she was unable to protect herself from the harm that the male posed on her, however, when looking over this investigation the victim in this was not vulnerable, the victim also wanting to engage with officers and myself to make a formal complaint against the partner and </w:t>
      </w:r>
      <w:r w:rsidRPr="00982EAB">
        <w:rPr>
          <w:rFonts w:asciiTheme="minorHAnsi" w:hAnsiTheme="minorHAnsi" w:cstheme="minorHAnsi"/>
          <w:sz w:val="24"/>
          <w:szCs w:val="24"/>
        </w:rPr>
        <w:lastRenderedPageBreak/>
        <w:t>supporting police action, she was however at threat to serious harm and repeat victimisation.</w:t>
      </w:r>
    </w:p>
    <w:p w14:paraId="48351356" w14:textId="77777777" w:rsidR="008419F4" w:rsidRPr="00982EAB" w:rsidRDefault="008419F4" w:rsidP="00D829E7">
      <w:pPr>
        <w:spacing w:line="360" w:lineRule="auto"/>
        <w:rPr>
          <w:rFonts w:asciiTheme="minorHAnsi" w:hAnsiTheme="minorHAnsi" w:cstheme="minorHAnsi"/>
          <w:sz w:val="24"/>
          <w:szCs w:val="24"/>
        </w:rPr>
      </w:pPr>
    </w:p>
    <w:p w14:paraId="6F18A88C" w14:textId="77777777" w:rsidR="00D829E7" w:rsidRDefault="00D829E7" w:rsidP="00D829E7">
      <w:pPr>
        <w:spacing w:line="360" w:lineRule="auto"/>
        <w:rPr>
          <w:rFonts w:asciiTheme="minorHAnsi" w:hAnsiTheme="minorHAnsi" w:cstheme="minorHAnsi"/>
          <w:sz w:val="24"/>
          <w:szCs w:val="24"/>
        </w:rPr>
      </w:pPr>
      <w:r w:rsidRPr="00982EAB">
        <w:rPr>
          <w:rFonts w:asciiTheme="minorHAnsi" w:hAnsiTheme="minorHAnsi" w:cstheme="minorHAnsi"/>
          <w:sz w:val="24"/>
          <w:szCs w:val="24"/>
        </w:rPr>
        <w:t>This incident can be identified as a Domestic Violence Incident this can be defined as “an incident or pattern of incidents of controlling, coercive, threatening, degrading and violence behaviour, including sexual violence, in the majority of cases by a partners or ex-partner, but also by a family member or carer” (Women’s Aid).</w:t>
      </w:r>
    </w:p>
    <w:p w14:paraId="5116C33A" w14:textId="77777777" w:rsidR="008419F4" w:rsidRPr="00982EAB" w:rsidRDefault="008419F4" w:rsidP="00D829E7">
      <w:pPr>
        <w:spacing w:line="360" w:lineRule="auto"/>
        <w:rPr>
          <w:rFonts w:asciiTheme="minorHAnsi" w:hAnsiTheme="minorHAnsi" w:cstheme="minorHAnsi"/>
          <w:sz w:val="24"/>
          <w:szCs w:val="24"/>
        </w:rPr>
      </w:pPr>
    </w:p>
    <w:p w14:paraId="20070683" w14:textId="77777777" w:rsidR="00D829E7" w:rsidRPr="00982EAB"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This also has a social context to the incident, the factor of alcohol and drug use which many state that these both play a role in the incident due to the level of violence. Flood-Page &amp; Taylor (2003, quoted in Galvani, 2006) states that "Victims of domestic violence estimated that 45% of perpetrators had been drinking and 17% were under the influence of drugs at the time of the assault” showing that these two contexts can play a role in the behaviour of the male in this investigation resulting in the incident. Galvani (2006) also states “that heavy drinking can result in more serious injury to the victim than if the perpetrator was sober", this can be referred to the escalation in the male’s aggression with the female which led to her then having a knife to her throat before escaping the room. </w:t>
      </w:r>
    </w:p>
    <w:p w14:paraId="4891889C" w14:textId="77777777" w:rsidR="00D829E7" w:rsidRPr="00982EAB" w:rsidRDefault="00D829E7" w:rsidP="00D829E7">
      <w:pPr>
        <w:pStyle w:val="NormalWeb"/>
        <w:spacing w:before="0" w:after="0" w:line="360" w:lineRule="auto"/>
        <w:rPr>
          <w:rFonts w:asciiTheme="minorHAnsi" w:hAnsiTheme="minorHAnsi" w:cstheme="minorHAnsi"/>
        </w:rPr>
      </w:pPr>
    </w:p>
    <w:p w14:paraId="1232AB48"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Many report that alcohol is also linked with domestic violence incidents, as this is also stated above, however "Alcohol outlets have been linked with acts of aggression and an increased risk of domestic and non-domestic violence" (Kowalski et al. 2022).</w:t>
      </w:r>
    </w:p>
    <w:p w14:paraId="1988E280" w14:textId="77777777" w:rsidR="008419F4" w:rsidRPr="00982EAB" w:rsidRDefault="008419F4" w:rsidP="00D829E7">
      <w:pPr>
        <w:pStyle w:val="NormalWeb"/>
        <w:spacing w:before="0" w:after="0" w:line="360" w:lineRule="auto"/>
        <w:rPr>
          <w:rFonts w:asciiTheme="minorHAnsi" w:hAnsiTheme="minorHAnsi" w:cstheme="minorHAnsi"/>
        </w:rPr>
      </w:pPr>
    </w:p>
    <w:p w14:paraId="3CE19E22"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With drugs also a factor, it is not just alcohol in which was a trigger to the outburst of violence, having taken cocaine, which can then relate to the escalation in the males aggression. Studies show that "the use of cocaine and alcohol have been highlighted as exacerbating factors in domestic abuse offences….in one area, nearly 85 per cent of domestic abuse offenders arrested and drug tested, were positive for cocaine and/or opiates" (National Police Chief’s Council, 2023). This study investigated domestic violence incidents whereby the subjects were arrested and upon being arrested were also drug tested showing that drugs also play a triggering factor in the violence.</w:t>
      </w:r>
    </w:p>
    <w:p w14:paraId="6E0CCE9F" w14:textId="77777777" w:rsidR="008419F4" w:rsidRPr="00982EAB" w:rsidRDefault="008419F4" w:rsidP="00D829E7">
      <w:pPr>
        <w:pStyle w:val="NormalWeb"/>
        <w:spacing w:before="0" w:after="0" w:line="360" w:lineRule="auto"/>
        <w:rPr>
          <w:rFonts w:asciiTheme="minorHAnsi" w:hAnsiTheme="minorHAnsi" w:cstheme="minorHAnsi"/>
        </w:rPr>
      </w:pPr>
    </w:p>
    <w:p w14:paraId="367C41F0"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lastRenderedPageBreak/>
        <w:t xml:space="preserve">In regards to substance misuse and violence, many state that linking this with one another and in a domestic violence setting is difficult and also needed to be assessed by the individual displaying this, as Hamel and Nicholls (2006) state that “There are many possible linages between anger/aggression and substance abuse. That is because the relationship between these two areas are complex and convoluted. Therefore, the specific relationship between substance abuse and anger or aggression must be carefully analysed with each client” they then state that however “any </w:t>
      </w:r>
      <w:proofErr w:type="gramStart"/>
      <w:r w:rsidRPr="00982EAB">
        <w:rPr>
          <w:rFonts w:asciiTheme="minorHAnsi" w:hAnsiTheme="minorHAnsi" w:cstheme="minorHAnsi"/>
        </w:rPr>
        <w:t>mood altering</w:t>
      </w:r>
      <w:proofErr w:type="gramEnd"/>
      <w:r w:rsidRPr="00982EAB">
        <w:rPr>
          <w:rFonts w:asciiTheme="minorHAnsi" w:hAnsiTheme="minorHAnsi" w:cstheme="minorHAnsi"/>
        </w:rPr>
        <w:t xml:space="preserve"> substance is capable of promoting anger and/or aggression”.</w:t>
      </w:r>
    </w:p>
    <w:p w14:paraId="7D4777A1" w14:textId="77777777" w:rsidR="008419F4" w:rsidRPr="00982EAB" w:rsidRDefault="008419F4" w:rsidP="00D829E7">
      <w:pPr>
        <w:pStyle w:val="NormalWeb"/>
        <w:spacing w:before="0" w:after="0" w:line="360" w:lineRule="auto"/>
        <w:rPr>
          <w:rFonts w:asciiTheme="minorHAnsi" w:hAnsiTheme="minorHAnsi" w:cstheme="minorHAnsi"/>
        </w:rPr>
      </w:pPr>
    </w:p>
    <w:p w14:paraId="57FA67E2" w14:textId="77777777" w:rsidR="00D829E7" w:rsidRPr="00982EAB"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In this incident with the factor of racism, this can be defined as "racism includes all the laws, policies, ideologies and barriers that prevent people from experiencing justice, dignity, and equality because of their racial identity…. It can come in the form of harassment, abuse or humiliation, violence, or intimidating behaviour" (Australian Human Rights Commission).</w:t>
      </w:r>
    </w:p>
    <w:p w14:paraId="3C701ED2" w14:textId="3D9464E2"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Upon researching there is not a lot of discussion of the social context of alcohol and drugs, and their violence behaviour being linked to these and racism which the male has shouted at the female and on conveyance to an officer. </w:t>
      </w:r>
    </w:p>
    <w:p w14:paraId="6C56BD7B" w14:textId="77777777" w:rsidR="008419F4" w:rsidRPr="00982EAB" w:rsidRDefault="008419F4" w:rsidP="00D829E7">
      <w:pPr>
        <w:pStyle w:val="NormalWeb"/>
        <w:spacing w:before="0" w:after="0" w:line="360" w:lineRule="auto"/>
        <w:rPr>
          <w:rFonts w:asciiTheme="minorHAnsi" w:hAnsiTheme="minorHAnsi" w:cstheme="minorHAnsi"/>
        </w:rPr>
      </w:pPr>
    </w:p>
    <w:p w14:paraId="345B3056"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After reflection and assessing the victim in this incident as not being vulnerable, however the police using THRIVE at the scene would have been assessing for this in this incident as this is a “model used to assess the right initial police response to call for service. It allows a judgement to be made the relative risk posed by the call and places the individual needs of the victim at the centre of that decision" (Criminal Justice Inspectorates, 2023), showing that in all instances the victim of the crime is at the very centre of the decision making as well as the threat, harm, risk that the subject imposes to the victim’s safety, officers, and the investigation.</w:t>
      </w:r>
    </w:p>
    <w:p w14:paraId="3AA2D2FF" w14:textId="77777777" w:rsidR="008419F4" w:rsidRPr="00982EAB" w:rsidRDefault="008419F4" w:rsidP="00D829E7">
      <w:pPr>
        <w:pStyle w:val="NormalWeb"/>
        <w:spacing w:before="0" w:after="0" w:line="360" w:lineRule="auto"/>
        <w:rPr>
          <w:rFonts w:asciiTheme="minorHAnsi" w:hAnsiTheme="minorHAnsi" w:cstheme="minorHAnsi"/>
        </w:rPr>
      </w:pPr>
    </w:p>
    <w:p w14:paraId="295A291D" w14:textId="77777777" w:rsidR="00D829E7" w:rsidRPr="00982EAB"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In response to using THRIVE the partner was arrested, interviewed, charged and remanded into custody where he would be before the magistrates court, from here he was sent to crown court and remanded until trial, which allowed officers to make that threat, harm and risk decision when involving the incident, victim safety and allow officers to further investigate offences as the partner was remanded and meant this was added safety to the victim where she would not be harmed whilst the investigation was ongoing.</w:t>
      </w:r>
    </w:p>
    <w:p w14:paraId="02E7F729"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lastRenderedPageBreak/>
        <w:t xml:space="preserve">Evidence based policing also plays a significant role in a police investigation. The Open University mention the five stages to evidence-based policing from Bryant and Bryant (2019) as “State the question, gather the existing evidence, assess the existing evidence and undertake research, implementing the findings and evaluate the implementation”. </w:t>
      </w:r>
    </w:p>
    <w:p w14:paraId="7BBC4535" w14:textId="77777777" w:rsidR="008419F4" w:rsidRPr="00982EAB" w:rsidRDefault="008419F4" w:rsidP="00D829E7">
      <w:pPr>
        <w:pStyle w:val="NormalWeb"/>
        <w:spacing w:before="0" w:after="0" w:line="360" w:lineRule="auto"/>
        <w:rPr>
          <w:rFonts w:asciiTheme="minorHAnsi" w:hAnsiTheme="minorHAnsi" w:cstheme="minorHAnsi"/>
        </w:rPr>
      </w:pPr>
    </w:p>
    <w:p w14:paraId="18018729"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These define the outset of the investigation that I have been able to complete, as I have had to gather the evidence that was gathered by myself and officers, assess the evidence and how relevant the evidence was and use this to present to the CPS for a charging decision and undertake this research in order to prove this evidence be reliable and effective to the investigation to implement this and be able to evaluate the implementation and outcome of the investigation.</w:t>
      </w:r>
    </w:p>
    <w:p w14:paraId="2DE43898" w14:textId="77777777" w:rsidR="008419F4" w:rsidRPr="00982EAB" w:rsidRDefault="008419F4" w:rsidP="00D829E7">
      <w:pPr>
        <w:pStyle w:val="NormalWeb"/>
        <w:spacing w:before="0" w:after="0" w:line="360" w:lineRule="auto"/>
        <w:rPr>
          <w:rFonts w:asciiTheme="minorHAnsi" w:hAnsiTheme="minorHAnsi" w:cstheme="minorHAnsi"/>
        </w:rPr>
      </w:pPr>
    </w:p>
    <w:p w14:paraId="0DAAEA45"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Those five stages do not always result in a positive outcome, as each investigation is always different and due to these aspects of the five stages may be missed due to lack of evidence, resulting in negative outcomes, meaning that the victim could be left vulnerable to repeat victimisation. </w:t>
      </w:r>
    </w:p>
    <w:p w14:paraId="0DD6387B" w14:textId="77777777" w:rsidR="008419F4" w:rsidRPr="00982EAB" w:rsidRDefault="008419F4" w:rsidP="00D829E7">
      <w:pPr>
        <w:pStyle w:val="NormalWeb"/>
        <w:spacing w:before="0" w:after="0" w:line="360" w:lineRule="auto"/>
        <w:rPr>
          <w:rFonts w:asciiTheme="minorHAnsi" w:hAnsiTheme="minorHAnsi" w:cstheme="minorHAnsi"/>
        </w:rPr>
      </w:pPr>
    </w:p>
    <w:p w14:paraId="70EA1049"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Evidence Based Policing can also be defined by </w:t>
      </w:r>
      <w:proofErr w:type="spellStart"/>
      <w:r w:rsidRPr="00982EAB">
        <w:rPr>
          <w:rFonts w:asciiTheme="minorHAnsi" w:hAnsiTheme="minorHAnsi" w:cstheme="minorHAnsi"/>
        </w:rPr>
        <w:t>R.Fyfe</w:t>
      </w:r>
      <w:proofErr w:type="spellEnd"/>
      <w:r w:rsidRPr="00982EAB">
        <w:rPr>
          <w:rFonts w:asciiTheme="minorHAnsi" w:hAnsiTheme="minorHAnsi" w:cstheme="minorHAnsi"/>
        </w:rPr>
        <w:t xml:space="preserve"> (2017) as “An approach that values the use of research, science, evaluation, and analysis to inform decision making within police organisations. The research can relate to a wide range of policing activities and functions, from evaluation of specific policing interventions to tackle crime and enhance well-being, to broad assessments of the management and governance of policing”.</w:t>
      </w:r>
    </w:p>
    <w:p w14:paraId="6155B45D" w14:textId="77777777" w:rsidR="008419F4" w:rsidRPr="00982EAB" w:rsidRDefault="008419F4" w:rsidP="00D829E7">
      <w:pPr>
        <w:pStyle w:val="NormalWeb"/>
        <w:spacing w:before="0" w:after="0" w:line="360" w:lineRule="auto"/>
        <w:rPr>
          <w:rFonts w:asciiTheme="minorHAnsi" w:hAnsiTheme="minorHAnsi" w:cstheme="minorHAnsi"/>
        </w:rPr>
      </w:pPr>
    </w:p>
    <w:p w14:paraId="5E7FBBB3" w14:textId="77777777" w:rsidR="00D829E7" w:rsidRPr="00982EAB"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I believe that using all these approaches works very well with victims (vulnerable and at risk of harm), as you can assess the threat, harm and risk posed and deal with the subject affectively, as this allowed for me to safeguard the female in this investigation. </w:t>
      </w:r>
    </w:p>
    <w:p w14:paraId="6550B38B"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With the female wanting to make a complaint and support polices involvement in the investigation would allow for myself to put further measures in place, this also being where other agencies and support can be implemented.</w:t>
      </w:r>
    </w:p>
    <w:p w14:paraId="6BE424CB" w14:textId="77777777" w:rsidR="008419F4" w:rsidRPr="00982EAB" w:rsidRDefault="008419F4" w:rsidP="00D829E7">
      <w:pPr>
        <w:pStyle w:val="NormalWeb"/>
        <w:spacing w:before="0" w:after="0" w:line="360" w:lineRule="auto"/>
        <w:rPr>
          <w:rFonts w:asciiTheme="minorHAnsi" w:hAnsiTheme="minorHAnsi" w:cstheme="minorHAnsi"/>
        </w:rPr>
      </w:pPr>
    </w:p>
    <w:p w14:paraId="6404BC74" w14:textId="77777777" w:rsidR="00D829E7" w:rsidRDefault="00D829E7" w:rsidP="00D829E7">
      <w:pPr>
        <w:spacing w:line="360" w:lineRule="auto"/>
        <w:textAlignment w:val="center"/>
        <w:rPr>
          <w:rFonts w:asciiTheme="minorHAnsi" w:hAnsiTheme="minorHAnsi" w:cstheme="minorHAnsi"/>
          <w:sz w:val="24"/>
          <w:szCs w:val="24"/>
        </w:rPr>
      </w:pPr>
      <w:r w:rsidRPr="00982EAB">
        <w:rPr>
          <w:rFonts w:asciiTheme="minorHAnsi" w:hAnsiTheme="minorHAnsi" w:cstheme="minorHAnsi"/>
          <w:sz w:val="24"/>
          <w:szCs w:val="24"/>
        </w:rPr>
        <w:t xml:space="preserve">The victim in this case was victim of Domestic Abuse/Violence which meant that a Domestic Abuse Stalking and Harassment form would be discussed with the victim. DASH Risk </w:t>
      </w:r>
      <w:r w:rsidRPr="00982EAB">
        <w:rPr>
          <w:rFonts w:asciiTheme="minorHAnsi" w:hAnsiTheme="minorHAnsi" w:cstheme="minorHAnsi"/>
          <w:sz w:val="24"/>
          <w:szCs w:val="24"/>
        </w:rPr>
        <w:lastRenderedPageBreak/>
        <w:t>Checklist define this as “</w:t>
      </w:r>
      <w:r w:rsidRPr="00982EAB">
        <w:rPr>
          <w:rFonts w:asciiTheme="minorHAnsi" w:hAnsiTheme="minorHAnsi" w:cstheme="minorHAnsi"/>
          <w:color w:val="1F1C21"/>
          <w:sz w:val="24"/>
          <w:szCs w:val="24"/>
          <w:shd w:val="clear" w:color="auto" w:fill="FFFFFF"/>
        </w:rPr>
        <w:t>is a multi-agency tool used by most agencies with a focus on keeping victims and their children safe and ensuring perpetrators are proactively identified and managed”, meaning a Public Protection Notification will be put into agencies and as a result the multi agencies can have a meeting which is referred to in this case as a Multi-Agency Risk Assessment Conference, Safe Lives state that this is used as “</w:t>
      </w:r>
      <w:r w:rsidRPr="00982EAB">
        <w:rPr>
          <w:rFonts w:asciiTheme="minorHAnsi" w:hAnsiTheme="minorHAnsi" w:cstheme="minorHAnsi"/>
          <w:sz w:val="24"/>
          <w:szCs w:val="24"/>
          <w:shd w:val="clear" w:color="auto" w:fill="FFFFFF"/>
        </w:rPr>
        <w:t xml:space="preserve">The primary focus of the MARAC is to safeguard the adult victim. The MARAC will also make links with others to safeguard children and manage the perpetrator’s behaviour” allowing for the victim to be supported and safeguarded and after the investigation receiving safety and support and to </w:t>
      </w:r>
      <w:proofErr w:type="gramStart"/>
      <w:r w:rsidRPr="00982EAB">
        <w:rPr>
          <w:rFonts w:asciiTheme="minorHAnsi" w:hAnsiTheme="minorHAnsi" w:cstheme="minorHAnsi"/>
          <w:sz w:val="24"/>
          <w:szCs w:val="24"/>
          <w:shd w:val="clear" w:color="auto" w:fill="FFFFFF"/>
        </w:rPr>
        <w:t>protected</w:t>
      </w:r>
      <w:proofErr w:type="gramEnd"/>
      <w:r w:rsidRPr="00982EAB">
        <w:rPr>
          <w:rFonts w:asciiTheme="minorHAnsi" w:hAnsiTheme="minorHAnsi" w:cstheme="minorHAnsi"/>
          <w:sz w:val="24"/>
          <w:szCs w:val="24"/>
          <w:shd w:val="clear" w:color="auto" w:fill="FFFFFF"/>
        </w:rPr>
        <w:t xml:space="preserve"> the victim becoming a repeat victim this</w:t>
      </w:r>
      <w:r w:rsidRPr="00982EAB">
        <w:rPr>
          <w:rFonts w:asciiTheme="minorHAnsi" w:hAnsiTheme="minorHAnsi" w:cstheme="minorHAnsi"/>
          <w:sz w:val="24"/>
          <w:szCs w:val="24"/>
        </w:rPr>
        <w:t xml:space="preserve"> can be defined as "Repeat, or revictimization, refers to repetitive patterns of interpersonal violence experiences by an individual" (Rogers, et al, 2023).</w:t>
      </w:r>
    </w:p>
    <w:p w14:paraId="6C7C1FCC" w14:textId="77777777" w:rsidR="008419F4" w:rsidRPr="00982EAB" w:rsidRDefault="008419F4" w:rsidP="00D829E7">
      <w:pPr>
        <w:spacing w:line="360" w:lineRule="auto"/>
        <w:textAlignment w:val="center"/>
        <w:rPr>
          <w:rFonts w:asciiTheme="minorHAnsi" w:hAnsiTheme="minorHAnsi" w:cstheme="minorHAnsi"/>
          <w:sz w:val="24"/>
          <w:szCs w:val="24"/>
        </w:rPr>
      </w:pPr>
    </w:p>
    <w:p w14:paraId="24BE89A1" w14:textId="77777777" w:rsidR="00D829E7" w:rsidRPr="00982EAB"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There are many ways in which repeat victimisation and repeat reoffending link together, as for the victim in this case to be a repeat victim as stated above the male has then become a repeat offender as he has on more than on occasion committed a crime against the female. </w:t>
      </w:r>
    </w:p>
    <w:p w14:paraId="3CB2B703" w14:textId="506C711B"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 xml:space="preserve">There is a barrier when trying to tackle repeat victimisation, as in this instance the victim stated that she was too afraid to leave the relationship and became stuck in a vicious cycle. This is why one of the most productive ways to tackle this is providing support for victims where they feel like they </w:t>
      </w:r>
      <w:r w:rsidR="00275D94" w:rsidRPr="00982EAB">
        <w:rPr>
          <w:rFonts w:asciiTheme="minorHAnsi" w:hAnsiTheme="minorHAnsi" w:cstheme="minorHAnsi"/>
        </w:rPr>
        <w:t>can’t</w:t>
      </w:r>
      <w:r w:rsidRPr="00982EAB">
        <w:rPr>
          <w:rFonts w:asciiTheme="minorHAnsi" w:hAnsiTheme="minorHAnsi" w:cstheme="minorHAnsi"/>
        </w:rPr>
        <w:t xml:space="preserve"> leave and have the immediate support.</w:t>
      </w:r>
    </w:p>
    <w:p w14:paraId="61DF1C05" w14:textId="77777777" w:rsidR="008419F4" w:rsidRPr="00982EAB" w:rsidRDefault="008419F4" w:rsidP="00D829E7">
      <w:pPr>
        <w:pStyle w:val="NormalWeb"/>
        <w:spacing w:before="0" w:after="0" w:line="360" w:lineRule="auto"/>
        <w:rPr>
          <w:rFonts w:asciiTheme="minorHAnsi" w:hAnsiTheme="minorHAnsi" w:cstheme="minorHAnsi"/>
        </w:rPr>
      </w:pPr>
    </w:p>
    <w:p w14:paraId="2F23B98B" w14:textId="77777777" w:rsidR="00D829E7"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In relation to tackling reoffending, this is very hard to tackle, the House of Common (2012) mention many different ways of tackling reoffending some of these being “sobriety and recovery from addiction” in relation to this incident.</w:t>
      </w:r>
    </w:p>
    <w:p w14:paraId="68C502C5" w14:textId="77777777" w:rsidR="008419F4" w:rsidRPr="00982EAB" w:rsidRDefault="008419F4" w:rsidP="00D829E7">
      <w:pPr>
        <w:pStyle w:val="NormalWeb"/>
        <w:spacing w:before="0" w:after="0" w:line="360" w:lineRule="auto"/>
        <w:rPr>
          <w:rFonts w:asciiTheme="minorHAnsi" w:hAnsiTheme="minorHAnsi" w:cstheme="minorHAnsi"/>
        </w:rPr>
      </w:pPr>
    </w:p>
    <w:p w14:paraId="0891DFF8" w14:textId="77777777" w:rsidR="00D829E7" w:rsidRPr="00982EAB" w:rsidRDefault="00D829E7" w:rsidP="00D829E7">
      <w:pPr>
        <w:pStyle w:val="NormalWeb"/>
        <w:spacing w:before="0" w:after="0" w:line="360" w:lineRule="auto"/>
        <w:rPr>
          <w:rFonts w:asciiTheme="minorHAnsi" w:hAnsiTheme="minorHAnsi" w:cstheme="minorHAnsi"/>
        </w:rPr>
      </w:pPr>
      <w:r w:rsidRPr="00982EAB">
        <w:rPr>
          <w:rFonts w:asciiTheme="minorHAnsi" w:hAnsiTheme="minorHAnsi" w:cstheme="minorHAnsi"/>
        </w:rPr>
        <w:t>Victims Code of Practise is always explained to the victims, as this shows their rights during an investigation, and that officers investigating must abide by. Victims Code of Practise is “applied to all criminal justice agencies, including police, crown prosecution service (CPS), court service and probation service. They are responsible for making sure victims receive the rights set out in the Victims' Code" (Victim Support).</w:t>
      </w:r>
    </w:p>
    <w:p w14:paraId="50719DB5" w14:textId="790ABAF6" w:rsidR="00BB177E" w:rsidRPr="00313418" w:rsidRDefault="00BB177E" w:rsidP="5B843AF0">
      <w:pPr>
        <w:ind w:right="237"/>
        <w:jc w:val="both"/>
        <w:rPr>
          <w:rFonts w:asciiTheme="minorHAnsi" w:eastAsia="Arial" w:hAnsiTheme="minorHAnsi" w:cstheme="minorHAnsi"/>
          <w:b/>
          <w:bCs/>
          <w:color w:val="000000" w:themeColor="text1"/>
          <w:sz w:val="22"/>
          <w:szCs w:val="22"/>
        </w:rPr>
      </w:pPr>
    </w:p>
    <w:p w14:paraId="4BBC525A" w14:textId="1E70A98F" w:rsidR="5B843AF0" w:rsidRPr="00E676F7" w:rsidRDefault="00281579" w:rsidP="5B843AF0">
      <w:pPr>
        <w:ind w:right="237"/>
        <w:jc w:val="both"/>
        <w:rPr>
          <w:rFonts w:eastAsia="Arial"/>
          <w:color w:val="000000" w:themeColor="text1"/>
          <w:sz w:val="24"/>
          <w:szCs w:val="24"/>
        </w:rPr>
      </w:pPr>
      <w:r>
        <w:rPr>
          <w:rFonts w:eastAsia="Arial"/>
          <w:color w:val="000000" w:themeColor="text1"/>
          <w:sz w:val="24"/>
          <w:szCs w:val="24"/>
        </w:rPr>
        <w:t>Word Count – 2056.</w:t>
      </w:r>
    </w:p>
    <w:p w14:paraId="32D86C19" w14:textId="77777777" w:rsidR="008419F4" w:rsidRDefault="008419F4" w:rsidP="008419F4">
      <w:pPr>
        <w:ind w:right="237"/>
        <w:rPr>
          <w:b/>
          <w:bCs/>
          <w:sz w:val="24"/>
          <w:szCs w:val="24"/>
        </w:rPr>
      </w:pPr>
    </w:p>
    <w:p w14:paraId="4E6860B2" w14:textId="77777777" w:rsidR="00595072" w:rsidRDefault="00595072"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6C883C87" w14:textId="77777777" w:rsidR="00716DF6" w:rsidRDefault="00716DF6" w:rsidP="0FF883D4">
      <w:pPr>
        <w:ind w:right="237"/>
        <w:jc w:val="both"/>
        <w:rPr>
          <w:b/>
          <w:bCs/>
          <w:color w:val="000000" w:themeColor="text1"/>
          <w:sz w:val="24"/>
          <w:szCs w:val="24"/>
        </w:rPr>
      </w:pPr>
    </w:p>
    <w:p w14:paraId="15BBDF49"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Police forces have adopted many different processes over time. Some of these processes are fast-track options. College of Policing (2024) state “These are actions that, if pursued immediately, may help to establish important facts, identify suspects, preserve evidence or lead to the early arrest and resolution of the investigation”, if this process is followed when dealing with investigations, College of Policing (2024) state that these fast track options to be some of the following “Victim and Witnesses” identifying these, any vulnerability and threat harm and risk, and the safeguarding of these people. </w:t>
      </w:r>
    </w:p>
    <w:p w14:paraId="6371BBF9"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Also stating that “Location” as another fast-track option, gathering a location for a scene, in order to gather evidence for CSI for example. And another fact track option being the “Suspect” being able to identify the suspect promptly for an arrest and any other lines of enquiry that they may bring forensically etc.</w:t>
      </w:r>
    </w:p>
    <w:p w14:paraId="1D45321A" w14:textId="77777777" w:rsidR="00CA7D90" w:rsidRPr="00F701ED" w:rsidRDefault="00CA7D90" w:rsidP="00CA7D90">
      <w:pPr>
        <w:spacing w:line="360" w:lineRule="auto"/>
        <w:rPr>
          <w:rFonts w:asciiTheme="minorHAnsi" w:hAnsiTheme="minorHAnsi" w:cstheme="minorHAnsi"/>
          <w:sz w:val="24"/>
          <w:szCs w:val="24"/>
        </w:rPr>
      </w:pPr>
    </w:p>
    <w:p w14:paraId="029FBF7A"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Another form of fast-track option that is adopted by the police in order to immediately start an investigation and gathering key evidence are the golden hour principles. Again, the College of Policing (2024) state that the Golden Hour as “a period immediately following the report of an offence or incident, when positive action should be taken. This may include </w:t>
      </w:r>
      <w:r w:rsidRPr="00F701ED">
        <w:rPr>
          <w:rFonts w:asciiTheme="minorHAnsi" w:hAnsiTheme="minorHAnsi" w:cstheme="minorHAnsi"/>
          <w:sz w:val="24"/>
          <w:szCs w:val="24"/>
        </w:rPr>
        <w:lastRenderedPageBreak/>
        <w:t>protecting, preserving, or gathering material otherwise be concealed, lost, damaged, altered or destroyed.” This meaning that attending an incident, reacting the incident straight away, having delt with a potential victim, beginning the investigation straight away to start gathering evidence as it may be as stated above not preserved and lost.</w:t>
      </w:r>
    </w:p>
    <w:p w14:paraId="45816F5B" w14:textId="77777777" w:rsidR="00CA7D90" w:rsidRPr="00F701ED" w:rsidRDefault="00CA7D90" w:rsidP="00CA7D90">
      <w:pPr>
        <w:spacing w:line="360" w:lineRule="auto"/>
        <w:rPr>
          <w:rFonts w:asciiTheme="minorHAnsi" w:hAnsiTheme="minorHAnsi" w:cstheme="minorHAnsi"/>
          <w:sz w:val="24"/>
          <w:szCs w:val="24"/>
        </w:rPr>
      </w:pPr>
    </w:p>
    <w:p w14:paraId="1199CD35"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Manging the investigation regarding fast-track options and also the golden hour principles when responding, officers also have to be able to manage their own personal values and attitudes in relation to the investigation, whether they agree with somethings that the victim states or the subject they have to be able to put aside this and continue with the investigation with no bias. </w:t>
      </w:r>
    </w:p>
    <w:p w14:paraId="546217E2" w14:textId="77777777" w:rsidR="00CA7D90" w:rsidRPr="00F701ED" w:rsidRDefault="00CA7D90" w:rsidP="00CA7D90">
      <w:pPr>
        <w:spacing w:line="360" w:lineRule="auto"/>
        <w:rPr>
          <w:rFonts w:asciiTheme="minorHAnsi" w:hAnsiTheme="minorHAnsi" w:cstheme="minorHAnsi"/>
          <w:sz w:val="24"/>
          <w:szCs w:val="24"/>
        </w:rPr>
      </w:pPr>
    </w:p>
    <w:p w14:paraId="523B2AB1"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I have responded to an incident which has turned into a complex investigation, police had received a 999 call where subject one had reported a stolen vehicle, he was in company at a hotel of subject two also. They subjects had stated that they were a part of the Marines, in disclosing this subject one also informed police that there was an Air Rifle, Kevlar Vests and Flag bangs in the vehicle. Due to the seriousness of this and the vehicle being reported as stolen we have begun fast track actions. </w:t>
      </w:r>
    </w:p>
    <w:p w14:paraId="42E1B03A" w14:textId="77777777" w:rsidR="00CA7D90" w:rsidRPr="00F701ED" w:rsidRDefault="00CA7D90" w:rsidP="00CA7D90">
      <w:pPr>
        <w:spacing w:line="360" w:lineRule="auto"/>
        <w:rPr>
          <w:rFonts w:asciiTheme="minorHAnsi" w:hAnsiTheme="minorHAnsi" w:cstheme="minorHAnsi"/>
          <w:sz w:val="24"/>
          <w:szCs w:val="24"/>
        </w:rPr>
      </w:pPr>
    </w:p>
    <w:p w14:paraId="6732786F"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Due to the information that had been passed and the details of the vehicle, it was notice that some time before this call, the vehicle had been spotted outside of a local police station whereby officers from the Roads Policing Team had seen two males pushing the vehicle. A fast-track action of CCTV was used to identify this again on local CCTV.</w:t>
      </w:r>
    </w:p>
    <w:p w14:paraId="16433296" w14:textId="77777777" w:rsidR="00CA7D90" w:rsidRPr="00F701ED" w:rsidRDefault="00CA7D90" w:rsidP="00CA7D90">
      <w:pPr>
        <w:spacing w:line="360" w:lineRule="auto"/>
        <w:rPr>
          <w:rFonts w:asciiTheme="minorHAnsi" w:hAnsiTheme="minorHAnsi" w:cstheme="minorHAnsi"/>
          <w:sz w:val="24"/>
          <w:szCs w:val="24"/>
        </w:rPr>
      </w:pPr>
    </w:p>
    <w:p w14:paraId="2AF86C6D"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Further to this Subject 1 was informed by Police where the vehicle had been found, Subject 1 stating that he believed this was a prank friends had been playing on them. Subjects 1 and 2 were taken to where the vehicle was located and during this time repeating the information about being in the Marines to officers. </w:t>
      </w:r>
    </w:p>
    <w:p w14:paraId="17645376" w14:textId="77777777" w:rsidR="00CA7D90" w:rsidRPr="00F701ED" w:rsidRDefault="00CA7D90" w:rsidP="00CA7D90">
      <w:pPr>
        <w:spacing w:line="360" w:lineRule="auto"/>
        <w:rPr>
          <w:rFonts w:asciiTheme="minorHAnsi" w:hAnsiTheme="minorHAnsi" w:cstheme="minorHAnsi"/>
          <w:sz w:val="24"/>
          <w:szCs w:val="24"/>
        </w:rPr>
      </w:pPr>
    </w:p>
    <w:p w14:paraId="7EE2A2BD"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Due to the CCTV having been reviewed as stated above a fast-track and also golden hour principle in the investigation it showed officers that the Subjects stories were not adding up. Due to the information and also having identified the two Subjects as the males previously pushing the vehicle officers have been able to identify these males as subjects whereby, </w:t>
      </w:r>
      <w:r w:rsidRPr="00F701ED">
        <w:rPr>
          <w:rFonts w:asciiTheme="minorHAnsi" w:hAnsiTheme="minorHAnsi" w:cstheme="minorHAnsi"/>
          <w:sz w:val="24"/>
          <w:szCs w:val="24"/>
        </w:rPr>
        <w:lastRenderedPageBreak/>
        <w:t xml:space="preserve">they were both arrested for Possession of an Offensive Weapon in a Public Place, Wasting Police Time, and Perverting the Cause of Justice. </w:t>
      </w:r>
    </w:p>
    <w:p w14:paraId="578A3ACC" w14:textId="77777777" w:rsidR="00CA7D90" w:rsidRPr="00F701ED" w:rsidRDefault="00CA7D90" w:rsidP="00CA7D90">
      <w:pPr>
        <w:spacing w:line="360" w:lineRule="auto"/>
        <w:rPr>
          <w:rFonts w:asciiTheme="minorHAnsi" w:hAnsiTheme="minorHAnsi" w:cstheme="minorHAnsi"/>
          <w:sz w:val="24"/>
          <w:szCs w:val="24"/>
        </w:rPr>
      </w:pPr>
    </w:p>
    <w:p w14:paraId="6CFE93FA"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At this time, the fast-track options of identifying a victim were not possible as there was no offence relating or leading to a victim. </w:t>
      </w:r>
    </w:p>
    <w:p w14:paraId="7D7FBEED" w14:textId="77777777" w:rsidR="00CA7D90" w:rsidRPr="00F701ED" w:rsidRDefault="00CA7D90" w:rsidP="00CA7D90">
      <w:pPr>
        <w:spacing w:line="360" w:lineRule="auto"/>
        <w:rPr>
          <w:rFonts w:asciiTheme="minorHAnsi" w:hAnsiTheme="minorHAnsi" w:cstheme="minorHAnsi"/>
          <w:sz w:val="24"/>
          <w:szCs w:val="24"/>
        </w:rPr>
      </w:pPr>
    </w:p>
    <w:p w14:paraId="28CC7386"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The significance of the early arrest in the investigation is very important as a fast-track action as the College of Policing (2022) state “considerations required when making the decision to arrest and highlight the necessity for ongoing risk assessment at all staged of detention and custody” allowing for the arresting officers to have risk assessed the subject and their story, allowing for the arrest and the necessity of protection of the public as officers did not know what the 2 subjects could have been planning for the weapons. </w:t>
      </w:r>
    </w:p>
    <w:p w14:paraId="4678A509" w14:textId="77777777" w:rsidR="00CA7D90" w:rsidRPr="00F701ED" w:rsidRDefault="00CA7D90" w:rsidP="00CA7D90">
      <w:pPr>
        <w:spacing w:line="360" w:lineRule="auto"/>
        <w:rPr>
          <w:rFonts w:asciiTheme="minorHAnsi" w:hAnsiTheme="minorHAnsi" w:cstheme="minorHAnsi"/>
          <w:sz w:val="24"/>
          <w:szCs w:val="24"/>
        </w:rPr>
      </w:pPr>
    </w:p>
    <w:p w14:paraId="1D601D71"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The males had then disclosed that at their hotel room there was a pistol under the pillow in their room as they stated that they were wanted as dead men by members of the county line. After arrest this is known as a significant comment made by the subjects as Peters and Peters (2024) state “when investigating an individual for a criminal offence, investigators are under statutory duty to pursue all reasonable lines of enquiry, whether these point towards or away from the suspects”.</w:t>
      </w:r>
    </w:p>
    <w:p w14:paraId="0B56435B" w14:textId="77777777" w:rsidR="00CA7D90" w:rsidRPr="00F701ED" w:rsidRDefault="00CA7D90" w:rsidP="00CA7D90">
      <w:pPr>
        <w:spacing w:line="360" w:lineRule="auto"/>
        <w:rPr>
          <w:rFonts w:asciiTheme="minorHAnsi" w:hAnsiTheme="minorHAnsi" w:cstheme="minorHAnsi"/>
          <w:sz w:val="24"/>
          <w:szCs w:val="24"/>
        </w:rPr>
      </w:pPr>
    </w:p>
    <w:p w14:paraId="0762C298"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This information has allowed for another golden hour enquiry and fast track option of identifying a scene, due to this the hotel was attended, and CSI had attended in order to forensically scope the scene for evidence, and to also look into the background of both males to see if they are members of the Marines and wanted by County Line Gangs.</w:t>
      </w:r>
    </w:p>
    <w:p w14:paraId="72CFEE19" w14:textId="77777777" w:rsidR="00CA7D90" w:rsidRPr="00F701ED" w:rsidRDefault="00CA7D90" w:rsidP="00CA7D90">
      <w:pPr>
        <w:spacing w:line="360" w:lineRule="auto"/>
        <w:rPr>
          <w:rFonts w:asciiTheme="minorHAnsi" w:hAnsiTheme="minorHAnsi" w:cstheme="minorHAnsi"/>
          <w:sz w:val="24"/>
          <w:szCs w:val="24"/>
        </w:rPr>
      </w:pPr>
    </w:p>
    <w:p w14:paraId="2DEE2DB8"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When doing this it was made known that a female had been staying with the males and was also present at the hotel when attending. The female disclosed that she had been informed that her and her boyfriend (subject 2) lives were in danger, and they had to leave their hometown in order to be safe. The female was 16 years of age, did not know what day it was, had been shipped around to three different hotels and feared for her life. In this instance the identification of a vulnerable victim has been identified. </w:t>
      </w:r>
    </w:p>
    <w:p w14:paraId="255CB068" w14:textId="77777777" w:rsidR="00CA7D90" w:rsidRPr="00F701ED" w:rsidRDefault="00CA7D90" w:rsidP="00CA7D90">
      <w:pPr>
        <w:spacing w:line="360" w:lineRule="auto"/>
        <w:rPr>
          <w:rFonts w:asciiTheme="minorHAnsi" w:hAnsiTheme="minorHAnsi" w:cstheme="minorHAnsi"/>
          <w:sz w:val="24"/>
          <w:szCs w:val="24"/>
        </w:rPr>
      </w:pPr>
    </w:p>
    <w:p w14:paraId="6FE840F9"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lastRenderedPageBreak/>
        <w:t xml:space="preserve">Public Health (2022) state that “there is no commonly used definition for vulnerable children, but for the purpose of this report they are defines as any children at greater risk of experiencing physical or emotional harm”, this has then allowed for the female to be removed from the risk and also safeguarded by officers in the hotel in another room. </w:t>
      </w:r>
    </w:p>
    <w:p w14:paraId="3C117D54" w14:textId="77777777" w:rsidR="00CA7D90" w:rsidRPr="00F701ED" w:rsidRDefault="00CA7D90" w:rsidP="00CA7D90">
      <w:pPr>
        <w:spacing w:line="360" w:lineRule="auto"/>
        <w:rPr>
          <w:rFonts w:asciiTheme="minorHAnsi" w:hAnsiTheme="minorHAnsi" w:cstheme="minorHAnsi"/>
          <w:sz w:val="24"/>
          <w:szCs w:val="24"/>
        </w:rPr>
      </w:pPr>
    </w:p>
    <w:p w14:paraId="0601D683"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When officers have stayed with the female she disclosed as stated above the reason for fearing for her life, and also stated that her boyfriend had applied for a job working for SO19 and subject one had then informed him of the threat to their lives. </w:t>
      </w:r>
    </w:p>
    <w:p w14:paraId="0F8F0EA6" w14:textId="77777777" w:rsidR="00CA7D90" w:rsidRPr="00F701ED" w:rsidRDefault="00CA7D90" w:rsidP="00CA7D90">
      <w:pPr>
        <w:spacing w:line="360" w:lineRule="auto"/>
        <w:rPr>
          <w:rFonts w:asciiTheme="minorHAnsi" w:hAnsiTheme="minorHAnsi" w:cstheme="minorHAnsi"/>
          <w:sz w:val="24"/>
          <w:szCs w:val="24"/>
        </w:rPr>
      </w:pPr>
    </w:p>
    <w:p w14:paraId="7E31AC79"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During this time the hotels rooms were authorised and searched under Section 18 PACE 1984, Legislation GOV define this search where officers “may enter and search any premises occupied or controlled by a person who is under arrest for an offence, if he has reasonable ground for suspecting that there is on the premises evidence”. As a result of this multiple items were seized, these being pellets for a pistol, new laptops, new mobile phones, flash bangs and alcohol.</w:t>
      </w:r>
    </w:p>
    <w:p w14:paraId="52B2AAAC"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The offence and informational gathered due to identifying the scene, CSI attending allowing them to also gather fingerprints. As part of the procedure of this action the College of Policing (2022) list the benefit that this fast-track actions has benefitted the investigation as it will “prove that a crime has been committed, exclude suspects from scene, link suspects with scene, establish the identity of a victim, suspects or witness, interpret the scene in relation to movements within the scene and sequences of events and link crime to crime scene and provide intelligence on crime patterns”.</w:t>
      </w:r>
    </w:p>
    <w:p w14:paraId="2B4A671F"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Also trained officers searching the rooms allowing for further evidence to be presented into the investigation and also completing a golden hour/fast-track process and with fingerprints these seized items linking subjects to the crime.</w:t>
      </w:r>
    </w:p>
    <w:p w14:paraId="6062D38C" w14:textId="77777777" w:rsidR="00CA7D90" w:rsidRPr="00F701ED" w:rsidRDefault="00CA7D90" w:rsidP="00CA7D90">
      <w:pPr>
        <w:spacing w:line="360" w:lineRule="auto"/>
        <w:rPr>
          <w:rFonts w:asciiTheme="minorHAnsi" w:hAnsiTheme="minorHAnsi" w:cstheme="minorHAnsi"/>
          <w:sz w:val="24"/>
          <w:szCs w:val="24"/>
        </w:rPr>
      </w:pPr>
    </w:p>
    <w:p w14:paraId="4A5A800B"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Although this incident occurred in the night, I have then also attended the hotel during the day in order to conduct CCTV enquiries at the hotel and also the services station and been tasked with talking to the vulnerable young girl at the hotel. </w:t>
      </w:r>
    </w:p>
    <w:p w14:paraId="0CEF0C34" w14:textId="77777777" w:rsidR="00CA7D90" w:rsidRPr="00F701ED" w:rsidRDefault="00CA7D90" w:rsidP="00CA7D90">
      <w:pPr>
        <w:spacing w:line="360" w:lineRule="auto"/>
        <w:rPr>
          <w:rFonts w:asciiTheme="minorHAnsi" w:hAnsiTheme="minorHAnsi" w:cstheme="minorHAnsi"/>
          <w:sz w:val="24"/>
          <w:szCs w:val="24"/>
        </w:rPr>
      </w:pPr>
    </w:p>
    <w:p w14:paraId="49B3D113"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Due to this being the next day, had this been done as a fast-track action would have benefited the investigation in terms of the PACE clock as the subjects are only to be held in </w:t>
      </w:r>
      <w:r w:rsidRPr="00F701ED">
        <w:rPr>
          <w:rFonts w:asciiTheme="minorHAnsi" w:hAnsiTheme="minorHAnsi" w:cstheme="minorHAnsi"/>
          <w:sz w:val="24"/>
          <w:szCs w:val="24"/>
        </w:rPr>
        <w:lastRenderedPageBreak/>
        <w:t>custody for a 24-hour period according to PACE, and if longer time was needed a superintendents authorisation would need to be presented and authorised. This is how not having done this in the golden hour, and as a fast-track option could present a strain in their PACE clock and letting the subjects go.</w:t>
      </w:r>
    </w:p>
    <w:p w14:paraId="1268A9DC" w14:textId="77777777" w:rsidR="00CA7D90" w:rsidRPr="00F701ED" w:rsidRDefault="00CA7D90" w:rsidP="00CA7D90">
      <w:pPr>
        <w:spacing w:line="360" w:lineRule="auto"/>
        <w:rPr>
          <w:rFonts w:asciiTheme="minorHAnsi" w:hAnsiTheme="minorHAnsi" w:cstheme="minorHAnsi"/>
          <w:sz w:val="24"/>
          <w:szCs w:val="24"/>
        </w:rPr>
      </w:pPr>
    </w:p>
    <w:p w14:paraId="54491C3C"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CCTV confirmed and identified the males leaving the hotel on two occasions, first when leaving the vehicle and then coming back, then when officers have attended to take them to the vehicle before arresting them. </w:t>
      </w:r>
    </w:p>
    <w:p w14:paraId="13CD164C" w14:textId="77777777" w:rsidR="00CA7D90" w:rsidRPr="00F701ED" w:rsidRDefault="00CA7D90" w:rsidP="00CA7D90">
      <w:pPr>
        <w:spacing w:line="360" w:lineRule="auto"/>
        <w:rPr>
          <w:rFonts w:asciiTheme="minorHAnsi" w:hAnsiTheme="minorHAnsi" w:cstheme="minorHAnsi"/>
          <w:sz w:val="24"/>
          <w:szCs w:val="24"/>
        </w:rPr>
      </w:pPr>
    </w:p>
    <w:p w14:paraId="3DDD15AF"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There is a high importance of CCTV being in the golden hour and used as a fast-track option, it allows for evidence to come forward. CCTV allows for the identification of suspects in early investigation, provide specific crime scene locations, able to identify victims and witnesses and it shows the chain of events, proving or disproving the subjects involvement. Safe Call (2023) state “Such material may be highly valuable in setting parameters for other investigative activities or generating lines of enquiry that may produce other relevant, reliable, and admissible material, and should, therefore, always be gathered”.</w:t>
      </w:r>
    </w:p>
    <w:p w14:paraId="6595BDA1" w14:textId="77777777" w:rsidR="00CA7D90" w:rsidRPr="00F701ED" w:rsidRDefault="00CA7D90" w:rsidP="00CA7D90">
      <w:pPr>
        <w:spacing w:line="360" w:lineRule="auto"/>
        <w:rPr>
          <w:rFonts w:asciiTheme="minorHAnsi" w:hAnsiTheme="minorHAnsi" w:cstheme="minorHAnsi"/>
          <w:sz w:val="24"/>
          <w:szCs w:val="24"/>
        </w:rPr>
      </w:pPr>
    </w:p>
    <w:p w14:paraId="3C98A846"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Although not a golden hour but a fast-track option in terms of investigation, I have attended the hotel and spoken to the female. When doing this I have used a Witness Interview Booklet, this booklets allows me to ask the female questions regarding the incident or events by writing it down verbatim in a booklet, this will also allow for investigators to establish if a victim/witness were to be able to make a statement whereby with consent they would stand in court, or however use the route of an Achieve Best Evidence Interview, this is a recorded interview where they go in depth of the incident, allowing this to be used in court instead of the witness/victim attending. </w:t>
      </w:r>
    </w:p>
    <w:p w14:paraId="477C56A7"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br/>
        <w:t>Due to this booklet, we have been able to establish that the vulnerable female was a possible victim in a kidnap of Subject 1, where he had potentially lead under false pretences the female and her partner to believe and fear for their life.</w:t>
      </w:r>
    </w:p>
    <w:p w14:paraId="08151A9D" w14:textId="77777777" w:rsidR="00CA7D90" w:rsidRPr="00F701ED" w:rsidRDefault="00CA7D90" w:rsidP="00CA7D90">
      <w:pPr>
        <w:spacing w:line="360" w:lineRule="auto"/>
        <w:rPr>
          <w:rFonts w:asciiTheme="minorHAnsi" w:hAnsiTheme="minorHAnsi" w:cstheme="minorHAnsi"/>
          <w:sz w:val="24"/>
          <w:szCs w:val="24"/>
        </w:rPr>
      </w:pPr>
    </w:p>
    <w:p w14:paraId="2CAAB9A0"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Also due to this information and completion of the Witness Interview Booklet, the process of the Achieving Best Evidence recorded interview was discussed with the female, and how </w:t>
      </w:r>
      <w:r w:rsidRPr="00F701ED">
        <w:rPr>
          <w:rFonts w:asciiTheme="minorHAnsi" w:hAnsiTheme="minorHAnsi" w:cstheme="minorHAnsi"/>
          <w:sz w:val="24"/>
          <w:szCs w:val="24"/>
        </w:rPr>
        <w:lastRenderedPageBreak/>
        <w:t xml:space="preserve">this would be done as a fast-track option in order to gather her evidence as soon as possible. The female accepted this, however due to myself not being trained for this a colleague had to complete this whereby it was authorised that I would second in the interview. This allowed for this fast-track option to be completed on this day benefitting the investigation and evidence for a second interview. </w:t>
      </w:r>
    </w:p>
    <w:p w14:paraId="2C9FF8A2" w14:textId="77777777" w:rsidR="00CA7D90" w:rsidRPr="00F701ED" w:rsidRDefault="00CA7D90" w:rsidP="00CA7D90">
      <w:pPr>
        <w:spacing w:line="360" w:lineRule="auto"/>
        <w:rPr>
          <w:rFonts w:asciiTheme="minorHAnsi" w:hAnsiTheme="minorHAnsi" w:cstheme="minorHAnsi"/>
          <w:sz w:val="24"/>
          <w:szCs w:val="24"/>
        </w:rPr>
      </w:pPr>
    </w:p>
    <w:p w14:paraId="10121999"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My next fast track option was to safeguard the female. Care Check (2024) state that “every person should live their lives without harm, no matter the age, gender, ethnicity, or religion. It’s vital that every vulnerable child and adult is kept safe” it is the polices duty to ensure that the victim was kept safe. </w:t>
      </w:r>
    </w:p>
    <w:p w14:paraId="216CC5A5"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With authorisation it was agreed for the victim to be safeguarded at the local police station. I have been able to complete a Public Protection Notification as the female is vulnerable due to her age, and this information will then be shared with multiagency organisations to provide support. </w:t>
      </w:r>
    </w:p>
    <w:p w14:paraId="64E71438" w14:textId="77777777" w:rsidR="00CA7D90" w:rsidRPr="00F701ED" w:rsidRDefault="00CA7D90" w:rsidP="00CA7D90">
      <w:pPr>
        <w:spacing w:line="360" w:lineRule="auto"/>
        <w:rPr>
          <w:rFonts w:asciiTheme="minorHAnsi" w:hAnsiTheme="minorHAnsi" w:cstheme="minorHAnsi"/>
          <w:sz w:val="24"/>
          <w:szCs w:val="24"/>
        </w:rPr>
      </w:pPr>
    </w:p>
    <w:p w14:paraId="0FFF9AEA"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I have managed my own personal values and attitudes when conducting the investigation, managing the scenes, attending to the victim and also when managing the subjects.</w:t>
      </w:r>
    </w:p>
    <w:p w14:paraId="5BE6AC11" w14:textId="77777777" w:rsidR="00CA7D90" w:rsidRPr="00F701ED" w:rsidRDefault="00CA7D90" w:rsidP="00CA7D90">
      <w:pPr>
        <w:spacing w:line="360" w:lineRule="auto"/>
        <w:rPr>
          <w:rFonts w:asciiTheme="minorHAnsi" w:hAnsiTheme="minorHAnsi" w:cstheme="minorHAnsi"/>
          <w:sz w:val="24"/>
          <w:szCs w:val="24"/>
        </w:rPr>
      </w:pPr>
    </w:p>
    <w:p w14:paraId="3B63F6B2"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Knowing the female was scared for her life over the three days, with her being vulnerable due to her age, trauma  now imposed on her mental health and going forward with meeting new people and trusting people, this made myself and others on the team angry and frustrated. We have had to manage this and use this when conducting the investigation to get the best outcome and focus on that and safeguarding the female.</w:t>
      </w:r>
    </w:p>
    <w:p w14:paraId="04FBE16F" w14:textId="77777777" w:rsidR="00CA7D90" w:rsidRPr="00F701ED" w:rsidRDefault="00CA7D90" w:rsidP="00CA7D90">
      <w:pPr>
        <w:spacing w:line="360" w:lineRule="auto"/>
        <w:rPr>
          <w:rFonts w:asciiTheme="minorHAnsi" w:hAnsiTheme="minorHAnsi" w:cstheme="minorHAnsi"/>
          <w:sz w:val="24"/>
          <w:szCs w:val="24"/>
        </w:rPr>
      </w:pPr>
    </w:p>
    <w:p w14:paraId="4E041FD6" w14:textId="77777777" w:rsidR="00CA7D90" w:rsidRPr="00F701ED"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The fast-track process that is employed by the police when used will change depending on the situation and incident. This process is always used, even without thinking. </w:t>
      </w:r>
    </w:p>
    <w:p w14:paraId="0F463DA5" w14:textId="77777777" w:rsidR="00CA7D90" w:rsidRPr="00F701ED" w:rsidRDefault="00CA7D90" w:rsidP="00CA7D90">
      <w:pPr>
        <w:spacing w:line="360" w:lineRule="auto"/>
        <w:rPr>
          <w:rFonts w:asciiTheme="minorHAnsi" w:hAnsiTheme="minorHAnsi" w:cstheme="minorHAnsi"/>
          <w:sz w:val="24"/>
          <w:szCs w:val="24"/>
        </w:rPr>
      </w:pPr>
    </w:p>
    <w:p w14:paraId="49989C09" w14:textId="05EA4811" w:rsidR="009370AE" w:rsidRDefault="00CA7D90" w:rsidP="00CA7D90">
      <w:pPr>
        <w:spacing w:line="360" w:lineRule="auto"/>
        <w:rPr>
          <w:rFonts w:asciiTheme="minorHAnsi" w:hAnsiTheme="minorHAnsi" w:cstheme="minorHAnsi"/>
          <w:sz w:val="24"/>
          <w:szCs w:val="24"/>
        </w:rPr>
      </w:pPr>
      <w:r w:rsidRPr="00F701ED">
        <w:rPr>
          <w:rFonts w:asciiTheme="minorHAnsi" w:hAnsiTheme="minorHAnsi" w:cstheme="minorHAnsi"/>
          <w:sz w:val="24"/>
          <w:szCs w:val="24"/>
        </w:rPr>
        <w:t xml:space="preserve">The </w:t>
      </w:r>
      <w:proofErr w:type="gramStart"/>
      <w:r w:rsidRPr="00F701ED">
        <w:rPr>
          <w:rFonts w:asciiTheme="minorHAnsi" w:hAnsiTheme="minorHAnsi" w:cstheme="minorHAnsi"/>
          <w:sz w:val="24"/>
          <w:szCs w:val="24"/>
        </w:rPr>
        <w:t>fast track</w:t>
      </w:r>
      <w:proofErr w:type="gramEnd"/>
      <w:r w:rsidRPr="00F701ED">
        <w:rPr>
          <w:rFonts w:asciiTheme="minorHAnsi" w:hAnsiTheme="minorHAnsi" w:cstheme="minorHAnsi"/>
          <w:sz w:val="24"/>
          <w:szCs w:val="24"/>
        </w:rPr>
        <w:t xml:space="preserve"> actions as stated above in this fast pace investigation allowed for the investigation to progress rapidly and gather all evidence that was needed in order to obtain this evidence through then questioning the subject for the crime alleged, allowing for this to then be presented to the CPS and get a charge and remand, these fast track actions allowed for police to get everything done and get a result.</w:t>
      </w:r>
    </w:p>
    <w:p w14:paraId="32FEA59F" w14:textId="0A6D1D24" w:rsidR="00281579" w:rsidRDefault="00281579" w:rsidP="00CA7D90">
      <w:pPr>
        <w:spacing w:line="360" w:lineRule="auto"/>
        <w:rPr>
          <w:rFonts w:asciiTheme="minorHAnsi" w:hAnsiTheme="minorHAnsi" w:cstheme="minorHAnsi"/>
          <w:sz w:val="24"/>
          <w:szCs w:val="24"/>
        </w:rPr>
      </w:pPr>
      <w:r>
        <w:rPr>
          <w:rFonts w:asciiTheme="minorHAnsi" w:hAnsiTheme="minorHAnsi" w:cstheme="minorHAnsi"/>
          <w:sz w:val="24"/>
          <w:szCs w:val="24"/>
        </w:rPr>
        <w:lastRenderedPageBreak/>
        <w:t>Word Count – 2100</w:t>
      </w:r>
    </w:p>
    <w:p w14:paraId="1ABC629D" w14:textId="77777777" w:rsidR="00281579" w:rsidRPr="00CA7D90" w:rsidRDefault="00281579" w:rsidP="00CA7D90">
      <w:pPr>
        <w:spacing w:line="360" w:lineRule="auto"/>
        <w:rPr>
          <w:rFonts w:asciiTheme="minorHAnsi" w:hAnsiTheme="minorHAnsi" w:cstheme="minorHAnsi"/>
          <w:sz w:val="24"/>
          <w:szCs w:val="24"/>
        </w:rPr>
      </w:pPr>
    </w:p>
    <w:p w14:paraId="1ADEFAE5" w14:textId="763A56B5" w:rsidR="0FF883D4" w:rsidRDefault="5CE196A1" w:rsidP="5CE196A1">
      <w:r w:rsidRPr="5CE196A1">
        <w:rPr>
          <w:rFonts w:eastAsia="Arial"/>
          <w:b/>
          <w:bCs/>
          <w:color w:val="000000" w:themeColor="text1"/>
          <w:sz w:val="24"/>
          <w:szCs w:val="24"/>
        </w:rPr>
        <w:t xml:space="preserve">Authentication signature: </w:t>
      </w:r>
      <w:r w:rsidR="006166C6">
        <w:rPr>
          <w:rFonts w:eastAsia="Arial"/>
          <w:b/>
          <w:bCs/>
          <w:color w:val="000000" w:themeColor="text1"/>
          <w:sz w:val="24"/>
          <w:szCs w:val="24"/>
        </w:rPr>
        <w:t>Jasmin Willi</w:t>
      </w:r>
      <w:r w:rsidR="00533042">
        <w:rPr>
          <w:rFonts w:eastAsia="Arial"/>
          <w:b/>
          <w:bCs/>
          <w:color w:val="000000" w:themeColor="text1"/>
          <w:sz w:val="24"/>
          <w:szCs w:val="24"/>
        </w:rPr>
        <w:t>ams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F8DF76E" w:rsidR="0FF883D4" w:rsidRDefault="5CE196A1" w:rsidP="5CE196A1">
      <w:r w:rsidRPr="5CE196A1">
        <w:rPr>
          <w:rFonts w:eastAsia="Arial"/>
          <w:b/>
          <w:bCs/>
          <w:color w:val="000000" w:themeColor="text1"/>
          <w:sz w:val="24"/>
          <w:szCs w:val="24"/>
        </w:rPr>
        <w:t xml:space="preserve">Signed: </w:t>
      </w:r>
      <w:r w:rsidR="00533042">
        <w:rPr>
          <w:rFonts w:eastAsia="Arial"/>
          <w:b/>
          <w:bCs/>
          <w:color w:val="000000" w:themeColor="text1"/>
          <w:sz w:val="24"/>
          <w:szCs w:val="24"/>
        </w:rPr>
        <w:t>Jasmin Williams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29B714E9" w:rsidR="0FF883D4" w:rsidRDefault="00CA7D90" w:rsidP="00533042">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16.09.2024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778B27C" w14:textId="01728C6B" w:rsidR="005B0859"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Australian Human Rights Commission (2025) </w:t>
      </w:r>
      <w:r w:rsidRPr="00B9056B">
        <w:rPr>
          <w:rFonts w:asciiTheme="minorHAnsi" w:hAnsiTheme="minorHAnsi" w:cstheme="minorHAnsi"/>
          <w:i/>
          <w:iCs/>
        </w:rPr>
        <w:t xml:space="preserve">What is Racism? </w:t>
      </w:r>
      <w:r w:rsidRPr="00B9056B">
        <w:rPr>
          <w:rFonts w:asciiTheme="minorHAnsi" w:hAnsiTheme="minorHAnsi" w:cstheme="minorHAnsi"/>
        </w:rPr>
        <w:t xml:space="preserve">Available at: </w:t>
      </w:r>
      <w:hyperlink r:id="rId21" w:history="1">
        <w:r w:rsidRPr="00B9056B">
          <w:rPr>
            <w:rStyle w:val="Hyperlink"/>
            <w:rFonts w:asciiTheme="minorHAnsi" w:hAnsiTheme="minorHAnsi" w:cstheme="minorHAnsi"/>
          </w:rPr>
          <w:t>https://humanrights.gov.au/our-work/face-discrimination/what-racism</w:t>
        </w:r>
      </w:hyperlink>
      <w:r w:rsidRPr="00B9056B">
        <w:rPr>
          <w:rFonts w:asciiTheme="minorHAnsi" w:hAnsiTheme="minorHAnsi" w:cstheme="minorHAnsi"/>
        </w:rPr>
        <w:t xml:space="preserve"> (Accessed: 10.05.2024).</w:t>
      </w:r>
    </w:p>
    <w:p w14:paraId="5FB8CBC6" w14:textId="77777777" w:rsidR="005B0859" w:rsidRPr="00B9056B" w:rsidRDefault="005B0859" w:rsidP="005B0859">
      <w:pPr>
        <w:pStyle w:val="NormalWeb"/>
        <w:spacing w:before="0" w:after="0" w:line="276" w:lineRule="auto"/>
        <w:rPr>
          <w:rFonts w:asciiTheme="minorHAnsi" w:hAnsiTheme="minorHAnsi" w:cstheme="minorHAnsi"/>
        </w:rPr>
      </w:pPr>
    </w:p>
    <w:p w14:paraId="2C640183"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Care Check (2024) </w:t>
      </w:r>
      <w:r w:rsidRPr="00B9056B">
        <w:rPr>
          <w:rFonts w:asciiTheme="minorHAnsi" w:hAnsiTheme="minorHAnsi" w:cstheme="minorHAnsi"/>
          <w:i/>
          <w:iCs/>
          <w:sz w:val="24"/>
          <w:szCs w:val="24"/>
        </w:rPr>
        <w:t xml:space="preserve">What is safeguarding and why is it important. </w:t>
      </w:r>
      <w:r w:rsidRPr="00B9056B">
        <w:rPr>
          <w:rFonts w:asciiTheme="minorHAnsi" w:hAnsiTheme="minorHAnsi" w:cstheme="minorHAnsi"/>
          <w:sz w:val="24"/>
          <w:szCs w:val="24"/>
        </w:rPr>
        <w:t xml:space="preserve">Available at: </w:t>
      </w:r>
      <w:hyperlink r:id="rId22" w:history="1">
        <w:r w:rsidRPr="00B9056B">
          <w:rPr>
            <w:rStyle w:val="Hyperlink"/>
            <w:rFonts w:asciiTheme="minorHAnsi" w:hAnsiTheme="minorHAnsi" w:cstheme="minorHAnsi"/>
            <w:sz w:val="24"/>
            <w:szCs w:val="24"/>
          </w:rPr>
          <w:t>https://www.carecheck.co.uk/importance-of-safeguarding/</w:t>
        </w:r>
      </w:hyperlink>
      <w:r w:rsidRPr="00B9056B">
        <w:rPr>
          <w:rFonts w:asciiTheme="minorHAnsi" w:hAnsiTheme="minorHAnsi" w:cstheme="minorHAnsi"/>
          <w:sz w:val="24"/>
          <w:szCs w:val="24"/>
        </w:rPr>
        <w:t xml:space="preserve"> (Accessed: 27.07.2024).</w:t>
      </w:r>
    </w:p>
    <w:p w14:paraId="54AE76FF" w14:textId="77777777" w:rsidR="005B0859" w:rsidRPr="00B9056B" w:rsidRDefault="005B0859" w:rsidP="005B0859">
      <w:pPr>
        <w:spacing w:line="276" w:lineRule="auto"/>
        <w:rPr>
          <w:rFonts w:asciiTheme="minorHAnsi" w:hAnsiTheme="minorHAnsi" w:cstheme="minorHAnsi"/>
          <w:sz w:val="24"/>
          <w:szCs w:val="24"/>
        </w:rPr>
      </w:pPr>
    </w:p>
    <w:p w14:paraId="139AB67D"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College of Policing (2021) </w:t>
      </w:r>
      <w:r w:rsidRPr="00B9056B">
        <w:rPr>
          <w:rFonts w:asciiTheme="minorHAnsi" w:hAnsiTheme="minorHAnsi" w:cstheme="minorHAnsi"/>
          <w:i/>
          <w:iCs/>
        </w:rPr>
        <w:t xml:space="preserve">Introduction to vulnerability related risk. </w:t>
      </w:r>
      <w:r w:rsidRPr="00B9056B">
        <w:rPr>
          <w:rFonts w:asciiTheme="minorHAnsi" w:hAnsiTheme="minorHAnsi" w:cstheme="minorHAnsi"/>
        </w:rPr>
        <w:t xml:space="preserve">Available at: </w:t>
      </w:r>
      <w:hyperlink r:id="rId23" w:history="1">
        <w:r w:rsidRPr="00B9056B">
          <w:rPr>
            <w:rStyle w:val="Hyperlink"/>
            <w:rFonts w:asciiTheme="minorHAnsi" w:hAnsiTheme="minorHAnsi" w:cstheme="minorHAnsi"/>
          </w:rPr>
          <w:t>https://hmicfrs.justiceinspectorates.gov.uk/glossary/threat-h</w:t>
        </w:r>
        <w:bookmarkStart w:id="0" w:name="_Hlt171948568"/>
        <w:bookmarkStart w:id="1" w:name="_Hlt171948569"/>
        <w:r w:rsidRPr="00B9056B">
          <w:rPr>
            <w:rStyle w:val="Hyperlink"/>
            <w:rFonts w:asciiTheme="minorHAnsi" w:hAnsiTheme="minorHAnsi" w:cstheme="minorHAnsi"/>
          </w:rPr>
          <w:t>a</w:t>
        </w:r>
        <w:bookmarkEnd w:id="0"/>
        <w:bookmarkEnd w:id="1"/>
        <w:r w:rsidRPr="00B9056B">
          <w:rPr>
            <w:rStyle w:val="Hyperlink"/>
            <w:rFonts w:asciiTheme="minorHAnsi" w:hAnsiTheme="minorHAnsi" w:cstheme="minorHAnsi"/>
          </w:rPr>
          <w:t>rm-risk-investigation/</w:t>
        </w:r>
      </w:hyperlink>
      <w:r w:rsidRPr="00B9056B">
        <w:rPr>
          <w:rFonts w:asciiTheme="minorHAnsi" w:hAnsiTheme="minorHAnsi" w:cstheme="minorHAnsi"/>
        </w:rPr>
        <w:t xml:space="preserve"> (Accessed: 10.07.2024).</w:t>
      </w:r>
    </w:p>
    <w:p w14:paraId="3157A038" w14:textId="77777777" w:rsidR="005B0859" w:rsidRPr="00B9056B" w:rsidRDefault="005B0859" w:rsidP="005B0859">
      <w:pPr>
        <w:pStyle w:val="NormalWeb"/>
        <w:spacing w:before="0" w:after="0" w:line="276" w:lineRule="auto"/>
        <w:rPr>
          <w:rFonts w:asciiTheme="minorHAnsi" w:hAnsiTheme="minorHAnsi" w:cstheme="minorHAnsi"/>
        </w:rPr>
      </w:pPr>
    </w:p>
    <w:p w14:paraId="09AA50C6"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College of Policing (2022) </w:t>
      </w:r>
      <w:r w:rsidRPr="00B9056B">
        <w:rPr>
          <w:rFonts w:asciiTheme="minorHAnsi" w:hAnsiTheme="minorHAnsi" w:cstheme="minorHAnsi"/>
          <w:i/>
          <w:iCs/>
          <w:sz w:val="24"/>
          <w:szCs w:val="24"/>
        </w:rPr>
        <w:t xml:space="preserve">Response, Arrest and Detention. </w:t>
      </w:r>
      <w:r w:rsidRPr="00B9056B">
        <w:rPr>
          <w:rFonts w:asciiTheme="minorHAnsi" w:hAnsiTheme="minorHAnsi" w:cstheme="minorHAnsi"/>
          <w:sz w:val="24"/>
          <w:szCs w:val="24"/>
        </w:rPr>
        <w:t xml:space="preserve">Available at: </w:t>
      </w:r>
      <w:hyperlink r:id="rId24" w:history="1">
        <w:r w:rsidRPr="00B9056B">
          <w:rPr>
            <w:rStyle w:val="Hyperlink"/>
            <w:rFonts w:asciiTheme="minorHAnsi" w:hAnsiTheme="minorHAnsi" w:cstheme="minorHAnsi"/>
            <w:sz w:val="24"/>
            <w:szCs w:val="24"/>
          </w:rPr>
          <w:t>https://www.college.police.uk/app/detention-and-custody/response-arrest-and-detention</w:t>
        </w:r>
      </w:hyperlink>
      <w:r w:rsidRPr="00B9056B">
        <w:rPr>
          <w:rFonts w:asciiTheme="minorHAnsi" w:hAnsiTheme="minorHAnsi" w:cstheme="minorHAnsi"/>
          <w:sz w:val="24"/>
          <w:szCs w:val="24"/>
        </w:rPr>
        <w:t xml:space="preserve"> (Accessed: 28.07.2024).</w:t>
      </w:r>
    </w:p>
    <w:p w14:paraId="677A7517" w14:textId="77777777" w:rsidR="005B0859" w:rsidRPr="00B9056B" w:rsidRDefault="005B0859" w:rsidP="005B0859">
      <w:pPr>
        <w:spacing w:line="276" w:lineRule="auto"/>
        <w:rPr>
          <w:rFonts w:asciiTheme="minorHAnsi" w:hAnsiTheme="minorHAnsi" w:cstheme="minorHAnsi"/>
          <w:sz w:val="24"/>
          <w:szCs w:val="24"/>
        </w:rPr>
      </w:pPr>
    </w:p>
    <w:p w14:paraId="65E979E5"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College of Policing (2022)</w:t>
      </w:r>
      <w:r w:rsidRPr="00B9056B">
        <w:rPr>
          <w:rFonts w:asciiTheme="minorHAnsi" w:hAnsiTheme="minorHAnsi" w:cstheme="minorHAnsi"/>
          <w:i/>
          <w:iCs/>
          <w:sz w:val="24"/>
          <w:szCs w:val="24"/>
        </w:rPr>
        <w:t xml:space="preserve"> Forensics. </w:t>
      </w:r>
      <w:r w:rsidRPr="00B9056B">
        <w:rPr>
          <w:rFonts w:asciiTheme="minorHAnsi" w:hAnsiTheme="minorHAnsi" w:cstheme="minorHAnsi"/>
          <w:sz w:val="24"/>
          <w:szCs w:val="24"/>
        </w:rPr>
        <w:t xml:space="preserve">Available at: </w:t>
      </w:r>
      <w:hyperlink r:id="rId25" w:history="1">
        <w:r w:rsidRPr="00B9056B">
          <w:rPr>
            <w:rStyle w:val="Hyperlink"/>
            <w:rFonts w:asciiTheme="minorHAnsi" w:hAnsiTheme="minorHAnsi" w:cstheme="minorHAnsi"/>
            <w:sz w:val="24"/>
            <w:szCs w:val="24"/>
          </w:rPr>
          <w:t>https://www.college.police.uk/app/investigation/forensics</w:t>
        </w:r>
      </w:hyperlink>
      <w:r w:rsidRPr="00B9056B">
        <w:rPr>
          <w:rFonts w:asciiTheme="minorHAnsi" w:hAnsiTheme="minorHAnsi" w:cstheme="minorHAnsi"/>
          <w:sz w:val="24"/>
          <w:szCs w:val="24"/>
        </w:rPr>
        <w:t xml:space="preserve"> (Accessed: 28.07.2024).</w:t>
      </w:r>
    </w:p>
    <w:p w14:paraId="51835E28" w14:textId="77777777" w:rsidR="005B0859" w:rsidRPr="00B9056B" w:rsidRDefault="005B0859" w:rsidP="005B0859">
      <w:pPr>
        <w:spacing w:line="276" w:lineRule="auto"/>
        <w:rPr>
          <w:rFonts w:asciiTheme="minorHAnsi" w:hAnsiTheme="minorHAnsi" w:cstheme="minorHAnsi"/>
          <w:sz w:val="24"/>
          <w:szCs w:val="24"/>
        </w:rPr>
      </w:pPr>
    </w:p>
    <w:p w14:paraId="48F62859"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College of Policing (2024) </w:t>
      </w:r>
      <w:r w:rsidRPr="00B9056B">
        <w:rPr>
          <w:rFonts w:asciiTheme="minorHAnsi" w:hAnsiTheme="minorHAnsi" w:cstheme="minorHAnsi"/>
          <w:i/>
          <w:iCs/>
          <w:sz w:val="24"/>
          <w:szCs w:val="24"/>
        </w:rPr>
        <w:t xml:space="preserve">Fast-Track Actions. </w:t>
      </w:r>
      <w:r w:rsidRPr="00B9056B">
        <w:rPr>
          <w:rFonts w:asciiTheme="minorHAnsi" w:hAnsiTheme="minorHAnsi" w:cstheme="minorHAnsi"/>
          <w:sz w:val="24"/>
          <w:szCs w:val="24"/>
        </w:rPr>
        <w:t xml:space="preserve">Available at: </w:t>
      </w:r>
      <w:hyperlink r:id="rId26" w:anchor="fast-track-actions-a5764d22-8e36-4585-be1c-c6e4b1f256ae" w:history="1">
        <w:r w:rsidRPr="00B9056B">
          <w:rPr>
            <w:rStyle w:val="Hyperlink"/>
            <w:rFonts w:asciiTheme="minorHAnsi" w:hAnsiTheme="minorHAnsi" w:cstheme="minorHAnsi"/>
            <w:sz w:val="24"/>
            <w:szCs w:val="24"/>
          </w:rPr>
          <w:t>https://www.college.police.uk/app/investigation/investigation-process#fast-track-actions-a5764d22-8e36-4585-be1c-c6e4b1f256ae</w:t>
        </w:r>
      </w:hyperlink>
      <w:r w:rsidRPr="00B9056B">
        <w:rPr>
          <w:rFonts w:asciiTheme="minorHAnsi" w:hAnsiTheme="minorHAnsi" w:cstheme="minorHAnsi"/>
          <w:sz w:val="24"/>
          <w:szCs w:val="24"/>
        </w:rPr>
        <w:t xml:space="preserve"> (Accessed: 10.09.2024).</w:t>
      </w:r>
    </w:p>
    <w:p w14:paraId="5EA7B07D" w14:textId="77777777" w:rsidR="005B0859" w:rsidRPr="00B9056B" w:rsidRDefault="005B0859" w:rsidP="005B0859">
      <w:pPr>
        <w:spacing w:line="276" w:lineRule="auto"/>
        <w:rPr>
          <w:rFonts w:asciiTheme="minorHAnsi" w:hAnsiTheme="minorHAnsi" w:cstheme="minorHAnsi"/>
          <w:sz w:val="24"/>
          <w:szCs w:val="24"/>
        </w:rPr>
      </w:pPr>
    </w:p>
    <w:p w14:paraId="2676B63A"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College of Policing (2024) </w:t>
      </w:r>
      <w:r w:rsidRPr="00B9056B">
        <w:rPr>
          <w:rFonts w:asciiTheme="minorHAnsi" w:hAnsiTheme="minorHAnsi" w:cstheme="minorHAnsi"/>
          <w:i/>
          <w:iCs/>
          <w:sz w:val="24"/>
          <w:szCs w:val="24"/>
        </w:rPr>
        <w:t xml:space="preserve">Golden Hour. </w:t>
      </w:r>
      <w:r w:rsidRPr="00B9056B">
        <w:rPr>
          <w:rFonts w:asciiTheme="minorHAnsi" w:hAnsiTheme="minorHAnsi" w:cstheme="minorHAnsi"/>
          <w:sz w:val="24"/>
          <w:szCs w:val="24"/>
        </w:rPr>
        <w:t xml:space="preserve">Available at: </w:t>
      </w:r>
      <w:hyperlink r:id="rId27" w:anchor=":~:text=p%2039.-,Golden%20hour,%2C%20damaged%2C%20altered%20or%20destroyed" w:history="1">
        <w:r w:rsidRPr="00B9056B">
          <w:rPr>
            <w:rStyle w:val="Hyperlink"/>
            <w:rFonts w:asciiTheme="minorHAnsi" w:hAnsiTheme="minorHAnsi" w:cstheme="minorHAnsi"/>
            <w:sz w:val="24"/>
            <w:szCs w:val="24"/>
          </w:rPr>
          <w:t>https://www.college.police.uk/app/investigation/investigation-process#:~:text=p%2039.-,Golden%20hour,%2C%20damaged%2C%20altered%20or%20destroyed</w:t>
        </w:r>
      </w:hyperlink>
      <w:r w:rsidRPr="00B9056B">
        <w:rPr>
          <w:rFonts w:asciiTheme="minorHAnsi" w:hAnsiTheme="minorHAnsi" w:cstheme="minorHAnsi"/>
          <w:sz w:val="24"/>
          <w:szCs w:val="24"/>
        </w:rPr>
        <w:t xml:space="preserve"> (Accessed: 10.09.2024).</w:t>
      </w:r>
    </w:p>
    <w:p w14:paraId="163AE36C" w14:textId="77777777" w:rsidR="005B0859" w:rsidRPr="00B9056B" w:rsidRDefault="005B0859" w:rsidP="005B0859">
      <w:pPr>
        <w:spacing w:line="276" w:lineRule="auto"/>
        <w:rPr>
          <w:rFonts w:asciiTheme="minorHAnsi" w:hAnsiTheme="minorHAnsi" w:cstheme="minorHAnsi"/>
          <w:sz w:val="24"/>
          <w:szCs w:val="24"/>
        </w:rPr>
      </w:pPr>
    </w:p>
    <w:p w14:paraId="33398505"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Criminal Justice Inspectorates (2023) </w:t>
      </w:r>
      <w:r w:rsidRPr="00B9056B">
        <w:rPr>
          <w:rFonts w:asciiTheme="minorHAnsi" w:hAnsiTheme="minorHAnsi" w:cstheme="minorHAnsi"/>
          <w:i/>
          <w:iCs/>
        </w:rPr>
        <w:t xml:space="preserve">Threat, harm, risk, investigations, </w:t>
      </w:r>
      <w:proofErr w:type="gramStart"/>
      <w:r w:rsidRPr="00B9056B">
        <w:rPr>
          <w:rFonts w:asciiTheme="minorHAnsi" w:hAnsiTheme="minorHAnsi" w:cstheme="minorHAnsi"/>
          <w:i/>
          <w:iCs/>
        </w:rPr>
        <w:t>vulnerability</w:t>
      </w:r>
      <w:proofErr w:type="gramEnd"/>
      <w:r w:rsidRPr="00B9056B">
        <w:rPr>
          <w:rFonts w:asciiTheme="minorHAnsi" w:hAnsiTheme="minorHAnsi" w:cstheme="minorHAnsi"/>
          <w:i/>
          <w:iCs/>
        </w:rPr>
        <w:t xml:space="preserve"> and engagement (THRIVE) model. </w:t>
      </w:r>
      <w:r w:rsidRPr="00B9056B">
        <w:rPr>
          <w:rFonts w:asciiTheme="minorHAnsi" w:hAnsiTheme="minorHAnsi" w:cstheme="minorHAnsi"/>
        </w:rPr>
        <w:t xml:space="preserve">Available at: </w:t>
      </w:r>
      <w:hyperlink r:id="rId28" w:history="1">
        <w:r w:rsidRPr="00B9056B">
          <w:rPr>
            <w:rStyle w:val="Hyperlink"/>
            <w:rFonts w:asciiTheme="minorHAnsi" w:hAnsiTheme="minorHAnsi" w:cstheme="minorHAnsi"/>
          </w:rPr>
          <w:t>https://hmicfrs.justiceinspectorates.gov.uk/glossary/threat-harm-risk-investigation/</w:t>
        </w:r>
      </w:hyperlink>
      <w:r w:rsidRPr="00B9056B">
        <w:rPr>
          <w:rFonts w:asciiTheme="minorHAnsi" w:hAnsiTheme="minorHAnsi" w:cstheme="minorHAnsi"/>
        </w:rPr>
        <w:t xml:space="preserve"> (Accessed: 10.07.2024).</w:t>
      </w:r>
    </w:p>
    <w:p w14:paraId="40B0E244" w14:textId="77777777" w:rsidR="005B0859" w:rsidRPr="00B9056B" w:rsidRDefault="005B0859" w:rsidP="005B0859">
      <w:pPr>
        <w:pStyle w:val="NormalWeb"/>
        <w:spacing w:before="0" w:after="0" w:line="276" w:lineRule="auto"/>
        <w:rPr>
          <w:rFonts w:asciiTheme="minorHAnsi" w:hAnsiTheme="minorHAnsi" w:cstheme="minorHAnsi"/>
        </w:rPr>
      </w:pPr>
    </w:p>
    <w:p w14:paraId="5CE50F30"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lastRenderedPageBreak/>
        <w:t xml:space="preserve">DASH Risk Checklist (2024) </w:t>
      </w:r>
      <w:r w:rsidRPr="00B9056B">
        <w:rPr>
          <w:rFonts w:asciiTheme="minorHAnsi" w:hAnsiTheme="minorHAnsi" w:cstheme="minorHAnsi"/>
          <w:i/>
          <w:iCs/>
          <w:sz w:val="24"/>
          <w:szCs w:val="24"/>
        </w:rPr>
        <w:t xml:space="preserve">Domestic Abuse, Stalking and Harassment and Honour Based Violence (DASH, 2009) Risk Identification and Assessment and Management Model. </w:t>
      </w:r>
      <w:r w:rsidRPr="00B9056B">
        <w:rPr>
          <w:rFonts w:asciiTheme="minorHAnsi" w:hAnsiTheme="minorHAnsi" w:cstheme="minorHAnsi"/>
          <w:sz w:val="24"/>
          <w:szCs w:val="24"/>
        </w:rPr>
        <w:t xml:space="preserve">Available at: </w:t>
      </w:r>
      <w:hyperlink r:id="rId29" w:history="1">
        <w:r w:rsidRPr="00B9056B">
          <w:rPr>
            <w:rStyle w:val="Hyperlink"/>
            <w:rFonts w:asciiTheme="minorHAnsi" w:hAnsiTheme="minorHAnsi" w:cstheme="minorHAnsi"/>
            <w:sz w:val="24"/>
            <w:szCs w:val="24"/>
          </w:rPr>
          <w:t>https://www.dashriskchecklist.com/</w:t>
        </w:r>
      </w:hyperlink>
      <w:r w:rsidRPr="00B9056B">
        <w:rPr>
          <w:rStyle w:val="Hyperlink"/>
          <w:rFonts w:asciiTheme="minorHAnsi" w:hAnsiTheme="minorHAnsi" w:cstheme="minorHAnsi"/>
          <w:sz w:val="24"/>
          <w:szCs w:val="24"/>
        </w:rPr>
        <w:t xml:space="preserve"> </w:t>
      </w:r>
      <w:r w:rsidRPr="00B9056B">
        <w:rPr>
          <w:rFonts w:asciiTheme="minorHAnsi" w:hAnsiTheme="minorHAnsi" w:cstheme="minorHAnsi"/>
          <w:sz w:val="24"/>
          <w:szCs w:val="24"/>
        </w:rPr>
        <w:t>(Accessed: 10.09.2024).</w:t>
      </w:r>
    </w:p>
    <w:p w14:paraId="0ABA5923" w14:textId="77777777" w:rsidR="005B0859" w:rsidRPr="00B9056B" w:rsidRDefault="005B0859" w:rsidP="005B0859">
      <w:pPr>
        <w:spacing w:line="276" w:lineRule="auto"/>
        <w:rPr>
          <w:rFonts w:asciiTheme="minorHAnsi" w:hAnsiTheme="minorHAnsi" w:cstheme="minorHAnsi"/>
          <w:sz w:val="24"/>
          <w:szCs w:val="24"/>
        </w:rPr>
      </w:pPr>
    </w:p>
    <w:p w14:paraId="5A847F06"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Fyfe, N. (2017) </w:t>
      </w:r>
      <w:r w:rsidRPr="00B9056B">
        <w:rPr>
          <w:rFonts w:asciiTheme="minorHAnsi" w:hAnsiTheme="minorHAnsi" w:cstheme="minorHAnsi"/>
          <w:i/>
          <w:iCs/>
        </w:rPr>
        <w:t xml:space="preserve">Evidence Based Policing. </w:t>
      </w:r>
      <w:r w:rsidRPr="00B9056B">
        <w:rPr>
          <w:rFonts w:asciiTheme="minorHAnsi" w:hAnsiTheme="minorHAnsi" w:cstheme="minorHAnsi"/>
        </w:rPr>
        <w:t xml:space="preserve">Available at: </w:t>
      </w:r>
      <w:hyperlink r:id="rId30" w:history="1">
        <w:r w:rsidRPr="00B9056B">
          <w:rPr>
            <w:rStyle w:val="Hyperlink"/>
            <w:rFonts w:asciiTheme="minorHAnsi" w:hAnsiTheme="minorHAnsi" w:cstheme="minorHAnsi"/>
          </w:rPr>
          <w:t>https://rgu-repository.worktribe.com/preview/1001194/FYFE%202017%20Policing%202026%20evidence%20review.pdf</w:t>
        </w:r>
      </w:hyperlink>
      <w:r w:rsidRPr="00B9056B">
        <w:rPr>
          <w:rFonts w:asciiTheme="minorHAnsi" w:hAnsiTheme="minorHAnsi" w:cstheme="minorHAnsi"/>
        </w:rPr>
        <w:t xml:space="preserve"> (Accessed: 12.07.2024).</w:t>
      </w:r>
    </w:p>
    <w:p w14:paraId="2809FA2C" w14:textId="77777777" w:rsidR="005B0859" w:rsidRPr="00B9056B" w:rsidRDefault="005B0859" w:rsidP="005B0859">
      <w:pPr>
        <w:pStyle w:val="NormalWeb"/>
        <w:spacing w:before="0" w:after="0" w:line="276" w:lineRule="auto"/>
        <w:rPr>
          <w:rFonts w:asciiTheme="minorHAnsi" w:hAnsiTheme="minorHAnsi" w:cstheme="minorHAnsi"/>
        </w:rPr>
      </w:pPr>
    </w:p>
    <w:p w14:paraId="21CF4087"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Galvani, S. (2006) ‘Alcohol and Domestic Violence: Women’s Views’, </w:t>
      </w:r>
      <w:r w:rsidRPr="00B9056B">
        <w:rPr>
          <w:rFonts w:asciiTheme="minorHAnsi" w:hAnsiTheme="minorHAnsi" w:cstheme="minorHAnsi"/>
          <w:i/>
          <w:iCs/>
        </w:rPr>
        <w:t xml:space="preserve">Violence against women, </w:t>
      </w:r>
      <w:r w:rsidRPr="00B9056B">
        <w:rPr>
          <w:rFonts w:asciiTheme="minorHAnsi" w:hAnsiTheme="minorHAnsi" w:cstheme="minorHAnsi"/>
        </w:rPr>
        <w:t xml:space="preserve">12(7), pp.641-662. Available at: </w:t>
      </w:r>
      <w:hyperlink r:id="rId31" w:history="1">
        <w:r w:rsidRPr="00B9056B">
          <w:rPr>
            <w:rStyle w:val="Hyperlink"/>
            <w:rFonts w:asciiTheme="minorHAnsi" w:hAnsiTheme="minorHAnsi" w:cstheme="minorHAnsi"/>
          </w:rPr>
          <w:t>https://doi.org/10.1177/1077801206290238</w:t>
        </w:r>
      </w:hyperlink>
      <w:r w:rsidRPr="00B9056B">
        <w:rPr>
          <w:rFonts w:asciiTheme="minorHAnsi" w:hAnsiTheme="minorHAnsi" w:cstheme="minorHAnsi"/>
        </w:rPr>
        <w:t>. (Accessed: 10.07.2024).</w:t>
      </w:r>
    </w:p>
    <w:p w14:paraId="26EB4D04" w14:textId="77777777" w:rsidR="005B0859" w:rsidRPr="00B9056B" w:rsidRDefault="005B0859" w:rsidP="005B0859">
      <w:pPr>
        <w:pStyle w:val="NormalWeb"/>
        <w:spacing w:before="0" w:after="0" w:line="276" w:lineRule="auto"/>
        <w:rPr>
          <w:rFonts w:asciiTheme="minorHAnsi" w:hAnsiTheme="minorHAnsi" w:cstheme="minorHAnsi"/>
        </w:rPr>
      </w:pPr>
    </w:p>
    <w:p w14:paraId="2BF6615B" w14:textId="77777777" w:rsidR="005B0859" w:rsidRDefault="005B0859" w:rsidP="005B0859">
      <w:pPr>
        <w:spacing w:line="276" w:lineRule="auto"/>
        <w:rPr>
          <w:rFonts w:asciiTheme="minorHAnsi" w:hAnsiTheme="minorHAnsi" w:cstheme="minorHAnsi"/>
          <w:sz w:val="24"/>
          <w:szCs w:val="24"/>
        </w:rPr>
      </w:pPr>
      <w:proofErr w:type="spellStart"/>
      <w:r w:rsidRPr="00B9056B">
        <w:rPr>
          <w:rFonts w:asciiTheme="minorHAnsi" w:hAnsiTheme="minorHAnsi" w:cstheme="minorHAnsi"/>
          <w:sz w:val="24"/>
          <w:szCs w:val="24"/>
        </w:rPr>
        <w:t>Hamek</w:t>
      </w:r>
      <w:proofErr w:type="spellEnd"/>
      <w:r w:rsidRPr="00B9056B">
        <w:rPr>
          <w:rFonts w:asciiTheme="minorHAnsi" w:hAnsiTheme="minorHAnsi" w:cstheme="minorHAnsi"/>
          <w:sz w:val="24"/>
          <w:szCs w:val="24"/>
        </w:rPr>
        <w:t xml:space="preserve">, J. and Nicholls, L,T. (2006) </w:t>
      </w:r>
      <w:r w:rsidRPr="00B9056B">
        <w:rPr>
          <w:rFonts w:asciiTheme="minorHAnsi" w:hAnsiTheme="minorHAnsi" w:cstheme="minorHAnsi"/>
          <w:i/>
          <w:iCs/>
          <w:sz w:val="24"/>
          <w:szCs w:val="24"/>
        </w:rPr>
        <w:t xml:space="preserve">Family Interventions and Domestic Violence: A Handbook of Gender-Inclusive Theory and Treatment. </w:t>
      </w:r>
      <w:r w:rsidRPr="00B9056B">
        <w:rPr>
          <w:rFonts w:asciiTheme="minorHAnsi" w:hAnsiTheme="minorHAnsi" w:cstheme="minorHAnsi"/>
          <w:sz w:val="24"/>
          <w:szCs w:val="24"/>
        </w:rPr>
        <w:t xml:space="preserve">Springer Publishing Company. Available at: </w:t>
      </w:r>
      <w:hyperlink r:id="rId32" w:anchor="v=onepage&amp;q=any%20mood%20altering%20substance%20is%20capable%20of%20promoting%20anger%20and%2For%20aggression&amp;f=false" w:history="1">
        <w:r w:rsidRPr="00B9056B">
          <w:rPr>
            <w:rStyle w:val="Hyperlink"/>
            <w:rFonts w:asciiTheme="minorHAnsi" w:hAnsiTheme="minorHAnsi" w:cstheme="minorHAnsi"/>
            <w:sz w:val="24"/>
            <w:szCs w:val="24"/>
          </w:rPr>
          <w:t>https://books.google.co.uk/books?hl=en&amp;lr=&amp;id=eXoPnQwEnmoC&amp;oi=fnd&amp;pg=PA437&amp;dq=substance+misuse+make+you+more+aggressive&amp;ots=qXqAmjlOTB&amp;sig=NpXvB1E3PL9NVGcH7ZpFzx02efQ&amp;redir_esc=y#v=onepage&amp;q=any%20mood%20altering%20substance%20is%20capable%20of%20promoting%20anger%20and%2For%20aggression&amp;f=false</w:t>
        </w:r>
      </w:hyperlink>
      <w:r w:rsidRPr="00B9056B">
        <w:rPr>
          <w:rFonts w:asciiTheme="minorHAnsi" w:hAnsiTheme="minorHAnsi" w:cstheme="minorHAnsi"/>
          <w:sz w:val="24"/>
          <w:szCs w:val="24"/>
        </w:rPr>
        <w:t xml:space="preserve"> (Accessed: 10.09.2024).</w:t>
      </w:r>
    </w:p>
    <w:p w14:paraId="7F9B8AB7" w14:textId="77777777" w:rsidR="005B0859" w:rsidRPr="00B9056B" w:rsidRDefault="005B0859" w:rsidP="005B0859">
      <w:pPr>
        <w:spacing w:line="276" w:lineRule="auto"/>
        <w:rPr>
          <w:rFonts w:asciiTheme="minorHAnsi" w:hAnsiTheme="minorHAnsi" w:cstheme="minorHAnsi"/>
          <w:sz w:val="24"/>
          <w:szCs w:val="24"/>
        </w:rPr>
      </w:pPr>
    </w:p>
    <w:p w14:paraId="26019DCD" w14:textId="77777777" w:rsidR="005B0859" w:rsidRPr="00B9056B"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House of Commons Library. (2012) </w:t>
      </w:r>
      <w:r w:rsidRPr="00B9056B">
        <w:rPr>
          <w:rFonts w:asciiTheme="minorHAnsi" w:hAnsiTheme="minorHAnsi" w:cstheme="minorHAnsi"/>
          <w:i/>
          <w:iCs/>
          <w:sz w:val="24"/>
          <w:szCs w:val="24"/>
        </w:rPr>
        <w:t xml:space="preserve">Reducing Reoffending: The “what works” debate. </w:t>
      </w:r>
      <w:r w:rsidRPr="00B9056B">
        <w:rPr>
          <w:rFonts w:asciiTheme="minorHAnsi" w:hAnsiTheme="minorHAnsi" w:cstheme="minorHAnsi"/>
          <w:sz w:val="24"/>
          <w:szCs w:val="24"/>
        </w:rPr>
        <w:t xml:space="preserve">Available at: </w:t>
      </w:r>
      <w:hyperlink r:id="rId33" w:history="1">
        <w:r w:rsidRPr="00B9056B">
          <w:rPr>
            <w:rStyle w:val="Hyperlink"/>
            <w:rFonts w:asciiTheme="minorHAnsi" w:hAnsiTheme="minorHAnsi" w:cstheme="minorHAnsi"/>
            <w:sz w:val="24"/>
            <w:szCs w:val="24"/>
          </w:rPr>
          <w:t>https://www.files.ethz.ch/isn/157081/RP12-71.pdf</w:t>
        </w:r>
      </w:hyperlink>
      <w:r w:rsidRPr="00B9056B">
        <w:rPr>
          <w:rFonts w:asciiTheme="minorHAnsi" w:hAnsiTheme="minorHAnsi" w:cstheme="minorHAnsi"/>
          <w:sz w:val="24"/>
          <w:szCs w:val="24"/>
        </w:rPr>
        <w:t xml:space="preserve"> (Accessed 15.07.2024).</w:t>
      </w:r>
    </w:p>
    <w:p w14:paraId="270F8EBA"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Kowalski, M. </w:t>
      </w:r>
      <w:r w:rsidRPr="00B9056B">
        <w:rPr>
          <w:rFonts w:asciiTheme="minorHAnsi" w:hAnsiTheme="minorHAnsi" w:cstheme="minorHAnsi"/>
          <w:i/>
          <w:iCs/>
        </w:rPr>
        <w:t>et al.</w:t>
      </w:r>
      <w:r w:rsidRPr="00B9056B">
        <w:rPr>
          <w:rFonts w:asciiTheme="minorHAnsi" w:hAnsiTheme="minorHAnsi" w:cstheme="minorHAnsi"/>
        </w:rPr>
        <w:t xml:space="preserve"> (2023) ‘An overlooked effect: domestic violence and alcohol policies in the night-time economy’, </w:t>
      </w:r>
      <w:r w:rsidRPr="00B9056B">
        <w:rPr>
          <w:rFonts w:asciiTheme="minorHAnsi" w:hAnsiTheme="minorHAnsi" w:cstheme="minorHAnsi"/>
          <w:i/>
          <w:iCs/>
        </w:rPr>
        <w:t xml:space="preserve">Addiction (Abingdon, England), </w:t>
      </w:r>
      <w:r w:rsidRPr="00B9056B">
        <w:rPr>
          <w:rFonts w:asciiTheme="minorHAnsi" w:hAnsiTheme="minorHAnsi" w:cstheme="minorHAnsi"/>
        </w:rPr>
        <w:t xml:space="preserve">118(8), pp. 1471-1481. Available at: </w:t>
      </w:r>
      <w:hyperlink r:id="rId34" w:history="1">
        <w:r w:rsidRPr="00B9056B">
          <w:rPr>
            <w:rStyle w:val="Hyperlink"/>
            <w:rFonts w:asciiTheme="minorHAnsi" w:hAnsiTheme="minorHAnsi" w:cstheme="minorHAnsi"/>
          </w:rPr>
          <w:t>https://doi.org/10.1111/add.16192</w:t>
        </w:r>
      </w:hyperlink>
      <w:r w:rsidRPr="00B9056B">
        <w:rPr>
          <w:rFonts w:asciiTheme="minorHAnsi" w:hAnsiTheme="minorHAnsi" w:cstheme="minorHAnsi"/>
        </w:rPr>
        <w:t xml:space="preserve"> (Accessed: 12.07.2024).</w:t>
      </w:r>
    </w:p>
    <w:p w14:paraId="1AE33377" w14:textId="77777777" w:rsidR="005B0859" w:rsidRPr="00B9056B" w:rsidRDefault="005B0859" w:rsidP="005B0859">
      <w:pPr>
        <w:pStyle w:val="NormalWeb"/>
        <w:spacing w:before="0" w:after="0" w:line="276" w:lineRule="auto"/>
        <w:rPr>
          <w:rFonts w:asciiTheme="minorHAnsi" w:hAnsiTheme="minorHAnsi" w:cstheme="minorHAnsi"/>
        </w:rPr>
      </w:pPr>
    </w:p>
    <w:p w14:paraId="193A110F" w14:textId="77777777" w:rsidR="005B0859" w:rsidRPr="00B9056B"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Legislation.Gov (2017) </w:t>
      </w:r>
      <w:r w:rsidRPr="00B9056B">
        <w:rPr>
          <w:rFonts w:asciiTheme="minorHAnsi" w:hAnsiTheme="minorHAnsi" w:cstheme="minorHAnsi"/>
          <w:i/>
          <w:iCs/>
          <w:sz w:val="24"/>
          <w:szCs w:val="24"/>
        </w:rPr>
        <w:t xml:space="preserve">Police and Criminal Evidence Act 1984 – Section 18. </w:t>
      </w:r>
      <w:r w:rsidRPr="00B9056B">
        <w:rPr>
          <w:rFonts w:asciiTheme="minorHAnsi" w:hAnsiTheme="minorHAnsi" w:cstheme="minorHAnsi"/>
          <w:sz w:val="24"/>
          <w:szCs w:val="24"/>
        </w:rPr>
        <w:t xml:space="preserve">Available at: </w:t>
      </w:r>
      <w:hyperlink r:id="rId35" w:history="1">
        <w:r w:rsidRPr="00B9056B">
          <w:rPr>
            <w:rStyle w:val="Hyperlink"/>
            <w:rFonts w:asciiTheme="minorHAnsi" w:hAnsiTheme="minorHAnsi" w:cstheme="minorHAnsi"/>
            <w:sz w:val="24"/>
            <w:szCs w:val="24"/>
          </w:rPr>
          <w:t>https://www.legislation.gov.uk/ukpga/1984/60/section/18</w:t>
        </w:r>
      </w:hyperlink>
      <w:r w:rsidRPr="00B9056B">
        <w:rPr>
          <w:rFonts w:asciiTheme="minorHAnsi" w:hAnsiTheme="minorHAnsi" w:cstheme="minorHAnsi"/>
          <w:sz w:val="24"/>
          <w:szCs w:val="24"/>
        </w:rPr>
        <w:t xml:space="preserve"> (Accessed: 27.08.2024).</w:t>
      </w:r>
    </w:p>
    <w:p w14:paraId="0401F506" w14:textId="1108CC06"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Ministry of Defence Police (2023) </w:t>
      </w:r>
      <w:r w:rsidRPr="00B9056B">
        <w:rPr>
          <w:rFonts w:asciiTheme="minorHAnsi" w:hAnsiTheme="minorHAnsi" w:cstheme="minorHAnsi"/>
          <w:i/>
          <w:iCs/>
          <w:sz w:val="24"/>
          <w:szCs w:val="24"/>
        </w:rPr>
        <w:t xml:space="preserve">Thrive Model. </w:t>
      </w:r>
      <w:r w:rsidRPr="00B9056B">
        <w:rPr>
          <w:rFonts w:asciiTheme="minorHAnsi" w:hAnsiTheme="minorHAnsi" w:cstheme="minorHAnsi"/>
          <w:sz w:val="24"/>
          <w:szCs w:val="24"/>
        </w:rPr>
        <w:t xml:space="preserve">Available at: </w:t>
      </w:r>
      <w:hyperlink r:id="rId36" w:history="1">
        <w:r w:rsidRPr="00B9056B">
          <w:rPr>
            <w:rStyle w:val="Hyperlink"/>
            <w:rFonts w:asciiTheme="minorHAnsi" w:hAnsiTheme="minorHAnsi" w:cstheme="minorHAnsi"/>
            <w:sz w:val="24"/>
            <w:szCs w:val="24"/>
          </w:rPr>
          <w:t>https://assets.publishing.service.gov.uk/media/657739c0254aaa0010050a66/FOI2023_11133.pdf</w:t>
        </w:r>
      </w:hyperlink>
      <w:r>
        <w:rPr>
          <w:rFonts w:asciiTheme="minorHAnsi" w:hAnsiTheme="minorHAnsi" w:cstheme="minorHAnsi"/>
          <w:sz w:val="24"/>
          <w:szCs w:val="24"/>
        </w:rPr>
        <w:t xml:space="preserve"> </w:t>
      </w:r>
      <w:r w:rsidRPr="00B9056B">
        <w:rPr>
          <w:rFonts w:asciiTheme="minorHAnsi" w:hAnsiTheme="minorHAnsi" w:cstheme="minorHAnsi"/>
          <w:sz w:val="24"/>
          <w:szCs w:val="24"/>
        </w:rPr>
        <w:t>(Accessed: 10.09.2024).</w:t>
      </w:r>
    </w:p>
    <w:p w14:paraId="71CC04C1" w14:textId="77777777" w:rsidR="005B0859" w:rsidRPr="00B9056B" w:rsidRDefault="005B0859" w:rsidP="005B0859">
      <w:pPr>
        <w:spacing w:line="276" w:lineRule="auto"/>
        <w:rPr>
          <w:rFonts w:asciiTheme="minorHAnsi" w:hAnsiTheme="minorHAnsi" w:cstheme="minorHAnsi"/>
          <w:sz w:val="24"/>
          <w:szCs w:val="24"/>
        </w:rPr>
      </w:pPr>
    </w:p>
    <w:p w14:paraId="5A2195C9"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National Police Chief’s Council (2023) </w:t>
      </w:r>
      <w:r w:rsidRPr="00B9056B">
        <w:rPr>
          <w:rFonts w:asciiTheme="minorHAnsi" w:hAnsiTheme="minorHAnsi" w:cstheme="minorHAnsi"/>
          <w:i/>
          <w:iCs/>
        </w:rPr>
        <w:t xml:space="preserve">Pilots find high levels of drug use in domestic abuse offenders. </w:t>
      </w:r>
      <w:r w:rsidRPr="00B9056B">
        <w:rPr>
          <w:rFonts w:asciiTheme="minorHAnsi" w:hAnsiTheme="minorHAnsi" w:cstheme="minorHAnsi"/>
        </w:rPr>
        <w:t xml:space="preserve">Available at: </w:t>
      </w:r>
      <w:hyperlink r:id="rId37" w:history="1">
        <w:r w:rsidRPr="00B9056B">
          <w:rPr>
            <w:rStyle w:val="Hyperlink"/>
            <w:rFonts w:asciiTheme="minorHAnsi" w:hAnsiTheme="minorHAnsi" w:cstheme="minorHAnsi"/>
          </w:rPr>
          <w:t>https://news.npcc.police.uk/releases/police-pilots-find-high-levels-of-drug-use-in-domestic-abuse-offenders</w:t>
        </w:r>
      </w:hyperlink>
      <w:r w:rsidRPr="00B9056B">
        <w:rPr>
          <w:rFonts w:asciiTheme="minorHAnsi" w:hAnsiTheme="minorHAnsi" w:cstheme="minorHAnsi"/>
        </w:rPr>
        <w:t xml:space="preserve"> (Accessed: 15.07.2024).</w:t>
      </w:r>
    </w:p>
    <w:p w14:paraId="557C191C" w14:textId="77777777" w:rsidR="005B0859" w:rsidRPr="00B9056B" w:rsidRDefault="005B0859" w:rsidP="005B0859">
      <w:pPr>
        <w:pStyle w:val="NormalWeb"/>
        <w:spacing w:before="0" w:after="0" w:line="276" w:lineRule="auto"/>
        <w:rPr>
          <w:rFonts w:asciiTheme="minorHAnsi" w:hAnsiTheme="minorHAnsi" w:cstheme="minorHAnsi"/>
        </w:rPr>
      </w:pPr>
    </w:p>
    <w:p w14:paraId="14DC1FE4" w14:textId="77777777" w:rsidR="005B0859" w:rsidRPr="00B9056B" w:rsidRDefault="005B0859" w:rsidP="005B0859">
      <w:pPr>
        <w:pStyle w:val="Heading3"/>
        <w:shd w:val="clear" w:color="auto" w:fill="FFFFFF"/>
        <w:spacing w:before="0" w:line="276" w:lineRule="auto"/>
        <w:rPr>
          <w:rFonts w:asciiTheme="minorHAnsi" w:hAnsiTheme="minorHAnsi" w:cstheme="minorHAnsi"/>
          <w:b/>
          <w:bCs/>
          <w:color w:val="000000" w:themeColor="text1"/>
        </w:rPr>
      </w:pPr>
      <w:r w:rsidRPr="00B9056B">
        <w:rPr>
          <w:rFonts w:asciiTheme="minorHAnsi" w:hAnsiTheme="minorHAnsi" w:cstheme="minorHAnsi"/>
          <w:color w:val="000000" w:themeColor="text1"/>
        </w:rPr>
        <w:t xml:space="preserve">Peters &amp; Peters (2024) </w:t>
      </w:r>
      <w:r w:rsidRPr="00B9056B">
        <w:rPr>
          <w:rFonts w:asciiTheme="minorHAnsi" w:hAnsiTheme="minorHAnsi" w:cstheme="minorHAnsi"/>
          <w:i/>
          <w:iCs/>
          <w:color w:val="000000" w:themeColor="text1"/>
        </w:rPr>
        <w:t>The importance of raising ‘all reasonable lines of inquiry’ early in criminal investigations</w:t>
      </w:r>
      <w:r w:rsidRPr="00B9056B">
        <w:rPr>
          <w:rFonts w:asciiTheme="minorHAnsi" w:hAnsiTheme="minorHAnsi" w:cstheme="minorHAnsi"/>
          <w:b/>
          <w:bCs/>
          <w:i/>
          <w:iCs/>
          <w:color w:val="000000" w:themeColor="text1"/>
        </w:rPr>
        <w:t xml:space="preserve">. </w:t>
      </w:r>
      <w:r w:rsidRPr="00B9056B">
        <w:rPr>
          <w:rFonts w:asciiTheme="minorHAnsi" w:hAnsiTheme="minorHAnsi" w:cstheme="minorHAnsi"/>
          <w:color w:val="000000" w:themeColor="text1"/>
        </w:rPr>
        <w:t>Available at</w:t>
      </w:r>
      <w:r w:rsidRPr="00B9056B">
        <w:rPr>
          <w:rFonts w:asciiTheme="minorHAnsi" w:hAnsiTheme="minorHAnsi" w:cstheme="minorHAnsi"/>
          <w:b/>
          <w:bCs/>
          <w:color w:val="000000" w:themeColor="text1"/>
        </w:rPr>
        <w:t>:</w:t>
      </w:r>
    </w:p>
    <w:p w14:paraId="5BC023B3" w14:textId="77777777" w:rsidR="005B0859" w:rsidRPr="00B9056B" w:rsidRDefault="008419F4" w:rsidP="005B0859">
      <w:pPr>
        <w:spacing w:line="276" w:lineRule="auto"/>
        <w:rPr>
          <w:rFonts w:asciiTheme="minorHAnsi" w:hAnsiTheme="minorHAnsi" w:cstheme="minorHAnsi"/>
          <w:sz w:val="24"/>
          <w:szCs w:val="24"/>
        </w:rPr>
      </w:pPr>
      <w:hyperlink r:id="rId38" w:history="1">
        <w:r w:rsidR="005B0859" w:rsidRPr="00B9056B">
          <w:rPr>
            <w:rStyle w:val="Hyperlink"/>
            <w:rFonts w:asciiTheme="minorHAnsi" w:hAnsiTheme="minorHAnsi" w:cstheme="minorHAnsi"/>
            <w:sz w:val="24"/>
            <w:szCs w:val="24"/>
          </w:rPr>
          <w:t>https://www.petersandpeters.com/2024/01/04/the-importance-of-raising-all-reasonable-lines-of-inquiry-early-in-criminal-investigations/#</w:t>
        </w:r>
      </w:hyperlink>
      <w:r w:rsidR="005B0859" w:rsidRPr="00B9056B">
        <w:rPr>
          <w:rFonts w:asciiTheme="minorHAnsi" w:hAnsiTheme="minorHAnsi" w:cstheme="minorHAnsi"/>
          <w:sz w:val="24"/>
          <w:szCs w:val="24"/>
        </w:rPr>
        <w:t xml:space="preserve"> (Accessed: 27.07.2024).</w:t>
      </w:r>
    </w:p>
    <w:p w14:paraId="75267ADE"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lastRenderedPageBreak/>
        <w:t xml:space="preserve">Public Health (2020) </w:t>
      </w:r>
      <w:r w:rsidRPr="00B9056B">
        <w:rPr>
          <w:rFonts w:asciiTheme="minorHAnsi" w:hAnsiTheme="minorHAnsi" w:cstheme="minorHAnsi"/>
          <w:i/>
          <w:iCs/>
          <w:sz w:val="24"/>
          <w:szCs w:val="24"/>
        </w:rPr>
        <w:t xml:space="preserve">No Child Left Behind – Understanding and Quantifying Vulnerability. </w:t>
      </w:r>
      <w:r w:rsidRPr="00B9056B">
        <w:rPr>
          <w:rFonts w:asciiTheme="minorHAnsi" w:hAnsiTheme="minorHAnsi" w:cstheme="minorHAnsi"/>
          <w:sz w:val="24"/>
          <w:szCs w:val="24"/>
        </w:rPr>
        <w:t xml:space="preserve">Available at: </w:t>
      </w:r>
      <w:hyperlink r:id="rId39" w:history="1">
        <w:r w:rsidRPr="00B9056B">
          <w:rPr>
            <w:rStyle w:val="Hyperlink"/>
            <w:rFonts w:asciiTheme="minorHAnsi" w:hAnsiTheme="minorHAnsi" w:cstheme="minorHAnsi"/>
            <w:sz w:val="24"/>
            <w:szCs w:val="24"/>
          </w:rPr>
          <w:t>https://assets.publishing.service.gov.uk/media/5f4f72c68fa8f523f4c3c0ed/Understanding_and_quantifying_vulnerability_in_childhood.pdf</w:t>
        </w:r>
      </w:hyperlink>
      <w:r w:rsidRPr="00B9056B">
        <w:rPr>
          <w:rFonts w:asciiTheme="minorHAnsi" w:hAnsiTheme="minorHAnsi" w:cstheme="minorHAnsi"/>
          <w:sz w:val="24"/>
          <w:szCs w:val="24"/>
        </w:rPr>
        <w:t xml:space="preserve"> (Accessed: 27.07.2024).</w:t>
      </w:r>
    </w:p>
    <w:p w14:paraId="07DD6DDC" w14:textId="77777777" w:rsidR="005B0859" w:rsidRPr="00B9056B" w:rsidRDefault="005B0859" w:rsidP="005B0859">
      <w:pPr>
        <w:spacing w:line="276" w:lineRule="auto"/>
        <w:rPr>
          <w:rFonts w:asciiTheme="minorHAnsi" w:hAnsiTheme="minorHAnsi" w:cstheme="minorHAnsi"/>
          <w:sz w:val="24"/>
          <w:szCs w:val="24"/>
        </w:rPr>
      </w:pPr>
    </w:p>
    <w:p w14:paraId="6044859E"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Rogers, M.M. </w:t>
      </w:r>
      <w:r w:rsidRPr="00B9056B">
        <w:rPr>
          <w:rFonts w:asciiTheme="minorHAnsi" w:hAnsiTheme="minorHAnsi" w:cstheme="minorHAnsi"/>
          <w:i/>
          <w:iCs/>
        </w:rPr>
        <w:t xml:space="preserve">et al. </w:t>
      </w:r>
      <w:r w:rsidRPr="00B9056B">
        <w:rPr>
          <w:rFonts w:asciiTheme="minorHAnsi" w:hAnsiTheme="minorHAnsi" w:cstheme="minorHAnsi"/>
        </w:rPr>
        <w:t xml:space="preserve">(2023) ‘Survive, learn to live with it…or not’: A narrative analysis of women’s repeat victimisation using a life course perspective’, </w:t>
      </w:r>
      <w:r w:rsidRPr="00B9056B">
        <w:rPr>
          <w:rFonts w:asciiTheme="minorHAnsi" w:hAnsiTheme="minorHAnsi" w:cstheme="minorHAnsi"/>
          <w:i/>
          <w:iCs/>
        </w:rPr>
        <w:t xml:space="preserve">Social science &amp; medicine </w:t>
      </w:r>
      <w:r w:rsidRPr="00B9056B">
        <w:rPr>
          <w:rFonts w:asciiTheme="minorHAnsi" w:hAnsiTheme="minorHAnsi" w:cstheme="minorHAnsi"/>
        </w:rPr>
        <w:t xml:space="preserve">(1982), 338, pp. 116338-116338. Available at: </w:t>
      </w:r>
      <w:hyperlink r:id="rId40" w:history="1">
        <w:r w:rsidRPr="00B9056B">
          <w:rPr>
            <w:rStyle w:val="Hyperlink"/>
            <w:rFonts w:asciiTheme="minorHAnsi" w:hAnsiTheme="minorHAnsi" w:cstheme="minorHAnsi"/>
          </w:rPr>
          <w:t>https://doi.org/10.1016/j.socsimed.2023.116338</w:t>
        </w:r>
      </w:hyperlink>
      <w:r w:rsidRPr="00B9056B">
        <w:rPr>
          <w:rFonts w:asciiTheme="minorHAnsi" w:hAnsiTheme="minorHAnsi" w:cstheme="minorHAnsi"/>
        </w:rPr>
        <w:t>. (Accessed: 15.07.2024).</w:t>
      </w:r>
    </w:p>
    <w:p w14:paraId="3FC6D8B0" w14:textId="77777777" w:rsidR="005B0859" w:rsidRPr="00B9056B" w:rsidRDefault="005B0859" w:rsidP="005B0859">
      <w:pPr>
        <w:pStyle w:val="NormalWeb"/>
        <w:spacing w:before="0" w:after="0" w:line="276" w:lineRule="auto"/>
        <w:rPr>
          <w:rFonts w:asciiTheme="minorHAnsi" w:hAnsiTheme="minorHAnsi" w:cstheme="minorHAnsi"/>
        </w:rPr>
      </w:pPr>
    </w:p>
    <w:p w14:paraId="4A73AD0E"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Safe Lives. </w:t>
      </w:r>
      <w:r w:rsidRPr="00B9056B">
        <w:rPr>
          <w:rFonts w:asciiTheme="minorHAnsi" w:hAnsiTheme="minorHAnsi" w:cstheme="minorHAnsi"/>
          <w:i/>
          <w:iCs/>
          <w:sz w:val="24"/>
          <w:szCs w:val="24"/>
        </w:rPr>
        <w:t xml:space="preserve">Multi-Agency Risk Assessment Conferences. </w:t>
      </w:r>
      <w:r w:rsidRPr="00B9056B">
        <w:rPr>
          <w:rFonts w:asciiTheme="minorHAnsi" w:hAnsiTheme="minorHAnsi" w:cstheme="minorHAnsi"/>
          <w:sz w:val="24"/>
          <w:szCs w:val="24"/>
        </w:rPr>
        <w:t xml:space="preserve">Available at: </w:t>
      </w:r>
      <w:hyperlink r:id="rId41" w:history="1">
        <w:r w:rsidRPr="00B9056B">
          <w:rPr>
            <w:rStyle w:val="Hyperlink"/>
            <w:rFonts w:asciiTheme="minorHAnsi" w:hAnsiTheme="minorHAnsi" w:cstheme="minorHAnsi"/>
            <w:sz w:val="24"/>
            <w:szCs w:val="24"/>
          </w:rPr>
          <w:t>https://safelives.org.uk/about-domestic-abuse/domestic-abuse-response-in-the-uk/what-is-a-marac/</w:t>
        </w:r>
      </w:hyperlink>
      <w:r w:rsidRPr="00B9056B">
        <w:rPr>
          <w:rFonts w:asciiTheme="minorHAnsi" w:hAnsiTheme="minorHAnsi" w:cstheme="minorHAnsi"/>
          <w:sz w:val="24"/>
          <w:szCs w:val="24"/>
        </w:rPr>
        <w:t xml:space="preserve"> (Accessed: 10.09.2024).</w:t>
      </w:r>
    </w:p>
    <w:p w14:paraId="3C5A43DD" w14:textId="77777777" w:rsidR="005B0859" w:rsidRPr="00B9056B" w:rsidRDefault="005B0859" w:rsidP="005B0859">
      <w:pPr>
        <w:spacing w:line="276" w:lineRule="auto"/>
        <w:rPr>
          <w:rFonts w:asciiTheme="minorHAnsi" w:hAnsiTheme="minorHAnsi" w:cstheme="minorHAnsi"/>
          <w:sz w:val="24"/>
          <w:szCs w:val="24"/>
        </w:rPr>
      </w:pPr>
    </w:p>
    <w:p w14:paraId="52C2D91D"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Safe Call (2023) </w:t>
      </w:r>
      <w:r w:rsidRPr="00B9056B">
        <w:rPr>
          <w:rFonts w:asciiTheme="minorHAnsi" w:hAnsiTheme="minorHAnsi" w:cstheme="minorHAnsi"/>
          <w:i/>
          <w:iCs/>
          <w:sz w:val="24"/>
          <w:szCs w:val="24"/>
        </w:rPr>
        <w:t xml:space="preserve">The Golden Hour. </w:t>
      </w:r>
      <w:r w:rsidRPr="00B9056B">
        <w:rPr>
          <w:rFonts w:asciiTheme="minorHAnsi" w:hAnsiTheme="minorHAnsi" w:cstheme="minorHAnsi"/>
          <w:sz w:val="24"/>
          <w:szCs w:val="24"/>
        </w:rPr>
        <w:t xml:space="preserve">Available at: </w:t>
      </w:r>
      <w:hyperlink r:id="rId42" w:history="1">
        <w:r w:rsidRPr="00B9056B">
          <w:rPr>
            <w:rStyle w:val="Hyperlink"/>
            <w:rFonts w:asciiTheme="minorHAnsi" w:hAnsiTheme="minorHAnsi" w:cstheme="minorHAnsi"/>
            <w:sz w:val="24"/>
            <w:szCs w:val="24"/>
          </w:rPr>
          <w:t>https://www.safecall.co.uk/wp-content/uploads/2023/11/golden-hour.pdf</w:t>
        </w:r>
      </w:hyperlink>
      <w:r w:rsidRPr="00B9056B">
        <w:rPr>
          <w:rFonts w:asciiTheme="minorHAnsi" w:hAnsiTheme="minorHAnsi" w:cstheme="minorHAnsi"/>
          <w:sz w:val="24"/>
          <w:szCs w:val="24"/>
        </w:rPr>
        <w:t xml:space="preserve"> (Accessed: 27.08.2024).</w:t>
      </w:r>
    </w:p>
    <w:p w14:paraId="50B692A0" w14:textId="77777777" w:rsidR="005B0859" w:rsidRPr="00B9056B" w:rsidRDefault="005B0859" w:rsidP="005B0859">
      <w:pPr>
        <w:spacing w:line="276" w:lineRule="auto"/>
        <w:rPr>
          <w:rFonts w:asciiTheme="minorHAnsi" w:hAnsiTheme="minorHAnsi" w:cstheme="minorHAnsi"/>
          <w:sz w:val="24"/>
          <w:szCs w:val="24"/>
        </w:rPr>
      </w:pPr>
    </w:p>
    <w:p w14:paraId="180FFE03" w14:textId="77777777" w:rsidR="005B0859" w:rsidRDefault="005B0859" w:rsidP="005B0859">
      <w:pPr>
        <w:spacing w:line="276" w:lineRule="auto"/>
        <w:rPr>
          <w:rFonts w:asciiTheme="minorHAnsi" w:hAnsiTheme="minorHAnsi" w:cstheme="minorHAnsi"/>
          <w:sz w:val="24"/>
          <w:szCs w:val="24"/>
        </w:rPr>
      </w:pPr>
      <w:r w:rsidRPr="00B9056B">
        <w:rPr>
          <w:rFonts w:asciiTheme="minorHAnsi" w:hAnsiTheme="minorHAnsi" w:cstheme="minorHAnsi"/>
          <w:sz w:val="24"/>
          <w:szCs w:val="24"/>
        </w:rPr>
        <w:t xml:space="preserve">The Open University. </w:t>
      </w:r>
      <w:r w:rsidRPr="00B9056B">
        <w:rPr>
          <w:rFonts w:asciiTheme="minorHAnsi" w:hAnsiTheme="minorHAnsi" w:cstheme="minorHAnsi"/>
          <w:i/>
          <w:iCs/>
          <w:sz w:val="24"/>
          <w:szCs w:val="24"/>
        </w:rPr>
        <w:t xml:space="preserve">Exploring Evidence-Based Policing. </w:t>
      </w:r>
      <w:r w:rsidRPr="00B9056B">
        <w:rPr>
          <w:rFonts w:asciiTheme="minorHAnsi" w:hAnsiTheme="minorHAnsi" w:cstheme="minorHAnsi"/>
          <w:sz w:val="24"/>
          <w:szCs w:val="24"/>
        </w:rPr>
        <w:t xml:space="preserve">Available at: </w:t>
      </w:r>
      <w:hyperlink r:id="rId43" w:anchor=":~:text=Gather%20the%20existing%20evidence,Evaluate%20the%20implementation" w:history="1">
        <w:r w:rsidRPr="00B9056B">
          <w:rPr>
            <w:rStyle w:val="Hyperlink"/>
            <w:rFonts w:asciiTheme="minorHAnsi" w:hAnsiTheme="minorHAnsi" w:cstheme="minorHAnsi"/>
            <w:sz w:val="24"/>
            <w:szCs w:val="24"/>
          </w:rPr>
          <w:t>https://www.open.edu/openlearn/money-business/leadership-management/exploring-evidence-based-policing/content-section-3#:~:text=Gather%20the%20existing%20evidence,Evaluate%20the%20implementation</w:t>
        </w:r>
      </w:hyperlink>
      <w:r w:rsidRPr="00B9056B">
        <w:rPr>
          <w:rStyle w:val="Hyperlink"/>
          <w:rFonts w:asciiTheme="minorHAnsi" w:hAnsiTheme="minorHAnsi" w:cstheme="minorHAnsi"/>
          <w:sz w:val="24"/>
          <w:szCs w:val="24"/>
        </w:rPr>
        <w:t xml:space="preserve"> </w:t>
      </w:r>
      <w:r w:rsidRPr="00B9056B">
        <w:rPr>
          <w:rFonts w:asciiTheme="minorHAnsi" w:hAnsiTheme="minorHAnsi" w:cstheme="minorHAnsi"/>
          <w:sz w:val="24"/>
          <w:szCs w:val="24"/>
        </w:rPr>
        <w:t>(Accessed: 10.09.2024).</w:t>
      </w:r>
    </w:p>
    <w:p w14:paraId="05942394" w14:textId="77777777" w:rsidR="005B0859" w:rsidRPr="00B9056B" w:rsidRDefault="005B0859" w:rsidP="005B0859">
      <w:pPr>
        <w:spacing w:line="276" w:lineRule="auto"/>
        <w:rPr>
          <w:rFonts w:asciiTheme="minorHAnsi" w:hAnsiTheme="minorHAnsi" w:cstheme="minorHAnsi"/>
          <w:sz w:val="24"/>
          <w:szCs w:val="24"/>
        </w:rPr>
      </w:pPr>
    </w:p>
    <w:p w14:paraId="38906FB7"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Victim Support (2024) </w:t>
      </w:r>
      <w:r w:rsidRPr="00B9056B">
        <w:rPr>
          <w:rFonts w:asciiTheme="minorHAnsi" w:hAnsiTheme="minorHAnsi" w:cstheme="minorHAnsi"/>
          <w:i/>
          <w:iCs/>
        </w:rPr>
        <w:t xml:space="preserve">Victims’ Code. </w:t>
      </w:r>
      <w:r w:rsidRPr="00B9056B">
        <w:rPr>
          <w:rFonts w:asciiTheme="minorHAnsi" w:hAnsiTheme="minorHAnsi" w:cstheme="minorHAnsi"/>
        </w:rPr>
        <w:t xml:space="preserve">Available at: </w:t>
      </w:r>
      <w:hyperlink r:id="rId44" w:history="1">
        <w:r w:rsidRPr="00B9056B">
          <w:rPr>
            <w:rStyle w:val="Hyperlink"/>
            <w:rFonts w:asciiTheme="minorHAnsi" w:hAnsiTheme="minorHAnsi" w:cstheme="minorHAnsi"/>
          </w:rPr>
          <w:t>https://www.victimsupport.org.uk/help-and-support/your-rights/victims-code/</w:t>
        </w:r>
      </w:hyperlink>
      <w:r w:rsidRPr="00B9056B">
        <w:rPr>
          <w:rFonts w:asciiTheme="minorHAnsi" w:hAnsiTheme="minorHAnsi" w:cstheme="minorHAnsi"/>
        </w:rPr>
        <w:t xml:space="preserve"> (Accessed: 12.07.2024).</w:t>
      </w:r>
    </w:p>
    <w:p w14:paraId="181A82EB" w14:textId="77777777" w:rsidR="005B0859" w:rsidRPr="00B9056B" w:rsidRDefault="005B0859" w:rsidP="005B0859">
      <w:pPr>
        <w:pStyle w:val="NormalWeb"/>
        <w:spacing w:before="0" w:after="0" w:line="276" w:lineRule="auto"/>
        <w:rPr>
          <w:rFonts w:asciiTheme="minorHAnsi" w:hAnsiTheme="minorHAnsi" w:cstheme="minorHAnsi"/>
        </w:rPr>
      </w:pPr>
    </w:p>
    <w:p w14:paraId="4C1D3721" w14:textId="77777777" w:rsidR="005B0859" w:rsidRPr="00B9056B" w:rsidRDefault="005B0859" w:rsidP="005B0859">
      <w:pPr>
        <w:pStyle w:val="NormalWeb"/>
        <w:spacing w:before="0" w:after="0" w:line="276" w:lineRule="auto"/>
        <w:rPr>
          <w:rFonts w:asciiTheme="minorHAnsi" w:hAnsiTheme="minorHAnsi" w:cstheme="minorHAnsi"/>
        </w:rPr>
      </w:pPr>
      <w:r w:rsidRPr="00B9056B">
        <w:rPr>
          <w:rFonts w:asciiTheme="minorHAnsi" w:hAnsiTheme="minorHAnsi" w:cstheme="minorHAnsi"/>
        </w:rPr>
        <w:t xml:space="preserve">Women’s Aid (2024) </w:t>
      </w:r>
      <w:r w:rsidRPr="00B9056B">
        <w:rPr>
          <w:rFonts w:asciiTheme="minorHAnsi" w:hAnsiTheme="minorHAnsi" w:cstheme="minorHAnsi"/>
          <w:i/>
          <w:iCs/>
        </w:rPr>
        <w:t xml:space="preserve">What is Domestic Abuse. </w:t>
      </w:r>
      <w:r w:rsidRPr="00B9056B">
        <w:rPr>
          <w:rFonts w:asciiTheme="minorHAnsi" w:hAnsiTheme="minorHAnsi" w:cstheme="minorHAnsi"/>
        </w:rPr>
        <w:t xml:space="preserve">Available at: </w:t>
      </w:r>
      <w:hyperlink r:id="rId45" w:history="1">
        <w:r w:rsidRPr="00B9056B">
          <w:rPr>
            <w:rStyle w:val="Hyperlink"/>
            <w:rFonts w:asciiTheme="minorHAnsi" w:hAnsiTheme="minorHAnsi" w:cstheme="minorHAnsi"/>
          </w:rPr>
          <w:t>https://www.womensaid.org.uk/information-support/what-is-domestic-abuse/</w:t>
        </w:r>
      </w:hyperlink>
      <w:r w:rsidRPr="00B9056B">
        <w:rPr>
          <w:rFonts w:asciiTheme="minorHAnsi" w:hAnsiTheme="minorHAnsi" w:cstheme="minorHAnsi"/>
        </w:rPr>
        <w:t xml:space="preserve"> (Accessed: 12.07.2024).</w:t>
      </w:r>
    </w:p>
    <w:p w14:paraId="17D8CAF3" w14:textId="77777777" w:rsidR="005B0859" w:rsidRDefault="005B0859" w:rsidP="005B0859"/>
    <w:p w14:paraId="77D7B6D0" w14:textId="77777777" w:rsidR="00DF424B" w:rsidRDefault="00DF424B" w:rsidP="00EA28F1">
      <w:pPr>
        <w:keepNext/>
        <w:spacing w:before="240" w:after="60"/>
        <w:ind w:right="237"/>
        <w:jc w:val="both"/>
        <w:rPr>
          <w:sz w:val="24"/>
          <w:szCs w:val="24"/>
        </w:rPr>
      </w:pPr>
    </w:p>
    <w:p w14:paraId="4578ECFC" w14:textId="77777777" w:rsidR="006166C6" w:rsidRDefault="006166C6" w:rsidP="00EA28F1">
      <w:pPr>
        <w:keepNext/>
        <w:spacing w:before="240" w:after="60"/>
        <w:ind w:right="237"/>
        <w:jc w:val="both"/>
      </w:pPr>
    </w:p>
    <w:sectPr w:rsidR="006166C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42438" w14:textId="77777777" w:rsidR="00710A05" w:rsidRDefault="00710A05">
      <w:r>
        <w:separator/>
      </w:r>
    </w:p>
  </w:endnote>
  <w:endnote w:type="continuationSeparator" w:id="0">
    <w:p w14:paraId="1A8256F9" w14:textId="77777777" w:rsidR="00710A05" w:rsidRDefault="0071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A55B8" w14:textId="77777777" w:rsidR="00710A05" w:rsidRDefault="00710A05">
      <w:r>
        <w:separator/>
      </w:r>
    </w:p>
  </w:footnote>
  <w:footnote w:type="continuationSeparator" w:id="0">
    <w:p w14:paraId="4BFBB987" w14:textId="77777777" w:rsidR="00710A05" w:rsidRDefault="00710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77300C"/>
    <w:multiLevelType w:val="multilevel"/>
    <w:tmpl w:val="E012AFC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3"/>
  </w:num>
  <w:num w:numId="32" w16cid:durableId="222646112">
    <w:abstractNumId w:val="31"/>
  </w:num>
  <w:num w:numId="33" w16cid:durableId="2043940194">
    <w:abstractNumId w:val="12"/>
  </w:num>
  <w:num w:numId="34" w16cid:durableId="1879196244">
    <w:abstractNumId w:val="44"/>
  </w:num>
  <w:num w:numId="35" w16cid:durableId="682361466">
    <w:abstractNumId w:val="38"/>
  </w:num>
  <w:num w:numId="36" w16cid:durableId="1977442909">
    <w:abstractNumId w:val="4"/>
  </w:num>
  <w:num w:numId="37" w16cid:durableId="1583488633">
    <w:abstractNumId w:val="46"/>
  </w:num>
  <w:num w:numId="38" w16cid:durableId="440271129">
    <w:abstractNumId w:val="42"/>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9"/>
  </w:num>
  <w:num w:numId="50" w16cid:durableId="1806195956">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00B"/>
    <w:rsid w:val="00027B1F"/>
    <w:rsid w:val="0003088B"/>
    <w:rsid w:val="000325D9"/>
    <w:rsid w:val="000372B2"/>
    <w:rsid w:val="0004079F"/>
    <w:rsid w:val="00045B87"/>
    <w:rsid w:val="00045C07"/>
    <w:rsid w:val="00055D43"/>
    <w:rsid w:val="00056FAC"/>
    <w:rsid w:val="00057751"/>
    <w:rsid w:val="00062AE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A52FA"/>
    <w:rsid w:val="000B1E96"/>
    <w:rsid w:val="000B41D2"/>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5DA6"/>
    <w:rsid w:val="00147DE3"/>
    <w:rsid w:val="00150794"/>
    <w:rsid w:val="001546EA"/>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0E42"/>
    <w:rsid w:val="001F3878"/>
    <w:rsid w:val="001F4552"/>
    <w:rsid w:val="002019EB"/>
    <w:rsid w:val="002030F2"/>
    <w:rsid w:val="00205051"/>
    <w:rsid w:val="00211695"/>
    <w:rsid w:val="00211F65"/>
    <w:rsid w:val="00213A97"/>
    <w:rsid w:val="00217885"/>
    <w:rsid w:val="0022001B"/>
    <w:rsid w:val="00220D06"/>
    <w:rsid w:val="002219BA"/>
    <w:rsid w:val="00221F9C"/>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5D94"/>
    <w:rsid w:val="002761F4"/>
    <w:rsid w:val="002775E1"/>
    <w:rsid w:val="00277979"/>
    <w:rsid w:val="002808EB"/>
    <w:rsid w:val="0028095D"/>
    <w:rsid w:val="00281579"/>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03CF"/>
    <w:rsid w:val="002F4F6E"/>
    <w:rsid w:val="003015C3"/>
    <w:rsid w:val="0030698D"/>
    <w:rsid w:val="00313418"/>
    <w:rsid w:val="0031350A"/>
    <w:rsid w:val="00316815"/>
    <w:rsid w:val="003168CA"/>
    <w:rsid w:val="00321255"/>
    <w:rsid w:val="0032230D"/>
    <w:rsid w:val="00322A0B"/>
    <w:rsid w:val="003327ED"/>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2583"/>
    <w:rsid w:val="00385414"/>
    <w:rsid w:val="00390074"/>
    <w:rsid w:val="0039403C"/>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692D"/>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131D"/>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3042"/>
    <w:rsid w:val="00536FA9"/>
    <w:rsid w:val="005414F4"/>
    <w:rsid w:val="00546187"/>
    <w:rsid w:val="005463F1"/>
    <w:rsid w:val="00556E47"/>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5072"/>
    <w:rsid w:val="005A0658"/>
    <w:rsid w:val="005A1B4C"/>
    <w:rsid w:val="005A1BA3"/>
    <w:rsid w:val="005A545C"/>
    <w:rsid w:val="005B0859"/>
    <w:rsid w:val="005C1567"/>
    <w:rsid w:val="005C6CE5"/>
    <w:rsid w:val="005C76DE"/>
    <w:rsid w:val="005D3F07"/>
    <w:rsid w:val="005D4B18"/>
    <w:rsid w:val="005D583E"/>
    <w:rsid w:val="005E13EA"/>
    <w:rsid w:val="005E53BD"/>
    <w:rsid w:val="005E652A"/>
    <w:rsid w:val="00606E27"/>
    <w:rsid w:val="006108C9"/>
    <w:rsid w:val="00615C7E"/>
    <w:rsid w:val="006166C6"/>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A05"/>
    <w:rsid w:val="00710D69"/>
    <w:rsid w:val="007110E6"/>
    <w:rsid w:val="00711A70"/>
    <w:rsid w:val="00712E6F"/>
    <w:rsid w:val="00712E90"/>
    <w:rsid w:val="00713B7E"/>
    <w:rsid w:val="0071499F"/>
    <w:rsid w:val="00716DF6"/>
    <w:rsid w:val="007203DA"/>
    <w:rsid w:val="007204AE"/>
    <w:rsid w:val="0072678F"/>
    <w:rsid w:val="00727C4C"/>
    <w:rsid w:val="00734809"/>
    <w:rsid w:val="0073644B"/>
    <w:rsid w:val="007406E1"/>
    <w:rsid w:val="00743E40"/>
    <w:rsid w:val="00751263"/>
    <w:rsid w:val="00756425"/>
    <w:rsid w:val="0075704F"/>
    <w:rsid w:val="00763B2D"/>
    <w:rsid w:val="00767CB5"/>
    <w:rsid w:val="00772924"/>
    <w:rsid w:val="00784EC4"/>
    <w:rsid w:val="007872F2"/>
    <w:rsid w:val="007874BC"/>
    <w:rsid w:val="007908E0"/>
    <w:rsid w:val="00793EB3"/>
    <w:rsid w:val="00794205"/>
    <w:rsid w:val="00797012"/>
    <w:rsid w:val="007A1F6A"/>
    <w:rsid w:val="007B0DE3"/>
    <w:rsid w:val="007B491F"/>
    <w:rsid w:val="007B4C8F"/>
    <w:rsid w:val="007B5CB2"/>
    <w:rsid w:val="007B7191"/>
    <w:rsid w:val="007C075D"/>
    <w:rsid w:val="007C0C59"/>
    <w:rsid w:val="007C1634"/>
    <w:rsid w:val="007C1D94"/>
    <w:rsid w:val="007C2879"/>
    <w:rsid w:val="007C6A87"/>
    <w:rsid w:val="007C705D"/>
    <w:rsid w:val="007D0A07"/>
    <w:rsid w:val="007D0C96"/>
    <w:rsid w:val="007D133D"/>
    <w:rsid w:val="007D3EB4"/>
    <w:rsid w:val="007D3F16"/>
    <w:rsid w:val="007D78CC"/>
    <w:rsid w:val="007E6079"/>
    <w:rsid w:val="007F3F7E"/>
    <w:rsid w:val="007F5497"/>
    <w:rsid w:val="00811F28"/>
    <w:rsid w:val="00813CEC"/>
    <w:rsid w:val="0081534C"/>
    <w:rsid w:val="008171E4"/>
    <w:rsid w:val="008208EA"/>
    <w:rsid w:val="00824E67"/>
    <w:rsid w:val="00825A64"/>
    <w:rsid w:val="00826F48"/>
    <w:rsid w:val="008275FD"/>
    <w:rsid w:val="008308AE"/>
    <w:rsid w:val="0083166E"/>
    <w:rsid w:val="00831DC3"/>
    <w:rsid w:val="008322C7"/>
    <w:rsid w:val="00834F1D"/>
    <w:rsid w:val="00836FEC"/>
    <w:rsid w:val="008419F4"/>
    <w:rsid w:val="00841F9D"/>
    <w:rsid w:val="008420E1"/>
    <w:rsid w:val="00843D58"/>
    <w:rsid w:val="00843EBA"/>
    <w:rsid w:val="00844D98"/>
    <w:rsid w:val="00846D84"/>
    <w:rsid w:val="0085230E"/>
    <w:rsid w:val="0085355E"/>
    <w:rsid w:val="008550A1"/>
    <w:rsid w:val="00857AFB"/>
    <w:rsid w:val="00861035"/>
    <w:rsid w:val="00861038"/>
    <w:rsid w:val="00865008"/>
    <w:rsid w:val="00866B50"/>
    <w:rsid w:val="00870873"/>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52F"/>
    <w:rsid w:val="008D778A"/>
    <w:rsid w:val="008F22BD"/>
    <w:rsid w:val="009079BD"/>
    <w:rsid w:val="00912BD9"/>
    <w:rsid w:val="00916CFB"/>
    <w:rsid w:val="00920E5B"/>
    <w:rsid w:val="009249F8"/>
    <w:rsid w:val="00926436"/>
    <w:rsid w:val="0093018C"/>
    <w:rsid w:val="00932CCA"/>
    <w:rsid w:val="009370AE"/>
    <w:rsid w:val="0094778E"/>
    <w:rsid w:val="009544C0"/>
    <w:rsid w:val="00954FA4"/>
    <w:rsid w:val="00956AE9"/>
    <w:rsid w:val="00964CC6"/>
    <w:rsid w:val="009742EA"/>
    <w:rsid w:val="00991FDA"/>
    <w:rsid w:val="009927A1"/>
    <w:rsid w:val="0099774D"/>
    <w:rsid w:val="009A310E"/>
    <w:rsid w:val="009A5F3B"/>
    <w:rsid w:val="009B0B61"/>
    <w:rsid w:val="009B28C0"/>
    <w:rsid w:val="009B2E84"/>
    <w:rsid w:val="009B395A"/>
    <w:rsid w:val="009B5604"/>
    <w:rsid w:val="009B7136"/>
    <w:rsid w:val="009B7806"/>
    <w:rsid w:val="009C3AC2"/>
    <w:rsid w:val="009D4365"/>
    <w:rsid w:val="009D4E3B"/>
    <w:rsid w:val="009D53C3"/>
    <w:rsid w:val="009D7BC9"/>
    <w:rsid w:val="009E0C5A"/>
    <w:rsid w:val="009E1982"/>
    <w:rsid w:val="009E4D2C"/>
    <w:rsid w:val="009F0978"/>
    <w:rsid w:val="009F3AEC"/>
    <w:rsid w:val="00A00081"/>
    <w:rsid w:val="00A015F7"/>
    <w:rsid w:val="00A10D56"/>
    <w:rsid w:val="00A1256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1E54"/>
    <w:rsid w:val="00A732EA"/>
    <w:rsid w:val="00A7489E"/>
    <w:rsid w:val="00A8015F"/>
    <w:rsid w:val="00A80BD2"/>
    <w:rsid w:val="00A85039"/>
    <w:rsid w:val="00A851F7"/>
    <w:rsid w:val="00A87591"/>
    <w:rsid w:val="00A87C51"/>
    <w:rsid w:val="00A906AA"/>
    <w:rsid w:val="00A91F47"/>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A72"/>
    <w:rsid w:val="00B47734"/>
    <w:rsid w:val="00B50FBA"/>
    <w:rsid w:val="00B558EB"/>
    <w:rsid w:val="00B577D3"/>
    <w:rsid w:val="00B60466"/>
    <w:rsid w:val="00B6548F"/>
    <w:rsid w:val="00B7502A"/>
    <w:rsid w:val="00B77305"/>
    <w:rsid w:val="00B82CC2"/>
    <w:rsid w:val="00B82D5F"/>
    <w:rsid w:val="00B84951"/>
    <w:rsid w:val="00B84A89"/>
    <w:rsid w:val="00B92BEF"/>
    <w:rsid w:val="00B9689A"/>
    <w:rsid w:val="00BA074B"/>
    <w:rsid w:val="00BA1FFA"/>
    <w:rsid w:val="00BA2666"/>
    <w:rsid w:val="00BA7FF1"/>
    <w:rsid w:val="00BB06CB"/>
    <w:rsid w:val="00BB177E"/>
    <w:rsid w:val="00BB261F"/>
    <w:rsid w:val="00BB2887"/>
    <w:rsid w:val="00BB5EAA"/>
    <w:rsid w:val="00BB5F11"/>
    <w:rsid w:val="00BC0401"/>
    <w:rsid w:val="00BC04FA"/>
    <w:rsid w:val="00BC06C3"/>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D90"/>
    <w:rsid w:val="00CA7F4F"/>
    <w:rsid w:val="00CB258E"/>
    <w:rsid w:val="00CB3C8F"/>
    <w:rsid w:val="00CB75CE"/>
    <w:rsid w:val="00CC02F1"/>
    <w:rsid w:val="00CC11A6"/>
    <w:rsid w:val="00CC135E"/>
    <w:rsid w:val="00CC75A3"/>
    <w:rsid w:val="00CD5D3F"/>
    <w:rsid w:val="00CE2820"/>
    <w:rsid w:val="00CF1E90"/>
    <w:rsid w:val="00CF3DB3"/>
    <w:rsid w:val="00D052BC"/>
    <w:rsid w:val="00D06CBD"/>
    <w:rsid w:val="00D07026"/>
    <w:rsid w:val="00D07BAB"/>
    <w:rsid w:val="00D11C62"/>
    <w:rsid w:val="00D22C8F"/>
    <w:rsid w:val="00D33491"/>
    <w:rsid w:val="00D44F8E"/>
    <w:rsid w:val="00D44FD0"/>
    <w:rsid w:val="00D5733C"/>
    <w:rsid w:val="00D607EF"/>
    <w:rsid w:val="00D60F88"/>
    <w:rsid w:val="00D61BC2"/>
    <w:rsid w:val="00D625E7"/>
    <w:rsid w:val="00D646BD"/>
    <w:rsid w:val="00D70239"/>
    <w:rsid w:val="00D71201"/>
    <w:rsid w:val="00D720C7"/>
    <w:rsid w:val="00D77A04"/>
    <w:rsid w:val="00D81D06"/>
    <w:rsid w:val="00D829E7"/>
    <w:rsid w:val="00D8652C"/>
    <w:rsid w:val="00D876E6"/>
    <w:rsid w:val="00D93A1B"/>
    <w:rsid w:val="00DA1025"/>
    <w:rsid w:val="00DA22EC"/>
    <w:rsid w:val="00DA5860"/>
    <w:rsid w:val="00DB2767"/>
    <w:rsid w:val="00DC08B3"/>
    <w:rsid w:val="00DC4729"/>
    <w:rsid w:val="00DC6670"/>
    <w:rsid w:val="00DD1331"/>
    <w:rsid w:val="00DE0EAD"/>
    <w:rsid w:val="00DE1FD6"/>
    <w:rsid w:val="00DE556F"/>
    <w:rsid w:val="00DF424B"/>
    <w:rsid w:val="00E03B6D"/>
    <w:rsid w:val="00E0649E"/>
    <w:rsid w:val="00E17160"/>
    <w:rsid w:val="00E211BF"/>
    <w:rsid w:val="00E23993"/>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0405"/>
    <w:rsid w:val="00F22AC5"/>
    <w:rsid w:val="00F254D1"/>
    <w:rsid w:val="00F32B82"/>
    <w:rsid w:val="00F4043E"/>
    <w:rsid w:val="00F40CB5"/>
    <w:rsid w:val="00F41BBC"/>
    <w:rsid w:val="00F43B9D"/>
    <w:rsid w:val="00F444F0"/>
    <w:rsid w:val="00F50847"/>
    <w:rsid w:val="00F53F27"/>
    <w:rsid w:val="00F546D1"/>
    <w:rsid w:val="00F643C8"/>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23C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166C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3Char">
    <w:name w:val="Heading 3 Char"/>
    <w:basedOn w:val="DefaultParagraphFont"/>
    <w:link w:val="Heading3"/>
    <w:uiPriority w:val="9"/>
    <w:semiHidden/>
    <w:rsid w:val="006166C6"/>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rsid w:val="00A12566"/>
    <w:pPr>
      <w:suppressAutoHyphens/>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app/investigation/investigation-process" TargetMode="External"/><Relationship Id="rId39" Type="http://schemas.openxmlformats.org/officeDocument/2006/relationships/hyperlink" Target="https://assets.publishing.service.gov.uk/media/5f4f72c68fa8f523f4c3c0ed/Understanding_and_quantifying_vulnerability_in_childhood.pdf" TargetMode="External"/><Relationship Id="rId3" Type="http://schemas.openxmlformats.org/officeDocument/2006/relationships/customXml" Target="../customXml/item3.xml"/><Relationship Id="rId21" Type="http://schemas.openxmlformats.org/officeDocument/2006/relationships/hyperlink" Target="https://humanrights.gov.au/our-work/face-discrimination/what-racism" TargetMode="External"/><Relationship Id="rId34" Type="http://schemas.openxmlformats.org/officeDocument/2006/relationships/hyperlink" Target="https://doi.org/10.1111/add.16192" TargetMode="External"/><Relationship Id="rId42" Type="http://schemas.openxmlformats.org/officeDocument/2006/relationships/hyperlink" Target="https://www.safecall.co.uk/wp-content/uploads/2023/11/golden-hour.pdf"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vestigation/forensics" TargetMode="External"/><Relationship Id="rId33" Type="http://schemas.openxmlformats.org/officeDocument/2006/relationships/hyperlink" Target="https://www.files.ethz.ch/isn/157081/RP12-71.pdf" TargetMode="External"/><Relationship Id="rId38" Type="http://schemas.openxmlformats.org/officeDocument/2006/relationships/hyperlink" Target="https://www.petersandpeters.com/2024/01/04/the-importance-of-raising-all-reasonable-lines-of-inquiry-early-in-criminal-investigations/"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dashriskchecklist.com/" TargetMode="External"/><Relationship Id="rId41" Type="http://schemas.openxmlformats.org/officeDocument/2006/relationships/hyperlink" Target="https://safelives.org.uk/about-domestic-abuse/domestic-abuse-response-in-the-uk/what-is-a-mara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detention-and-custody/response-arrest-and-detention" TargetMode="External"/><Relationship Id="rId32" Type="http://schemas.openxmlformats.org/officeDocument/2006/relationships/hyperlink" Target="https://books.google.co.uk/books?hl=en&amp;lr=&amp;id=eXoPnQwEnmoC&amp;oi=fnd&amp;pg=PA437&amp;dq=substance+misuse+make+you+more+aggressive&amp;ots=qXqAmjlOTB&amp;sig=NpXvB1E3PL9NVGcH7ZpFzx02efQ&amp;redir_esc=y" TargetMode="External"/><Relationship Id="rId37" Type="http://schemas.openxmlformats.org/officeDocument/2006/relationships/hyperlink" Target="https://news.npcc.police.uk/releases/police-pilots-find-high-levels-of-drug-use-in-domestic-abuse-offenders" TargetMode="External"/><Relationship Id="rId40" Type="http://schemas.openxmlformats.org/officeDocument/2006/relationships/hyperlink" Target="https://doi.org/10.1016/j.socsimed.2023.116338" TargetMode="External"/><Relationship Id="rId45" Type="http://schemas.openxmlformats.org/officeDocument/2006/relationships/hyperlink" Target="https://www.womensaid.org.uk/information-support/what-is-domestic-abuse/"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hmicfrs.justiceinspectorates.gov.uk/glossary/threat-harm-risk-investigation/" TargetMode="External"/><Relationship Id="rId28" Type="http://schemas.openxmlformats.org/officeDocument/2006/relationships/hyperlink" Target="https://hmicfrs.justiceinspectorates.gov.uk/glossary/threat-harm-risk-investigation/" TargetMode="External"/><Relationship Id="rId36" Type="http://schemas.openxmlformats.org/officeDocument/2006/relationships/hyperlink" Target="https://assets.publishing.service.gov.uk/media/657739c0254aaa0010050a66/FOI2023_11133.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doi.org/10.1177/1077801206290238" TargetMode="External"/><Relationship Id="rId44" Type="http://schemas.openxmlformats.org/officeDocument/2006/relationships/hyperlink" Target="https://www.victimsupport.org.uk/help-and-support/your-right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arecheck.co.uk/importance-of-safeguarding/" TargetMode="External"/><Relationship Id="rId27" Type="http://schemas.openxmlformats.org/officeDocument/2006/relationships/hyperlink" Target="https://www.college.police.uk/app/investigation/investigation-process" TargetMode="External"/><Relationship Id="rId30" Type="http://schemas.openxmlformats.org/officeDocument/2006/relationships/hyperlink" Target="https://rgu-repository.worktribe.com/preview/1001194/FYFE%202017%20Policing%202026%20evidence%20review.pdf" TargetMode="External"/><Relationship Id="rId35" Type="http://schemas.openxmlformats.org/officeDocument/2006/relationships/hyperlink" Target="https://www.legislation.gov.uk/ukpga/1984/60/section/18" TargetMode="External"/><Relationship Id="rId43" Type="http://schemas.openxmlformats.org/officeDocument/2006/relationships/hyperlink" Target="https://www.open.edu/openlearn/money-business/leadership-management/exploring-evidence-based-policing/content-section-3" TargetMode="External"/><Relationship Id="rId48"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21</Pages>
  <Words>5678</Words>
  <Characters>35656</Characters>
  <Application>Microsoft Office Word</Application>
  <DocSecurity>0</DocSecurity>
  <Lines>297</Lines>
  <Paragraphs>82</Paragraphs>
  <ScaleCrop>false</ScaleCrop>
  <Company>Powys County Council</Company>
  <LinksUpToDate>false</LinksUpToDate>
  <CharactersWithSpaces>41252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Jasmin</cp:lastModifiedBy>
  <cp:revision>69</cp:revision>
  <cp:lastPrinted>2014-08-26T08:55:00Z</cp:lastPrinted>
  <dcterms:created xsi:type="dcterms:W3CDTF">2024-03-21T11:13:00Z</dcterms:created>
  <dcterms:modified xsi:type="dcterms:W3CDTF">2024-09-16T15:09:00Z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2024-03-21T11:13:29Z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3035718f-f802-447a-a6f1-550279f417d9</vt:lpwstr>
  </property>
  <property fmtid="{D5CDD505-2E9C-101B-9397-08002B2CF9AE}" pid="16" name="MSIP_Label_f2acd28b-79a3-4a0f-b0ff-4b75658b1549_ContentBits">
    <vt:lpwstr>0</vt:lpwstr>
  </property>
</Properties>
</file>