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FCA45A" w14:textId="5716E773" w:rsidR="00BB0955" w:rsidRDefault="004759E4" w:rsidP="00006D63">
      <w:pPr>
        <w:spacing w:line="276" w:lineRule="auto"/>
        <w:rPr>
          <w:b/>
          <w:bCs/>
          <w:sz w:val="24"/>
          <w:szCs w:val="24"/>
          <w:u w:val="single"/>
        </w:rPr>
      </w:pPr>
      <w:r>
        <w:rPr>
          <w:b/>
          <w:bCs/>
          <w:sz w:val="24"/>
          <w:szCs w:val="24"/>
          <w:u w:val="single"/>
        </w:rPr>
        <w:t xml:space="preserve">Scenario Question </w:t>
      </w:r>
      <w:r w:rsidR="00302CF5" w:rsidRPr="00302CF5">
        <w:rPr>
          <w:b/>
          <w:bCs/>
          <w:sz w:val="24"/>
          <w:szCs w:val="24"/>
          <w:u w:val="single"/>
        </w:rPr>
        <w:t xml:space="preserve">– Criminal Law </w:t>
      </w:r>
    </w:p>
    <w:p w14:paraId="502D42E7" w14:textId="206C5562" w:rsidR="00302CF5" w:rsidRDefault="007E522A" w:rsidP="00006D63">
      <w:pPr>
        <w:spacing w:line="276" w:lineRule="auto"/>
        <w:rPr>
          <w:sz w:val="24"/>
          <w:szCs w:val="24"/>
        </w:rPr>
      </w:pPr>
      <w:r w:rsidRPr="007E522A">
        <w:rPr>
          <w:sz w:val="24"/>
          <w:szCs w:val="24"/>
        </w:rPr>
        <w:t>Firstly</w:t>
      </w:r>
      <w:r w:rsidR="00CD7577">
        <w:rPr>
          <w:sz w:val="24"/>
          <w:szCs w:val="24"/>
        </w:rPr>
        <w:t>,</w:t>
      </w:r>
      <w:r w:rsidRPr="007E522A">
        <w:rPr>
          <w:sz w:val="24"/>
          <w:szCs w:val="24"/>
        </w:rPr>
        <w:t xml:space="preserve"> from the analysis of the scenario, it can be seen that</w:t>
      </w:r>
      <w:r>
        <w:rPr>
          <w:sz w:val="24"/>
          <w:szCs w:val="24"/>
        </w:rPr>
        <w:t xml:space="preserve"> Paula stole the handbag with the intension of doing so.</w:t>
      </w:r>
      <w:r w:rsidR="00B4205D">
        <w:rPr>
          <w:sz w:val="24"/>
          <w:szCs w:val="24"/>
        </w:rPr>
        <w:t xml:space="preserve"> The criminal liability for Paula would be theft. An individual can be seen guilty of theft if they “dishonestly appropriate property belonging to another</w:t>
      </w:r>
      <w:r w:rsidR="00CC11AC">
        <w:rPr>
          <w:sz w:val="24"/>
          <w:szCs w:val="24"/>
        </w:rPr>
        <w:t xml:space="preserve">, where there is an intension of depriving another of it”. </w:t>
      </w:r>
      <w:bookmarkStart w:id="0" w:name="_Hlk92370440"/>
      <w:r w:rsidR="00CC11AC">
        <w:rPr>
          <w:sz w:val="24"/>
          <w:szCs w:val="24"/>
        </w:rPr>
        <w:t>(Theft act S1 1968)</w:t>
      </w:r>
      <w:bookmarkEnd w:id="0"/>
      <w:r w:rsidR="00CC11AC">
        <w:rPr>
          <w:sz w:val="24"/>
          <w:szCs w:val="24"/>
        </w:rPr>
        <w:t xml:space="preserve">. </w:t>
      </w:r>
      <w:r w:rsidR="00CD7577">
        <w:rPr>
          <w:sz w:val="24"/>
          <w:szCs w:val="24"/>
        </w:rPr>
        <w:t xml:space="preserve">With this case it shows that the Mens Rea is present. Paula has deprived Christine of her property as she had the intension of </w:t>
      </w:r>
      <w:r w:rsidR="00FB55B1">
        <w:rPr>
          <w:sz w:val="24"/>
          <w:szCs w:val="24"/>
        </w:rPr>
        <w:t xml:space="preserve">taking the bag after the party. </w:t>
      </w:r>
      <w:r w:rsidR="00CC11AC">
        <w:rPr>
          <w:sz w:val="24"/>
          <w:szCs w:val="24"/>
        </w:rPr>
        <w:t>The appropriation following the Actus Reus is where Paula took the back with the intension to do so and placed in in the footwell of her car.</w:t>
      </w:r>
      <w:r w:rsidR="006C2FA6">
        <w:rPr>
          <w:sz w:val="24"/>
          <w:szCs w:val="24"/>
        </w:rPr>
        <w:t xml:space="preserve"> </w:t>
      </w:r>
      <w:r w:rsidR="00C0384D">
        <w:rPr>
          <w:sz w:val="24"/>
          <w:szCs w:val="24"/>
        </w:rPr>
        <w:t>According to Morris (1983</w:t>
      </w:r>
      <w:r w:rsidR="0091481C">
        <w:rPr>
          <w:sz w:val="24"/>
          <w:szCs w:val="24"/>
        </w:rPr>
        <w:t>)</w:t>
      </w:r>
      <w:r w:rsidR="00C0384D">
        <w:rPr>
          <w:sz w:val="24"/>
          <w:szCs w:val="24"/>
        </w:rPr>
        <w:t xml:space="preserve"> a right of the owner could have been taken into consideration but not all right of the owner. </w:t>
      </w:r>
    </w:p>
    <w:p w14:paraId="11446DB7" w14:textId="50EB4ACD" w:rsidR="00C35EF5" w:rsidRDefault="00667AC3" w:rsidP="00006D63">
      <w:pPr>
        <w:spacing w:line="276" w:lineRule="auto"/>
        <w:rPr>
          <w:sz w:val="24"/>
          <w:szCs w:val="24"/>
        </w:rPr>
      </w:pPr>
      <w:r>
        <w:rPr>
          <w:sz w:val="24"/>
          <w:szCs w:val="24"/>
        </w:rPr>
        <w:t>Within theft there are many elements that can be identified through both the Mens Rea and the Actus Reus. Firstly</w:t>
      </w:r>
      <w:r w:rsidR="00C0384D">
        <w:rPr>
          <w:sz w:val="24"/>
          <w:szCs w:val="24"/>
        </w:rPr>
        <w:t>,</w:t>
      </w:r>
      <w:r>
        <w:rPr>
          <w:sz w:val="24"/>
          <w:szCs w:val="24"/>
        </w:rPr>
        <w:t xml:space="preserve"> looking at theft within property. Property </w:t>
      </w:r>
      <w:r w:rsidR="00CC313D">
        <w:rPr>
          <w:sz w:val="24"/>
          <w:szCs w:val="24"/>
        </w:rPr>
        <w:t>includes anything from money, real or personal property</w:t>
      </w:r>
      <w:r w:rsidR="004759E4">
        <w:rPr>
          <w:sz w:val="24"/>
          <w:szCs w:val="24"/>
        </w:rPr>
        <w:t xml:space="preserve"> which would include anything other than land as well as illegal drugs. Property that is</w:t>
      </w:r>
      <w:r w:rsidR="00CC313D">
        <w:rPr>
          <w:sz w:val="24"/>
          <w:szCs w:val="24"/>
        </w:rPr>
        <w:t xml:space="preserve"> in action or intangible </w:t>
      </w:r>
      <w:r w:rsidR="004759E4">
        <w:rPr>
          <w:sz w:val="24"/>
          <w:szCs w:val="24"/>
        </w:rPr>
        <w:t>is also included</w:t>
      </w:r>
      <w:r w:rsidR="00CC313D">
        <w:rPr>
          <w:sz w:val="24"/>
          <w:szCs w:val="24"/>
        </w:rPr>
        <w:t xml:space="preserve">. </w:t>
      </w:r>
      <w:r w:rsidR="0091481C">
        <w:rPr>
          <w:sz w:val="24"/>
          <w:szCs w:val="24"/>
        </w:rPr>
        <w:t>(Theft act S4, 1, 1968)</w:t>
      </w:r>
      <w:r w:rsidR="00CC313D">
        <w:rPr>
          <w:sz w:val="24"/>
          <w:szCs w:val="24"/>
        </w:rPr>
        <w:t>. A case law by Smith (2011) shows a good example of property</w:t>
      </w:r>
      <w:r w:rsidR="004759E4">
        <w:rPr>
          <w:sz w:val="24"/>
          <w:szCs w:val="24"/>
        </w:rPr>
        <w:t xml:space="preserve"> where the defendant stole heroin from the victim. The property item was illegal but still classes as the victim’s property.</w:t>
      </w:r>
      <w:r w:rsidR="00287FF4">
        <w:rPr>
          <w:sz w:val="24"/>
          <w:szCs w:val="24"/>
        </w:rPr>
        <w:t xml:space="preserve"> S5 (1) TA 1989 states that </w:t>
      </w:r>
      <w:r w:rsidR="00B16853">
        <w:rPr>
          <w:sz w:val="24"/>
          <w:szCs w:val="24"/>
        </w:rPr>
        <w:t xml:space="preserve">“property can be regarded as belonging to any person who has possession or control of </w:t>
      </w:r>
      <w:r w:rsidR="00ED0449">
        <w:rPr>
          <w:sz w:val="24"/>
          <w:szCs w:val="24"/>
        </w:rPr>
        <w:t>it or</w:t>
      </w:r>
      <w:r w:rsidR="00B16853">
        <w:rPr>
          <w:sz w:val="24"/>
          <w:szCs w:val="24"/>
        </w:rPr>
        <w:t xml:space="preserve"> having it in any proprietary rights or interest”.</w:t>
      </w:r>
    </w:p>
    <w:p w14:paraId="6DA185D8" w14:textId="57B277B6" w:rsidR="00ED0449" w:rsidRDefault="00ED0449" w:rsidP="00006D63">
      <w:pPr>
        <w:spacing w:line="276" w:lineRule="auto"/>
        <w:rPr>
          <w:sz w:val="24"/>
          <w:szCs w:val="24"/>
        </w:rPr>
      </w:pPr>
      <w:r>
        <w:rPr>
          <w:sz w:val="24"/>
          <w:szCs w:val="24"/>
        </w:rPr>
        <w:t xml:space="preserve">Another element that must be considered within theft is dishonesty under the Mens Rea. </w:t>
      </w:r>
      <w:r w:rsidR="00FA7270">
        <w:rPr>
          <w:sz w:val="24"/>
          <w:szCs w:val="24"/>
        </w:rPr>
        <w:t>According to Ivey v Genting Casinos (UK) ltd (2017) they came up with the requirements of the dishonesty test.</w:t>
      </w:r>
      <w:r w:rsidR="006256F6">
        <w:rPr>
          <w:sz w:val="24"/>
          <w:szCs w:val="24"/>
        </w:rPr>
        <w:t xml:space="preserve"> The new elements that must be considered following from </w:t>
      </w:r>
      <w:r w:rsidR="000D3191">
        <w:rPr>
          <w:sz w:val="24"/>
          <w:szCs w:val="24"/>
        </w:rPr>
        <w:t>Ghosh (1982)</w:t>
      </w:r>
      <w:r w:rsidR="006256F6">
        <w:rPr>
          <w:sz w:val="24"/>
          <w:szCs w:val="24"/>
        </w:rPr>
        <w:t xml:space="preserve"> are the state of the </w:t>
      </w:r>
      <w:r w:rsidR="00F25C09">
        <w:rPr>
          <w:sz w:val="24"/>
          <w:szCs w:val="24"/>
        </w:rPr>
        <w:t>individual’s</w:t>
      </w:r>
      <w:r w:rsidR="006256F6">
        <w:rPr>
          <w:sz w:val="24"/>
          <w:szCs w:val="24"/>
        </w:rPr>
        <w:t xml:space="preserve"> knowledge or belief</w:t>
      </w:r>
      <w:r w:rsidR="000D3191">
        <w:rPr>
          <w:sz w:val="24"/>
          <w:szCs w:val="24"/>
        </w:rPr>
        <w:t xml:space="preserve"> as to the facts. Questioning where the defendant’s conduct was certainly honest or dishonest. The courts will apply the standard of ordinary decent people. Which is seen as the objective test</w:t>
      </w:r>
      <w:r w:rsidR="00CE1B9C">
        <w:rPr>
          <w:sz w:val="24"/>
          <w:szCs w:val="24"/>
        </w:rPr>
        <w:t xml:space="preserve">. Following from this, it can be shown that the conduct </w:t>
      </w:r>
      <w:r w:rsidR="0052536C">
        <w:rPr>
          <w:sz w:val="24"/>
          <w:szCs w:val="24"/>
        </w:rPr>
        <w:t>has</w:t>
      </w:r>
      <w:r w:rsidR="00D732A5">
        <w:rPr>
          <w:sz w:val="24"/>
          <w:szCs w:val="24"/>
        </w:rPr>
        <w:t xml:space="preserve"> been</w:t>
      </w:r>
      <w:r w:rsidR="0052536C">
        <w:rPr>
          <w:sz w:val="24"/>
          <w:szCs w:val="24"/>
        </w:rPr>
        <w:t xml:space="preserve"> surpassed as she has permanently deprived Christine with the handbag.</w:t>
      </w:r>
      <w:sdt>
        <w:sdtPr>
          <w:rPr>
            <w:sz w:val="24"/>
            <w:szCs w:val="24"/>
          </w:rPr>
          <w:id w:val="1036858150"/>
          <w:citation/>
        </w:sdtPr>
        <w:sdtContent>
          <w:r w:rsidR="00521855">
            <w:rPr>
              <w:sz w:val="24"/>
              <w:szCs w:val="24"/>
            </w:rPr>
            <w:fldChar w:fldCharType="begin"/>
          </w:r>
          <w:r w:rsidR="00521855">
            <w:rPr>
              <w:sz w:val="24"/>
              <w:szCs w:val="24"/>
            </w:rPr>
            <w:instrText xml:space="preserve"> CITATION Bre18 \l 2057 </w:instrText>
          </w:r>
          <w:r w:rsidR="00521855">
            <w:rPr>
              <w:sz w:val="24"/>
              <w:szCs w:val="24"/>
            </w:rPr>
            <w:fldChar w:fldCharType="separate"/>
          </w:r>
          <w:r w:rsidR="00521855">
            <w:rPr>
              <w:noProof/>
              <w:sz w:val="24"/>
              <w:szCs w:val="24"/>
            </w:rPr>
            <w:t xml:space="preserve"> </w:t>
          </w:r>
          <w:r w:rsidR="00521855" w:rsidRPr="00521855">
            <w:rPr>
              <w:noProof/>
              <w:sz w:val="24"/>
              <w:szCs w:val="24"/>
            </w:rPr>
            <w:t>(Wilson, 2018)</w:t>
          </w:r>
          <w:r w:rsidR="00521855">
            <w:rPr>
              <w:sz w:val="24"/>
              <w:szCs w:val="24"/>
            </w:rPr>
            <w:fldChar w:fldCharType="end"/>
          </w:r>
        </w:sdtContent>
      </w:sdt>
    </w:p>
    <w:p w14:paraId="1C3CA4E3" w14:textId="19692709" w:rsidR="00C35EF5" w:rsidRDefault="004635B0" w:rsidP="00006D63">
      <w:pPr>
        <w:spacing w:line="276" w:lineRule="auto"/>
        <w:rPr>
          <w:sz w:val="24"/>
          <w:szCs w:val="24"/>
        </w:rPr>
      </w:pPr>
      <w:r>
        <w:rPr>
          <w:sz w:val="24"/>
          <w:szCs w:val="24"/>
        </w:rPr>
        <w:t xml:space="preserve">The next </w:t>
      </w:r>
      <w:r w:rsidR="004B24AE">
        <w:rPr>
          <w:sz w:val="24"/>
          <w:szCs w:val="24"/>
        </w:rPr>
        <w:t>criminal liability</w:t>
      </w:r>
      <w:r>
        <w:rPr>
          <w:sz w:val="24"/>
          <w:szCs w:val="24"/>
        </w:rPr>
        <w:t xml:space="preserve"> to be looked at is</w:t>
      </w:r>
      <w:r w:rsidR="00F52D96">
        <w:rPr>
          <w:sz w:val="24"/>
          <w:szCs w:val="24"/>
        </w:rPr>
        <w:t xml:space="preserve"> </w:t>
      </w:r>
      <w:r w:rsidR="001F1DF8">
        <w:rPr>
          <w:sz w:val="24"/>
          <w:szCs w:val="24"/>
        </w:rPr>
        <w:t>grievous bodily harm (GBH).</w:t>
      </w:r>
      <w:r w:rsidR="00E87C58">
        <w:rPr>
          <w:sz w:val="24"/>
          <w:szCs w:val="24"/>
        </w:rPr>
        <w:t xml:space="preserve"> </w:t>
      </w:r>
      <w:r w:rsidR="0044690D">
        <w:rPr>
          <w:sz w:val="24"/>
          <w:szCs w:val="24"/>
        </w:rPr>
        <w:t xml:space="preserve">From the analysis of offenses, in the offence against the person act </w:t>
      </w:r>
      <w:r w:rsidR="000E24E1">
        <w:rPr>
          <w:sz w:val="24"/>
          <w:szCs w:val="24"/>
        </w:rPr>
        <w:t xml:space="preserve">1861 section 18 states that the defendant must have the “intent” </w:t>
      </w:r>
      <w:r w:rsidR="003E692B">
        <w:rPr>
          <w:sz w:val="24"/>
          <w:szCs w:val="24"/>
        </w:rPr>
        <w:t xml:space="preserve">to cause GBH to another individual. Whereas section 20 states the individual was “without the intent to cause </w:t>
      </w:r>
      <w:r w:rsidR="007875D0">
        <w:rPr>
          <w:sz w:val="24"/>
          <w:szCs w:val="24"/>
        </w:rPr>
        <w:t>GBH but must have foreseen some risk of injury to another individual”.</w:t>
      </w:r>
      <w:r w:rsidR="00F84547">
        <w:rPr>
          <w:sz w:val="24"/>
          <w:szCs w:val="24"/>
        </w:rPr>
        <w:t xml:space="preserve"> From the scenario it shows that Harriet hit Daniel </w:t>
      </w:r>
      <w:r w:rsidR="004169A2">
        <w:rPr>
          <w:sz w:val="24"/>
          <w:szCs w:val="24"/>
        </w:rPr>
        <w:t>who was one of the guests at the party in the face</w:t>
      </w:r>
      <w:r w:rsidR="0090059E">
        <w:rPr>
          <w:sz w:val="24"/>
          <w:szCs w:val="24"/>
        </w:rPr>
        <w:t xml:space="preserve"> </w:t>
      </w:r>
      <w:r w:rsidR="00FD620D">
        <w:rPr>
          <w:sz w:val="24"/>
          <w:szCs w:val="24"/>
        </w:rPr>
        <w:t>causing Daniela to have a broken cheek bone.</w:t>
      </w:r>
      <w:r w:rsidR="00C04F20">
        <w:rPr>
          <w:sz w:val="24"/>
          <w:szCs w:val="24"/>
        </w:rPr>
        <w:t xml:space="preserve"> </w:t>
      </w:r>
      <w:r w:rsidR="00935F75">
        <w:rPr>
          <w:sz w:val="24"/>
          <w:szCs w:val="24"/>
        </w:rPr>
        <w:t xml:space="preserve">However, the injury caused here would not be considered under OAPA S47 as </w:t>
      </w:r>
      <w:r w:rsidR="00E22BE7">
        <w:rPr>
          <w:sz w:val="24"/>
          <w:szCs w:val="24"/>
        </w:rPr>
        <w:t xml:space="preserve">it is a serious injury. </w:t>
      </w:r>
      <w:r w:rsidR="00602645">
        <w:rPr>
          <w:sz w:val="24"/>
          <w:szCs w:val="24"/>
        </w:rPr>
        <w:t>Therefore,</w:t>
      </w:r>
      <w:r w:rsidR="00E22BE7">
        <w:rPr>
          <w:sz w:val="24"/>
          <w:szCs w:val="24"/>
        </w:rPr>
        <w:t xml:space="preserve"> from this, the case would be identified as grievous body harm under </w:t>
      </w:r>
      <w:r w:rsidR="00C95354">
        <w:rPr>
          <w:sz w:val="24"/>
          <w:szCs w:val="24"/>
        </w:rPr>
        <w:t>(</w:t>
      </w:r>
      <w:r w:rsidR="00E22BE7">
        <w:rPr>
          <w:sz w:val="24"/>
          <w:szCs w:val="24"/>
        </w:rPr>
        <w:t>S20 OAPA</w:t>
      </w:r>
      <w:r w:rsidR="00C95354">
        <w:rPr>
          <w:sz w:val="24"/>
          <w:szCs w:val="24"/>
        </w:rPr>
        <w:t>).</w:t>
      </w:r>
      <w:r w:rsidR="005113A0">
        <w:rPr>
          <w:sz w:val="24"/>
          <w:szCs w:val="24"/>
        </w:rPr>
        <w:t xml:space="preserve"> From the case of (Smith </w:t>
      </w:r>
      <w:r w:rsidR="00962E61">
        <w:rPr>
          <w:sz w:val="24"/>
          <w:szCs w:val="24"/>
        </w:rPr>
        <w:t xml:space="preserve">1961) </w:t>
      </w:r>
      <w:r w:rsidR="00811199">
        <w:rPr>
          <w:sz w:val="24"/>
          <w:szCs w:val="24"/>
        </w:rPr>
        <w:t>where GBH was identified</w:t>
      </w:r>
      <w:r w:rsidR="004A25F1">
        <w:rPr>
          <w:sz w:val="24"/>
          <w:szCs w:val="24"/>
        </w:rPr>
        <w:t xml:space="preserve"> including broken bones as a serious cause of bodily harm. </w:t>
      </w:r>
      <w:r w:rsidR="00D5421E">
        <w:rPr>
          <w:sz w:val="24"/>
          <w:szCs w:val="24"/>
        </w:rPr>
        <w:t>From the actus reus of conduct, it can be shown that</w:t>
      </w:r>
      <w:r w:rsidR="0098454D">
        <w:rPr>
          <w:sz w:val="24"/>
          <w:szCs w:val="24"/>
        </w:rPr>
        <w:t xml:space="preserve"> there is a positive act on</w:t>
      </w:r>
      <w:r w:rsidR="00D5421E">
        <w:rPr>
          <w:sz w:val="24"/>
          <w:szCs w:val="24"/>
        </w:rPr>
        <w:t xml:space="preserve"> Harriet</w:t>
      </w:r>
      <w:r w:rsidR="0098454D">
        <w:rPr>
          <w:sz w:val="24"/>
          <w:szCs w:val="24"/>
        </w:rPr>
        <w:t>’s behalf.</w:t>
      </w:r>
    </w:p>
    <w:p w14:paraId="0F6C9B84" w14:textId="5DE5566E" w:rsidR="003C70DB" w:rsidRDefault="00936198" w:rsidP="00006D63">
      <w:pPr>
        <w:spacing w:line="276" w:lineRule="auto"/>
        <w:rPr>
          <w:sz w:val="24"/>
          <w:szCs w:val="24"/>
        </w:rPr>
      </w:pPr>
      <w:r>
        <w:rPr>
          <w:sz w:val="24"/>
          <w:szCs w:val="24"/>
        </w:rPr>
        <w:t>The Offences Against The Person Act</w:t>
      </w:r>
      <w:r w:rsidR="00E85ED4">
        <w:rPr>
          <w:sz w:val="24"/>
          <w:szCs w:val="24"/>
        </w:rPr>
        <w:t xml:space="preserve"> S20</w:t>
      </w:r>
      <w:r w:rsidR="009B6FF0">
        <w:rPr>
          <w:sz w:val="24"/>
          <w:szCs w:val="24"/>
        </w:rPr>
        <w:t xml:space="preserve"> also</w:t>
      </w:r>
      <w:r w:rsidR="00E85ED4">
        <w:rPr>
          <w:sz w:val="24"/>
          <w:szCs w:val="24"/>
        </w:rPr>
        <w:t xml:space="preserve"> states that “whoever shall unlawfully </w:t>
      </w:r>
      <w:r w:rsidR="009B6FF0">
        <w:rPr>
          <w:sz w:val="24"/>
          <w:szCs w:val="24"/>
        </w:rPr>
        <w:t xml:space="preserve">and maliciously wound or inflict any grievous bodily harm upon any other individual”. </w:t>
      </w:r>
      <w:r w:rsidR="001A3A4F">
        <w:rPr>
          <w:sz w:val="24"/>
          <w:szCs w:val="24"/>
        </w:rPr>
        <w:t xml:space="preserve">This is </w:t>
      </w:r>
      <w:r w:rsidR="001A3A4F">
        <w:rPr>
          <w:sz w:val="24"/>
          <w:szCs w:val="24"/>
        </w:rPr>
        <w:lastRenderedPageBreak/>
        <w:t>where the victim in the case suffers from violence unlawfully from the defendant. In the case of th</w:t>
      </w:r>
      <w:r w:rsidR="00B86FED">
        <w:rPr>
          <w:sz w:val="24"/>
          <w:szCs w:val="24"/>
        </w:rPr>
        <w:t>is</w:t>
      </w:r>
      <w:r w:rsidR="001A3A4F">
        <w:rPr>
          <w:sz w:val="24"/>
          <w:szCs w:val="24"/>
        </w:rPr>
        <w:t xml:space="preserve"> </w:t>
      </w:r>
      <w:r w:rsidR="0024772F">
        <w:rPr>
          <w:sz w:val="24"/>
          <w:szCs w:val="24"/>
        </w:rPr>
        <w:t>scenario,</w:t>
      </w:r>
      <w:r w:rsidR="001A3A4F">
        <w:rPr>
          <w:sz w:val="24"/>
          <w:szCs w:val="24"/>
        </w:rPr>
        <w:t xml:space="preserve"> </w:t>
      </w:r>
      <w:r w:rsidR="0068683D">
        <w:rPr>
          <w:sz w:val="24"/>
          <w:szCs w:val="24"/>
        </w:rPr>
        <w:t xml:space="preserve">it shows that Daniel has been hit in the face resulting in a serious injury, therefore the jury would then consider this section </w:t>
      </w:r>
      <w:r w:rsidR="00282CA2">
        <w:rPr>
          <w:sz w:val="24"/>
          <w:szCs w:val="24"/>
        </w:rPr>
        <w:t>for the case.</w:t>
      </w:r>
      <w:r w:rsidR="00E007FF">
        <w:rPr>
          <w:sz w:val="24"/>
          <w:szCs w:val="24"/>
        </w:rPr>
        <w:t xml:space="preserve"> </w:t>
      </w:r>
      <w:r w:rsidR="00B84C25">
        <w:rPr>
          <w:sz w:val="24"/>
          <w:szCs w:val="24"/>
        </w:rPr>
        <w:t xml:space="preserve">However, Harriet </w:t>
      </w:r>
      <w:r w:rsidR="00AD1BD1">
        <w:rPr>
          <w:sz w:val="24"/>
          <w:szCs w:val="24"/>
        </w:rPr>
        <w:t>had left to go to the toilet. In the time she had been and returned Leon had spiked her drink with vodka. Harriet did not drink alcohol for the reasoning of that she was allergic</w:t>
      </w:r>
      <w:r w:rsidR="00343A81">
        <w:rPr>
          <w:sz w:val="24"/>
          <w:szCs w:val="24"/>
        </w:rPr>
        <w:t xml:space="preserve">. Due to Harriet being unaware of what Leon had done she continued to drink her drink. This then led to her </w:t>
      </w:r>
      <w:r w:rsidR="00E80FDD">
        <w:rPr>
          <w:sz w:val="24"/>
          <w:szCs w:val="24"/>
        </w:rPr>
        <w:t>hallucinating. F</w:t>
      </w:r>
      <w:r w:rsidR="00251248">
        <w:rPr>
          <w:sz w:val="24"/>
          <w:szCs w:val="24"/>
        </w:rPr>
        <w:t>rom the information that has been provided it can be seen that she could have potentially intended to cause GBH from the halluci</w:t>
      </w:r>
      <w:r w:rsidR="00B86DB0">
        <w:rPr>
          <w:sz w:val="24"/>
          <w:szCs w:val="24"/>
        </w:rPr>
        <w:t>nations but in relations to (Mowatt 1968) case not done it in a ‘malicious’ way.</w:t>
      </w:r>
      <w:r w:rsidR="00F71865">
        <w:rPr>
          <w:sz w:val="24"/>
          <w:szCs w:val="24"/>
        </w:rPr>
        <w:t xml:space="preserve"> </w:t>
      </w:r>
      <w:r w:rsidR="00DE0A3F">
        <w:rPr>
          <w:sz w:val="24"/>
          <w:szCs w:val="24"/>
        </w:rPr>
        <w:t xml:space="preserve">This is where indirect intension can be looked at. Indirect intension </w:t>
      </w:r>
      <w:r w:rsidR="00672343">
        <w:rPr>
          <w:sz w:val="24"/>
          <w:szCs w:val="24"/>
        </w:rPr>
        <w:t xml:space="preserve">can be potentially identified here as it was out of Harriet’s control due to being spiked. </w:t>
      </w:r>
    </w:p>
    <w:p w14:paraId="070AC297" w14:textId="11FDE0FE" w:rsidR="00672343" w:rsidRDefault="00945FEF" w:rsidP="00006D63">
      <w:pPr>
        <w:spacing w:line="276" w:lineRule="auto"/>
        <w:rPr>
          <w:sz w:val="24"/>
          <w:szCs w:val="24"/>
        </w:rPr>
      </w:pPr>
      <w:r>
        <w:rPr>
          <w:sz w:val="24"/>
          <w:szCs w:val="24"/>
        </w:rPr>
        <w:t xml:space="preserve">The defence that could be potentially identified for Harriet </w:t>
      </w:r>
      <w:r w:rsidR="00534285">
        <w:rPr>
          <w:sz w:val="24"/>
          <w:szCs w:val="24"/>
        </w:rPr>
        <w:t xml:space="preserve">would be automatism. This is where the </w:t>
      </w:r>
      <w:r w:rsidR="006830DE">
        <w:rPr>
          <w:sz w:val="24"/>
          <w:szCs w:val="24"/>
        </w:rPr>
        <w:t>“</w:t>
      </w:r>
      <w:r w:rsidR="00534285">
        <w:rPr>
          <w:sz w:val="24"/>
          <w:szCs w:val="24"/>
        </w:rPr>
        <w:t xml:space="preserve">prosecutor must </w:t>
      </w:r>
      <w:r w:rsidR="00AB7696">
        <w:rPr>
          <w:sz w:val="24"/>
          <w:szCs w:val="24"/>
        </w:rPr>
        <w:t>be able to prove that the defendant</w:t>
      </w:r>
      <w:r w:rsidR="006830DE">
        <w:rPr>
          <w:sz w:val="24"/>
          <w:szCs w:val="24"/>
        </w:rPr>
        <w:t>’s conduct was voluntary</w:t>
      </w:r>
      <w:r w:rsidR="00D47349">
        <w:rPr>
          <w:sz w:val="24"/>
          <w:szCs w:val="24"/>
        </w:rPr>
        <w:t xml:space="preserve"> for the conduct to be said to be done. Therefore, in relation to the case for Harriet </w:t>
      </w:r>
      <w:r w:rsidR="009D449E">
        <w:rPr>
          <w:sz w:val="24"/>
          <w:szCs w:val="24"/>
        </w:rPr>
        <w:t xml:space="preserve">she is not at fault when considering the external factors of automatism. An external factor of automatism </w:t>
      </w:r>
      <w:r w:rsidR="00E51227">
        <w:rPr>
          <w:sz w:val="24"/>
          <w:szCs w:val="24"/>
        </w:rPr>
        <w:t>can include alcohol assumption. Harriet consumed alcohol under the circumstances of being spiked and therefore having a</w:t>
      </w:r>
      <w:r w:rsidR="00DD0D9B">
        <w:rPr>
          <w:sz w:val="24"/>
          <w:szCs w:val="24"/>
        </w:rPr>
        <w:t xml:space="preserve">n allergic reaction. </w:t>
      </w:r>
      <w:r w:rsidR="000C746A">
        <w:rPr>
          <w:sz w:val="24"/>
          <w:szCs w:val="24"/>
        </w:rPr>
        <w:t xml:space="preserve">In the case of (Ryan 1967) </w:t>
      </w:r>
      <w:r w:rsidR="009447F1">
        <w:rPr>
          <w:sz w:val="24"/>
          <w:szCs w:val="24"/>
        </w:rPr>
        <w:t>the defendant will only be guilty of automatism if the individual</w:t>
      </w:r>
      <w:r w:rsidR="00720D53">
        <w:rPr>
          <w:sz w:val="24"/>
          <w:szCs w:val="24"/>
        </w:rPr>
        <w:t>s</w:t>
      </w:r>
      <w:r w:rsidR="009447F1">
        <w:rPr>
          <w:sz w:val="24"/>
          <w:szCs w:val="24"/>
        </w:rPr>
        <w:t xml:space="preserve"> </w:t>
      </w:r>
      <w:r w:rsidR="00720D53">
        <w:rPr>
          <w:sz w:val="24"/>
          <w:szCs w:val="24"/>
        </w:rPr>
        <w:t xml:space="preserve">original voluntary conduct lead to the individual </w:t>
      </w:r>
      <w:r w:rsidR="00422DB9">
        <w:rPr>
          <w:sz w:val="24"/>
          <w:szCs w:val="24"/>
        </w:rPr>
        <w:t>performing an unvoluntary act.</w:t>
      </w:r>
      <w:r w:rsidR="00AF35CF">
        <w:rPr>
          <w:sz w:val="24"/>
          <w:szCs w:val="24"/>
        </w:rPr>
        <w:t xml:space="preserve"> A good example of this comes from (Bailey 19</w:t>
      </w:r>
      <w:r w:rsidR="00743402">
        <w:rPr>
          <w:sz w:val="24"/>
          <w:szCs w:val="24"/>
        </w:rPr>
        <w:t xml:space="preserve">83) where the individual must have voluntarily </w:t>
      </w:r>
      <w:r w:rsidR="00AB4E25">
        <w:rPr>
          <w:sz w:val="24"/>
          <w:szCs w:val="24"/>
        </w:rPr>
        <w:t>consumed the substance.</w:t>
      </w:r>
    </w:p>
    <w:p w14:paraId="33DECB56" w14:textId="77777777" w:rsidR="00006D63" w:rsidRDefault="00A205C5" w:rsidP="00006D63">
      <w:pPr>
        <w:spacing w:line="276" w:lineRule="auto"/>
        <w:rPr>
          <w:sz w:val="24"/>
          <w:szCs w:val="24"/>
        </w:rPr>
      </w:pPr>
      <w:r>
        <w:rPr>
          <w:sz w:val="24"/>
          <w:szCs w:val="24"/>
        </w:rPr>
        <w:t xml:space="preserve">The final criminal liability in this case to be identified </w:t>
      </w:r>
      <w:r w:rsidR="005937AA">
        <w:rPr>
          <w:sz w:val="24"/>
          <w:szCs w:val="24"/>
        </w:rPr>
        <w:t xml:space="preserve">is criminal damage. </w:t>
      </w:r>
      <w:r w:rsidR="002A5288">
        <w:rPr>
          <w:sz w:val="24"/>
          <w:szCs w:val="24"/>
        </w:rPr>
        <w:t xml:space="preserve">S10 (1) of the Criminal Damage Act </w:t>
      </w:r>
      <w:r w:rsidR="00D00C43">
        <w:rPr>
          <w:sz w:val="24"/>
          <w:szCs w:val="24"/>
        </w:rPr>
        <w:t>includes property.</w:t>
      </w:r>
      <w:r w:rsidR="00C14C13">
        <w:rPr>
          <w:sz w:val="24"/>
          <w:szCs w:val="24"/>
        </w:rPr>
        <w:t xml:space="preserve"> Due to the hallucinations </w:t>
      </w:r>
      <w:r w:rsidR="007A58CC">
        <w:rPr>
          <w:sz w:val="24"/>
          <w:szCs w:val="24"/>
        </w:rPr>
        <w:t>Harriet</w:t>
      </w:r>
      <w:r w:rsidR="00C14C13">
        <w:rPr>
          <w:sz w:val="24"/>
          <w:szCs w:val="24"/>
        </w:rPr>
        <w:t xml:space="preserve"> suffered she believed that there was a fire ‘</w:t>
      </w:r>
      <w:r w:rsidR="00AC0898">
        <w:rPr>
          <w:sz w:val="24"/>
          <w:szCs w:val="24"/>
        </w:rPr>
        <w:t xml:space="preserve">engulfing’ the house. In a result of this she tried to get out and look for safety. In the process she damaged the bi fold doors </w:t>
      </w:r>
      <w:r w:rsidR="00485979">
        <w:rPr>
          <w:sz w:val="24"/>
          <w:szCs w:val="24"/>
        </w:rPr>
        <w:t>by smashing the glass. Due to the doors belonging to another person the jury would then identify looking at (S10 (2)</w:t>
      </w:r>
      <w:r w:rsidR="007955CB">
        <w:rPr>
          <w:sz w:val="24"/>
          <w:szCs w:val="24"/>
        </w:rPr>
        <w:t xml:space="preserve"> Criminal Damage Act 1971) which includes anything that belongs to another person</w:t>
      </w:r>
      <w:r w:rsidR="006D470A">
        <w:rPr>
          <w:sz w:val="24"/>
          <w:szCs w:val="24"/>
        </w:rPr>
        <w:t xml:space="preserve">, including physical damage that could potentially have been done. From the scenario it can be identified that there was physical damage present </w:t>
      </w:r>
      <w:r w:rsidR="00A81699">
        <w:rPr>
          <w:sz w:val="24"/>
          <w:szCs w:val="24"/>
        </w:rPr>
        <w:t>(panels of glass on the bi-folding doors)</w:t>
      </w:r>
      <w:r w:rsidR="007A58CC">
        <w:rPr>
          <w:sz w:val="24"/>
          <w:szCs w:val="24"/>
        </w:rPr>
        <w:t xml:space="preserve"> therefore this is an element of offence identified.</w:t>
      </w:r>
      <w:r w:rsidR="00B1139E">
        <w:rPr>
          <w:sz w:val="24"/>
          <w:szCs w:val="24"/>
        </w:rPr>
        <w:t xml:space="preserve">         </w:t>
      </w:r>
    </w:p>
    <w:p w14:paraId="5A01C911" w14:textId="052B714C" w:rsidR="00B1139E" w:rsidRDefault="00B1139E" w:rsidP="00006D63">
      <w:pPr>
        <w:spacing w:line="276" w:lineRule="auto"/>
        <w:rPr>
          <w:sz w:val="24"/>
          <w:szCs w:val="24"/>
        </w:rPr>
      </w:pPr>
      <w:r>
        <w:rPr>
          <w:sz w:val="24"/>
          <w:szCs w:val="24"/>
        </w:rPr>
        <w:t xml:space="preserve">In the case of (Roe v Kinger </w:t>
      </w:r>
      <w:r w:rsidR="009F4DA4">
        <w:rPr>
          <w:sz w:val="24"/>
          <w:szCs w:val="24"/>
        </w:rPr>
        <w:t>lee 1986) it states that “damage is temporary”</w:t>
      </w:r>
      <w:r w:rsidR="00077313">
        <w:rPr>
          <w:sz w:val="24"/>
          <w:szCs w:val="24"/>
        </w:rPr>
        <w:t xml:space="preserve">. In this case the defendant put mud on the police station wall resulting in the wall being unfit for purpose </w:t>
      </w:r>
      <w:r w:rsidR="00503772">
        <w:rPr>
          <w:sz w:val="24"/>
          <w:szCs w:val="24"/>
        </w:rPr>
        <w:t xml:space="preserve">with a total cost of £7 to fix. Whereas with Harriet </w:t>
      </w:r>
      <w:r w:rsidR="00C060A8">
        <w:rPr>
          <w:sz w:val="24"/>
          <w:szCs w:val="24"/>
        </w:rPr>
        <w:t xml:space="preserve">the element of the case here is that the bi-folds door have been smashed therefore being unfit for purpose resulting in a cost </w:t>
      </w:r>
      <w:r w:rsidR="004B3093">
        <w:rPr>
          <w:sz w:val="24"/>
          <w:szCs w:val="24"/>
        </w:rPr>
        <w:t>to bringing back the value of the doors. Due to the loss of value in the property belonging to another this results in the criminal liability of criminal damage by Harriet.</w:t>
      </w:r>
      <w:r w:rsidR="00642BCE">
        <w:rPr>
          <w:sz w:val="24"/>
          <w:szCs w:val="24"/>
        </w:rPr>
        <w:t xml:space="preserve"> A good example of a case law in result to </w:t>
      </w:r>
      <w:r w:rsidR="003F18A2">
        <w:rPr>
          <w:sz w:val="24"/>
          <w:szCs w:val="24"/>
        </w:rPr>
        <w:t xml:space="preserve">Harriet’s actions would be the (Roper v Knott 1895). This is where water had been added to the beer therefore </w:t>
      </w:r>
      <w:r w:rsidR="00060424">
        <w:rPr>
          <w:sz w:val="24"/>
          <w:szCs w:val="24"/>
        </w:rPr>
        <w:t>the product had devalued being unfit for purpose.</w:t>
      </w:r>
      <w:r w:rsidR="00377025">
        <w:rPr>
          <w:sz w:val="24"/>
          <w:szCs w:val="24"/>
        </w:rPr>
        <w:t xml:space="preserve"> With reference to S5 (2) of the Criminal Damage Act 1971</w:t>
      </w:r>
      <w:r w:rsidR="00800EB9">
        <w:rPr>
          <w:sz w:val="24"/>
          <w:szCs w:val="24"/>
        </w:rPr>
        <w:t xml:space="preserve"> it states that the individual must be “without lawful excuse”</w:t>
      </w:r>
      <w:r w:rsidR="00C8020D">
        <w:rPr>
          <w:sz w:val="24"/>
          <w:szCs w:val="24"/>
        </w:rPr>
        <w:t>.</w:t>
      </w:r>
      <w:r w:rsidR="005A4A4E">
        <w:rPr>
          <w:sz w:val="24"/>
          <w:szCs w:val="24"/>
        </w:rPr>
        <w:t xml:space="preserve"> This is where the defendant </w:t>
      </w:r>
      <w:r w:rsidR="00FA0C21">
        <w:rPr>
          <w:sz w:val="24"/>
          <w:szCs w:val="24"/>
        </w:rPr>
        <w:t>may be honest but with a “unreasonable belief”</w:t>
      </w:r>
      <w:r w:rsidR="00E41712">
        <w:rPr>
          <w:sz w:val="24"/>
          <w:szCs w:val="24"/>
        </w:rPr>
        <w:t>.</w:t>
      </w:r>
    </w:p>
    <w:p w14:paraId="65CF051A" w14:textId="537E73A3" w:rsidR="00E41712" w:rsidRDefault="006F694A" w:rsidP="00006D63">
      <w:pPr>
        <w:spacing w:line="276" w:lineRule="auto"/>
        <w:rPr>
          <w:sz w:val="24"/>
          <w:szCs w:val="24"/>
        </w:rPr>
      </w:pPr>
      <w:r>
        <w:rPr>
          <w:sz w:val="24"/>
          <w:szCs w:val="24"/>
        </w:rPr>
        <w:lastRenderedPageBreak/>
        <w:t>Therefore,</w:t>
      </w:r>
      <w:r w:rsidR="005B02EA">
        <w:rPr>
          <w:sz w:val="24"/>
          <w:szCs w:val="24"/>
        </w:rPr>
        <w:t xml:space="preserve"> for the unreasonable belief this would be considered for Harriet as she was spiked, leading to the hallucinations, which then led to her damaging property and causing GBH</w:t>
      </w:r>
      <w:r>
        <w:rPr>
          <w:sz w:val="24"/>
          <w:szCs w:val="24"/>
        </w:rPr>
        <w:t>. She believed that there was a fire so went in belief of a fire to look for safety with not being aware of the actions she was completing in the circumstances.</w:t>
      </w:r>
      <w:r w:rsidR="00501597">
        <w:rPr>
          <w:sz w:val="24"/>
          <w:szCs w:val="24"/>
        </w:rPr>
        <w:t xml:space="preserve"> From the knowledge and information that has been obtained </w:t>
      </w:r>
      <w:r w:rsidR="00006D63">
        <w:rPr>
          <w:sz w:val="24"/>
          <w:szCs w:val="24"/>
        </w:rPr>
        <w:t>from the scenario question. It was be identified that the Mens Rea</w:t>
      </w:r>
      <w:r w:rsidR="0093138D">
        <w:rPr>
          <w:sz w:val="24"/>
          <w:szCs w:val="24"/>
        </w:rPr>
        <w:t xml:space="preserve"> is present for the criminal damage</w:t>
      </w:r>
      <w:r w:rsidR="00895034">
        <w:rPr>
          <w:sz w:val="24"/>
          <w:szCs w:val="24"/>
        </w:rPr>
        <w:t>. This is due to Harriet knowing that the property did belong to Christine</w:t>
      </w:r>
      <w:r w:rsidR="002F568A">
        <w:rPr>
          <w:sz w:val="24"/>
          <w:szCs w:val="24"/>
        </w:rPr>
        <w:t xml:space="preserve">, even though she went looking for the safety of others. She is liable for the criminal liability she has caused with </w:t>
      </w:r>
      <w:r w:rsidR="00452F12">
        <w:rPr>
          <w:sz w:val="24"/>
          <w:szCs w:val="24"/>
        </w:rPr>
        <w:t>direct intension of belonging to another.</w:t>
      </w:r>
    </w:p>
    <w:p w14:paraId="37A526FB" w14:textId="55D543F9" w:rsidR="00C35EF5" w:rsidRDefault="00C35EF5">
      <w:pPr>
        <w:rPr>
          <w:sz w:val="24"/>
          <w:szCs w:val="24"/>
        </w:rPr>
      </w:pPr>
    </w:p>
    <w:p w14:paraId="719D8AA9" w14:textId="43DD621E" w:rsidR="00C35EF5" w:rsidRDefault="00C35EF5">
      <w:pPr>
        <w:rPr>
          <w:sz w:val="24"/>
          <w:szCs w:val="24"/>
        </w:rPr>
      </w:pPr>
    </w:p>
    <w:p w14:paraId="1F09E1F5" w14:textId="592E2B4D" w:rsidR="00C35EF5" w:rsidRDefault="00C35EF5">
      <w:pPr>
        <w:rPr>
          <w:sz w:val="24"/>
          <w:szCs w:val="24"/>
        </w:rPr>
      </w:pPr>
    </w:p>
    <w:p w14:paraId="5B4004C2" w14:textId="420373DF" w:rsidR="00C35EF5" w:rsidRDefault="00C35EF5">
      <w:pPr>
        <w:rPr>
          <w:sz w:val="24"/>
          <w:szCs w:val="24"/>
        </w:rPr>
      </w:pPr>
    </w:p>
    <w:p w14:paraId="19811359" w14:textId="07CFEEF0" w:rsidR="00C35EF5" w:rsidRDefault="00C35EF5">
      <w:pPr>
        <w:rPr>
          <w:sz w:val="24"/>
          <w:szCs w:val="24"/>
        </w:rPr>
      </w:pPr>
    </w:p>
    <w:p w14:paraId="4F0E2A1B" w14:textId="6D721B22" w:rsidR="00C35EF5" w:rsidRDefault="00C35EF5">
      <w:pPr>
        <w:rPr>
          <w:sz w:val="24"/>
          <w:szCs w:val="24"/>
        </w:rPr>
      </w:pPr>
    </w:p>
    <w:p w14:paraId="4D87D293" w14:textId="6EA6288B" w:rsidR="00C35EF5" w:rsidRDefault="00C35EF5">
      <w:pPr>
        <w:rPr>
          <w:sz w:val="24"/>
          <w:szCs w:val="24"/>
        </w:rPr>
      </w:pPr>
    </w:p>
    <w:p w14:paraId="776E3FD9" w14:textId="5B9462A3" w:rsidR="00C35EF5" w:rsidRDefault="00C35EF5">
      <w:pPr>
        <w:rPr>
          <w:sz w:val="24"/>
          <w:szCs w:val="24"/>
        </w:rPr>
      </w:pPr>
    </w:p>
    <w:p w14:paraId="6698FC53" w14:textId="1614F8B0" w:rsidR="00C35EF5" w:rsidRDefault="00C35EF5">
      <w:pPr>
        <w:rPr>
          <w:sz w:val="24"/>
          <w:szCs w:val="24"/>
        </w:rPr>
      </w:pPr>
    </w:p>
    <w:p w14:paraId="3D952711" w14:textId="1E089AAF" w:rsidR="00C35EF5" w:rsidRDefault="00C35EF5">
      <w:pPr>
        <w:rPr>
          <w:sz w:val="24"/>
          <w:szCs w:val="24"/>
        </w:rPr>
      </w:pPr>
    </w:p>
    <w:p w14:paraId="4B22E771" w14:textId="1515B8EA" w:rsidR="00C35EF5" w:rsidRDefault="00C35EF5">
      <w:pPr>
        <w:rPr>
          <w:sz w:val="24"/>
          <w:szCs w:val="24"/>
        </w:rPr>
      </w:pPr>
    </w:p>
    <w:p w14:paraId="7D639AD5" w14:textId="7137D590" w:rsidR="00C35EF5" w:rsidRDefault="00C35EF5">
      <w:pPr>
        <w:rPr>
          <w:sz w:val="24"/>
          <w:szCs w:val="24"/>
        </w:rPr>
      </w:pPr>
    </w:p>
    <w:p w14:paraId="0608DCA4" w14:textId="1D0545A3" w:rsidR="00C35EF5" w:rsidRDefault="00C35EF5">
      <w:pPr>
        <w:rPr>
          <w:sz w:val="24"/>
          <w:szCs w:val="24"/>
        </w:rPr>
      </w:pPr>
    </w:p>
    <w:p w14:paraId="6E4D51AF" w14:textId="27438DC1" w:rsidR="00C35EF5" w:rsidRDefault="00C35EF5">
      <w:pPr>
        <w:rPr>
          <w:sz w:val="24"/>
          <w:szCs w:val="24"/>
        </w:rPr>
      </w:pPr>
    </w:p>
    <w:p w14:paraId="65A1DD3C" w14:textId="0DB12283" w:rsidR="00C35EF5" w:rsidRDefault="00C35EF5">
      <w:pPr>
        <w:rPr>
          <w:sz w:val="24"/>
          <w:szCs w:val="24"/>
        </w:rPr>
      </w:pPr>
    </w:p>
    <w:p w14:paraId="5F85BBA7" w14:textId="287CDB1F" w:rsidR="00C35EF5" w:rsidRDefault="00C35EF5" w:rsidP="00F8515B">
      <w:pPr>
        <w:spacing w:line="360" w:lineRule="auto"/>
        <w:rPr>
          <w:sz w:val="24"/>
          <w:szCs w:val="24"/>
        </w:rPr>
      </w:pPr>
    </w:p>
    <w:p w14:paraId="58EF0BDA" w14:textId="65A690FF" w:rsidR="00C35EF5" w:rsidRDefault="00C35EF5">
      <w:pPr>
        <w:rPr>
          <w:sz w:val="24"/>
          <w:szCs w:val="24"/>
        </w:rPr>
      </w:pPr>
    </w:p>
    <w:p w14:paraId="42156891" w14:textId="4A596C06" w:rsidR="00C35EF5" w:rsidRDefault="00C35EF5">
      <w:pPr>
        <w:rPr>
          <w:sz w:val="24"/>
          <w:szCs w:val="24"/>
        </w:rPr>
      </w:pPr>
    </w:p>
    <w:p w14:paraId="4F9F68A7" w14:textId="77777777" w:rsidR="007A4890" w:rsidRDefault="007A4890">
      <w:pPr>
        <w:rPr>
          <w:sz w:val="24"/>
          <w:szCs w:val="24"/>
        </w:rPr>
      </w:pPr>
    </w:p>
    <w:p w14:paraId="63471292" w14:textId="77777777" w:rsidR="007A4890" w:rsidRDefault="007A4890">
      <w:pPr>
        <w:rPr>
          <w:sz w:val="24"/>
          <w:szCs w:val="24"/>
        </w:rPr>
      </w:pPr>
    </w:p>
    <w:p w14:paraId="77CFB9C9" w14:textId="77777777" w:rsidR="007A4890" w:rsidRDefault="007A4890">
      <w:pPr>
        <w:rPr>
          <w:sz w:val="24"/>
          <w:szCs w:val="24"/>
        </w:rPr>
      </w:pPr>
    </w:p>
    <w:p w14:paraId="11568AAF" w14:textId="4013193E" w:rsidR="00C35EF5" w:rsidRDefault="00C35EF5">
      <w:pPr>
        <w:rPr>
          <w:sz w:val="24"/>
          <w:szCs w:val="24"/>
        </w:rPr>
      </w:pPr>
    </w:p>
    <w:p w14:paraId="37BC25CF" w14:textId="34DDBF98" w:rsidR="00C35EF5" w:rsidRDefault="00C35EF5">
      <w:pPr>
        <w:rPr>
          <w:b/>
          <w:bCs/>
          <w:sz w:val="28"/>
          <w:szCs w:val="28"/>
          <w:u w:val="single"/>
        </w:rPr>
      </w:pPr>
      <w:r w:rsidRPr="00C35EF5">
        <w:rPr>
          <w:b/>
          <w:bCs/>
          <w:sz w:val="28"/>
          <w:szCs w:val="28"/>
          <w:u w:val="single"/>
        </w:rPr>
        <w:lastRenderedPageBreak/>
        <w:t>References</w:t>
      </w:r>
    </w:p>
    <w:p w14:paraId="3A0C09C1" w14:textId="11AC8802" w:rsidR="009F7632" w:rsidRDefault="009942E7">
      <w:pPr>
        <w:rPr>
          <w:sz w:val="24"/>
          <w:szCs w:val="24"/>
        </w:rPr>
      </w:pPr>
      <w:bookmarkStart w:id="1" w:name="_Hlk92368102"/>
      <w:r w:rsidRPr="00DB3BB4">
        <w:rPr>
          <w:i/>
          <w:iCs/>
          <w:sz w:val="24"/>
          <w:szCs w:val="24"/>
        </w:rPr>
        <w:t xml:space="preserve">The Theft Act 1968, S (1). </w:t>
      </w:r>
      <w:r w:rsidRPr="00DB3BB4">
        <w:rPr>
          <w:sz w:val="24"/>
          <w:szCs w:val="24"/>
        </w:rPr>
        <w:t xml:space="preserve">Available at : </w:t>
      </w:r>
      <w:hyperlink r:id="rId5" w:history="1">
        <w:r w:rsidRPr="00DB3BB4">
          <w:rPr>
            <w:rStyle w:val="Hyperlink"/>
            <w:sz w:val="24"/>
            <w:szCs w:val="24"/>
          </w:rPr>
          <w:t>https://www.legislation.gov.uk/ukpga/1968/60/section/1</w:t>
        </w:r>
      </w:hyperlink>
      <w:r w:rsidRPr="00DB3BB4">
        <w:rPr>
          <w:sz w:val="24"/>
          <w:szCs w:val="24"/>
        </w:rPr>
        <w:t xml:space="preserve"> (Accessed : December 4</w:t>
      </w:r>
      <w:r w:rsidRPr="00DB3BB4">
        <w:rPr>
          <w:sz w:val="24"/>
          <w:szCs w:val="24"/>
          <w:vertAlign w:val="superscript"/>
        </w:rPr>
        <w:t>th</w:t>
      </w:r>
      <w:r w:rsidRPr="00DB3BB4">
        <w:rPr>
          <w:sz w:val="24"/>
          <w:szCs w:val="24"/>
        </w:rPr>
        <w:t xml:space="preserve"> 2021)</w:t>
      </w:r>
    </w:p>
    <w:p w14:paraId="0A811DCA" w14:textId="77777777" w:rsidR="007A4890" w:rsidRPr="00DB3BB4" w:rsidRDefault="007A4890">
      <w:pPr>
        <w:rPr>
          <w:sz w:val="24"/>
          <w:szCs w:val="24"/>
        </w:rPr>
      </w:pPr>
    </w:p>
    <w:bookmarkEnd w:id="1"/>
    <w:p w14:paraId="118B6F80" w14:textId="1BEDED12" w:rsidR="006C2FA6" w:rsidRDefault="006C2FA6">
      <w:pPr>
        <w:rPr>
          <w:sz w:val="24"/>
          <w:szCs w:val="24"/>
        </w:rPr>
      </w:pPr>
      <w:r w:rsidRPr="00DB3BB4">
        <w:rPr>
          <w:i/>
          <w:iCs/>
          <w:sz w:val="24"/>
          <w:szCs w:val="24"/>
        </w:rPr>
        <w:t xml:space="preserve">The Theft act 1968, S (4), (1) . </w:t>
      </w:r>
      <w:r w:rsidRPr="00DB3BB4">
        <w:rPr>
          <w:sz w:val="24"/>
          <w:szCs w:val="24"/>
        </w:rPr>
        <w:t xml:space="preserve">Available at: </w:t>
      </w:r>
      <w:hyperlink r:id="rId6" w:history="1">
        <w:r w:rsidRPr="00DB3BB4">
          <w:rPr>
            <w:rStyle w:val="Hyperlink"/>
            <w:sz w:val="24"/>
            <w:szCs w:val="24"/>
          </w:rPr>
          <w:t>https://www.legislation.gov.uk/ukpga/1968/60/section/4</w:t>
        </w:r>
      </w:hyperlink>
      <w:r w:rsidRPr="00DB3BB4">
        <w:rPr>
          <w:sz w:val="24"/>
          <w:szCs w:val="24"/>
        </w:rPr>
        <w:t xml:space="preserve"> (Accessed: December 5</w:t>
      </w:r>
      <w:r w:rsidRPr="00DB3BB4">
        <w:rPr>
          <w:sz w:val="24"/>
          <w:szCs w:val="24"/>
          <w:vertAlign w:val="superscript"/>
        </w:rPr>
        <w:t>th</w:t>
      </w:r>
      <w:r w:rsidRPr="00DB3BB4">
        <w:rPr>
          <w:sz w:val="24"/>
          <w:szCs w:val="24"/>
        </w:rPr>
        <w:t xml:space="preserve"> 2021)</w:t>
      </w:r>
    </w:p>
    <w:p w14:paraId="60D80BA8" w14:textId="77777777" w:rsidR="007A4890" w:rsidRPr="00DB3BB4" w:rsidRDefault="007A4890">
      <w:pPr>
        <w:rPr>
          <w:sz w:val="24"/>
          <w:szCs w:val="24"/>
        </w:rPr>
      </w:pPr>
    </w:p>
    <w:p w14:paraId="179F57B4" w14:textId="4D7EFE48" w:rsidR="006C2FA6" w:rsidRDefault="006C2FA6" w:rsidP="006C2FA6">
      <w:pPr>
        <w:rPr>
          <w:sz w:val="24"/>
          <w:szCs w:val="24"/>
        </w:rPr>
      </w:pPr>
      <w:r w:rsidRPr="00DB3BB4">
        <w:rPr>
          <w:i/>
          <w:iCs/>
          <w:sz w:val="24"/>
          <w:szCs w:val="24"/>
        </w:rPr>
        <w:t xml:space="preserve">The Theft Act 1968, S (5), (1). </w:t>
      </w:r>
      <w:r w:rsidRPr="00DB3BB4">
        <w:rPr>
          <w:sz w:val="24"/>
          <w:szCs w:val="24"/>
        </w:rPr>
        <w:t xml:space="preserve">Available at : </w:t>
      </w:r>
      <w:hyperlink r:id="rId7" w:history="1">
        <w:r w:rsidR="00667AC3" w:rsidRPr="00DB3BB4">
          <w:rPr>
            <w:rStyle w:val="Hyperlink"/>
            <w:sz w:val="24"/>
            <w:szCs w:val="24"/>
          </w:rPr>
          <w:t>https://www.legislation.gov.uk/ukpga/1968/60/section/5</w:t>
        </w:r>
      </w:hyperlink>
      <w:r w:rsidR="00667AC3" w:rsidRPr="00DB3BB4">
        <w:rPr>
          <w:sz w:val="24"/>
          <w:szCs w:val="24"/>
        </w:rPr>
        <w:t xml:space="preserve"> </w:t>
      </w:r>
      <w:r w:rsidRPr="00DB3BB4">
        <w:rPr>
          <w:sz w:val="24"/>
          <w:szCs w:val="24"/>
        </w:rPr>
        <w:t>(Accessed : December 4</w:t>
      </w:r>
      <w:r w:rsidRPr="00DB3BB4">
        <w:rPr>
          <w:sz w:val="24"/>
          <w:szCs w:val="24"/>
          <w:vertAlign w:val="superscript"/>
        </w:rPr>
        <w:t>th</w:t>
      </w:r>
      <w:r w:rsidRPr="00DB3BB4">
        <w:rPr>
          <w:sz w:val="24"/>
          <w:szCs w:val="24"/>
        </w:rPr>
        <w:t xml:space="preserve"> 2021)</w:t>
      </w:r>
    </w:p>
    <w:p w14:paraId="3A7A12A7" w14:textId="77777777" w:rsidR="007A4890" w:rsidRPr="00DB3BB4" w:rsidRDefault="007A4890" w:rsidP="006C2FA6">
      <w:pPr>
        <w:rPr>
          <w:sz w:val="24"/>
          <w:szCs w:val="24"/>
        </w:rPr>
      </w:pPr>
    </w:p>
    <w:p w14:paraId="0DA3D625" w14:textId="6CC594F9" w:rsidR="007A4890" w:rsidRPr="00DB3BB4" w:rsidRDefault="007C2688" w:rsidP="00D80884">
      <w:pPr>
        <w:rPr>
          <w:sz w:val="24"/>
          <w:szCs w:val="24"/>
        </w:rPr>
      </w:pPr>
      <w:bookmarkStart w:id="2" w:name="_Hlk92462926"/>
      <w:r w:rsidRPr="00DB3BB4">
        <w:rPr>
          <w:i/>
          <w:iCs/>
          <w:sz w:val="24"/>
          <w:szCs w:val="24"/>
        </w:rPr>
        <w:t xml:space="preserve">Offence Against The Person Act </w:t>
      </w:r>
      <w:r w:rsidR="00D80884" w:rsidRPr="00DB3BB4">
        <w:rPr>
          <w:i/>
          <w:iCs/>
          <w:sz w:val="24"/>
          <w:szCs w:val="24"/>
        </w:rPr>
        <w:t>S (</w:t>
      </w:r>
      <w:r w:rsidR="00D80884" w:rsidRPr="00DB3BB4">
        <w:rPr>
          <w:i/>
          <w:iCs/>
          <w:sz w:val="24"/>
          <w:szCs w:val="24"/>
        </w:rPr>
        <w:t>20</w:t>
      </w:r>
      <w:r w:rsidR="00D80884" w:rsidRPr="00DB3BB4">
        <w:rPr>
          <w:i/>
          <w:iCs/>
          <w:sz w:val="24"/>
          <w:szCs w:val="24"/>
        </w:rPr>
        <w:t xml:space="preserve">), (1) . </w:t>
      </w:r>
      <w:r w:rsidR="00D80884" w:rsidRPr="00DB3BB4">
        <w:rPr>
          <w:sz w:val="24"/>
          <w:szCs w:val="24"/>
        </w:rPr>
        <w:t>Available at:</w:t>
      </w:r>
      <w:r w:rsidR="00CF3E1D" w:rsidRPr="00DB3BB4">
        <w:rPr>
          <w:sz w:val="24"/>
          <w:szCs w:val="24"/>
        </w:rPr>
        <w:t xml:space="preserve"> </w:t>
      </w:r>
      <w:hyperlink r:id="rId8" w:history="1">
        <w:r w:rsidR="00CF3E1D" w:rsidRPr="00DB3BB4">
          <w:rPr>
            <w:rStyle w:val="Hyperlink"/>
            <w:sz w:val="24"/>
            <w:szCs w:val="24"/>
          </w:rPr>
          <w:t>https://www.legislation.gov.uk/ukpga/Vict/24-25/100/section/20</w:t>
        </w:r>
      </w:hyperlink>
      <w:r w:rsidR="00CF3E1D" w:rsidRPr="00DB3BB4">
        <w:rPr>
          <w:sz w:val="24"/>
          <w:szCs w:val="24"/>
        </w:rPr>
        <w:t xml:space="preserve"> </w:t>
      </w:r>
      <w:r w:rsidR="00D80884" w:rsidRPr="00DB3BB4">
        <w:rPr>
          <w:sz w:val="24"/>
          <w:szCs w:val="24"/>
        </w:rPr>
        <w:t xml:space="preserve"> </w:t>
      </w:r>
    </w:p>
    <w:p w14:paraId="6C92FD1F" w14:textId="2E280FF6" w:rsidR="00D80884" w:rsidRDefault="00D80884" w:rsidP="00D80884">
      <w:pPr>
        <w:rPr>
          <w:sz w:val="24"/>
          <w:szCs w:val="24"/>
        </w:rPr>
      </w:pPr>
      <w:r w:rsidRPr="00DB3BB4">
        <w:rPr>
          <w:sz w:val="24"/>
          <w:szCs w:val="24"/>
        </w:rPr>
        <w:t xml:space="preserve">(Accessed: December </w:t>
      </w:r>
      <w:r w:rsidR="00F8515B">
        <w:rPr>
          <w:sz w:val="24"/>
          <w:szCs w:val="24"/>
        </w:rPr>
        <w:t>6</w:t>
      </w:r>
      <w:r w:rsidRPr="00DB3BB4">
        <w:rPr>
          <w:sz w:val="24"/>
          <w:szCs w:val="24"/>
          <w:vertAlign w:val="superscript"/>
        </w:rPr>
        <w:t>th</w:t>
      </w:r>
      <w:r w:rsidRPr="00DB3BB4">
        <w:rPr>
          <w:sz w:val="24"/>
          <w:szCs w:val="24"/>
        </w:rPr>
        <w:t xml:space="preserve"> 2021)</w:t>
      </w:r>
    </w:p>
    <w:p w14:paraId="233165E8" w14:textId="77777777" w:rsidR="007A4890" w:rsidRPr="00DB3BB4" w:rsidRDefault="007A4890" w:rsidP="00D80884">
      <w:pPr>
        <w:rPr>
          <w:sz w:val="24"/>
          <w:szCs w:val="24"/>
        </w:rPr>
      </w:pPr>
    </w:p>
    <w:bookmarkEnd w:id="2"/>
    <w:p w14:paraId="47E55CD4" w14:textId="08B5CF48" w:rsidR="00DB3BB4" w:rsidRPr="00DB3BB4" w:rsidRDefault="00CF3E1D" w:rsidP="00CF3E1D">
      <w:pPr>
        <w:rPr>
          <w:sz w:val="24"/>
          <w:szCs w:val="24"/>
        </w:rPr>
      </w:pPr>
      <w:r w:rsidRPr="00DB3BB4">
        <w:rPr>
          <w:i/>
          <w:iCs/>
          <w:sz w:val="24"/>
          <w:szCs w:val="24"/>
        </w:rPr>
        <w:t xml:space="preserve">Offence Against The Person Act S (20), (1) . </w:t>
      </w:r>
      <w:r w:rsidRPr="00DB3BB4">
        <w:rPr>
          <w:sz w:val="24"/>
          <w:szCs w:val="24"/>
        </w:rPr>
        <w:t>Available at:</w:t>
      </w:r>
      <w:r w:rsidRPr="00DB3BB4">
        <w:rPr>
          <w:sz w:val="24"/>
          <w:szCs w:val="24"/>
        </w:rPr>
        <w:t xml:space="preserve"> </w:t>
      </w:r>
      <w:r w:rsidRPr="00DB3BB4">
        <w:rPr>
          <w:sz w:val="24"/>
          <w:szCs w:val="24"/>
        </w:rPr>
        <w:t xml:space="preserve"> </w:t>
      </w:r>
      <w:hyperlink r:id="rId9" w:history="1">
        <w:r w:rsidR="00DB3BB4" w:rsidRPr="00DB3BB4">
          <w:rPr>
            <w:rStyle w:val="Hyperlink"/>
            <w:sz w:val="24"/>
            <w:szCs w:val="24"/>
          </w:rPr>
          <w:t>https://www.legislation.gov.uk/ukpga/Vict/24-25/100/section/18</w:t>
        </w:r>
      </w:hyperlink>
      <w:r w:rsidRPr="00DB3BB4">
        <w:rPr>
          <w:sz w:val="24"/>
          <w:szCs w:val="24"/>
        </w:rPr>
        <w:t xml:space="preserve"> </w:t>
      </w:r>
    </w:p>
    <w:p w14:paraId="08C53A6F" w14:textId="67FF9E1A" w:rsidR="00CF3E1D" w:rsidRPr="00DB3BB4" w:rsidRDefault="00CF3E1D" w:rsidP="00CF3E1D">
      <w:pPr>
        <w:rPr>
          <w:sz w:val="24"/>
          <w:szCs w:val="24"/>
        </w:rPr>
      </w:pPr>
      <w:r w:rsidRPr="00DB3BB4">
        <w:rPr>
          <w:sz w:val="24"/>
          <w:szCs w:val="24"/>
        </w:rPr>
        <w:t xml:space="preserve">(Accessed: December </w:t>
      </w:r>
      <w:r w:rsidR="00F8515B">
        <w:rPr>
          <w:sz w:val="24"/>
          <w:szCs w:val="24"/>
        </w:rPr>
        <w:t>6</w:t>
      </w:r>
      <w:r w:rsidRPr="00DB3BB4">
        <w:rPr>
          <w:sz w:val="24"/>
          <w:szCs w:val="24"/>
          <w:vertAlign w:val="superscript"/>
        </w:rPr>
        <w:t>th</w:t>
      </w:r>
      <w:r w:rsidRPr="00DB3BB4">
        <w:rPr>
          <w:sz w:val="24"/>
          <w:szCs w:val="24"/>
        </w:rPr>
        <w:t xml:space="preserve"> 2021)</w:t>
      </w:r>
    </w:p>
    <w:sdt>
      <w:sdtPr>
        <w:id w:val="-220529494"/>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5BC8F202" w14:textId="5F1AFDB9" w:rsidR="00CA2F73" w:rsidRPr="00CA2F73" w:rsidRDefault="00CA2F73" w:rsidP="00CA2F73">
          <w:pPr>
            <w:pStyle w:val="Heading1"/>
            <w:spacing w:line="360" w:lineRule="auto"/>
            <w:rPr>
              <w:sz w:val="24"/>
              <w:szCs w:val="24"/>
            </w:rPr>
          </w:pPr>
        </w:p>
        <w:sdt>
          <w:sdtPr>
            <w:rPr>
              <w:sz w:val="24"/>
              <w:szCs w:val="24"/>
            </w:rPr>
            <w:id w:val="-573587230"/>
            <w:bibliography/>
          </w:sdtPr>
          <w:sdtEndPr>
            <w:rPr>
              <w:sz w:val="22"/>
              <w:szCs w:val="22"/>
            </w:rPr>
          </w:sdtEndPr>
          <w:sdtContent>
            <w:p w14:paraId="7FFD919E" w14:textId="11F9EDF6" w:rsidR="00CA2F73" w:rsidRDefault="00CA2F73" w:rsidP="00CA2F73">
              <w:pPr>
                <w:pStyle w:val="Bibliography"/>
                <w:spacing w:line="360" w:lineRule="auto"/>
                <w:rPr>
                  <w:noProof/>
                  <w:sz w:val="24"/>
                  <w:szCs w:val="24"/>
                  <w:u w:val="single"/>
                  <w:lang w:val="en-US"/>
                </w:rPr>
              </w:pPr>
              <w:r w:rsidRPr="00CA2F73">
                <w:rPr>
                  <w:noProof/>
                  <w:sz w:val="24"/>
                  <w:szCs w:val="24"/>
                  <w:lang w:val="en-US"/>
                </w:rPr>
                <w:t xml:space="preserve">Morris, 1983. </w:t>
              </w:r>
              <w:r w:rsidRPr="00CA2F73">
                <w:rPr>
                  <w:i/>
                  <w:iCs/>
                  <w:noProof/>
                  <w:sz w:val="24"/>
                  <w:szCs w:val="24"/>
                  <w:lang w:val="en-US"/>
                </w:rPr>
                <w:t xml:space="preserve">Criminal Law. </w:t>
              </w:r>
              <w:r w:rsidRPr="00CA2F73">
                <w:rPr>
                  <w:noProof/>
                  <w:sz w:val="24"/>
                  <w:szCs w:val="24"/>
                  <w:lang w:val="en-US"/>
                </w:rPr>
                <w:t xml:space="preserve">[Online] </w:t>
              </w:r>
              <w:r w:rsidRPr="00CA2F73">
                <w:rPr>
                  <w:noProof/>
                  <w:sz w:val="24"/>
                  <w:szCs w:val="24"/>
                  <w:lang w:val="en-US"/>
                </w:rPr>
                <w:br/>
                <w:t xml:space="preserve">Available at: </w:t>
              </w:r>
              <w:hyperlink r:id="rId10" w:history="1">
                <w:r w:rsidRPr="006F2EA1">
                  <w:rPr>
                    <w:rStyle w:val="Hyperlink"/>
                    <w:noProof/>
                    <w:sz w:val="24"/>
                    <w:szCs w:val="24"/>
                    <w:lang w:val="en-US"/>
                  </w:rPr>
                  <w:t>https://www.studocu.com/en-gb/document/university-of-oxford/criminal-law/oxford-law-notes-this-is-a-summary-of-the-following-cases-r-v-morris-1983-3-wlr-697-lawrence/3453183</w:t>
                </w:r>
              </w:hyperlink>
              <w:r>
                <w:rPr>
                  <w:noProof/>
                  <w:sz w:val="24"/>
                  <w:szCs w:val="24"/>
                  <w:u w:val="single"/>
                  <w:lang w:val="en-US"/>
                </w:rPr>
                <w:t xml:space="preserve"> </w:t>
              </w:r>
              <w:r w:rsidR="00FC7C5E">
                <w:rPr>
                  <w:noProof/>
                  <w:sz w:val="24"/>
                  <w:szCs w:val="24"/>
                  <w:u w:val="single"/>
                  <w:lang w:val="en-US"/>
                </w:rPr>
                <w:t>[Accessed: 13</w:t>
              </w:r>
              <w:r w:rsidR="007A4890">
                <w:rPr>
                  <w:noProof/>
                  <w:sz w:val="24"/>
                  <w:szCs w:val="24"/>
                  <w:u w:val="single"/>
                  <w:lang w:val="en-US"/>
                </w:rPr>
                <w:t>/12/21]</w:t>
              </w:r>
            </w:p>
            <w:p w14:paraId="4FB3965E" w14:textId="77777777" w:rsidR="00CA2F73" w:rsidRPr="00CA2F73" w:rsidRDefault="00CA2F73" w:rsidP="00CA2F73">
              <w:pPr>
                <w:rPr>
                  <w:lang w:val="en-US"/>
                </w:rPr>
              </w:pPr>
            </w:p>
            <w:p w14:paraId="21F32018" w14:textId="7CF9BF86" w:rsidR="00CA2F73" w:rsidRDefault="00CA2F73" w:rsidP="00CA2F73">
              <w:pPr>
                <w:pStyle w:val="Bibliography"/>
                <w:spacing w:line="360" w:lineRule="auto"/>
                <w:rPr>
                  <w:noProof/>
                  <w:sz w:val="24"/>
                  <w:szCs w:val="24"/>
                  <w:u w:val="single"/>
                  <w:lang w:val="en-US"/>
                </w:rPr>
              </w:pPr>
              <w:r w:rsidRPr="00CA2F73">
                <w:rPr>
                  <w:noProof/>
                  <w:sz w:val="24"/>
                  <w:szCs w:val="24"/>
                  <w:lang w:val="en-US"/>
                </w:rPr>
                <w:t xml:space="preserve">Wilson, B., 2018. </w:t>
              </w:r>
              <w:r w:rsidRPr="00CA2F73">
                <w:rPr>
                  <w:i/>
                  <w:iCs/>
                  <w:noProof/>
                  <w:sz w:val="24"/>
                  <w:szCs w:val="24"/>
                  <w:lang w:val="en-US"/>
                </w:rPr>
                <w:t xml:space="preserve">The new test for dishonesty: the impact of Ivey v Genting Casinos. </w:t>
              </w:r>
              <w:r w:rsidRPr="00CA2F73">
                <w:rPr>
                  <w:noProof/>
                  <w:sz w:val="24"/>
                  <w:szCs w:val="24"/>
                  <w:lang w:val="en-US"/>
                </w:rPr>
                <w:t xml:space="preserve">[Online] </w:t>
              </w:r>
              <w:r w:rsidRPr="00CA2F73">
                <w:rPr>
                  <w:noProof/>
                  <w:sz w:val="24"/>
                  <w:szCs w:val="24"/>
                  <w:lang w:val="en-US"/>
                </w:rPr>
                <w:br/>
                <w:t xml:space="preserve">Available at: </w:t>
              </w:r>
              <w:hyperlink r:id="rId11" w:history="1">
                <w:r w:rsidRPr="006F2EA1">
                  <w:rPr>
                    <w:rStyle w:val="Hyperlink"/>
                    <w:noProof/>
                    <w:sz w:val="24"/>
                    <w:szCs w:val="24"/>
                    <w:lang w:val="en-US"/>
                  </w:rPr>
                  <w:t>https://www.brettwilson.co.uk/blog/new-test-dishonesty-impact-ivey-v-genting-casinos/</w:t>
                </w:r>
              </w:hyperlink>
            </w:p>
            <w:p w14:paraId="3DC85DAC" w14:textId="1AC30453" w:rsidR="00CA2F73" w:rsidRPr="00CA2F73" w:rsidRDefault="00CA2F73" w:rsidP="00CA2F73">
              <w:pPr>
                <w:pStyle w:val="Bibliography"/>
                <w:spacing w:line="360" w:lineRule="auto"/>
                <w:rPr>
                  <w:noProof/>
                  <w:sz w:val="24"/>
                  <w:szCs w:val="24"/>
                  <w:lang w:val="en-US"/>
                </w:rPr>
              </w:pPr>
              <w:r w:rsidRPr="00CA2F73">
                <w:rPr>
                  <w:noProof/>
                  <w:sz w:val="24"/>
                  <w:szCs w:val="24"/>
                  <w:lang w:val="en-US"/>
                </w:rPr>
                <w:t>[Accessed</w:t>
              </w:r>
              <w:r w:rsidR="00FC7C5E">
                <w:rPr>
                  <w:noProof/>
                  <w:sz w:val="24"/>
                  <w:szCs w:val="24"/>
                  <w:lang w:val="en-US"/>
                </w:rPr>
                <w:t>:</w:t>
              </w:r>
              <w:r w:rsidRPr="00CA2F73">
                <w:rPr>
                  <w:noProof/>
                  <w:sz w:val="24"/>
                  <w:szCs w:val="24"/>
                  <w:lang w:val="en-US"/>
                </w:rPr>
                <w:t xml:space="preserve"> 13 </w:t>
              </w:r>
              <w:r w:rsidR="00FC7C5E">
                <w:rPr>
                  <w:noProof/>
                  <w:sz w:val="24"/>
                  <w:szCs w:val="24"/>
                  <w:lang w:val="en-US"/>
                </w:rPr>
                <w:t>/</w:t>
              </w:r>
              <w:r w:rsidRPr="00CA2F73">
                <w:rPr>
                  <w:noProof/>
                  <w:sz w:val="24"/>
                  <w:szCs w:val="24"/>
                  <w:lang w:val="en-US"/>
                </w:rPr>
                <w:t>12</w:t>
              </w:r>
              <w:r w:rsidR="00FC7C5E">
                <w:rPr>
                  <w:noProof/>
                  <w:sz w:val="24"/>
                  <w:szCs w:val="24"/>
                  <w:lang w:val="en-US"/>
                </w:rPr>
                <w:t>/</w:t>
              </w:r>
              <w:r w:rsidRPr="00CA2F73">
                <w:rPr>
                  <w:noProof/>
                  <w:sz w:val="24"/>
                  <w:szCs w:val="24"/>
                  <w:lang w:val="en-US"/>
                </w:rPr>
                <w:t xml:space="preserve"> 2021].</w:t>
              </w:r>
            </w:p>
            <w:p w14:paraId="46F92086" w14:textId="7677EF2C" w:rsidR="00CA2F73" w:rsidRDefault="00CA2F73" w:rsidP="00CA2F73"/>
          </w:sdtContent>
        </w:sdt>
      </w:sdtContent>
    </w:sdt>
    <w:p w14:paraId="06C08158" w14:textId="77777777" w:rsidR="006C2FA6" w:rsidRPr="006C2FA6" w:rsidRDefault="006C2FA6">
      <w:pPr>
        <w:rPr>
          <w:sz w:val="24"/>
          <w:szCs w:val="24"/>
        </w:rPr>
      </w:pPr>
    </w:p>
    <w:sectPr w:rsidR="006C2FA6" w:rsidRPr="006C2F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2CF5"/>
    <w:rsid w:val="00006D63"/>
    <w:rsid w:val="00060424"/>
    <w:rsid w:val="00071CDC"/>
    <w:rsid w:val="00077313"/>
    <w:rsid w:val="000C746A"/>
    <w:rsid w:val="000D3191"/>
    <w:rsid w:val="000E24E1"/>
    <w:rsid w:val="001A3A4F"/>
    <w:rsid w:val="001F1DF8"/>
    <w:rsid w:val="0024772F"/>
    <w:rsid w:val="00251248"/>
    <w:rsid w:val="00282CA2"/>
    <w:rsid w:val="00287FF4"/>
    <w:rsid w:val="002A5288"/>
    <w:rsid w:val="002F52DA"/>
    <w:rsid w:val="002F568A"/>
    <w:rsid w:val="00302CF5"/>
    <w:rsid w:val="00343A81"/>
    <w:rsid w:val="00377025"/>
    <w:rsid w:val="003C70DB"/>
    <w:rsid w:val="003E692B"/>
    <w:rsid w:val="003F18A2"/>
    <w:rsid w:val="004169A2"/>
    <w:rsid w:val="00422DB9"/>
    <w:rsid w:val="0044690D"/>
    <w:rsid w:val="00451967"/>
    <w:rsid w:val="00452F12"/>
    <w:rsid w:val="004635B0"/>
    <w:rsid w:val="004759E4"/>
    <w:rsid w:val="00485979"/>
    <w:rsid w:val="004A25F1"/>
    <w:rsid w:val="004B24AE"/>
    <w:rsid w:val="004B3093"/>
    <w:rsid w:val="004E39CE"/>
    <w:rsid w:val="00501597"/>
    <w:rsid w:val="00503772"/>
    <w:rsid w:val="005113A0"/>
    <w:rsid w:val="00521855"/>
    <w:rsid w:val="0052536C"/>
    <w:rsid w:val="00534285"/>
    <w:rsid w:val="005937AA"/>
    <w:rsid w:val="00595045"/>
    <w:rsid w:val="005A4A4E"/>
    <w:rsid w:val="005B02EA"/>
    <w:rsid w:val="00602645"/>
    <w:rsid w:val="006256F6"/>
    <w:rsid w:val="00641615"/>
    <w:rsid w:val="00642BCE"/>
    <w:rsid w:val="00667AC3"/>
    <w:rsid w:val="00672343"/>
    <w:rsid w:val="006830DE"/>
    <w:rsid w:val="0068683D"/>
    <w:rsid w:val="006C2FA6"/>
    <w:rsid w:val="006D470A"/>
    <w:rsid w:val="006F694A"/>
    <w:rsid w:val="00720D53"/>
    <w:rsid w:val="00743402"/>
    <w:rsid w:val="007875D0"/>
    <w:rsid w:val="007955CB"/>
    <w:rsid w:val="007A4890"/>
    <w:rsid w:val="007A58CC"/>
    <w:rsid w:val="007C2688"/>
    <w:rsid w:val="007E522A"/>
    <w:rsid w:val="00800EB9"/>
    <w:rsid w:val="00811199"/>
    <w:rsid w:val="00826880"/>
    <w:rsid w:val="00895034"/>
    <w:rsid w:val="008B2287"/>
    <w:rsid w:val="0090059E"/>
    <w:rsid w:val="00900EFB"/>
    <w:rsid w:val="0091481C"/>
    <w:rsid w:val="0093138D"/>
    <w:rsid w:val="00935F75"/>
    <w:rsid w:val="00936198"/>
    <w:rsid w:val="009447F1"/>
    <w:rsid w:val="00945FEF"/>
    <w:rsid w:val="00962E61"/>
    <w:rsid w:val="0098454D"/>
    <w:rsid w:val="009942E7"/>
    <w:rsid w:val="009B6FF0"/>
    <w:rsid w:val="009D449E"/>
    <w:rsid w:val="009F4DA4"/>
    <w:rsid w:val="009F7632"/>
    <w:rsid w:val="00A205C5"/>
    <w:rsid w:val="00A81699"/>
    <w:rsid w:val="00AB4E25"/>
    <w:rsid w:val="00AB7696"/>
    <w:rsid w:val="00AC0898"/>
    <w:rsid w:val="00AD1BD1"/>
    <w:rsid w:val="00AD59E8"/>
    <w:rsid w:val="00AF35CF"/>
    <w:rsid w:val="00B1139E"/>
    <w:rsid w:val="00B16853"/>
    <w:rsid w:val="00B4205D"/>
    <w:rsid w:val="00B84C25"/>
    <w:rsid w:val="00B86DB0"/>
    <w:rsid w:val="00B86FED"/>
    <w:rsid w:val="00BB0955"/>
    <w:rsid w:val="00C0384D"/>
    <w:rsid w:val="00C04F20"/>
    <w:rsid w:val="00C060A8"/>
    <w:rsid w:val="00C14C13"/>
    <w:rsid w:val="00C203F4"/>
    <w:rsid w:val="00C35EF5"/>
    <w:rsid w:val="00C8020D"/>
    <w:rsid w:val="00C95354"/>
    <w:rsid w:val="00CA2F73"/>
    <w:rsid w:val="00CC11AC"/>
    <w:rsid w:val="00CC313D"/>
    <w:rsid w:val="00CD7577"/>
    <w:rsid w:val="00CE1B9C"/>
    <w:rsid w:val="00CF3E1D"/>
    <w:rsid w:val="00D00C43"/>
    <w:rsid w:val="00D47349"/>
    <w:rsid w:val="00D5421E"/>
    <w:rsid w:val="00D732A5"/>
    <w:rsid w:val="00D80884"/>
    <w:rsid w:val="00D9497C"/>
    <w:rsid w:val="00DB3BB4"/>
    <w:rsid w:val="00DD0D9B"/>
    <w:rsid w:val="00DE0A3F"/>
    <w:rsid w:val="00E007FF"/>
    <w:rsid w:val="00E22BE7"/>
    <w:rsid w:val="00E41712"/>
    <w:rsid w:val="00E51227"/>
    <w:rsid w:val="00E80FDD"/>
    <w:rsid w:val="00E85ED4"/>
    <w:rsid w:val="00E87C58"/>
    <w:rsid w:val="00ED0449"/>
    <w:rsid w:val="00F25C09"/>
    <w:rsid w:val="00F52D96"/>
    <w:rsid w:val="00F71865"/>
    <w:rsid w:val="00F84547"/>
    <w:rsid w:val="00F8515B"/>
    <w:rsid w:val="00FA0C21"/>
    <w:rsid w:val="00FA7270"/>
    <w:rsid w:val="00FB55B1"/>
    <w:rsid w:val="00FC7C5E"/>
    <w:rsid w:val="00FD62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D8A512"/>
  <w15:chartTrackingRefBased/>
  <w15:docId w15:val="{49750D8C-4A8D-402E-A946-3BA1CEDF49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228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942E7"/>
    <w:rPr>
      <w:color w:val="0563C1" w:themeColor="hyperlink"/>
      <w:u w:val="single"/>
    </w:rPr>
  </w:style>
  <w:style w:type="character" w:styleId="UnresolvedMention">
    <w:name w:val="Unresolved Mention"/>
    <w:basedOn w:val="DefaultParagraphFont"/>
    <w:uiPriority w:val="99"/>
    <w:semiHidden/>
    <w:unhideWhenUsed/>
    <w:rsid w:val="009942E7"/>
    <w:rPr>
      <w:color w:val="605E5C"/>
      <w:shd w:val="clear" w:color="auto" w:fill="E1DFDD"/>
    </w:rPr>
  </w:style>
  <w:style w:type="character" w:customStyle="1" w:styleId="Heading1Char">
    <w:name w:val="Heading 1 Char"/>
    <w:basedOn w:val="DefaultParagraphFont"/>
    <w:link w:val="Heading1"/>
    <w:uiPriority w:val="9"/>
    <w:rsid w:val="008B228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8B22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8128493">
      <w:bodyDiv w:val="1"/>
      <w:marLeft w:val="0"/>
      <w:marRight w:val="0"/>
      <w:marTop w:val="0"/>
      <w:marBottom w:val="0"/>
      <w:divBdr>
        <w:top w:val="none" w:sz="0" w:space="0" w:color="auto"/>
        <w:left w:val="none" w:sz="0" w:space="0" w:color="auto"/>
        <w:bottom w:val="none" w:sz="0" w:space="0" w:color="auto"/>
        <w:right w:val="none" w:sz="0" w:space="0" w:color="auto"/>
      </w:divBdr>
    </w:div>
    <w:div w:id="566695355">
      <w:bodyDiv w:val="1"/>
      <w:marLeft w:val="0"/>
      <w:marRight w:val="0"/>
      <w:marTop w:val="0"/>
      <w:marBottom w:val="0"/>
      <w:divBdr>
        <w:top w:val="none" w:sz="0" w:space="0" w:color="auto"/>
        <w:left w:val="none" w:sz="0" w:space="0" w:color="auto"/>
        <w:bottom w:val="none" w:sz="0" w:space="0" w:color="auto"/>
        <w:right w:val="none" w:sz="0" w:space="0" w:color="auto"/>
      </w:divBdr>
    </w:div>
    <w:div w:id="1583374946">
      <w:bodyDiv w:val="1"/>
      <w:marLeft w:val="0"/>
      <w:marRight w:val="0"/>
      <w:marTop w:val="0"/>
      <w:marBottom w:val="0"/>
      <w:divBdr>
        <w:top w:val="none" w:sz="0" w:space="0" w:color="auto"/>
        <w:left w:val="none" w:sz="0" w:space="0" w:color="auto"/>
        <w:bottom w:val="none" w:sz="0" w:space="0" w:color="auto"/>
        <w:right w:val="none" w:sz="0" w:space="0" w:color="auto"/>
      </w:divBdr>
    </w:div>
    <w:div w:id="16129305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Vict/24-25/100/section/2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legislation.gov.uk/ukpga/1968/60/section/5"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legislation.gov.uk/ukpga/1968/60/section/4" TargetMode="External"/><Relationship Id="rId11" Type="http://schemas.openxmlformats.org/officeDocument/2006/relationships/hyperlink" Target="https://www.brettwilson.co.uk/blog/new-test-dishonesty-impact-ivey-v-genting-casinos/" TargetMode="External"/><Relationship Id="rId5" Type="http://schemas.openxmlformats.org/officeDocument/2006/relationships/hyperlink" Target="https://www.legislation.gov.uk/ukpga/1968/60/section/1" TargetMode="External"/><Relationship Id="rId10" Type="http://schemas.openxmlformats.org/officeDocument/2006/relationships/hyperlink" Target="https://www.studocu.com/en-gb/document/university-of-oxford/criminal-law/oxford-law-notes-this-is-a-summary-of-the-following-cases-r-v-morris-1983-3-wlr-697-lawrence/3453183" TargetMode="External"/><Relationship Id="rId4" Type="http://schemas.openxmlformats.org/officeDocument/2006/relationships/webSettings" Target="webSettings.xml"/><Relationship Id="rId9" Type="http://schemas.openxmlformats.org/officeDocument/2006/relationships/hyperlink" Target="https://www.legislation.gov.uk/ukpga/Vict/24-25/100/section/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Mor83</b:Tag>
    <b:SourceType>InternetSite</b:SourceType>
    <b:Guid>{C4107DA4-895E-4ABA-8899-C7ED41EFEA0F}</b:Guid>
    <b:Author>
      <b:Author>
        <b:NameList>
          <b:Person>
            <b:Last>Morris</b:Last>
          </b:Person>
        </b:NameList>
      </b:Author>
    </b:Author>
    <b:Title>Criminal Law</b:Title>
    <b:InternetSiteTitle>Studocu</b:InternetSiteTitle>
    <b:Year>1983</b:Year>
    <b:URL>https://www.studocu.com/en-gb/document/university-of-oxford/criminal-law/oxford-law-notes-this-is-a-summary-of-the-following-cases-r-v-morris-1983-3-wlr-697-lawrence/3453183</b:URL>
    <b:RefOrder>2</b:RefOrder>
  </b:Source>
  <b:Source>
    <b:Tag>Bre18</b:Tag>
    <b:SourceType>InternetSite</b:SourceType>
    <b:Guid>{237B7C8A-E3F0-4C60-9999-1EC836700954}</b:Guid>
    <b:Author>
      <b:Author>
        <b:NameList>
          <b:Person>
            <b:Last>Wilson</b:Last>
            <b:First>Brett</b:First>
          </b:Person>
        </b:NameList>
      </b:Author>
    </b:Author>
    <b:Title>The new test for dishonesty: the impact of Ivey v Genting Casinos</b:Title>
    <b:Year>2018</b:Year>
    <b:YearAccessed>2021</b:YearAccessed>
    <b:MonthAccessed>12</b:MonthAccessed>
    <b:DayAccessed>13</b:DayAccessed>
    <b:URL>https://www.brettwilson.co.uk/blog/new-test-dishonesty-impact-ivey-v-genting-casinos/</b:URL>
    <b:RefOrder>1</b:RefOrder>
  </b:Source>
</b:Sources>
</file>

<file path=customXml/itemProps1.xml><?xml version="1.0" encoding="utf-8"?>
<ds:datastoreItem xmlns:ds="http://schemas.openxmlformats.org/officeDocument/2006/customXml" ds:itemID="{65FF83CB-7A17-4312-A624-4EFDBE87D4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1112</TotalTime>
  <Pages>4</Pages>
  <Words>1405</Words>
  <Characters>8010</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Jones</dc:creator>
  <cp:keywords/>
  <dc:description/>
  <cp:lastModifiedBy>Kirsty Jones</cp:lastModifiedBy>
  <cp:revision>114</cp:revision>
  <dcterms:created xsi:type="dcterms:W3CDTF">2022-01-06T10:25:00Z</dcterms:created>
  <dcterms:modified xsi:type="dcterms:W3CDTF">2022-01-07T20:42:00Z</dcterms:modified>
</cp:coreProperties>
</file>