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24"/>
          <w:szCs w:val="24"/>
          <w:u w:val="single"/>
        </w:rPr>
      </w:pPr>
      <w:r w:rsidDel="00000000" w:rsidR="00000000" w:rsidRPr="00000000">
        <w:rPr>
          <w:sz w:val="24"/>
          <w:szCs w:val="24"/>
          <w:u w:val="single"/>
          <w:rtl w:val="0"/>
        </w:rPr>
        <w:t xml:space="preserve">ECD6007 Assignment 2023/24</w:t>
        <w:tab/>
        <w:tab/>
        <w:tab/>
        <w:tab/>
        <w:t xml:space="preserve">            Student No: 2300809</w:t>
      </w:r>
    </w:p>
    <w:p w:rsidR="00000000" w:rsidDel="00000000" w:rsidP="00000000" w:rsidRDefault="00000000" w:rsidRPr="00000000" w14:paraId="00000002">
      <w:pPr>
        <w:rPr>
          <w:sz w:val="24"/>
          <w:szCs w:val="24"/>
        </w:rPr>
      </w:pPr>
      <w:r w:rsidDel="00000000" w:rsidR="00000000" w:rsidRPr="00000000">
        <w:rPr>
          <w:sz w:val="24"/>
          <w:szCs w:val="24"/>
          <w:rtl w:val="0"/>
        </w:rPr>
        <w:t xml:space="preserve">Written Assignment.  A critical evaluation and the identification of next teaching and learning steps focusing on a case study of an individual learner or group of learners, based on an observed critical incident (4000)</w:t>
      </w:r>
    </w:p>
    <w:p w:rsidR="00000000" w:rsidDel="00000000" w:rsidP="00000000" w:rsidRDefault="00000000" w:rsidRPr="00000000" w14:paraId="00000003">
      <w:pPr>
        <w:rPr>
          <w:sz w:val="24"/>
          <w:szCs w:val="24"/>
          <w:u w:val="single"/>
        </w:rPr>
      </w:pPr>
      <w:r w:rsidDel="00000000" w:rsidR="00000000" w:rsidRPr="00000000">
        <w:rPr>
          <w:sz w:val="24"/>
          <w:szCs w:val="24"/>
          <w:rtl w:val="0"/>
        </w:rPr>
        <w:t xml:space="preserve">Actual Assignment word count </w:t>
      </w:r>
      <w:r w:rsidDel="00000000" w:rsidR="00000000" w:rsidRPr="00000000">
        <w:rPr>
          <w:sz w:val="24"/>
          <w:szCs w:val="24"/>
          <w:u w:val="single"/>
          <w:rtl w:val="0"/>
        </w:rPr>
        <w:t xml:space="preserve">4151</w:t>
      </w:r>
    </w:p>
    <w:p w:rsidR="00000000" w:rsidDel="00000000" w:rsidP="00000000" w:rsidRDefault="00000000" w:rsidRPr="00000000" w14:paraId="00000004">
      <w:pPr>
        <w:rPr>
          <w:sz w:val="24"/>
          <w:szCs w:val="24"/>
        </w:rPr>
      </w:pPr>
      <w:r w:rsidDel="00000000" w:rsidR="00000000" w:rsidRPr="00000000">
        <w:rPr>
          <w:rtl w:val="0"/>
        </w:rPr>
      </w:r>
    </w:p>
    <w:p w:rsidR="00000000" w:rsidDel="00000000" w:rsidP="00000000" w:rsidRDefault="00000000" w:rsidRPr="00000000" w14:paraId="00000005">
      <w:pPr>
        <w:rPr>
          <w:sz w:val="24"/>
          <w:szCs w:val="24"/>
          <w:u w:val="single"/>
        </w:rPr>
      </w:pPr>
      <w:r w:rsidDel="00000000" w:rsidR="00000000" w:rsidRPr="00000000">
        <w:rPr>
          <w:sz w:val="24"/>
          <w:szCs w:val="24"/>
          <w:u w:val="single"/>
          <w:rtl w:val="0"/>
        </w:rPr>
        <w:t xml:space="preserve">Introduction</w:t>
      </w:r>
    </w:p>
    <w:p w:rsidR="00000000" w:rsidDel="00000000" w:rsidP="00000000" w:rsidRDefault="00000000" w:rsidRPr="00000000" w14:paraId="00000006">
      <w:pPr>
        <w:rPr>
          <w:sz w:val="24"/>
          <w:szCs w:val="24"/>
          <w:u w:val="single"/>
        </w:rPr>
      </w:pPr>
      <w:r w:rsidDel="00000000" w:rsidR="00000000" w:rsidRPr="00000000">
        <w:rPr>
          <w:rtl w:val="0"/>
        </w:rPr>
      </w:r>
    </w:p>
    <w:p w:rsidR="00000000" w:rsidDel="00000000" w:rsidP="00000000" w:rsidRDefault="00000000" w:rsidRPr="00000000" w14:paraId="00000007">
      <w:pPr>
        <w:spacing w:after="200" w:before="0" w:line="480" w:lineRule="auto"/>
        <w:rPr>
          <w:sz w:val="24"/>
          <w:szCs w:val="24"/>
        </w:rPr>
      </w:pPr>
      <w:r w:rsidDel="00000000" w:rsidR="00000000" w:rsidRPr="00000000">
        <w:rPr>
          <w:sz w:val="24"/>
          <w:szCs w:val="24"/>
          <w:rtl w:val="0"/>
        </w:rPr>
        <w:t xml:space="preserve">This assignment endeavours to critically evaluate an incident in a year 4 classroom of 23 mixed ability learners, a teacher and a special needs support assistant (SNSA).  This class falls within the parameters of progression step 3 and are all aged 8 or 9.  The critical incident took place approximately five minutes into the first lesson of the day, in a very warm July. The incident occurred within a group of six more able and talented (MAT) learners. The learning intention of the lesson was literacy and inferences, where the learners needed to infer who they thought would wear the shoe that had been given to their group.  </w:t>
      </w:r>
    </w:p>
    <w:p w:rsidR="00000000" w:rsidDel="00000000" w:rsidP="00000000" w:rsidRDefault="00000000" w:rsidRPr="00000000" w14:paraId="00000008">
      <w:pPr>
        <w:spacing w:after="200" w:line="480" w:lineRule="auto"/>
        <w:rPr>
          <w:sz w:val="24"/>
          <w:szCs w:val="24"/>
        </w:rPr>
      </w:pPr>
      <w:r w:rsidDel="00000000" w:rsidR="00000000" w:rsidRPr="00000000">
        <w:rPr>
          <w:sz w:val="24"/>
          <w:szCs w:val="24"/>
          <w:rtl w:val="0"/>
        </w:rPr>
        <w:t xml:space="preserve">The teacher was still giving instructions and guidance to the class and one learner became disengaged and absentmindedly started to play with her hair, swing her leg whilst sitting in her chair and turn around facing away from the front and the teacher. She generally became inattentive and distracted.  The learner did not regain her focus until the exercise books were distributed and the footwear was given out to each group. She then began to write and became animated, engaged and captivated by the sparkly flip flop her group had been given.  “The teacher must systematically monitor, examine and explain a child’s behaviour and not proceed on guesses about motives and causes, but ascertain them as accurately as the situation will allow (Tripp, 2011)”.</w:t>
      </w:r>
    </w:p>
    <w:p w:rsidR="00000000" w:rsidDel="00000000" w:rsidP="00000000" w:rsidRDefault="00000000" w:rsidRPr="00000000" w14:paraId="00000009">
      <w:pPr>
        <w:spacing w:after="200" w:line="480" w:lineRule="auto"/>
        <w:rPr>
          <w:sz w:val="24"/>
          <w:szCs w:val="24"/>
        </w:rPr>
      </w:pPr>
      <w:r w:rsidDel="00000000" w:rsidR="00000000" w:rsidRPr="00000000">
        <w:rPr>
          <w:rtl w:val="0"/>
        </w:rPr>
      </w:r>
    </w:p>
    <w:p w:rsidR="00000000" w:rsidDel="00000000" w:rsidP="00000000" w:rsidRDefault="00000000" w:rsidRPr="00000000" w14:paraId="0000000A">
      <w:pPr>
        <w:spacing w:after="200" w:line="480" w:lineRule="auto"/>
        <w:rPr>
          <w:sz w:val="24"/>
          <w:szCs w:val="24"/>
        </w:rPr>
      </w:pPr>
      <w:r w:rsidDel="00000000" w:rsidR="00000000" w:rsidRPr="00000000">
        <w:rPr>
          <w:rtl w:val="0"/>
        </w:rPr>
      </w:r>
    </w:p>
    <w:p w:rsidR="00000000" w:rsidDel="00000000" w:rsidP="00000000" w:rsidRDefault="00000000" w:rsidRPr="00000000" w14:paraId="0000000B">
      <w:pPr>
        <w:spacing w:after="200" w:line="480" w:lineRule="auto"/>
        <w:rPr>
          <w:sz w:val="24"/>
          <w:szCs w:val="24"/>
        </w:rPr>
      </w:pPr>
      <w:r w:rsidDel="00000000" w:rsidR="00000000" w:rsidRPr="00000000">
        <w:rPr>
          <w:sz w:val="24"/>
          <w:szCs w:val="24"/>
          <w:rtl w:val="0"/>
        </w:rPr>
        <w:t xml:space="preserve">This occurrence may ordinarily appear an insignificant and unextraordinary event and may not immediately seem critical to a child’s, group’s or class’ learning. “Our very judgement of an incident as trivial can be a way to deceive ourselves into thinking we can legitimately dismiss them when we should actually consider them in great depth (Tripp, 2011)”.   An incident such as this can become a critical incident when given focus by an assignment like this one.  A critical incident is not necessarily negative or impactful but could be something that does not appear that significant, on first observation or could even go unobserved, particularly by the teacher.  Although it can be impactful on the learner in question.  This child’s learning might be affected when she tries to complete the inference activity as she has not been observant during the initial lesson.  </w:t>
      </w:r>
    </w:p>
    <w:p w:rsidR="00000000" w:rsidDel="00000000" w:rsidP="00000000" w:rsidRDefault="00000000" w:rsidRPr="00000000" w14:paraId="0000000C">
      <w:pPr>
        <w:spacing w:line="480" w:lineRule="auto"/>
        <w:rPr>
          <w:sz w:val="24"/>
          <w:szCs w:val="24"/>
          <w:u w:val="single"/>
        </w:rPr>
      </w:pPr>
      <w:r w:rsidDel="00000000" w:rsidR="00000000" w:rsidRPr="00000000">
        <w:rPr>
          <w:sz w:val="24"/>
          <w:szCs w:val="24"/>
          <w:u w:val="single"/>
          <w:rtl w:val="0"/>
        </w:rPr>
        <w:t xml:space="preserve">Literature Review</w:t>
      </w:r>
    </w:p>
    <w:p w:rsidR="00000000" w:rsidDel="00000000" w:rsidP="00000000" w:rsidRDefault="00000000" w:rsidRPr="00000000" w14:paraId="0000000D">
      <w:pPr>
        <w:spacing w:line="480" w:lineRule="auto"/>
        <w:rPr>
          <w:sz w:val="24"/>
          <w:szCs w:val="24"/>
        </w:rPr>
      </w:pPr>
      <w:r w:rsidDel="00000000" w:rsidR="00000000" w:rsidRPr="00000000">
        <w:rPr>
          <w:sz w:val="24"/>
          <w:szCs w:val="24"/>
          <w:rtl w:val="0"/>
        </w:rPr>
        <w:t xml:space="preserve">The first theory that appears to be at play here is Vygotsky’s sociocultural theory of cognitive development.  Vygotsky saw learning as a social activity. “Children should experience various cultural tools to help them achieve new learning through problem solving and interaction with others” (Aubrey and Riley, 2022).  As soon as the learner at the heart of this critical incident engaged in the group discussion with other learners, her learning was activated.  Her learning was prompted by the stimulus of the sparkly shoe and the focus task to discuss with her contemporaries the inferences she had made of who she thought may own this shoe.</w:t>
      </w:r>
    </w:p>
    <w:p w:rsidR="00000000" w:rsidDel="00000000" w:rsidP="00000000" w:rsidRDefault="00000000" w:rsidRPr="00000000" w14:paraId="0000000E">
      <w:pPr>
        <w:spacing w:line="480" w:lineRule="auto"/>
        <w:rPr>
          <w:sz w:val="24"/>
          <w:szCs w:val="24"/>
        </w:rPr>
      </w:pPr>
      <w:r w:rsidDel="00000000" w:rsidR="00000000" w:rsidRPr="00000000">
        <w:rPr>
          <w:rtl w:val="0"/>
        </w:rPr>
      </w:r>
    </w:p>
    <w:p w:rsidR="00000000" w:rsidDel="00000000" w:rsidP="00000000" w:rsidRDefault="00000000" w:rsidRPr="00000000" w14:paraId="0000000F">
      <w:pPr>
        <w:spacing w:line="480" w:lineRule="auto"/>
        <w:rPr>
          <w:sz w:val="24"/>
          <w:szCs w:val="24"/>
        </w:rPr>
      </w:pPr>
      <w:r w:rsidDel="00000000" w:rsidR="00000000" w:rsidRPr="00000000">
        <w:rPr>
          <w:rtl w:val="0"/>
        </w:rPr>
      </w:r>
    </w:p>
    <w:p w:rsidR="00000000" w:rsidDel="00000000" w:rsidP="00000000" w:rsidRDefault="00000000" w:rsidRPr="00000000" w14:paraId="00000010">
      <w:pPr>
        <w:spacing w:line="480" w:lineRule="auto"/>
        <w:rPr>
          <w:sz w:val="24"/>
          <w:szCs w:val="24"/>
        </w:rPr>
      </w:pPr>
      <w:r w:rsidDel="00000000" w:rsidR="00000000" w:rsidRPr="00000000">
        <w:rPr>
          <w:rtl w:val="0"/>
        </w:rPr>
      </w:r>
    </w:p>
    <w:p w:rsidR="00000000" w:rsidDel="00000000" w:rsidP="00000000" w:rsidRDefault="00000000" w:rsidRPr="00000000" w14:paraId="00000011">
      <w:pPr>
        <w:spacing w:line="480" w:lineRule="auto"/>
        <w:rPr>
          <w:sz w:val="24"/>
          <w:szCs w:val="24"/>
        </w:rPr>
      </w:pPr>
      <w:r w:rsidDel="00000000" w:rsidR="00000000" w:rsidRPr="00000000">
        <w:rPr>
          <w:rtl w:val="0"/>
        </w:rPr>
      </w:r>
    </w:p>
    <w:p w:rsidR="00000000" w:rsidDel="00000000" w:rsidP="00000000" w:rsidRDefault="00000000" w:rsidRPr="00000000" w14:paraId="00000012">
      <w:pPr>
        <w:spacing w:after="200" w:line="480" w:lineRule="auto"/>
        <w:rPr>
          <w:sz w:val="24"/>
          <w:szCs w:val="24"/>
        </w:rPr>
      </w:pPr>
      <w:r w:rsidDel="00000000" w:rsidR="00000000" w:rsidRPr="00000000">
        <w:rPr>
          <w:sz w:val="24"/>
          <w:szCs w:val="24"/>
          <w:rtl w:val="0"/>
        </w:rPr>
        <w:t xml:space="preserve">A theorist that built on Vygotsky’s sociocultural theory include Bronfenbrenner’s Social Learning Theory who also considered Bandura’s social learning theory “imitation and identification, factors that accelerate social learning when children imitate behaviours of others and identify factors that they then internalise and use because they have been modelled by adults in their lives” (Gray and MacBlain 2021).</w:t>
      </w:r>
    </w:p>
    <w:p w:rsidR="00000000" w:rsidDel="00000000" w:rsidP="00000000" w:rsidRDefault="00000000" w:rsidRPr="00000000" w14:paraId="00000013">
      <w:pPr>
        <w:spacing w:line="480" w:lineRule="auto"/>
        <w:ind w:left="0" w:firstLine="0"/>
        <w:rPr>
          <w:sz w:val="24"/>
          <w:szCs w:val="24"/>
        </w:rPr>
      </w:pPr>
      <w:r w:rsidDel="00000000" w:rsidR="00000000" w:rsidRPr="00000000">
        <w:rPr>
          <w:sz w:val="24"/>
          <w:szCs w:val="24"/>
          <w:rtl w:val="0"/>
        </w:rPr>
        <w:t xml:space="preserve">Bronfenbrenner thought a learner’s environment impacts his/her understanding and progress “most significantly children whose background is defined by poverty, disadvantage and complex special educational needs or disabilities” (MacBlain et al., 2015).  Bronfenbrenner explained that there is a series of environmental systems surrounding a child that impacts and influences how they learn. “Bronfenbrenner gave names to the layers of influence surrounding the child” (Gray &amp; MacBlain, 2021):</w:t>
      </w:r>
    </w:p>
    <w:p w:rsidR="00000000" w:rsidDel="00000000" w:rsidP="00000000" w:rsidRDefault="00000000" w:rsidRPr="00000000" w14:paraId="00000014">
      <w:pPr>
        <w:rPr>
          <w:sz w:val="24"/>
          <w:szCs w:val="24"/>
        </w:rPr>
      </w:pPr>
      <w:r w:rsidDel="00000000" w:rsidR="00000000" w:rsidRPr="00000000">
        <w:rPr>
          <w:sz w:val="24"/>
          <w:szCs w:val="24"/>
        </w:rPr>
        <w:drawing>
          <wp:inline distB="114300" distT="114300" distL="114300" distR="114300">
            <wp:extent cx="3794544" cy="3731512"/>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794544" cy="3731512"/>
                    </a:xfrm>
                    <a:prstGeom prst="rect"/>
                    <a:ln/>
                  </pic:spPr>
                </pic:pic>
              </a:graphicData>
            </a:graphic>
          </wp:inline>
        </w:drawing>
      </w:r>
      <w:r w:rsidDel="00000000" w:rsidR="00000000" w:rsidRPr="00000000">
        <w:rPr>
          <w:rtl w:val="0"/>
        </w:rPr>
      </w:r>
    </w:p>
    <w:p w:rsidR="00000000" w:rsidDel="00000000" w:rsidP="00000000" w:rsidRDefault="00000000" w:rsidRPr="00000000" w14:paraId="00000015">
      <w:pPr>
        <w:rPr>
          <w:sz w:val="24"/>
          <w:szCs w:val="24"/>
        </w:rPr>
      </w:pPr>
      <w:r w:rsidDel="00000000" w:rsidR="00000000" w:rsidRPr="00000000">
        <w:rPr>
          <w:sz w:val="24"/>
          <w:szCs w:val="24"/>
          <w:rtl w:val="0"/>
        </w:rPr>
        <w:t xml:space="preserve">(</w:t>
      </w:r>
      <w:r w:rsidDel="00000000" w:rsidR="00000000" w:rsidRPr="00000000">
        <w:rPr>
          <w:i w:val="1"/>
          <w:sz w:val="24"/>
          <w:szCs w:val="24"/>
          <w:rtl w:val="0"/>
        </w:rPr>
        <w:t xml:space="preserve">Bronfenbrenner's+Model+of+Learning+theory, accessed 15th October 2023</w:t>
      </w:r>
      <w:r w:rsidDel="00000000" w:rsidR="00000000" w:rsidRPr="00000000">
        <w:rPr>
          <w:sz w:val="24"/>
          <w:szCs w:val="24"/>
          <w:rtl w:val="0"/>
        </w:rPr>
        <w:t xml:space="preserve">)</w:t>
      </w:r>
    </w:p>
    <w:p w:rsidR="00000000" w:rsidDel="00000000" w:rsidP="00000000" w:rsidRDefault="00000000" w:rsidRPr="00000000" w14:paraId="00000016">
      <w:pPr>
        <w:spacing w:after="200" w:line="480" w:lineRule="auto"/>
        <w:rPr>
          <w:sz w:val="24"/>
          <w:szCs w:val="24"/>
        </w:rPr>
      </w:pPr>
      <w:r w:rsidDel="00000000" w:rsidR="00000000" w:rsidRPr="00000000">
        <w:rPr>
          <w:sz w:val="24"/>
          <w:szCs w:val="24"/>
          <w:rtl w:val="0"/>
        </w:rPr>
        <w:t xml:space="preserve">So for the critical incident case study in this assignment, the child’s social group and classroom situation all appear to support her.  Yet, could there be underlying difficulties in her life?  She may be a child who is looked after (CLA), she could come from a one parent family or her background could be deprived and disadvantaged.  </w:t>
      </w:r>
    </w:p>
    <w:p w:rsidR="00000000" w:rsidDel="00000000" w:rsidP="00000000" w:rsidRDefault="00000000" w:rsidRPr="00000000" w14:paraId="00000017">
      <w:pPr>
        <w:spacing w:after="200" w:line="480" w:lineRule="auto"/>
        <w:rPr>
          <w:sz w:val="24"/>
          <w:szCs w:val="24"/>
        </w:rPr>
      </w:pPr>
      <w:r w:rsidDel="00000000" w:rsidR="00000000" w:rsidRPr="00000000">
        <w:rPr>
          <w:sz w:val="24"/>
          <w:szCs w:val="24"/>
          <w:rtl w:val="0"/>
        </w:rPr>
        <w:t xml:space="preserve">Regardless of these considerations, this child appeared happy and well cared for and did eventually engage well with the exercise, once her imagination had been sufficiently stimulated.  The pioneering theorist Maslow determined that there is a hierarchy of needs that must be met before children can learn.  According to Maslow (1943, 1954), “human needs are arranged in a hierarchy, with physiological (survival) needs at the bottom, and creative, intellectually oriented ‘self-actualisation’ needs at the top (Maslow, 2011).  His theory states that people must be comfortable within their learning environment to be able to move forward with their learning.  Children’s basic and more intricate needs must be met to enable learning to take place.  Maslow’s theory depends on the relationship learners have with the teacher.</w:t>
      </w:r>
    </w:p>
    <w:p w:rsidR="00000000" w:rsidDel="00000000" w:rsidP="00000000" w:rsidRDefault="00000000" w:rsidRPr="00000000" w14:paraId="00000018">
      <w:pPr>
        <w:spacing w:after="200" w:line="480" w:lineRule="auto"/>
        <w:rPr>
          <w:sz w:val="24"/>
          <w:szCs w:val="24"/>
        </w:rPr>
      </w:pPr>
      <w:r w:rsidDel="00000000" w:rsidR="00000000" w:rsidRPr="00000000">
        <w:rPr>
          <w:sz w:val="24"/>
          <w:szCs w:val="24"/>
          <w:rtl w:val="0"/>
        </w:rPr>
        <w:t xml:space="preserve">However, inside the classroom, the environment, the teaching, resources and planning may all be excellent but if a teacher has no passion, empathy and enthusiasm then learners will feel unvalued, unincluded and unsafe.  John Dewey came before many other theorists and has influenced much of what we know about education.  He had a profound impact on education, arguing and challenging traditional and well tried and tested theories.  Dewey’s progressive education “argued that the child should be placed at the centre of education (Gray and MacBlain, 2021)”.  He thought learning was “an active experience, typified by group discussions and activities”; he also thought “the design of the curriculum must accommodate individual learners and their needs rather than purely being shaped by subject areas” (Aubrey and Riley, 2022). </w:t>
      </w:r>
    </w:p>
    <w:p w:rsidR="00000000" w:rsidDel="00000000" w:rsidP="00000000" w:rsidRDefault="00000000" w:rsidRPr="00000000" w14:paraId="00000019">
      <w:pPr>
        <w:spacing w:after="200" w:line="480" w:lineRule="auto"/>
        <w:rPr>
          <w:sz w:val="24"/>
          <w:szCs w:val="24"/>
        </w:rPr>
      </w:pPr>
      <w:r w:rsidDel="00000000" w:rsidR="00000000" w:rsidRPr="00000000">
        <w:rPr>
          <w:sz w:val="24"/>
          <w:szCs w:val="24"/>
          <w:rtl w:val="0"/>
        </w:rPr>
        <w:t xml:space="preserve">Albeit, Bruner, a cognitive learning theorist, believed any subject could be taught to any child at any stage and that revisiting topics often enough, to reinforce learning, would fuse and link new ideas to existing learning.  By using key words and ideas children would be enabled, grasping more difficult elements and consolidating knowledge.  Bronfenbrenner’s, Dewey’s, Bruner’s and Vygotsky’s theories all feature in this critical incident.  The learning taking place within this group of children and the learner, who is the focus of this assignment, would all benefit from the steps that these theorists suggest going forward.</w:t>
      </w:r>
    </w:p>
    <w:p w:rsidR="00000000" w:rsidDel="00000000" w:rsidP="00000000" w:rsidRDefault="00000000" w:rsidRPr="00000000" w14:paraId="0000001A">
      <w:pPr>
        <w:spacing w:after="200" w:line="480" w:lineRule="auto"/>
        <w:rPr>
          <w:sz w:val="24"/>
          <w:szCs w:val="24"/>
        </w:rPr>
      </w:pPr>
      <w:r w:rsidDel="00000000" w:rsidR="00000000" w:rsidRPr="00000000">
        <w:rPr>
          <w:sz w:val="24"/>
          <w:szCs w:val="24"/>
          <w:rtl w:val="0"/>
        </w:rPr>
        <w:t xml:space="preserve">Building on previous knowledge is how this child may move forward with her learning.  Piaget’s concrete operational stages of cognitive development also feature in this child’s learning.  Piaget considered how a child learns through the different stages of development:</w:t>
      </w:r>
    </w:p>
    <w:p w:rsidR="00000000" w:rsidDel="00000000" w:rsidP="00000000" w:rsidRDefault="00000000" w:rsidRPr="00000000" w14:paraId="0000001B">
      <w:pPr>
        <w:spacing w:after="200" w:line="480" w:lineRule="auto"/>
        <w:ind w:left="0" w:firstLine="0"/>
        <w:rPr>
          <w:sz w:val="24"/>
          <w:szCs w:val="24"/>
        </w:rPr>
      </w:pPr>
      <w:r w:rsidDel="00000000" w:rsidR="00000000" w:rsidRPr="00000000">
        <w:rPr>
          <w:sz w:val="24"/>
          <w:szCs w:val="24"/>
          <w:rtl w:val="0"/>
        </w:rPr>
        <w:t xml:space="preserve">“Children aged 0 to 2 </w:t>
        <w:tab/>
        <w:t xml:space="preserve">Sensory Motor stage where children learn through their</w:t>
      </w:r>
    </w:p>
    <w:p w:rsidR="00000000" w:rsidDel="00000000" w:rsidP="00000000" w:rsidRDefault="00000000" w:rsidRPr="00000000" w14:paraId="0000001C">
      <w:pPr>
        <w:spacing w:after="200" w:line="480" w:lineRule="auto"/>
        <w:ind w:left="2160" w:firstLine="720"/>
        <w:rPr>
          <w:sz w:val="24"/>
          <w:szCs w:val="24"/>
        </w:rPr>
      </w:pPr>
      <w:r w:rsidDel="00000000" w:rsidR="00000000" w:rsidRPr="00000000">
        <w:rPr>
          <w:sz w:val="24"/>
          <w:szCs w:val="24"/>
          <w:rtl w:val="0"/>
        </w:rPr>
        <w:t xml:space="preserve">senses from their environment and surroundings</w:t>
      </w:r>
    </w:p>
    <w:p w:rsidR="00000000" w:rsidDel="00000000" w:rsidP="00000000" w:rsidRDefault="00000000" w:rsidRPr="00000000" w14:paraId="0000001D">
      <w:pPr>
        <w:spacing w:after="200" w:line="480" w:lineRule="auto"/>
        <w:ind w:left="0" w:firstLine="0"/>
        <w:rPr>
          <w:sz w:val="24"/>
          <w:szCs w:val="24"/>
        </w:rPr>
      </w:pPr>
      <w:r w:rsidDel="00000000" w:rsidR="00000000" w:rsidRPr="00000000">
        <w:rPr>
          <w:sz w:val="24"/>
          <w:szCs w:val="24"/>
          <w:rtl w:val="0"/>
        </w:rPr>
        <w:t xml:space="preserve">Children aged 2 to 7</w:t>
        <w:tab/>
        <w:t xml:space="preserve">Preoperational stage and children learn through constant</w:t>
      </w:r>
    </w:p>
    <w:p w:rsidR="00000000" w:rsidDel="00000000" w:rsidP="00000000" w:rsidRDefault="00000000" w:rsidRPr="00000000" w14:paraId="0000001E">
      <w:pPr>
        <w:spacing w:after="200" w:line="480" w:lineRule="auto"/>
        <w:ind w:left="0" w:firstLine="0"/>
        <w:rPr>
          <w:sz w:val="24"/>
          <w:szCs w:val="24"/>
        </w:rPr>
      </w:pPr>
      <w:r w:rsidDel="00000000" w:rsidR="00000000" w:rsidRPr="00000000">
        <w:rPr>
          <w:sz w:val="24"/>
          <w:szCs w:val="24"/>
          <w:rtl w:val="0"/>
        </w:rPr>
        <w:tab/>
        <w:tab/>
        <w:tab/>
        <w:tab/>
        <w:t xml:space="preserve">stimulation through a process of assimilation and</w:t>
      </w:r>
    </w:p>
    <w:p w:rsidR="00000000" w:rsidDel="00000000" w:rsidP="00000000" w:rsidRDefault="00000000" w:rsidRPr="00000000" w14:paraId="0000001F">
      <w:pPr>
        <w:spacing w:after="200" w:line="480" w:lineRule="auto"/>
        <w:ind w:left="2160" w:firstLine="720"/>
        <w:rPr>
          <w:sz w:val="24"/>
          <w:szCs w:val="24"/>
        </w:rPr>
      </w:pPr>
      <w:r w:rsidDel="00000000" w:rsidR="00000000" w:rsidRPr="00000000">
        <w:rPr>
          <w:sz w:val="24"/>
          <w:szCs w:val="24"/>
          <w:rtl w:val="0"/>
        </w:rPr>
        <w:t xml:space="preserve">Adaptation</w:t>
      </w:r>
    </w:p>
    <w:p w:rsidR="00000000" w:rsidDel="00000000" w:rsidP="00000000" w:rsidRDefault="00000000" w:rsidRPr="00000000" w14:paraId="00000020">
      <w:pPr>
        <w:spacing w:after="200" w:line="480" w:lineRule="auto"/>
        <w:ind w:left="0" w:firstLine="0"/>
        <w:rPr>
          <w:sz w:val="24"/>
          <w:szCs w:val="24"/>
        </w:rPr>
      </w:pPr>
      <w:r w:rsidDel="00000000" w:rsidR="00000000" w:rsidRPr="00000000">
        <w:rPr>
          <w:sz w:val="24"/>
          <w:szCs w:val="24"/>
          <w:rtl w:val="0"/>
        </w:rPr>
        <w:t xml:space="preserve">Children aged 7 to 12</w:t>
        <w:tab/>
        <w:t xml:space="preserve">Concrete Operational stage children are now able to deal</w:t>
      </w:r>
    </w:p>
    <w:p w:rsidR="00000000" w:rsidDel="00000000" w:rsidP="00000000" w:rsidRDefault="00000000" w:rsidRPr="00000000" w14:paraId="00000021">
      <w:pPr>
        <w:spacing w:after="200" w:line="480" w:lineRule="auto"/>
        <w:ind w:left="2160" w:firstLine="720"/>
        <w:rPr>
          <w:sz w:val="24"/>
          <w:szCs w:val="24"/>
        </w:rPr>
      </w:pPr>
      <w:r w:rsidDel="00000000" w:rsidR="00000000" w:rsidRPr="00000000">
        <w:rPr>
          <w:sz w:val="24"/>
          <w:szCs w:val="24"/>
          <w:rtl w:val="0"/>
        </w:rPr>
        <w:t xml:space="preserve">with more complex, although, concrete operations, they</w:t>
      </w:r>
    </w:p>
    <w:p w:rsidR="00000000" w:rsidDel="00000000" w:rsidP="00000000" w:rsidRDefault="00000000" w:rsidRPr="00000000" w14:paraId="00000022">
      <w:pPr>
        <w:spacing w:after="200" w:line="480" w:lineRule="auto"/>
        <w:ind w:left="2160" w:firstLine="720"/>
        <w:rPr>
          <w:sz w:val="24"/>
          <w:szCs w:val="24"/>
        </w:rPr>
      </w:pPr>
      <w:r w:rsidDel="00000000" w:rsidR="00000000" w:rsidRPr="00000000">
        <w:rPr>
          <w:sz w:val="24"/>
          <w:szCs w:val="24"/>
          <w:rtl w:val="0"/>
        </w:rPr>
        <w:t xml:space="preserve">can decentre and accept the viewpoints of others</w:t>
      </w:r>
    </w:p>
    <w:p w:rsidR="00000000" w:rsidDel="00000000" w:rsidP="00000000" w:rsidRDefault="00000000" w:rsidRPr="00000000" w14:paraId="00000023">
      <w:pPr>
        <w:spacing w:after="200" w:line="480" w:lineRule="auto"/>
        <w:ind w:left="0" w:firstLine="0"/>
        <w:rPr>
          <w:sz w:val="24"/>
          <w:szCs w:val="24"/>
        </w:rPr>
      </w:pPr>
      <w:r w:rsidDel="00000000" w:rsidR="00000000" w:rsidRPr="00000000">
        <w:rPr>
          <w:rtl w:val="0"/>
        </w:rPr>
      </w:r>
    </w:p>
    <w:p w:rsidR="00000000" w:rsidDel="00000000" w:rsidP="00000000" w:rsidRDefault="00000000" w:rsidRPr="00000000" w14:paraId="00000024">
      <w:pPr>
        <w:spacing w:after="200" w:line="480" w:lineRule="auto"/>
        <w:ind w:left="0" w:firstLine="0"/>
        <w:rPr>
          <w:sz w:val="24"/>
          <w:szCs w:val="24"/>
        </w:rPr>
      </w:pPr>
      <w:r w:rsidDel="00000000" w:rsidR="00000000" w:rsidRPr="00000000">
        <w:rPr>
          <w:sz w:val="24"/>
          <w:szCs w:val="24"/>
          <w:rtl w:val="0"/>
        </w:rPr>
        <w:t xml:space="preserve">Children aged 12 to 19</w:t>
        <w:tab/>
        <w:t xml:space="preserve">Formal Operational stage, in this stage children are able</w:t>
      </w:r>
    </w:p>
    <w:p w:rsidR="00000000" w:rsidDel="00000000" w:rsidP="00000000" w:rsidRDefault="00000000" w:rsidRPr="00000000" w14:paraId="00000025">
      <w:pPr>
        <w:spacing w:after="200" w:line="480" w:lineRule="auto"/>
        <w:ind w:left="2880" w:firstLine="0"/>
        <w:rPr>
          <w:sz w:val="24"/>
          <w:szCs w:val="24"/>
        </w:rPr>
      </w:pPr>
      <w:r w:rsidDel="00000000" w:rsidR="00000000" w:rsidRPr="00000000">
        <w:rPr>
          <w:sz w:val="24"/>
          <w:szCs w:val="24"/>
          <w:rtl w:val="0"/>
        </w:rPr>
        <w:t xml:space="preserve">to solve hypothetical problems, they can solve mental problems in their heads using abstract terms.  He suggested not everybody achieves formal operational thinking (Mitchell and Ziegler et al., 2007: 25)(Aubrey</w:t>
      </w:r>
    </w:p>
    <w:p w:rsidR="00000000" w:rsidDel="00000000" w:rsidP="00000000" w:rsidRDefault="00000000" w:rsidRPr="00000000" w14:paraId="00000026">
      <w:pPr>
        <w:spacing w:after="200" w:line="480" w:lineRule="auto"/>
        <w:ind w:left="2160" w:firstLine="720"/>
        <w:rPr>
          <w:sz w:val="24"/>
          <w:szCs w:val="24"/>
        </w:rPr>
      </w:pPr>
      <w:r w:rsidDel="00000000" w:rsidR="00000000" w:rsidRPr="00000000">
        <w:rPr>
          <w:sz w:val="24"/>
          <w:szCs w:val="24"/>
          <w:rtl w:val="0"/>
        </w:rPr>
        <w:t xml:space="preserve">and Riley, 2022)”.</w:t>
      </w:r>
    </w:p>
    <w:p w:rsidR="00000000" w:rsidDel="00000000" w:rsidP="00000000" w:rsidRDefault="00000000" w:rsidRPr="00000000" w14:paraId="00000027">
      <w:pPr>
        <w:spacing w:after="200" w:line="480" w:lineRule="auto"/>
        <w:ind w:left="0" w:firstLine="0"/>
        <w:rPr>
          <w:sz w:val="24"/>
          <w:szCs w:val="24"/>
        </w:rPr>
      </w:pPr>
      <w:r w:rsidDel="00000000" w:rsidR="00000000" w:rsidRPr="00000000">
        <w:rPr>
          <w:sz w:val="24"/>
          <w:szCs w:val="24"/>
          <w:rtl w:val="0"/>
        </w:rPr>
        <w:t xml:space="preserve">Piaget was influenced by the work of Maria Montessori, who considered that it was “important to facilitate first-hand experience for the child in order to support their cognitive development (Aubrey and Riley, 2022)”.  This learner’s learning was supported by the sparkly flip flop her group was given together with the observations she and her peers discussed.  She could hold the object, study it, look at the size, design and shape of it and ultimately; by collaborating and discussing her thoughts with her peers, she was able to complete the inference activity accurately and thoroughly.  At progression step 3 this learner is at the concrete operational stage of her development and will consider the views of the other pupils she is working with and is also able to deal with the more complex problems presented by this task.  She is able to think about who might wear this kind of footwear and can also consider what kind of person they might be as well as the more straightforward and evident size of their feet.</w:t>
      </w:r>
    </w:p>
    <w:p w:rsidR="00000000" w:rsidDel="00000000" w:rsidP="00000000" w:rsidRDefault="00000000" w:rsidRPr="00000000" w14:paraId="00000028">
      <w:pPr>
        <w:spacing w:after="200" w:line="480" w:lineRule="auto"/>
        <w:ind w:left="0" w:firstLine="0"/>
        <w:rPr>
          <w:sz w:val="24"/>
          <w:szCs w:val="24"/>
        </w:rPr>
      </w:pPr>
      <w:r w:rsidDel="00000000" w:rsidR="00000000" w:rsidRPr="00000000">
        <w:rPr>
          <w:rtl w:val="0"/>
        </w:rPr>
      </w:r>
    </w:p>
    <w:p w:rsidR="00000000" w:rsidDel="00000000" w:rsidP="00000000" w:rsidRDefault="00000000" w:rsidRPr="00000000" w14:paraId="00000029">
      <w:pPr>
        <w:spacing w:after="200" w:line="480" w:lineRule="auto"/>
        <w:ind w:left="0" w:firstLine="0"/>
        <w:rPr>
          <w:sz w:val="24"/>
          <w:szCs w:val="24"/>
        </w:rPr>
      </w:pPr>
      <w:r w:rsidDel="00000000" w:rsidR="00000000" w:rsidRPr="00000000">
        <w:rPr>
          <w:rtl w:val="0"/>
        </w:rPr>
      </w:r>
    </w:p>
    <w:p w:rsidR="00000000" w:rsidDel="00000000" w:rsidP="00000000" w:rsidRDefault="00000000" w:rsidRPr="00000000" w14:paraId="0000002A">
      <w:pPr>
        <w:spacing w:after="200" w:line="480" w:lineRule="auto"/>
        <w:ind w:left="0" w:firstLine="0"/>
        <w:rPr>
          <w:sz w:val="24"/>
          <w:szCs w:val="24"/>
        </w:rPr>
      </w:pPr>
      <w:r w:rsidDel="00000000" w:rsidR="00000000" w:rsidRPr="00000000">
        <w:rPr>
          <w:rtl w:val="0"/>
        </w:rPr>
      </w:r>
    </w:p>
    <w:p w:rsidR="00000000" w:rsidDel="00000000" w:rsidP="00000000" w:rsidRDefault="00000000" w:rsidRPr="00000000" w14:paraId="0000002B">
      <w:pPr>
        <w:spacing w:after="200" w:line="480" w:lineRule="auto"/>
        <w:ind w:left="0" w:firstLine="0"/>
        <w:rPr>
          <w:sz w:val="24"/>
          <w:szCs w:val="24"/>
        </w:rPr>
      </w:pPr>
      <w:r w:rsidDel="00000000" w:rsidR="00000000" w:rsidRPr="00000000">
        <w:rPr>
          <w:sz w:val="24"/>
          <w:szCs w:val="24"/>
          <w:rtl w:val="0"/>
        </w:rPr>
        <w:t xml:space="preserve">More activities, schemes of learning and projects that develop collaborative and social skills for learners of this age will advance and expand their knowledge, success and cognitive ability.  The teacher’s ability to notice and assess the learning in action is a good strategy that can help learners evolve.  “The ways in which pupils respond to particular ideas and therefore the need to establish a clear framework for lessons in which he could be increasingly responsive to their learning (Burn, Hagger and Mutton, 2015)”.  </w:t>
      </w:r>
    </w:p>
    <w:p w:rsidR="00000000" w:rsidDel="00000000" w:rsidP="00000000" w:rsidRDefault="00000000" w:rsidRPr="00000000" w14:paraId="0000002C">
      <w:pPr>
        <w:spacing w:after="200" w:line="480" w:lineRule="auto"/>
        <w:ind w:left="0" w:firstLine="0"/>
        <w:rPr>
          <w:sz w:val="24"/>
          <w:szCs w:val="24"/>
        </w:rPr>
      </w:pPr>
      <w:r w:rsidDel="00000000" w:rsidR="00000000" w:rsidRPr="00000000">
        <w:rPr>
          <w:sz w:val="24"/>
          <w:szCs w:val="24"/>
          <w:rtl w:val="0"/>
        </w:rPr>
        <w:t xml:space="preserve">However, collaboration with colleagues and supportive teaching mentors will allow a teacher to advance their own learning and grow as a guide for this learner and all learners.  “Where professionals communicate and collaborate well, they are more likely to develop compatible philosophies and practices (Woodhead and Moss, 2007).</w:t>
      </w:r>
    </w:p>
    <w:p w:rsidR="00000000" w:rsidDel="00000000" w:rsidP="00000000" w:rsidRDefault="00000000" w:rsidRPr="00000000" w14:paraId="0000002D">
      <w:pPr>
        <w:spacing w:after="200" w:line="480" w:lineRule="auto"/>
        <w:ind w:left="0" w:firstLine="0"/>
        <w:rPr>
          <w:sz w:val="24"/>
          <w:szCs w:val="24"/>
        </w:rPr>
      </w:pPr>
      <w:r w:rsidDel="00000000" w:rsidR="00000000" w:rsidRPr="00000000">
        <w:rPr>
          <w:sz w:val="24"/>
          <w:szCs w:val="24"/>
          <w:rtl w:val="0"/>
        </w:rPr>
        <w:t xml:space="preserve">By using concrete objects that the children can adopt as the focus of the lesson and by stimulating their learning through questioning, discussing, considering and determining results and answers; they will make progress and improve both social and collaborative skills.  However, while Piaget “recognised the importance of free exploration (Halpenny and Pettersen et al., 2014)” as the children explored the footwear in this activity, he also “criticised Montessori’s work, suggesting it was not open-ended and lacked opportunity for creativity and exploration (Halpenny and Pettersen et al., 2014)”.</w:t>
      </w:r>
    </w:p>
    <w:p w:rsidR="00000000" w:rsidDel="00000000" w:rsidP="00000000" w:rsidRDefault="00000000" w:rsidRPr="00000000" w14:paraId="0000002E">
      <w:pPr>
        <w:spacing w:after="200" w:line="480" w:lineRule="auto"/>
        <w:ind w:left="0" w:firstLine="0"/>
        <w:rPr>
          <w:sz w:val="24"/>
          <w:szCs w:val="24"/>
        </w:rPr>
      </w:pPr>
      <w:r w:rsidDel="00000000" w:rsidR="00000000" w:rsidRPr="00000000">
        <w:rPr>
          <w:sz w:val="24"/>
          <w:szCs w:val="24"/>
          <w:rtl w:val="0"/>
        </w:rPr>
        <w:t xml:space="preserve">Another reflection of theory made by Piaget is Dewey’s work, the same as Dewey, “he recognised the importance of satisfying a child’s curiosity in order for learning to take place (Gray and MacBlain, 2021)”.  Piaget also believed “a child’s curiosity is responsible for driving their learning (Mooney et al, 2000)”.</w:t>
      </w:r>
    </w:p>
    <w:p w:rsidR="00000000" w:rsidDel="00000000" w:rsidP="00000000" w:rsidRDefault="00000000" w:rsidRPr="00000000" w14:paraId="0000002F">
      <w:pPr>
        <w:spacing w:after="200" w:before="200" w:line="480" w:lineRule="auto"/>
        <w:ind w:left="0" w:firstLine="0"/>
        <w:rPr>
          <w:sz w:val="24"/>
          <w:szCs w:val="24"/>
          <w:u w:val="single"/>
        </w:rPr>
      </w:pPr>
      <w:r w:rsidDel="00000000" w:rsidR="00000000" w:rsidRPr="00000000">
        <w:rPr>
          <w:sz w:val="24"/>
          <w:szCs w:val="24"/>
          <w:u w:val="single"/>
          <w:rtl w:val="0"/>
        </w:rPr>
        <w:t xml:space="preserve">Case Study</w:t>
      </w:r>
    </w:p>
    <w:p w:rsidR="00000000" w:rsidDel="00000000" w:rsidP="00000000" w:rsidRDefault="00000000" w:rsidRPr="00000000" w14:paraId="00000030">
      <w:pPr>
        <w:spacing w:after="200" w:before="200" w:line="480" w:lineRule="auto"/>
        <w:ind w:left="0" w:firstLine="0"/>
        <w:rPr>
          <w:sz w:val="24"/>
          <w:szCs w:val="24"/>
        </w:rPr>
      </w:pPr>
      <w:r w:rsidDel="00000000" w:rsidR="00000000" w:rsidRPr="00000000">
        <w:rPr>
          <w:sz w:val="24"/>
          <w:szCs w:val="24"/>
          <w:rtl w:val="0"/>
        </w:rPr>
        <w:t xml:space="preserve">This distracted unfocused learner, playing with her hair and swinging her leg whilst turning away and appearing to be disinterested in the lesson presents herself as totally off task.  However, she regained her focus when she was presented with the activity and the sparkly flip flop.  She became quite involved in the group discussion and the inference task, once she was given the opportunity to participate and engage with her peers in discussing who they thought could wear the item.  This indicated that she wanted to participate and became immersed in discussion when there was something on which to focus her energy and imagination. “In order to learn, children must understand the purpose of the learning (Harrison, Sally, Author Howard and Major, 2013)”.  The learning outcome of this lesson may not have been that evident to this learner.  “Clarifying, sharing and understanding learning intentions provides the starting point because, before one can begin to design effective activities, there must be clarity of what one wants students to learn (Wiliam, 2009)”. Perhaps, as a hook, the shoes could have been set out at the front or pictured on the interactive white board before handing them out to the groups.  Alternatively, the children could have become involved in the success criteria, as the teacher wrote it up, so that they became more involved and participatory in the teaching and learning from the very start.  Tom Sherrington and Oliver Caviglioli (2020) discuss the importance of learner understanding where they are expected to go with their learning in their book Teaching Walkthrus “Be explicit with students about what they should know and the success criteria for the quality judgement of their learning might be (Sherrington and Caviglioli, 2020).  </w:t>
      </w:r>
    </w:p>
    <w:p w:rsidR="00000000" w:rsidDel="00000000" w:rsidP="00000000" w:rsidRDefault="00000000" w:rsidRPr="00000000" w14:paraId="00000031">
      <w:pPr>
        <w:spacing w:after="200" w:line="480" w:lineRule="auto"/>
        <w:rPr>
          <w:sz w:val="24"/>
          <w:szCs w:val="24"/>
        </w:rPr>
      </w:pPr>
      <w:r w:rsidDel="00000000" w:rsidR="00000000" w:rsidRPr="00000000">
        <w:rPr>
          <w:rtl w:val="0"/>
        </w:rPr>
      </w:r>
    </w:p>
    <w:p w:rsidR="00000000" w:rsidDel="00000000" w:rsidP="00000000" w:rsidRDefault="00000000" w:rsidRPr="00000000" w14:paraId="00000032">
      <w:pPr>
        <w:spacing w:after="200" w:line="480" w:lineRule="auto"/>
        <w:rPr>
          <w:sz w:val="24"/>
          <w:szCs w:val="24"/>
        </w:rPr>
      </w:pPr>
      <w:r w:rsidDel="00000000" w:rsidR="00000000" w:rsidRPr="00000000">
        <w:rPr>
          <w:sz w:val="24"/>
          <w:szCs w:val="24"/>
          <w:rtl w:val="0"/>
        </w:rPr>
        <w:t xml:space="preserve">So, the first thoughts that came to mind when considering the circumstances surrounding this incident were that as it was early in the day, the learner may not have gained sufficient alertness this early in the morning.  She only became involved when she could work with the other children.  “Activating students as learning resources for one another brings in collaborative and cooperative learning…and peer assessment (Wiliam, 2009)”. Alternatively, as she was a MAT learner, perhaps she understood and quickly grasped the concepts of the learning intentions and did not deem it necessary to continue concentrating because she already knew what was expected of her.  As a MAT pupil, it seemed that once she was able to discuss her thoughts and feelings about the novelty and evaluation of the flip flop and she was given the freedom to infer and provide her own views and ideas; then her imagination was unfettered as she was now permitted to engross herself in learning.</w:t>
      </w:r>
    </w:p>
    <w:p w:rsidR="00000000" w:rsidDel="00000000" w:rsidP="00000000" w:rsidRDefault="00000000" w:rsidRPr="00000000" w14:paraId="00000033">
      <w:pPr>
        <w:spacing w:after="200" w:line="480" w:lineRule="auto"/>
        <w:rPr>
          <w:sz w:val="24"/>
          <w:szCs w:val="24"/>
        </w:rPr>
      </w:pPr>
      <w:r w:rsidDel="00000000" w:rsidR="00000000" w:rsidRPr="00000000">
        <w:rPr>
          <w:sz w:val="24"/>
          <w:szCs w:val="24"/>
          <w:rtl w:val="0"/>
        </w:rPr>
        <w:t xml:space="preserve">The learner was distracted and unfocused during the session prelude; More focused on playing with her hair.  The child in question, during this critical incident, may have benefitted from formative assessment of the content and quality in regard to her participation in the lesson introduction.  “The shortest cycles of formative assessment - minute to minute and day by day, have the greatest impact on student achievement (Wiliam, 2009)”.</w:t>
      </w:r>
    </w:p>
    <w:p w:rsidR="00000000" w:rsidDel="00000000" w:rsidP="00000000" w:rsidRDefault="00000000" w:rsidRPr="00000000" w14:paraId="00000034">
      <w:pPr>
        <w:spacing w:after="200" w:line="480" w:lineRule="auto"/>
        <w:rPr>
          <w:sz w:val="24"/>
          <w:szCs w:val="24"/>
        </w:rPr>
      </w:pPr>
      <w:r w:rsidDel="00000000" w:rsidR="00000000" w:rsidRPr="00000000">
        <w:rPr>
          <w:rtl w:val="0"/>
        </w:rPr>
      </w:r>
    </w:p>
    <w:p w:rsidR="00000000" w:rsidDel="00000000" w:rsidP="00000000" w:rsidRDefault="00000000" w:rsidRPr="00000000" w14:paraId="00000035">
      <w:pPr>
        <w:spacing w:after="200" w:line="480" w:lineRule="auto"/>
        <w:rPr>
          <w:sz w:val="24"/>
          <w:szCs w:val="24"/>
        </w:rPr>
      </w:pPr>
      <w:r w:rsidDel="00000000" w:rsidR="00000000" w:rsidRPr="00000000">
        <w:rPr>
          <w:rtl w:val="0"/>
        </w:rPr>
      </w:r>
    </w:p>
    <w:p w:rsidR="00000000" w:rsidDel="00000000" w:rsidP="00000000" w:rsidRDefault="00000000" w:rsidRPr="00000000" w14:paraId="00000036">
      <w:pPr>
        <w:spacing w:after="200" w:line="480" w:lineRule="auto"/>
        <w:rPr>
          <w:sz w:val="24"/>
          <w:szCs w:val="24"/>
        </w:rPr>
      </w:pPr>
      <w:r w:rsidDel="00000000" w:rsidR="00000000" w:rsidRPr="00000000">
        <w:rPr>
          <w:rtl w:val="0"/>
        </w:rPr>
      </w:r>
    </w:p>
    <w:p w:rsidR="00000000" w:rsidDel="00000000" w:rsidP="00000000" w:rsidRDefault="00000000" w:rsidRPr="00000000" w14:paraId="00000037">
      <w:pPr>
        <w:spacing w:after="200" w:line="480" w:lineRule="auto"/>
        <w:rPr>
          <w:sz w:val="24"/>
          <w:szCs w:val="24"/>
        </w:rPr>
      </w:pPr>
      <w:r w:rsidDel="00000000" w:rsidR="00000000" w:rsidRPr="00000000">
        <w:rPr>
          <w:rtl w:val="0"/>
        </w:rPr>
      </w:r>
    </w:p>
    <w:p w:rsidR="00000000" w:rsidDel="00000000" w:rsidP="00000000" w:rsidRDefault="00000000" w:rsidRPr="00000000" w14:paraId="00000038">
      <w:pPr>
        <w:spacing w:after="200" w:line="480" w:lineRule="auto"/>
        <w:rPr>
          <w:sz w:val="24"/>
          <w:szCs w:val="24"/>
          <w:u w:val="single"/>
        </w:rPr>
      </w:pPr>
      <w:r w:rsidDel="00000000" w:rsidR="00000000" w:rsidRPr="00000000">
        <w:rPr>
          <w:sz w:val="24"/>
          <w:szCs w:val="24"/>
          <w:rtl w:val="0"/>
        </w:rPr>
        <w:t xml:space="preserve">Engaging this pupil required some kind of intervention.  “At this stage individuals acknowledge that there is not necessarily any one correct answer to a given situation but several possible solutions (Zodiak-Myers, 2012)”. This pupil involving herself in the introduction, through raising her hand to respond to the teacher’s questions and debrief, she could have developed her own focus.  “Activating students as owners of their own learning includes aspects of met-cognition, motivation and interest in the way they attribute their successes and failures and self-assessment (Wiliam, 2009)”. Transversely, receiving feedback, from peers and the teacher, to her responses may have helped her to make connections, between the lesson and how she would then undertake the inference project “formative assessment is powerful because it increases student engagement, and improves the classroom practice of teachers, making it more responsive to student needs (Wiliam, 2009)”.  Again, when she began to focus, her input to the group discussion about the flip flop could have also benefited, along with her peers’; from one to one peer assessment and from formative assessment by the teacher.  </w:t>
      </w:r>
      <w:r w:rsidDel="00000000" w:rsidR="00000000" w:rsidRPr="00000000">
        <w:rPr>
          <w:rtl w:val="0"/>
        </w:rPr>
      </w:r>
    </w:p>
    <w:p w:rsidR="00000000" w:rsidDel="00000000" w:rsidP="00000000" w:rsidRDefault="00000000" w:rsidRPr="00000000" w14:paraId="00000039">
      <w:pPr>
        <w:spacing w:after="200" w:line="480" w:lineRule="auto"/>
        <w:rPr>
          <w:sz w:val="24"/>
          <w:szCs w:val="24"/>
          <w:u w:val="single"/>
        </w:rPr>
      </w:pPr>
      <w:r w:rsidDel="00000000" w:rsidR="00000000" w:rsidRPr="00000000">
        <w:rPr>
          <w:sz w:val="24"/>
          <w:szCs w:val="24"/>
          <w:u w:val="single"/>
          <w:rtl w:val="0"/>
        </w:rPr>
        <w:t xml:space="preserve">Teaching and Learning Methodologies</w:t>
      </w:r>
    </w:p>
    <w:p w:rsidR="00000000" w:rsidDel="00000000" w:rsidP="00000000" w:rsidRDefault="00000000" w:rsidRPr="00000000" w14:paraId="0000003A">
      <w:pPr>
        <w:spacing w:after="200" w:line="480" w:lineRule="auto"/>
        <w:rPr>
          <w:sz w:val="24"/>
          <w:szCs w:val="24"/>
        </w:rPr>
      </w:pPr>
      <w:r w:rsidDel="00000000" w:rsidR="00000000" w:rsidRPr="00000000">
        <w:rPr>
          <w:sz w:val="24"/>
          <w:szCs w:val="24"/>
          <w:rtl w:val="0"/>
        </w:rPr>
        <w:t xml:space="preserve">Teachers can value the amount of work a pupil produces and its presentation but may overlook the quality and content “there is a tendency to emphasise quantity and presentation of work and to neglect its quality in relation to learning (Black and Wiliam, 2018)”.  This is where assessment for learning could become relevant.  The learner may have become more attentive and inquisitive, during the lesson opening, if there had been more guidance and encouragement, or perhaps another space on the activity sheet for peer assessment and feedback from the teacher.  “Collaborative learning can be very powerful if deployed effectively (Sherrington and Caviglioli, 2020)”.  </w:t>
      </w:r>
    </w:p>
    <w:p w:rsidR="00000000" w:rsidDel="00000000" w:rsidP="00000000" w:rsidRDefault="00000000" w:rsidRPr="00000000" w14:paraId="0000003B">
      <w:pPr>
        <w:spacing w:after="200" w:line="480" w:lineRule="auto"/>
        <w:rPr>
          <w:sz w:val="24"/>
          <w:szCs w:val="24"/>
          <w:u w:val="single"/>
        </w:rPr>
      </w:pPr>
      <w:r w:rsidDel="00000000" w:rsidR="00000000" w:rsidRPr="00000000">
        <w:rPr>
          <w:sz w:val="24"/>
          <w:szCs w:val="24"/>
          <w:rtl w:val="0"/>
        </w:rPr>
        <w:t xml:space="preserve">This learner’s initial input at the beginning may have been more to the teacher’s expectations and may have fit success criteria if she had been included in it and encouraged, along with the other pupils, to participate in its production. “Feedback to pupils often seems to serve social and managerial functions, at the expense of the learning (Black and Wiliam, 2018)”.  Meaningful comments and reactions from both her peers, through peer assessment and the teacher, through formative assessment, could have attracted her concentration, when the lesson began.  “As part of formative assessment where students play a key role themselves, a teacher’s role is to engage in ‘responsive teaching’ (Sherrington and Caviglioli, 2020)”.</w:t>
      </w:r>
      <w:r w:rsidDel="00000000" w:rsidR="00000000" w:rsidRPr="00000000">
        <w:rPr>
          <w:rtl w:val="0"/>
        </w:rPr>
      </w:r>
    </w:p>
    <w:p w:rsidR="00000000" w:rsidDel="00000000" w:rsidP="00000000" w:rsidRDefault="00000000" w:rsidRPr="00000000" w14:paraId="0000003C">
      <w:pPr>
        <w:spacing w:after="200" w:line="480" w:lineRule="auto"/>
        <w:ind w:left="0" w:firstLine="0"/>
        <w:rPr>
          <w:sz w:val="24"/>
          <w:szCs w:val="24"/>
        </w:rPr>
      </w:pPr>
      <w:r w:rsidDel="00000000" w:rsidR="00000000" w:rsidRPr="00000000">
        <w:rPr>
          <w:sz w:val="24"/>
          <w:szCs w:val="24"/>
          <w:rtl w:val="0"/>
        </w:rPr>
        <w:t xml:space="preserve">Think Pair share is another method of engaging learners in teaching opportunities and encouraging their active participation in class talks.  Children are encouraged to discuss questions and activities in their groups or pairs allowing thoughts, ideas and vocabulary to be considered and exchanged “giving an opportunity to formulate an answer through collaborative peer talk before sharing with the class (Harrison, Sally Author Howard and Major, 2013)”.</w:t>
      </w:r>
    </w:p>
    <w:p w:rsidR="00000000" w:rsidDel="00000000" w:rsidP="00000000" w:rsidRDefault="00000000" w:rsidRPr="00000000" w14:paraId="0000003D">
      <w:pPr>
        <w:spacing w:after="200" w:line="480" w:lineRule="auto"/>
        <w:ind w:left="0" w:firstLine="0"/>
        <w:rPr>
          <w:sz w:val="24"/>
          <w:szCs w:val="24"/>
        </w:rPr>
      </w:pPr>
      <w:r w:rsidDel="00000000" w:rsidR="00000000" w:rsidRPr="00000000">
        <w:rPr>
          <w:sz w:val="24"/>
          <w:szCs w:val="24"/>
          <w:rtl w:val="0"/>
        </w:rPr>
        <w:t xml:space="preserve">Owning their own learning is another teaching and learning methodology that may have encouraged this learner and the class, to focus and consolidate their appreciation of this inference topic.  Barak Rosenshine thought there were 17 principles of instruction and “in order for information to be considered ‘learned’, it needs to move from the working memory, where it is being paid attention to in the moment, to the long term memory (bedrocklearning.org, n.d. Accessed 22nd October 2023)”.  To do this, Rosenshine's principles might have been applied to scaffold this learner's cognisance.  </w:t>
      </w:r>
    </w:p>
    <w:p w:rsidR="00000000" w:rsidDel="00000000" w:rsidP="00000000" w:rsidRDefault="00000000" w:rsidRPr="00000000" w14:paraId="0000003E">
      <w:pPr>
        <w:spacing w:after="200" w:line="480" w:lineRule="auto"/>
        <w:ind w:left="0" w:firstLine="0"/>
        <w:rPr>
          <w:sz w:val="24"/>
          <w:szCs w:val="24"/>
        </w:rPr>
      </w:pPr>
      <w:r w:rsidDel="00000000" w:rsidR="00000000" w:rsidRPr="00000000">
        <w:rPr>
          <w:sz w:val="24"/>
          <w:szCs w:val="24"/>
          <w:rtl w:val="0"/>
        </w:rPr>
        <w:t xml:space="preserve">Rosenshine thought that learning must be reviewed regularly, at least daily, new material must be given in small amounts, questioning, modelling and guidance were also important strands of the main principles.  He also stipulated that student understanding needed to be checked and scaffolded for difficult tasks, although independent practice was also important for students to gain confidence in their learning.</w:t>
      </w:r>
    </w:p>
    <w:p w:rsidR="00000000" w:rsidDel="00000000" w:rsidP="00000000" w:rsidRDefault="00000000" w:rsidRPr="00000000" w14:paraId="0000003F">
      <w:pPr>
        <w:spacing w:after="200" w:line="480" w:lineRule="auto"/>
        <w:ind w:left="0" w:firstLine="0"/>
        <w:rPr>
          <w:sz w:val="24"/>
          <w:szCs w:val="24"/>
        </w:rPr>
      </w:pPr>
      <w:r w:rsidDel="00000000" w:rsidR="00000000" w:rsidRPr="00000000">
        <w:rPr>
          <w:sz w:val="24"/>
          <w:szCs w:val="24"/>
          <w:rtl w:val="0"/>
        </w:rPr>
        <w:t xml:space="preserve">There are a variety of teaching and learning strategies that might have  been utilised to apply Rosenshine’s principles and many can be seen, all the time, in the classroom.  Using mini whiteboards and pens to express answers could have been an easy, quick way to review learning and ensure perception.  This may also have supported this learner to participate in helping create the success criteria and lesson intention at the start of the lesson.  Moving learning forward, the next lesson may begin, perhaps the following day, by using mini whiteboards or a quiz game, such as Kahoot (uk. Search.yahoo.com accessed 22 October 2023) or Wordle (wordle game - play unlimited, accessed 24th October 2023) to review.  Scaffolding, group discussions, white board activities to note key words and observations from pupils and activity sheets that build towards an end goal of a complete story/essay/assignment that learner are able to complete somewhat independently, are many other strategies  often seen in the classroom.  Talk for Writing develops children’s thinking and ideas, where the teacher works with the whole class using the whiteboard for key words and ideas before creating a storyboard with images and a space for writing and perhaps a word key, together with the scaffolding already mentioned to support the learning and final pursuit, project or assignment.</w:t>
      </w:r>
    </w:p>
    <w:p w:rsidR="00000000" w:rsidDel="00000000" w:rsidP="00000000" w:rsidRDefault="00000000" w:rsidRPr="00000000" w14:paraId="00000040">
      <w:pPr>
        <w:spacing w:after="200" w:line="480" w:lineRule="auto"/>
        <w:ind w:left="0" w:firstLine="0"/>
        <w:rPr>
          <w:sz w:val="24"/>
          <w:szCs w:val="24"/>
        </w:rPr>
      </w:pPr>
      <w:r w:rsidDel="00000000" w:rsidR="00000000" w:rsidRPr="00000000">
        <w:rPr>
          <w:rtl w:val="0"/>
        </w:rPr>
      </w:r>
    </w:p>
    <w:p w:rsidR="00000000" w:rsidDel="00000000" w:rsidP="00000000" w:rsidRDefault="00000000" w:rsidRPr="00000000" w14:paraId="00000041">
      <w:pPr>
        <w:spacing w:after="200" w:line="480" w:lineRule="auto"/>
        <w:ind w:left="0" w:firstLine="0"/>
        <w:rPr>
          <w:sz w:val="24"/>
          <w:szCs w:val="24"/>
        </w:rPr>
      </w:pPr>
      <w:r w:rsidDel="00000000" w:rsidR="00000000" w:rsidRPr="00000000">
        <w:rPr>
          <w:sz w:val="24"/>
          <w:szCs w:val="24"/>
          <w:rtl w:val="0"/>
        </w:rPr>
        <w:t xml:space="preserve">Hands up is a classic, often overused, strategy that could have given this child and other less involved children, an opportunity to engage in the foundation of the exercise.  To improve on this strategy, applying a longer wait time for more children to react and raise their hands, the interest of this learner and others’ may have been further attracted “the teacher has to encourage and listen carefully to a range of different responses, taking them all seriously (Harrison, Sally, Author Howard and Major, 2013)”.  To sustain focus and glean mastery, during a lesson children must be occupied and somewhat absorbed in the learning venture “help children to talk through inconsistencies and to respond to challenges (Howard et al., 2017).  A way forward might be to engage the children more fully in the instigation of the lesson, by using different teaching methodologies and strategies to encourage their contributions.  “Teaching should also provide generative rehearsal via peer teaching opportunities, students teaching one another, clarifying understanding (Sherrington and Caviglioni, 2020)”.  Consolidation of learning and teaching could develop by itself throught the use of peer assessment, think pair share and collaborative learning.    </w:t>
      </w:r>
    </w:p>
    <w:p w:rsidR="00000000" w:rsidDel="00000000" w:rsidP="00000000" w:rsidRDefault="00000000" w:rsidRPr="00000000" w14:paraId="00000042">
      <w:pPr>
        <w:spacing w:after="200" w:line="480" w:lineRule="auto"/>
        <w:ind w:left="0" w:firstLine="0"/>
        <w:rPr>
          <w:sz w:val="24"/>
          <w:szCs w:val="24"/>
          <w:u w:val="single"/>
        </w:rPr>
      </w:pPr>
      <w:r w:rsidDel="00000000" w:rsidR="00000000" w:rsidRPr="00000000">
        <w:rPr>
          <w:rtl w:val="0"/>
        </w:rPr>
      </w:r>
    </w:p>
    <w:p w:rsidR="00000000" w:rsidDel="00000000" w:rsidP="00000000" w:rsidRDefault="00000000" w:rsidRPr="00000000" w14:paraId="00000043">
      <w:pPr>
        <w:spacing w:after="200" w:line="480" w:lineRule="auto"/>
        <w:ind w:left="0" w:firstLine="0"/>
        <w:rPr>
          <w:sz w:val="24"/>
          <w:szCs w:val="24"/>
          <w:u w:val="single"/>
        </w:rPr>
      </w:pPr>
      <w:r w:rsidDel="00000000" w:rsidR="00000000" w:rsidRPr="00000000">
        <w:rPr>
          <w:rtl w:val="0"/>
        </w:rPr>
      </w:r>
    </w:p>
    <w:p w:rsidR="00000000" w:rsidDel="00000000" w:rsidP="00000000" w:rsidRDefault="00000000" w:rsidRPr="00000000" w14:paraId="00000044">
      <w:pPr>
        <w:spacing w:after="200" w:line="480" w:lineRule="auto"/>
        <w:ind w:left="0" w:firstLine="0"/>
        <w:rPr>
          <w:sz w:val="24"/>
          <w:szCs w:val="24"/>
          <w:u w:val="single"/>
        </w:rPr>
      </w:pPr>
      <w:r w:rsidDel="00000000" w:rsidR="00000000" w:rsidRPr="00000000">
        <w:rPr>
          <w:rtl w:val="0"/>
        </w:rPr>
      </w:r>
    </w:p>
    <w:p w:rsidR="00000000" w:rsidDel="00000000" w:rsidP="00000000" w:rsidRDefault="00000000" w:rsidRPr="00000000" w14:paraId="00000045">
      <w:pPr>
        <w:spacing w:after="200" w:line="480" w:lineRule="auto"/>
        <w:ind w:left="0" w:firstLine="0"/>
        <w:rPr>
          <w:sz w:val="24"/>
          <w:szCs w:val="24"/>
          <w:u w:val="single"/>
        </w:rPr>
      </w:pPr>
      <w:r w:rsidDel="00000000" w:rsidR="00000000" w:rsidRPr="00000000">
        <w:rPr>
          <w:rtl w:val="0"/>
        </w:rPr>
      </w:r>
    </w:p>
    <w:p w:rsidR="00000000" w:rsidDel="00000000" w:rsidP="00000000" w:rsidRDefault="00000000" w:rsidRPr="00000000" w14:paraId="00000046">
      <w:pPr>
        <w:spacing w:after="200" w:line="480" w:lineRule="auto"/>
        <w:ind w:left="0" w:firstLine="0"/>
        <w:rPr>
          <w:sz w:val="24"/>
          <w:szCs w:val="24"/>
          <w:u w:val="single"/>
        </w:rPr>
      </w:pPr>
      <w:r w:rsidDel="00000000" w:rsidR="00000000" w:rsidRPr="00000000">
        <w:rPr>
          <w:rtl w:val="0"/>
        </w:rPr>
      </w:r>
    </w:p>
    <w:p w:rsidR="00000000" w:rsidDel="00000000" w:rsidP="00000000" w:rsidRDefault="00000000" w:rsidRPr="00000000" w14:paraId="00000047">
      <w:pPr>
        <w:spacing w:after="200" w:line="480" w:lineRule="auto"/>
        <w:ind w:left="0" w:firstLine="0"/>
        <w:rPr>
          <w:sz w:val="24"/>
          <w:szCs w:val="24"/>
          <w:u w:val="single"/>
        </w:rPr>
      </w:pPr>
      <w:r w:rsidDel="00000000" w:rsidR="00000000" w:rsidRPr="00000000">
        <w:rPr>
          <w:rtl w:val="0"/>
        </w:rPr>
      </w:r>
    </w:p>
    <w:p w:rsidR="00000000" w:rsidDel="00000000" w:rsidP="00000000" w:rsidRDefault="00000000" w:rsidRPr="00000000" w14:paraId="00000048">
      <w:pPr>
        <w:spacing w:after="200" w:line="480" w:lineRule="auto"/>
        <w:ind w:left="0" w:firstLine="0"/>
        <w:rPr>
          <w:sz w:val="24"/>
          <w:szCs w:val="24"/>
          <w:u w:val="single"/>
        </w:rPr>
      </w:pPr>
      <w:r w:rsidDel="00000000" w:rsidR="00000000" w:rsidRPr="00000000">
        <w:rPr>
          <w:rtl w:val="0"/>
        </w:rPr>
      </w:r>
    </w:p>
    <w:p w:rsidR="00000000" w:rsidDel="00000000" w:rsidP="00000000" w:rsidRDefault="00000000" w:rsidRPr="00000000" w14:paraId="00000049">
      <w:pPr>
        <w:spacing w:after="200" w:line="480" w:lineRule="auto"/>
        <w:ind w:left="0" w:firstLine="0"/>
        <w:rPr>
          <w:sz w:val="24"/>
          <w:szCs w:val="24"/>
          <w:u w:val="single"/>
        </w:rPr>
      </w:pPr>
      <w:r w:rsidDel="00000000" w:rsidR="00000000" w:rsidRPr="00000000">
        <w:rPr>
          <w:sz w:val="24"/>
          <w:szCs w:val="24"/>
          <w:u w:val="single"/>
          <w:rtl w:val="0"/>
        </w:rPr>
        <w:t xml:space="preserve">Discussion</w:t>
      </w:r>
    </w:p>
    <w:p w:rsidR="00000000" w:rsidDel="00000000" w:rsidP="00000000" w:rsidRDefault="00000000" w:rsidRPr="00000000" w14:paraId="0000004A">
      <w:pPr>
        <w:spacing w:after="200" w:line="480" w:lineRule="auto"/>
        <w:ind w:left="0" w:firstLine="0"/>
        <w:rPr>
          <w:sz w:val="24"/>
          <w:szCs w:val="24"/>
        </w:rPr>
      </w:pPr>
      <w:r w:rsidDel="00000000" w:rsidR="00000000" w:rsidRPr="00000000">
        <w:rPr>
          <w:sz w:val="24"/>
          <w:szCs w:val="24"/>
          <w:rtl w:val="0"/>
        </w:rPr>
        <w:t xml:space="preserve">Using the above methodologies to support and drive the learning of this learner and the class involves pedagogical concepts that address the different and sometimes complex needs of all learners.  The unfocused, distracted and off task learners in this classroom, including the observed learner, should respond in different ways to the strategies that the teacher is using.  The teacher is helping these learners to comprehend how they learn notwithstanding, teaching them literacy, teamwork and inference skills.  Learners will become more accepting and receptive to the teacher’s efforts to support them in learning to learn as well as comprehending the topics and teaching, he is attempting to convey to them.  Using all or most of these strategies should go, at least, some way to addressing the incidents that this teacher is presented with.  associated with this critical incident To move learning forward, feedback plays a large part and may prove complicated and also could present problems.  However, “feedback should be designed to make learners think, focused on shared goals of the student who owns the process (Sherrington and Caviglioni, 2020)”.  </w:t>
      </w:r>
    </w:p>
    <w:p w:rsidR="00000000" w:rsidDel="00000000" w:rsidP="00000000" w:rsidRDefault="00000000" w:rsidRPr="00000000" w14:paraId="0000004B">
      <w:pPr>
        <w:spacing w:after="200" w:line="480" w:lineRule="auto"/>
        <w:rPr>
          <w:sz w:val="24"/>
          <w:szCs w:val="24"/>
        </w:rPr>
      </w:pPr>
      <w:r w:rsidDel="00000000" w:rsidR="00000000" w:rsidRPr="00000000">
        <w:rPr>
          <w:sz w:val="24"/>
          <w:szCs w:val="24"/>
          <w:rtl w:val="0"/>
        </w:rPr>
        <w:t xml:space="preserve">This critical incident links to Tripp’s (1994) approach, as the learner did not appear to be influenced by the teacher’s instructions, appearing to be unfocused and disengaged in the lesson.  Therefore the teacher's influence only became apparent when the learner started to focus on the shoe her group was given.  She was then motivated to play her part in the session and became actively occupied in group discussion with her peers.  She started offering her opinions and she also embarked on the writing, which also concentrated her attention to the inference task.  </w:t>
      </w:r>
    </w:p>
    <w:p w:rsidR="00000000" w:rsidDel="00000000" w:rsidP="00000000" w:rsidRDefault="00000000" w:rsidRPr="00000000" w14:paraId="0000004C">
      <w:pPr>
        <w:spacing w:after="200" w:line="480" w:lineRule="auto"/>
        <w:rPr>
          <w:sz w:val="24"/>
          <w:szCs w:val="24"/>
        </w:rPr>
      </w:pPr>
      <w:r w:rsidDel="00000000" w:rsidR="00000000" w:rsidRPr="00000000">
        <w:rPr>
          <w:rtl w:val="0"/>
        </w:rPr>
      </w:r>
    </w:p>
    <w:p w:rsidR="00000000" w:rsidDel="00000000" w:rsidP="00000000" w:rsidRDefault="00000000" w:rsidRPr="00000000" w14:paraId="0000004D">
      <w:pPr>
        <w:spacing w:after="200" w:line="480" w:lineRule="auto"/>
        <w:rPr>
          <w:sz w:val="24"/>
          <w:szCs w:val="24"/>
        </w:rPr>
      </w:pPr>
      <w:r w:rsidDel="00000000" w:rsidR="00000000" w:rsidRPr="00000000">
        <w:rPr>
          <w:sz w:val="24"/>
          <w:szCs w:val="24"/>
          <w:rtl w:val="0"/>
        </w:rPr>
        <w:t xml:space="preserve">David Tripp (1994) “discusses several approaches to the analysis of critical incidents in the journal, Critical Incidents in teaching: Developing Professional Judgement, stressing the importance of discussion to solve dilemmas.”  He goes on to state “the value of these incidents lies in how they reveal habits and tendencies of teachers influencing learning and informing actions.” (Tripp, 1994).  Another theorist that supports some of Tripp’s (1994) theory where teachers have influence on learners’ development is Lev Vygotsky who tells us that “cognitive development depends on social activity” (Annemiek et al., 2023).  His sociocultural theory sees “learning as a social activity where children learn best when interacting with peers and teachers, specifically more knowledgeable others (MKOs)” (Annemiek et al., 2023)”.  In this instance, the learner became more attentive when the task moved on and she was able to discuss the activity within her learning group.  The learner could then participate in discussions and become occupied in this fresh perspective to the learning.</w:t>
      </w:r>
    </w:p>
    <w:p w:rsidR="00000000" w:rsidDel="00000000" w:rsidP="00000000" w:rsidRDefault="00000000" w:rsidRPr="00000000" w14:paraId="0000004E">
      <w:pPr>
        <w:spacing w:after="200" w:line="480" w:lineRule="auto"/>
        <w:rPr>
          <w:sz w:val="24"/>
          <w:szCs w:val="24"/>
        </w:rPr>
      </w:pPr>
      <w:r w:rsidDel="00000000" w:rsidR="00000000" w:rsidRPr="00000000">
        <w:rPr>
          <w:sz w:val="24"/>
          <w:szCs w:val="24"/>
          <w:rtl w:val="0"/>
        </w:rPr>
        <w:t xml:space="preserve">On the other hand, Piaget’s theory of cognitive development in children discusses the way “children’s learning is like building blocks of education where children develop through different stages of cognitive development” (Annemiek et al., 2023).  He thought their learning was “a constant cycle of acquisition of knowledge, beginning at the sensorimotor stage through to the formal operational stage” (The Nobel Prize in Physiology or Medicine 1904, no date).  </w:t>
      </w:r>
    </w:p>
    <w:p w:rsidR="00000000" w:rsidDel="00000000" w:rsidP="00000000" w:rsidRDefault="00000000" w:rsidRPr="00000000" w14:paraId="0000004F">
      <w:pPr>
        <w:spacing w:after="200" w:line="480" w:lineRule="auto"/>
        <w:ind w:left="0" w:firstLine="0"/>
        <w:rPr>
          <w:sz w:val="24"/>
          <w:szCs w:val="24"/>
        </w:rPr>
      </w:pPr>
      <w:r w:rsidDel="00000000" w:rsidR="00000000" w:rsidRPr="00000000">
        <w:rPr>
          <w:rtl w:val="0"/>
        </w:rPr>
      </w:r>
    </w:p>
    <w:p w:rsidR="00000000" w:rsidDel="00000000" w:rsidP="00000000" w:rsidRDefault="00000000" w:rsidRPr="00000000" w14:paraId="00000050">
      <w:pPr>
        <w:spacing w:after="200" w:line="480" w:lineRule="auto"/>
        <w:ind w:left="0" w:firstLine="0"/>
        <w:rPr>
          <w:sz w:val="24"/>
          <w:szCs w:val="24"/>
        </w:rPr>
      </w:pPr>
      <w:r w:rsidDel="00000000" w:rsidR="00000000" w:rsidRPr="00000000">
        <w:rPr>
          <w:rtl w:val="0"/>
        </w:rPr>
      </w:r>
    </w:p>
    <w:p w:rsidR="00000000" w:rsidDel="00000000" w:rsidP="00000000" w:rsidRDefault="00000000" w:rsidRPr="00000000" w14:paraId="00000051">
      <w:pPr>
        <w:spacing w:after="200" w:line="480" w:lineRule="auto"/>
        <w:ind w:left="0" w:firstLine="0"/>
        <w:rPr>
          <w:sz w:val="24"/>
          <w:szCs w:val="24"/>
        </w:rPr>
      </w:pPr>
      <w:r w:rsidDel="00000000" w:rsidR="00000000" w:rsidRPr="00000000">
        <w:rPr>
          <w:rtl w:val="0"/>
        </w:rPr>
      </w:r>
    </w:p>
    <w:p w:rsidR="00000000" w:rsidDel="00000000" w:rsidP="00000000" w:rsidRDefault="00000000" w:rsidRPr="00000000" w14:paraId="00000052">
      <w:pPr>
        <w:spacing w:after="200" w:line="480" w:lineRule="auto"/>
        <w:rPr>
          <w:sz w:val="24"/>
          <w:szCs w:val="24"/>
        </w:rPr>
      </w:pPr>
      <w:r w:rsidDel="00000000" w:rsidR="00000000" w:rsidRPr="00000000">
        <w:rPr>
          <w:sz w:val="24"/>
          <w:szCs w:val="24"/>
          <w:rtl w:val="0"/>
        </w:rPr>
        <w:t xml:space="preserve">A teacher has much to contend with during any lesson and throughout the school day.  David Kennedy said that “a teacher has at least six competing concerns at any one time during a lesson (Kennedy, 2018)”.  Albeit, by using Assessment Learning some or all of these concerns can be more easily monitored and instances or critical incidents might be lessened or at least alleviated.   “The ultimate user of assessment information which is elicited in order to improve learning is the pupil (Black and Wiliam, 1998)”.  Black and Wiliam (2018) worked on how to raise standards using assessment for learning in the 1990s and produced a comprehensive study of findings to support and enhance its use and effectiveness.  They discussed a variety of strategies of learning gains as part of a government study and achieved success through “methods of enhanced formative assessment, indicating this feature accounts, at least in part, for the successes.” </w:t>
      </w:r>
    </w:p>
    <w:p w:rsidR="00000000" w:rsidDel="00000000" w:rsidP="00000000" w:rsidRDefault="00000000" w:rsidRPr="00000000" w14:paraId="00000053">
      <w:pPr>
        <w:spacing w:after="200" w:line="480" w:lineRule="auto"/>
        <w:ind w:left="0" w:firstLine="0"/>
        <w:rPr>
          <w:sz w:val="24"/>
          <w:szCs w:val="24"/>
          <w:u w:val="single"/>
        </w:rPr>
      </w:pPr>
      <w:r w:rsidDel="00000000" w:rsidR="00000000" w:rsidRPr="00000000">
        <w:rPr>
          <w:sz w:val="24"/>
          <w:szCs w:val="24"/>
          <w:u w:val="single"/>
          <w:rtl w:val="0"/>
        </w:rPr>
        <w:t xml:space="preserve">Conclusion and Recommendations</w:t>
      </w:r>
    </w:p>
    <w:p w:rsidR="00000000" w:rsidDel="00000000" w:rsidP="00000000" w:rsidRDefault="00000000" w:rsidRPr="00000000" w14:paraId="00000054">
      <w:pPr>
        <w:spacing w:after="200" w:line="480" w:lineRule="auto"/>
        <w:ind w:left="0" w:firstLine="0"/>
        <w:rPr>
          <w:sz w:val="24"/>
          <w:szCs w:val="24"/>
        </w:rPr>
      </w:pPr>
      <w:r w:rsidDel="00000000" w:rsidR="00000000" w:rsidRPr="00000000">
        <w:rPr>
          <w:sz w:val="24"/>
          <w:szCs w:val="24"/>
          <w:rtl w:val="0"/>
        </w:rPr>
        <w:t xml:space="preserve">The methodologies and ways forward referred to throughout this assignment address recommendations for this learner and other learners concerned in this critical incident.  Vygotsky’s sociocultural model (Gray and MacBlain 2021) of learning supports and develops the learning.  Talk for writing as discussed in the methodologies is a fantastic and social way to progress learning and involve the whole class in developing ideas, key words and phrases for their own writing or story.  As suggested in the methodologies and discussion above, peer assessment is another way that social and collaborative learning might work for this learner and her classmates and extends Talk for Writing in order to generate deeper discussions and evaluation of their own and other’s learning “approaching critical incidents from practice through diagnosis and reflection to critical interpretation is how development of the scope of expertise and judgement might be done (Tripp, 2011)”.</w:t>
      </w:r>
    </w:p>
    <w:p w:rsidR="00000000" w:rsidDel="00000000" w:rsidP="00000000" w:rsidRDefault="00000000" w:rsidRPr="00000000" w14:paraId="00000055">
      <w:pPr>
        <w:spacing w:after="200" w:line="480" w:lineRule="auto"/>
        <w:ind w:left="0" w:firstLine="0"/>
        <w:rPr>
          <w:sz w:val="24"/>
          <w:szCs w:val="24"/>
        </w:rPr>
      </w:pPr>
      <w:r w:rsidDel="00000000" w:rsidR="00000000" w:rsidRPr="00000000">
        <w:rPr>
          <w:sz w:val="24"/>
          <w:szCs w:val="24"/>
          <w:rtl w:val="0"/>
        </w:rPr>
        <w:t xml:space="preserve">On the other hand, self assessment encourages children to take ownership of their learning and focuses their cognition, consolidating conceptions and interpretations of knowledge and insight.  Continual assessment for learning can also scaffold a teaching activity and establish new ideas and helping their writing to evolve.   By using formative assessment during the critical incident of the distracted, unfocused learner, the teacher may have drawn the learner's attention back to the lesson introduction, reengaging her concentration towards the teaching and learning once more.  “Such work involves new ways to enhance feedback between those taught and the teacher, ways which require new modes of pedagogy and significant changes in classroom practice (Black and Wiliam, 2018)”.</w:t>
      </w:r>
    </w:p>
    <w:p w:rsidR="00000000" w:rsidDel="00000000" w:rsidP="00000000" w:rsidRDefault="00000000" w:rsidRPr="00000000" w14:paraId="00000056">
      <w:pPr>
        <w:spacing w:after="200" w:line="480" w:lineRule="auto"/>
        <w:ind w:left="0" w:firstLine="0"/>
        <w:rPr>
          <w:sz w:val="24"/>
          <w:szCs w:val="24"/>
        </w:rPr>
      </w:pPr>
      <w:r w:rsidDel="00000000" w:rsidR="00000000" w:rsidRPr="00000000">
        <w:rPr>
          <w:sz w:val="24"/>
          <w:szCs w:val="24"/>
          <w:rtl w:val="0"/>
        </w:rPr>
        <w:t xml:space="preserve">Throughout this essay reference has been made to how much this teacher has to contend with other than the teaching, the planned lesson, its resources, focus and differentiation.  Kennedy, as discussed above, reasoned that a teacher has at least six competing concerns at any one time to deal with throughout a lesson.  So it must be understood that this seemingly trivial observed incident, may have gone unnoticed and recommendations to improve his already thorough teaching are merely that, recommendations.  He probably considered much of what has been suggested here and focused on what he felt were the more important factors, the children and their development.</w:t>
      </w:r>
    </w:p>
    <w:p w:rsidR="00000000" w:rsidDel="00000000" w:rsidP="00000000" w:rsidRDefault="00000000" w:rsidRPr="00000000" w14:paraId="00000057">
      <w:pPr>
        <w:ind w:left="0" w:firstLine="0"/>
        <w:rPr>
          <w:sz w:val="24"/>
          <w:szCs w:val="24"/>
        </w:rPr>
      </w:pPr>
      <w:r w:rsidDel="00000000" w:rsidR="00000000" w:rsidRPr="00000000">
        <w:rPr>
          <w:rtl w:val="0"/>
        </w:rPr>
      </w:r>
    </w:p>
    <w:p w:rsidR="00000000" w:rsidDel="00000000" w:rsidP="00000000" w:rsidRDefault="00000000" w:rsidRPr="00000000" w14:paraId="00000058">
      <w:pPr>
        <w:ind w:left="0" w:firstLine="0"/>
        <w:rPr>
          <w:sz w:val="24"/>
          <w:szCs w:val="24"/>
          <w:u w:val="single"/>
        </w:rPr>
      </w:pPr>
      <w:r w:rsidDel="00000000" w:rsidR="00000000" w:rsidRPr="00000000">
        <w:rPr>
          <w:rtl w:val="0"/>
        </w:rPr>
      </w:r>
    </w:p>
    <w:p w:rsidR="00000000" w:rsidDel="00000000" w:rsidP="00000000" w:rsidRDefault="00000000" w:rsidRPr="00000000" w14:paraId="00000059">
      <w:pPr>
        <w:ind w:left="0" w:firstLine="0"/>
        <w:rPr>
          <w:sz w:val="24"/>
          <w:szCs w:val="24"/>
          <w:u w:val="single"/>
        </w:rPr>
      </w:pPr>
      <w:r w:rsidDel="00000000" w:rsidR="00000000" w:rsidRPr="00000000">
        <w:rPr>
          <w:rtl w:val="0"/>
        </w:rPr>
      </w:r>
    </w:p>
    <w:p w:rsidR="00000000" w:rsidDel="00000000" w:rsidP="00000000" w:rsidRDefault="00000000" w:rsidRPr="00000000" w14:paraId="0000005A">
      <w:pPr>
        <w:ind w:left="0" w:firstLine="0"/>
        <w:rPr>
          <w:sz w:val="24"/>
          <w:szCs w:val="24"/>
          <w:u w:val="single"/>
        </w:rPr>
      </w:pPr>
      <w:r w:rsidDel="00000000" w:rsidR="00000000" w:rsidRPr="00000000">
        <w:rPr>
          <w:rtl w:val="0"/>
        </w:rPr>
      </w:r>
    </w:p>
    <w:p w:rsidR="00000000" w:rsidDel="00000000" w:rsidP="00000000" w:rsidRDefault="00000000" w:rsidRPr="00000000" w14:paraId="0000005B">
      <w:pPr>
        <w:ind w:left="0" w:firstLine="0"/>
        <w:rPr>
          <w:sz w:val="24"/>
          <w:szCs w:val="24"/>
          <w:u w:val="single"/>
        </w:rPr>
      </w:pPr>
      <w:r w:rsidDel="00000000" w:rsidR="00000000" w:rsidRPr="00000000">
        <w:rPr>
          <w:rtl w:val="0"/>
        </w:rPr>
      </w:r>
    </w:p>
    <w:p w:rsidR="00000000" w:rsidDel="00000000" w:rsidP="00000000" w:rsidRDefault="00000000" w:rsidRPr="00000000" w14:paraId="0000005C">
      <w:pPr>
        <w:ind w:left="0" w:firstLine="0"/>
        <w:rPr>
          <w:sz w:val="24"/>
          <w:szCs w:val="24"/>
          <w:u w:val="single"/>
        </w:rPr>
      </w:pPr>
      <w:r w:rsidDel="00000000" w:rsidR="00000000" w:rsidRPr="00000000">
        <w:rPr>
          <w:rtl w:val="0"/>
        </w:rPr>
      </w:r>
    </w:p>
    <w:p w:rsidR="00000000" w:rsidDel="00000000" w:rsidP="00000000" w:rsidRDefault="00000000" w:rsidRPr="00000000" w14:paraId="0000005D">
      <w:pPr>
        <w:ind w:left="0" w:firstLine="0"/>
        <w:rPr>
          <w:sz w:val="24"/>
          <w:szCs w:val="24"/>
          <w:u w:val="single"/>
        </w:rPr>
      </w:pPr>
      <w:r w:rsidDel="00000000" w:rsidR="00000000" w:rsidRPr="00000000">
        <w:rPr>
          <w:rtl w:val="0"/>
        </w:rPr>
      </w:r>
    </w:p>
    <w:p w:rsidR="00000000" w:rsidDel="00000000" w:rsidP="00000000" w:rsidRDefault="00000000" w:rsidRPr="00000000" w14:paraId="0000005E">
      <w:pPr>
        <w:ind w:left="0" w:firstLine="0"/>
        <w:rPr>
          <w:sz w:val="24"/>
          <w:szCs w:val="24"/>
          <w:u w:val="single"/>
        </w:rPr>
      </w:pPr>
      <w:r w:rsidDel="00000000" w:rsidR="00000000" w:rsidRPr="00000000">
        <w:rPr>
          <w:rtl w:val="0"/>
        </w:rPr>
      </w:r>
    </w:p>
    <w:p w:rsidR="00000000" w:rsidDel="00000000" w:rsidP="00000000" w:rsidRDefault="00000000" w:rsidRPr="00000000" w14:paraId="0000005F">
      <w:pPr>
        <w:ind w:left="0" w:firstLine="0"/>
        <w:rPr>
          <w:sz w:val="24"/>
          <w:szCs w:val="24"/>
          <w:u w:val="single"/>
        </w:rPr>
      </w:pPr>
      <w:r w:rsidDel="00000000" w:rsidR="00000000" w:rsidRPr="00000000">
        <w:rPr>
          <w:rtl w:val="0"/>
        </w:rPr>
      </w:r>
    </w:p>
    <w:p w:rsidR="00000000" w:rsidDel="00000000" w:rsidP="00000000" w:rsidRDefault="00000000" w:rsidRPr="00000000" w14:paraId="00000060">
      <w:pPr>
        <w:spacing w:after="240" w:before="240" w:lineRule="auto"/>
        <w:ind w:left="0" w:firstLine="0"/>
        <w:rPr>
          <w:sz w:val="24"/>
          <w:szCs w:val="24"/>
          <w:u w:val="single"/>
        </w:rPr>
      </w:pPr>
      <w:r w:rsidDel="00000000" w:rsidR="00000000" w:rsidRPr="00000000">
        <w:rPr>
          <w:sz w:val="24"/>
          <w:szCs w:val="24"/>
          <w:u w:val="single"/>
          <w:rtl w:val="0"/>
        </w:rPr>
        <w:t xml:space="preserve">References</w:t>
      </w:r>
    </w:p>
    <w:p w:rsidR="00000000" w:rsidDel="00000000" w:rsidP="00000000" w:rsidRDefault="00000000" w:rsidRPr="00000000" w14:paraId="00000061">
      <w:pPr>
        <w:spacing w:after="240" w:before="240" w:line="360" w:lineRule="auto"/>
        <w:ind w:left="0" w:firstLine="0"/>
        <w:rPr>
          <w:sz w:val="24"/>
          <w:szCs w:val="24"/>
        </w:rPr>
      </w:pPr>
      <w:r w:rsidDel="00000000" w:rsidR="00000000" w:rsidRPr="00000000">
        <w:rPr>
          <w:sz w:val="24"/>
          <w:szCs w:val="24"/>
          <w:rtl w:val="0"/>
        </w:rPr>
        <w:t xml:space="preserve">Annemiek </w:t>
      </w:r>
      <w:r w:rsidDel="00000000" w:rsidR="00000000" w:rsidRPr="00000000">
        <w:rPr>
          <w:i w:val="1"/>
          <w:sz w:val="24"/>
          <w:szCs w:val="24"/>
          <w:rtl w:val="0"/>
        </w:rPr>
        <w:t xml:space="preserve">et al.</w:t>
      </w:r>
      <w:r w:rsidDel="00000000" w:rsidR="00000000" w:rsidRPr="00000000">
        <w:rPr>
          <w:sz w:val="24"/>
          <w:szCs w:val="24"/>
          <w:rtl w:val="0"/>
        </w:rPr>
        <w:t xml:space="preserve"> (2023) </w:t>
      </w:r>
      <w:r w:rsidDel="00000000" w:rsidR="00000000" w:rsidRPr="00000000">
        <w:rPr>
          <w:i w:val="1"/>
          <w:sz w:val="24"/>
          <w:szCs w:val="24"/>
          <w:rtl w:val="0"/>
        </w:rPr>
        <w:t xml:space="preserve">15 learning theories in Education (a complete summary)</w:t>
      </w:r>
      <w:r w:rsidDel="00000000" w:rsidR="00000000" w:rsidRPr="00000000">
        <w:rPr>
          <w:sz w:val="24"/>
          <w:szCs w:val="24"/>
          <w:rtl w:val="0"/>
        </w:rPr>
        <w:t xml:space="preserve">, </w:t>
      </w:r>
      <w:r w:rsidDel="00000000" w:rsidR="00000000" w:rsidRPr="00000000">
        <w:rPr>
          <w:i w:val="1"/>
          <w:sz w:val="24"/>
          <w:szCs w:val="24"/>
          <w:rtl w:val="0"/>
        </w:rPr>
        <w:t xml:space="preserve">Education Corner</w:t>
      </w:r>
      <w:r w:rsidDel="00000000" w:rsidR="00000000" w:rsidRPr="00000000">
        <w:rPr>
          <w:sz w:val="24"/>
          <w:szCs w:val="24"/>
          <w:rtl w:val="0"/>
        </w:rPr>
        <w:t xml:space="preserve">. Available at: https://www.educationcorner.com/learning-theories-in-education/#:~:text=There%20are%203%20main%20schemas%20of%20learning%20theories%3B,to%20Piaget%20and%20Bloom%20to%20Maslow%20and%20Bruner. (Accessed: 12 October 2023). </w:t>
      </w:r>
    </w:p>
    <w:p w:rsidR="00000000" w:rsidDel="00000000" w:rsidP="00000000" w:rsidRDefault="00000000" w:rsidRPr="00000000" w14:paraId="00000062">
      <w:pPr>
        <w:spacing w:after="240" w:before="240" w:line="360" w:lineRule="auto"/>
        <w:ind w:left="0" w:firstLine="0"/>
        <w:rPr>
          <w:sz w:val="24"/>
          <w:szCs w:val="24"/>
        </w:rPr>
      </w:pPr>
      <w:r w:rsidDel="00000000" w:rsidR="00000000" w:rsidRPr="00000000">
        <w:rPr>
          <w:sz w:val="24"/>
          <w:szCs w:val="24"/>
          <w:rtl w:val="0"/>
        </w:rPr>
        <w:t xml:space="preserve">Aubrey, K. and Riley, A. (2022). </w:t>
      </w:r>
      <w:r w:rsidDel="00000000" w:rsidR="00000000" w:rsidRPr="00000000">
        <w:rPr>
          <w:i w:val="1"/>
          <w:sz w:val="24"/>
          <w:szCs w:val="24"/>
          <w:rtl w:val="0"/>
        </w:rPr>
        <w:t xml:space="preserve">Understanding &amp; using educational theories</w:t>
      </w:r>
      <w:r w:rsidDel="00000000" w:rsidR="00000000" w:rsidRPr="00000000">
        <w:rPr>
          <w:sz w:val="24"/>
          <w:szCs w:val="24"/>
          <w:rtl w:val="0"/>
        </w:rPr>
        <w:t xml:space="preserve">. 3rd ed. Los Angeles: Sage.</w:t>
      </w:r>
    </w:p>
    <w:p w:rsidR="00000000" w:rsidDel="00000000" w:rsidP="00000000" w:rsidRDefault="00000000" w:rsidRPr="00000000" w14:paraId="00000063">
      <w:pPr>
        <w:spacing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bedrocklearning.org. (n.d.). </w:t>
      </w:r>
      <w:r w:rsidDel="00000000" w:rsidR="00000000" w:rsidRPr="00000000">
        <w:rPr>
          <w:rFonts w:ascii="Calibri" w:cs="Calibri" w:eastAsia="Calibri" w:hAnsi="Calibri"/>
          <w:i w:val="1"/>
          <w:sz w:val="27"/>
          <w:szCs w:val="27"/>
          <w:rtl w:val="0"/>
        </w:rPr>
        <w:t xml:space="preserve">4 Strands of Rosenshine</w:t>
      </w:r>
      <w:r w:rsidDel="00000000" w:rsidR="00000000" w:rsidRPr="00000000">
        <w:rPr>
          <w:rFonts w:ascii="Calibri" w:cs="Calibri" w:eastAsia="Calibri" w:hAnsi="Calibri"/>
          <w:sz w:val="27"/>
          <w:szCs w:val="27"/>
          <w:rtl w:val="0"/>
        </w:rPr>
        <w:t xml:space="preserve">. [online] Available at: </w:t>
      </w:r>
      <w:hyperlink r:id="rId7">
        <w:r w:rsidDel="00000000" w:rsidR="00000000" w:rsidRPr="00000000">
          <w:rPr>
            <w:rFonts w:ascii="Calibri" w:cs="Calibri" w:eastAsia="Calibri" w:hAnsi="Calibri"/>
            <w:color w:val="1155cc"/>
            <w:sz w:val="27"/>
            <w:szCs w:val="27"/>
            <w:u w:val="single"/>
            <w:rtl w:val="0"/>
          </w:rPr>
          <w:t xml:space="preserve">https://bedrocklearning.org/literacy-blogs/rosenshine-4-strands/</w:t>
        </w:r>
      </w:hyperlink>
      <w:r w:rsidDel="00000000" w:rsidR="00000000" w:rsidRPr="00000000">
        <w:rPr>
          <w:rFonts w:ascii="Calibri" w:cs="Calibri" w:eastAsia="Calibri" w:hAnsi="Calibri"/>
          <w:sz w:val="27"/>
          <w:szCs w:val="27"/>
          <w:rtl w:val="0"/>
        </w:rPr>
        <w:t xml:space="preserve">accessed 22nd October 2023.</w:t>
      </w:r>
      <w:r w:rsidDel="00000000" w:rsidR="00000000" w:rsidRPr="00000000">
        <w:rPr>
          <w:rtl w:val="0"/>
        </w:rPr>
      </w:r>
    </w:p>
    <w:p w:rsidR="00000000" w:rsidDel="00000000" w:rsidP="00000000" w:rsidRDefault="00000000" w:rsidRPr="00000000" w14:paraId="00000064">
      <w:pPr>
        <w:spacing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065">
      <w:pPr>
        <w:spacing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Black, P.J. and Wiliam, D. (1998). </w:t>
      </w:r>
      <w:r w:rsidDel="00000000" w:rsidR="00000000" w:rsidRPr="00000000">
        <w:rPr>
          <w:rFonts w:ascii="Calibri" w:cs="Calibri" w:eastAsia="Calibri" w:hAnsi="Calibri"/>
          <w:i w:val="1"/>
          <w:sz w:val="27"/>
          <w:szCs w:val="27"/>
          <w:rtl w:val="0"/>
        </w:rPr>
        <w:t xml:space="preserve">Inside the black box : raising standards through classroom assessment</w:t>
      </w:r>
      <w:r w:rsidDel="00000000" w:rsidR="00000000" w:rsidRPr="00000000">
        <w:rPr>
          <w:rFonts w:ascii="Calibri" w:cs="Calibri" w:eastAsia="Calibri" w:hAnsi="Calibri"/>
          <w:sz w:val="27"/>
          <w:szCs w:val="27"/>
          <w:rtl w:val="0"/>
        </w:rPr>
        <w:t xml:space="preserve">. Cheltenham, Vic.: Hawker Brownlow Education.</w:t>
      </w:r>
    </w:p>
    <w:p w:rsidR="00000000" w:rsidDel="00000000" w:rsidP="00000000" w:rsidRDefault="00000000" w:rsidRPr="00000000" w14:paraId="00000066">
      <w:pPr>
        <w:spacing w:after="240" w:before="240" w:lineRule="auto"/>
        <w:rPr>
          <w:sz w:val="24"/>
          <w:szCs w:val="24"/>
        </w:rPr>
      </w:pPr>
      <w:r w:rsidDel="00000000" w:rsidR="00000000" w:rsidRPr="00000000">
        <w:rPr>
          <w:rFonts w:ascii="Calibri" w:cs="Calibri" w:eastAsia="Calibri" w:hAnsi="Calibri"/>
          <w:sz w:val="24"/>
          <w:szCs w:val="24"/>
          <w:rtl w:val="0"/>
        </w:rPr>
        <w:t xml:space="preserve">‌</w:t>
      </w:r>
      <w:r w:rsidDel="00000000" w:rsidR="00000000" w:rsidRPr="00000000">
        <w:rPr>
          <w:i w:val="1"/>
          <w:sz w:val="24"/>
          <w:szCs w:val="24"/>
          <w:rtl w:val="0"/>
        </w:rPr>
        <w:t xml:space="preserve">Bronfenbrenner’s+Model+of+Learning+theory</w:t>
      </w:r>
      <w:r w:rsidDel="00000000" w:rsidR="00000000" w:rsidRPr="00000000">
        <w:rPr>
          <w:sz w:val="24"/>
          <w:szCs w:val="24"/>
          <w:rtl w:val="0"/>
        </w:rPr>
        <w:t xml:space="preserve"> (no date) Available at: https://uk.images.search.yahoo.com/search/images?p=bronfenbrenner%27s%2Bmodel%2Bof%2Blearning%2Btheory&amp;fr=mcafee&amp;type=C211GB0D20140503&amp;imgurl=https%3A%2F%2Fwww.researchgate.net%2Fprofile%2FKathryn-Scott-6%2Fpublication%2F311843438%2Ffigure%2Ffig1%2FAS%3A651201662177280%401532269983007%2FBronfenbrenners-ecological-model-Diagram-by-Joel-Gibbs-based-on-Bronfenbrenners-1979.png#id=0&amp;iurl=https%3A%2F%2Fwww.researchgate.net%2Fprofile%2FKathryn-Scott-6%2Fpublication%2F311843438%2Ffigure%2Ffig1%2FAS%3A651201662177280%401532269983007%2FBronfenbrenners-ecological-model-Diagram-by-Joel-Gibbs-based-on-Bronfenbrenners-1979.png&amp;action=click (Accessed: 15 October 2023). </w:t>
      </w:r>
    </w:p>
    <w:p w:rsidR="00000000" w:rsidDel="00000000" w:rsidP="00000000" w:rsidRDefault="00000000" w:rsidRPr="00000000" w14:paraId="00000067">
      <w:pPr>
        <w:spacing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Burn, K., Hagger, H. and Mutton, T. (2015). </w:t>
      </w:r>
      <w:r w:rsidDel="00000000" w:rsidR="00000000" w:rsidRPr="00000000">
        <w:rPr>
          <w:rFonts w:ascii="Calibri" w:cs="Calibri" w:eastAsia="Calibri" w:hAnsi="Calibri"/>
          <w:i w:val="1"/>
          <w:sz w:val="27"/>
          <w:szCs w:val="27"/>
          <w:rtl w:val="0"/>
        </w:rPr>
        <w:t xml:space="preserve">Beginning teachers’ learning : making experience count</w:t>
      </w:r>
      <w:r w:rsidDel="00000000" w:rsidR="00000000" w:rsidRPr="00000000">
        <w:rPr>
          <w:rFonts w:ascii="Calibri" w:cs="Calibri" w:eastAsia="Calibri" w:hAnsi="Calibri"/>
          <w:sz w:val="27"/>
          <w:szCs w:val="27"/>
          <w:rtl w:val="0"/>
        </w:rPr>
        <w:t xml:space="preserve">. Norwich [England]: Critical Publishing.</w:t>
      </w:r>
    </w:p>
    <w:p w:rsidR="00000000" w:rsidDel="00000000" w:rsidP="00000000" w:rsidRDefault="00000000" w:rsidRPr="00000000" w14:paraId="00000068">
      <w:pPr>
        <w:spacing w:after="240" w:before="240" w:lineRule="auto"/>
        <w:ind w:left="0" w:firstLine="0"/>
        <w:rPr>
          <w:sz w:val="24"/>
          <w:szCs w:val="24"/>
        </w:rPr>
      </w:pPr>
      <w:r w:rsidDel="00000000" w:rsidR="00000000" w:rsidRPr="00000000">
        <w:rPr>
          <w:sz w:val="24"/>
          <w:szCs w:val="24"/>
          <w:rtl w:val="0"/>
        </w:rPr>
        <w:t xml:space="preserve">Gray, C. and MacBlain, S. (2021) </w:t>
      </w:r>
      <w:r w:rsidDel="00000000" w:rsidR="00000000" w:rsidRPr="00000000">
        <w:rPr>
          <w:i w:val="1"/>
          <w:sz w:val="24"/>
          <w:szCs w:val="24"/>
          <w:rtl w:val="0"/>
        </w:rPr>
        <w:t xml:space="preserve">Learning theories in childhood</w:t>
      </w:r>
      <w:r w:rsidDel="00000000" w:rsidR="00000000" w:rsidRPr="00000000">
        <w:rPr>
          <w:sz w:val="24"/>
          <w:szCs w:val="24"/>
          <w:rtl w:val="0"/>
        </w:rPr>
        <w:t xml:space="preserve">. Sage Publications. </w:t>
      </w:r>
    </w:p>
    <w:p w:rsidR="00000000" w:rsidDel="00000000" w:rsidP="00000000" w:rsidRDefault="00000000" w:rsidRPr="00000000" w14:paraId="00000069">
      <w:pPr>
        <w:spacing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Harrison, C., Sally Author Howard and Major, C. (2013). </w:t>
      </w:r>
      <w:r w:rsidDel="00000000" w:rsidR="00000000" w:rsidRPr="00000000">
        <w:rPr>
          <w:rFonts w:ascii="Calibri" w:cs="Calibri" w:eastAsia="Calibri" w:hAnsi="Calibri"/>
          <w:i w:val="1"/>
          <w:sz w:val="27"/>
          <w:szCs w:val="27"/>
          <w:rtl w:val="0"/>
        </w:rPr>
        <w:t xml:space="preserve">Inside the black box : primary years : assessment for learning in the primary years classroom</w:t>
      </w:r>
      <w:r w:rsidDel="00000000" w:rsidR="00000000" w:rsidRPr="00000000">
        <w:rPr>
          <w:rFonts w:ascii="Calibri" w:cs="Calibri" w:eastAsia="Calibri" w:hAnsi="Calibri"/>
          <w:sz w:val="27"/>
          <w:szCs w:val="27"/>
          <w:rtl w:val="0"/>
        </w:rPr>
        <w:t xml:space="preserve">. </w:t>
      </w:r>
    </w:p>
    <w:p w:rsidR="00000000" w:rsidDel="00000000" w:rsidP="00000000" w:rsidRDefault="00000000" w:rsidRPr="00000000" w14:paraId="0000006A">
      <w:pPr>
        <w:spacing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06B">
      <w:pPr>
        <w:spacing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Moorabbin, Vic.: Hawker Brownlow Education.</w:t>
      </w:r>
    </w:p>
    <w:p w:rsidR="00000000" w:rsidDel="00000000" w:rsidP="00000000" w:rsidRDefault="00000000" w:rsidRPr="00000000" w14:paraId="0000006C">
      <w:pPr>
        <w:spacing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06D">
      <w:pPr>
        <w:spacing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Howard, C., Burton, M., Levermore, D. and Barrell, R. (2017). </w:t>
      </w:r>
      <w:r w:rsidDel="00000000" w:rsidR="00000000" w:rsidRPr="00000000">
        <w:rPr>
          <w:rFonts w:ascii="Calibri" w:cs="Calibri" w:eastAsia="Calibri" w:hAnsi="Calibri"/>
          <w:i w:val="1"/>
          <w:sz w:val="27"/>
          <w:szCs w:val="27"/>
          <w:rtl w:val="0"/>
        </w:rPr>
        <w:t xml:space="preserve">Children’s mental health &amp; emotional well-being in primary schools</w:t>
      </w:r>
      <w:r w:rsidDel="00000000" w:rsidR="00000000" w:rsidRPr="00000000">
        <w:rPr>
          <w:rFonts w:ascii="Calibri" w:cs="Calibri" w:eastAsia="Calibri" w:hAnsi="Calibri"/>
          <w:sz w:val="27"/>
          <w:szCs w:val="27"/>
          <w:rtl w:val="0"/>
        </w:rPr>
        <w:t xml:space="preserve">. London: Learning Matters, An Imprint Of Sage Publications Ltd.</w:t>
      </w:r>
    </w:p>
    <w:p w:rsidR="00000000" w:rsidDel="00000000" w:rsidP="00000000" w:rsidRDefault="00000000" w:rsidRPr="00000000" w14:paraId="0000006E">
      <w:pPr>
        <w:spacing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06F">
      <w:pPr>
        <w:spacing w:line="360" w:lineRule="auto"/>
        <w:rPr>
          <w:sz w:val="24"/>
          <w:szCs w:val="24"/>
        </w:rPr>
      </w:pPr>
      <w:r w:rsidDel="00000000" w:rsidR="00000000" w:rsidRPr="00000000">
        <w:rPr>
          <w:rFonts w:ascii="Calibri" w:cs="Calibri" w:eastAsia="Calibri" w:hAnsi="Calibri"/>
          <w:sz w:val="24"/>
          <w:szCs w:val="24"/>
          <w:rtl w:val="0"/>
        </w:rPr>
        <w:t xml:space="preserve">‌</w:t>
      </w:r>
      <w:r w:rsidDel="00000000" w:rsidR="00000000" w:rsidRPr="00000000">
        <w:rPr>
          <w:sz w:val="24"/>
          <w:szCs w:val="24"/>
          <w:rtl w:val="0"/>
        </w:rPr>
        <w:t xml:space="preserve">Kennedy, D. “The New School.” Journal of Philosophy of Education 52.1 (2018): 105–125. Web (Accessed 20th October 2023).</w:t>
      </w:r>
    </w:p>
    <w:p w:rsidR="00000000" w:rsidDel="00000000" w:rsidP="00000000" w:rsidRDefault="00000000" w:rsidRPr="00000000" w14:paraId="00000070">
      <w:pPr>
        <w:spacing w:line="360" w:lineRule="auto"/>
        <w:rPr>
          <w:sz w:val="24"/>
          <w:szCs w:val="24"/>
        </w:rPr>
      </w:pPr>
      <w:r w:rsidDel="00000000" w:rsidR="00000000" w:rsidRPr="00000000">
        <w:rPr>
          <w:rtl w:val="0"/>
        </w:rPr>
      </w:r>
    </w:p>
    <w:p w:rsidR="00000000" w:rsidDel="00000000" w:rsidP="00000000" w:rsidRDefault="00000000" w:rsidRPr="00000000" w14:paraId="00000071">
      <w:pPr>
        <w:spacing w:line="360" w:lineRule="auto"/>
        <w:rPr>
          <w:i w:val="1"/>
          <w:sz w:val="24"/>
          <w:szCs w:val="24"/>
        </w:rPr>
      </w:pPr>
      <w:r w:rsidDel="00000000" w:rsidR="00000000" w:rsidRPr="00000000">
        <w:rPr>
          <w:rFonts w:ascii="Calibri" w:cs="Calibri" w:eastAsia="Calibri" w:hAnsi="Calibri"/>
          <w:i w:val="1"/>
          <w:sz w:val="27"/>
          <w:szCs w:val="27"/>
          <w:rtl w:val="0"/>
        </w:rPr>
        <w:t xml:space="preserve">Maslow, A.H. (2011). Maslow’s hierarchy of needs. Norderstedt Grin.</w:t>
      </w:r>
      <w:r w:rsidDel="00000000" w:rsidR="00000000" w:rsidRPr="00000000">
        <w:rPr>
          <w:rtl w:val="0"/>
        </w:rPr>
      </w:r>
    </w:p>
    <w:p w:rsidR="00000000" w:rsidDel="00000000" w:rsidP="00000000" w:rsidRDefault="00000000" w:rsidRPr="00000000" w14:paraId="00000072">
      <w:pPr>
        <w:spacing w:after="240" w:before="240" w:line="360" w:lineRule="auto"/>
        <w:ind w:left="0" w:firstLine="0"/>
        <w:rPr>
          <w:sz w:val="24"/>
          <w:szCs w:val="24"/>
        </w:rPr>
      </w:pPr>
      <w:r w:rsidDel="00000000" w:rsidR="00000000" w:rsidRPr="00000000">
        <w:rPr>
          <w:i w:val="1"/>
          <w:sz w:val="24"/>
          <w:szCs w:val="24"/>
          <w:rtl w:val="0"/>
        </w:rPr>
        <w:t xml:space="preserve">The nobel prize in physiology or medicine 1904</w:t>
      </w:r>
      <w:r w:rsidDel="00000000" w:rsidR="00000000" w:rsidRPr="00000000">
        <w:rPr>
          <w:sz w:val="24"/>
          <w:szCs w:val="24"/>
          <w:rtl w:val="0"/>
        </w:rPr>
        <w:t xml:space="preserve"> (no date) </w:t>
      </w:r>
      <w:r w:rsidDel="00000000" w:rsidR="00000000" w:rsidRPr="00000000">
        <w:rPr>
          <w:i w:val="1"/>
          <w:sz w:val="24"/>
          <w:szCs w:val="24"/>
          <w:rtl w:val="0"/>
        </w:rPr>
        <w:t xml:space="preserve">NobelPrize.org</w:t>
      </w:r>
      <w:r w:rsidDel="00000000" w:rsidR="00000000" w:rsidRPr="00000000">
        <w:rPr>
          <w:sz w:val="24"/>
          <w:szCs w:val="24"/>
          <w:rtl w:val="0"/>
        </w:rPr>
        <w:t xml:space="preserve">. Available at: https://www.nobelprize.org/prizes/medicine/1904/pavlov/biographical/ (Accessed: 12 October 2023). </w:t>
      </w:r>
    </w:p>
    <w:p w:rsidR="00000000" w:rsidDel="00000000" w:rsidP="00000000" w:rsidRDefault="00000000" w:rsidRPr="00000000" w14:paraId="00000073">
      <w:pPr>
        <w:spacing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Sherrington, T. and Caviglioli, O. (2020). </w:t>
      </w:r>
      <w:r w:rsidDel="00000000" w:rsidR="00000000" w:rsidRPr="00000000">
        <w:rPr>
          <w:rFonts w:ascii="Calibri" w:cs="Calibri" w:eastAsia="Calibri" w:hAnsi="Calibri"/>
          <w:i w:val="1"/>
          <w:sz w:val="27"/>
          <w:szCs w:val="27"/>
          <w:rtl w:val="0"/>
        </w:rPr>
        <w:t xml:space="preserve">TEACHING WALKTHRUS : visual step-by-step guides to essential teaching techniques.</w:t>
      </w:r>
      <w:r w:rsidDel="00000000" w:rsidR="00000000" w:rsidRPr="00000000">
        <w:rPr>
          <w:rFonts w:ascii="Calibri" w:cs="Calibri" w:eastAsia="Calibri" w:hAnsi="Calibri"/>
          <w:sz w:val="27"/>
          <w:szCs w:val="27"/>
          <w:rtl w:val="0"/>
        </w:rPr>
        <w:t xml:space="preserve"> S.L.: John Catt Educational Ltd, pp.40–41.</w:t>
      </w:r>
    </w:p>
    <w:p w:rsidR="00000000" w:rsidDel="00000000" w:rsidP="00000000" w:rsidRDefault="00000000" w:rsidRPr="00000000" w14:paraId="00000074">
      <w:pPr>
        <w:spacing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075">
      <w:pPr>
        <w:spacing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Tripp, D. (2011). </w:t>
      </w:r>
      <w:r w:rsidDel="00000000" w:rsidR="00000000" w:rsidRPr="00000000">
        <w:rPr>
          <w:rFonts w:ascii="Calibri" w:cs="Calibri" w:eastAsia="Calibri" w:hAnsi="Calibri"/>
          <w:i w:val="1"/>
          <w:sz w:val="27"/>
          <w:szCs w:val="27"/>
          <w:rtl w:val="0"/>
        </w:rPr>
        <w:t xml:space="preserve">Critical incidents in teaching : developing professional judgement.</w:t>
      </w:r>
      <w:r w:rsidDel="00000000" w:rsidR="00000000" w:rsidRPr="00000000">
        <w:rPr>
          <w:rFonts w:ascii="Calibri" w:cs="Calibri" w:eastAsia="Calibri" w:hAnsi="Calibri"/>
          <w:sz w:val="27"/>
          <w:szCs w:val="27"/>
          <w:rtl w:val="0"/>
        </w:rPr>
        <w:t xml:space="preserve"> London: Routledge.</w:t>
      </w:r>
    </w:p>
    <w:p w:rsidR="00000000" w:rsidDel="00000000" w:rsidP="00000000" w:rsidRDefault="00000000" w:rsidRPr="00000000" w14:paraId="00000076">
      <w:pPr>
        <w:spacing w:after="240" w:before="240" w:lineRule="auto"/>
        <w:rPr>
          <w:rFonts w:ascii="Calibri" w:cs="Calibri" w:eastAsia="Calibri" w:hAnsi="Calibri"/>
          <w:sz w:val="27"/>
          <w:szCs w:val="27"/>
        </w:rPr>
      </w:pPr>
      <w:r w:rsidDel="00000000" w:rsidR="00000000" w:rsidRPr="00000000">
        <w:rPr>
          <w:rFonts w:ascii="Calibri" w:cs="Calibri" w:eastAsia="Calibri" w:hAnsi="Calibri"/>
          <w:sz w:val="24"/>
          <w:szCs w:val="24"/>
          <w:rtl w:val="0"/>
        </w:rPr>
        <w:t xml:space="preserve">‌</w:t>
      </w:r>
      <w:r w:rsidDel="00000000" w:rsidR="00000000" w:rsidRPr="00000000">
        <w:rPr>
          <w:rFonts w:ascii="Calibri" w:cs="Calibri" w:eastAsia="Calibri" w:hAnsi="Calibri"/>
          <w:sz w:val="27"/>
          <w:szCs w:val="27"/>
          <w:rtl w:val="0"/>
        </w:rPr>
        <w:t xml:space="preserve">Wiliam, D. (2009). </w:t>
      </w:r>
      <w:r w:rsidDel="00000000" w:rsidR="00000000" w:rsidRPr="00000000">
        <w:rPr>
          <w:rFonts w:ascii="Calibri" w:cs="Calibri" w:eastAsia="Calibri" w:hAnsi="Calibri"/>
          <w:i w:val="1"/>
          <w:sz w:val="27"/>
          <w:szCs w:val="27"/>
          <w:rtl w:val="0"/>
        </w:rPr>
        <w:t xml:space="preserve">Assessment for Learning</w:t>
      </w:r>
      <w:r w:rsidDel="00000000" w:rsidR="00000000" w:rsidRPr="00000000">
        <w:rPr>
          <w:rFonts w:ascii="Calibri" w:cs="Calibri" w:eastAsia="Calibri" w:hAnsi="Calibri"/>
          <w:sz w:val="27"/>
          <w:szCs w:val="27"/>
          <w:rtl w:val="0"/>
        </w:rPr>
        <w:t xml:space="preserve">. Inaugural Professorial Lecture.</w:t>
      </w:r>
    </w:p>
    <w:p w:rsidR="00000000" w:rsidDel="00000000" w:rsidP="00000000" w:rsidRDefault="00000000" w:rsidRPr="00000000" w14:paraId="00000077">
      <w:pPr>
        <w:spacing w:after="240" w:before="240" w:line="360" w:lineRule="auto"/>
        <w:rPr>
          <w:sz w:val="24"/>
          <w:szCs w:val="24"/>
        </w:rPr>
      </w:pPr>
      <w:r w:rsidDel="00000000" w:rsidR="00000000" w:rsidRPr="00000000">
        <w:rPr>
          <w:sz w:val="24"/>
          <w:szCs w:val="24"/>
          <w:rtl w:val="0"/>
        </w:rPr>
        <w:t xml:space="preserve">‌Woodhead, M. and Moss, P. (2007). </w:t>
      </w:r>
      <w:r w:rsidDel="00000000" w:rsidR="00000000" w:rsidRPr="00000000">
        <w:rPr>
          <w:i w:val="1"/>
          <w:sz w:val="24"/>
          <w:szCs w:val="24"/>
          <w:rtl w:val="0"/>
        </w:rPr>
        <w:t xml:space="preserve">Early childhood and primary education</w:t>
      </w:r>
      <w:r w:rsidDel="00000000" w:rsidR="00000000" w:rsidRPr="00000000">
        <w:rPr>
          <w:sz w:val="24"/>
          <w:szCs w:val="24"/>
          <w:rtl w:val="0"/>
        </w:rPr>
        <w:t xml:space="preserve">. Milton Keynes: Open University.</w:t>
      </w:r>
    </w:p>
    <w:p w:rsidR="00000000" w:rsidDel="00000000" w:rsidP="00000000" w:rsidRDefault="00000000" w:rsidRPr="00000000" w14:paraId="00000078">
      <w:pPr>
        <w:spacing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Wordle Game - Play Unlimited. (n.d.). </w:t>
      </w:r>
      <w:r w:rsidDel="00000000" w:rsidR="00000000" w:rsidRPr="00000000">
        <w:rPr>
          <w:rFonts w:ascii="Calibri" w:cs="Calibri" w:eastAsia="Calibri" w:hAnsi="Calibri"/>
          <w:i w:val="1"/>
          <w:sz w:val="27"/>
          <w:szCs w:val="27"/>
          <w:rtl w:val="0"/>
        </w:rPr>
        <w:t xml:space="preserve">Wordle Game - Play Unlimited</w:t>
      </w:r>
      <w:r w:rsidDel="00000000" w:rsidR="00000000" w:rsidRPr="00000000">
        <w:rPr>
          <w:rFonts w:ascii="Calibri" w:cs="Calibri" w:eastAsia="Calibri" w:hAnsi="Calibri"/>
          <w:sz w:val="27"/>
          <w:szCs w:val="27"/>
          <w:rtl w:val="0"/>
        </w:rPr>
        <w:t xml:space="preserve">. [online] Available at: </w:t>
      </w:r>
      <w:hyperlink r:id="rId8">
        <w:r w:rsidDel="00000000" w:rsidR="00000000" w:rsidRPr="00000000">
          <w:rPr>
            <w:rFonts w:ascii="Calibri" w:cs="Calibri" w:eastAsia="Calibri" w:hAnsi="Calibri"/>
            <w:color w:val="1155cc"/>
            <w:sz w:val="27"/>
            <w:szCs w:val="27"/>
            <w:u w:val="single"/>
            <w:rtl w:val="0"/>
          </w:rPr>
          <w:t xml:space="preserve">https://wordlegame.org/</w:t>
        </w:r>
      </w:hyperlink>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079">
      <w:pPr>
        <w:spacing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07A">
      <w:pPr>
        <w:spacing w:line="360" w:lineRule="auto"/>
        <w:rPr>
          <w:rFonts w:ascii="Calibri" w:cs="Calibri" w:eastAsia="Calibri" w:hAnsi="Calibri"/>
          <w:sz w:val="24"/>
          <w:szCs w:val="24"/>
        </w:rPr>
      </w:pPr>
      <w:r w:rsidDel="00000000" w:rsidR="00000000" w:rsidRPr="00000000">
        <w:rPr>
          <w:rFonts w:ascii="Calibri" w:cs="Calibri" w:eastAsia="Calibri" w:hAnsi="Calibri"/>
          <w:sz w:val="27"/>
          <w:szCs w:val="27"/>
          <w:rtl w:val="0"/>
        </w:rPr>
        <w:t xml:space="preserve">uk.search.yahoo.com. (n.d.). </w:t>
      </w:r>
      <w:r w:rsidDel="00000000" w:rsidR="00000000" w:rsidRPr="00000000">
        <w:rPr>
          <w:rFonts w:ascii="Calibri" w:cs="Calibri" w:eastAsia="Calibri" w:hAnsi="Calibri"/>
          <w:i w:val="1"/>
          <w:sz w:val="27"/>
          <w:szCs w:val="27"/>
          <w:rtl w:val="0"/>
        </w:rPr>
        <w:t xml:space="preserve">Kahoot - Yahoo Search Results</w:t>
      </w:r>
      <w:r w:rsidDel="00000000" w:rsidR="00000000" w:rsidRPr="00000000">
        <w:rPr>
          <w:rFonts w:ascii="Calibri" w:cs="Calibri" w:eastAsia="Calibri" w:hAnsi="Calibri"/>
          <w:sz w:val="27"/>
          <w:szCs w:val="27"/>
          <w:rtl w:val="0"/>
        </w:rPr>
        <w:t xml:space="preserve">. [online] Available at: https://uk.search.yahoo.com/search?fr=mcafee&amp;type=C211GB0D20140503&amp;p=Kahoot [Accessed 2 Nov. 2023].</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bedrocklearning.org/literacy-blogs/rosenshine-4-strands/" TargetMode="External"/><Relationship Id="rId8" Type="http://schemas.openxmlformats.org/officeDocument/2006/relationships/hyperlink" Target="https://wordlegam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