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4AC855" w14:textId="77777777" w:rsidR="00DE5B91" w:rsidRDefault="00DE5B91" w:rsidP="00DE5B91">
      <w:pPr>
        <w:spacing w:before="0" w:after="200" w:line="276" w:lineRule="auto"/>
        <w:jc w:val="center"/>
        <w:rPr>
          <w:b/>
          <w:bCs/>
          <w:sz w:val="32"/>
          <w:szCs w:val="28"/>
        </w:rPr>
      </w:pPr>
      <w:r w:rsidRPr="00DE5B91">
        <w:rPr>
          <w:b/>
          <w:bCs/>
          <w:sz w:val="32"/>
          <w:szCs w:val="28"/>
        </w:rPr>
        <w:t>Assessment component 1 – Community Engagement portfolio</w:t>
      </w:r>
    </w:p>
    <w:p w14:paraId="2AF4112A" w14:textId="77777777" w:rsidR="00DE5B91" w:rsidRDefault="00DE5B91" w:rsidP="00DE5B91">
      <w:pPr>
        <w:spacing w:before="0" w:after="200" w:line="276" w:lineRule="auto"/>
        <w:jc w:val="center"/>
        <w:rPr>
          <w:b/>
          <w:bCs/>
          <w:sz w:val="32"/>
          <w:szCs w:val="28"/>
        </w:rPr>
      </w:pPr>
    </w:p>
    <w:p w14:paraId="70433925" w14:textId="77777777" w:rsidR="00DE5B91" w:rsidRDefault="00DE5B91" w:rsidP="00DE5B91">
      <w:pPr>
        <w:spacing w:before="0" w:after="200" w:line="276" w:lineRule="auto"/>
        <w:jc w:val="center"/>
        <w:rPr>
          <w:b/>
          <w:bCs/>
          <w:sz w:val="32"/>
          <w:szCs w:val="28"/>
        </w:rPr>
      </w:pPr>
    </w:p>
    <w:p w14:paraId="5DF425D1" w14:textId="77777777" w:rsidR="00DE5B91" w:rsidRDefault="00DE5B91" w:rsidP="00DE5B91">
      <w:pPr>
        <w:spacing w:before="0" w:after="200" w:line="276" w:lineRule="auto"/>
        <w:jc w:val="center"/>
        <w:rPr>
          <w:b/>
          <w:bCs/>
          <w:sz w:val="32"/>
          <w:szCs w:val="28"/>
        </w:rPr>
      </w:pPr>
    </w:p>
    <w:p w14:paraId="7A5BB9FC" w14:textId="77777777" w:rsidR="00DE5B91" w:rsidRDefault="00DE5B91" w:rsidP="00DE5B91">
      <w:pPr>
        <w:spacing w:before="0" w:after="200" w:line="276" w:lineRule="auto"/>
        <w:jc w:val="center"/>
        <w:rPr>
          <w:b/>
          <w:bCs/>
          <w:sz w:val="32"/>
          <w:szCs w:val="28"/>
        </w:rPr>
      </w:pPr>
    </w:p>
    <w:p w14:paraId="2BFAEA70" w14:textId="77777777" w:rsidR="00DE5B91" w:rsidRDefault="00DE5B91" w:rsidP="00DE5B91">
      <w:pPr>
        <w:spacing w:before="0" w:after="200" w:line="276" w:lineRule="auto"/>
        <w:jc w:val="center"/>
        <w:rPr>
          <w:b/>
          <w:bCs/>
          <w:sz w:val="32"/>
          <w:szCs w:val="28"/>
        </w:rPr>
      </w:pPr>
    </w:p>
    <w:p w14:paraId="5400A81F" w14:textId="77777777" w:rsidR="00DE5B91" w:rsidRDefault="00DE5B91" w:rsidP="00DE5B91">
      <w:pPr>
        <w:spacing w:before="0" w:after="200" w:line="276" w:lineRule="auto"/>
        <w:jc w:val="center"/>
        <w:rPr>
          <w:b/>
          <w:bCs/>
          <w:sz w:val="32"/>
          <w:szCs w:val="28"/>
        </w:rPr>
      </w:pPr>
    </w:p>
    <w:p w14:paraId="383E9A82" w14:textId="77777777" w:rsidR="00DE5B91" w:rsidRDefault="00DE5B91" w:rsidP="00DE5B91">
      <w:pPr>
        <w:spacing w:before="0" w:after="200" w:line="276" w:lineRule="auto"/>
        <w:jc w:val="center"/>
        <w:rPr>
          <w:b/>
          <w:bCs/>
          <w:sz w:val="32"/>
          <w:szCs w:val="28"/>
        </w:rPr>
      </w:pPr>
    </w:p>
    <w:p w14:paraId="54BA409F" w14:textId="77777777" w:rsidR="00DE5B91" w:rsidRDefault="00DE5B91" w:rsidP="00DE5B91">
      <w:pPr>
        <w:spacing w:before="0" w:after="200" w:line="276" w:lineRule="auto"/>
        <w:jc w:val="center"/>
        <w:rPr>
          <w:b/>
          <w:bCs/>
          <w:sz w:val="32"/>
          <w:szCs w:val="28"/>
        </w:rPr>
      </w:pPr>
    </w:p>
    <w:p w14:paraId="084DF3F9" w14:textId="7FFAA507" w:rsidR="00DE5B91" w:rsidRDefault="00DE5B91" w:rsidP="00DE5B91">
      <w:pPr>
        <w:spacing w:before="0" w:after="200" w:line="276" w:lineRule="auto"/>
        <w:jc w:val="center"/>
        <w:rPr>
          <w:b/>
          <w:bCs/>
          <w:sz w:val="32"/>
          <w:szCs w:val="28"/>
        </w:rPr>
      </w:pPr>
      <w:r>
        <w:rPr>
          <w:b/>
          <w:bCs/>
          <w:sz w:val="32"/>
          <w:szCs w:val="28"/>
        </w:rPr>
        <w:t>Student Name:</w:t>
      </w:r>
      <w:r w:rsidR="00DC667D">
        <w:rPr>
          <w:b/>
          <w:bCs/>
          <w:sz w:val="32"/>
          <w:szCs w:val="28"/>
        </w:rPr>
        <w:t xml:space="preserve"> Catalina Gorgan</w:t>
      </w:r>
    </w:p>
    <w:p w14:paraId="319553A0" w14:textId="77777777" w:rsidR="00DE5B91" w:rsidRDefault="00DE5B91" w:rsidP="00DE5B91">
      <w:pPr>
        <w:spacing w:before="0" w:after="200" w:line="276" w:lineRule="auto"/>
        <w:jc w:val="center"/>
        <w:rPr>
          <w:b/>
          <w:bCs/>
          <w:sz w:val="32"/>
          <w:szCs w:val="28"/>
        </w:rPr>
      </w:pPr>
    </w:p>
    <w:p w14:paraId="48B5F57E" w14:textId="11892D60" w:rsidR="00A83336" w:rsidRPr="00DE5B91" w:rsidRDefault="00DE5B91" w:rsidP="00DE5B91">
      <w:pPr>
        <w:spacing w:before="0" w:after="200" w:line="276" w:lineRule="auto"/>
        <w:jc w:val="center"/>
        <w:rPr>
          <w:b/>
          <w:bCs/>
        </w:rPr>
      </w:pPr>
      <w:r>
        <w:rPr>
          <w:b/>
          <w:bCs/>
          <w:sz w:val="32"/>
          <w:szCs w:val="28"/>
        </w:rPr>
        <w:t>Student Id:</w:t>
      </w:r>
      <w:r w:rsidR="00DC667D">
        <w:rPr>
          <w:b/>
          <w:bCs/>
          <w:sz w:val="32"/>
          <w:szCs w:val="28"/>
        </w:rPr>
        <w:t xml:space="preserve"> 2212088</w:t>
      </w:r>
      <w:r w:rsidR="00A83336" w:rsidRPr="00DE5B91">
        <w:rPr>
          <w:b/>
          <w:bCs/>
        </w:rPr>
        <w:br w:type="page"/>
      </w:r>
    </w:p>
    <w:sdt>
      <w:sdtPr>
        <w:rPr>
          <w:rFonts w:ascii="Times New Roman" w:eastAsiaTheme="minorHAnsi" w:hAnsi="Times New Roman" w:cstheme="minorBidi"/>
          <w:color w:val="000000" w:themeColor="text1"/>
          <w:kern w:val="2"/>
          <w:sz w:val="24"/>
          <w:szCs w:val="22"/>
          <w:lang w:val="en-GB"/>
          <w14:ligatures w14:val="standardContextual"/>
        </w:rPr>
        <w:id w:val="-208576416"/>
        <w:docPartObj>
          <w:docPartGallery w:val="Table of Contents"/>
          <w:docPartUnique/>
        </w:docPartObj>
      </w:sdtPr>
      <w:sdtEndPr>
        <w:rPr>
          <w:b/>
          <w:bCs/>
          <w:noProof/>
        </w:rPr>
      </w:sdtEndPr>
      <w:sdtContent>
        <w:p w14:paraId="0797D0D9" w14:textId="77777777" w:rsidR="001938F6" w:rsidRDefault="001938F6">
          <w:pPr>
            <w:pStyle w:val="TOCHeading"/>
          </w:pPr>
          <w:r>
            <w:t>Contents</w:t>
          </w:r>
        </w:p>
        <w:p w14:paraId="6633C1C9" w14:textId="77777777" w:rsidR="001938F6" w:rsidRDefault="001938F6">
          <w:pPr>
            <w:pStyle w:val="TOC1"/>
            <w:tabs>
              <w:tab w:val="right" w:leader="dot" w:pos="9350"/>
            </w:tabs>
            <w:rPr>
              <w:noProof/>
            </w:rPr>
          </w:pPr>
          <w:r>
            <w:fldChar w:fldCharType="begin"/>
          </w:r>
          <w:r>
            <w:instrText xml:space="preserve"> TOC \o "1-3" \h \z \u </w:instrText>
          </w:r>
          <w:r>
            <w:fldChar w:fldCharType="separate"/>
          </w:r>
          <w:hyperlink w:anchor="_Toc167369997" w:history="1">
            <w:r w:rsidRPr="00EC2812">
              <w:rPr>
                <w:rStyle w:val="Hyperlink"/>
                <w:noProof/>
              </w:rPr>
              <w:t>Introduction</w:t>
            </w:r>
            <w:r>
              <w:rPr>
                <w:noProof/>
                <w:webHidden/>
              </w:rPr>
              <w:tab/>
            </w:r>
            <w:r>
              <w:rPr>
                <w:noProof/>
                <w:webHidden/>
              </w:rPr>
              <w:fldChar w:fldCharType="begin"/>
            </w:r>
            <w:r>
              <w:rPr>
                <w:noProof/>
                <w:webHidden/>
              </w:rPr>
              <w:instrText xml:space="preserve"> PAGEREF _Toc167369997 \h </w:instrText>
            </w:r>
            <w:r>
              <w:rPr>
                <w:noProof/>
                <w:webHidden/>
              </w:rPr>
            </w:r>
            <w:r>
              <w:rPr>
                <w:noProof/>
                <w:webHidden/>
              </w:rPr>
              <w:fldChar w:fldCharType="separate"/>
            </w:r>
            <w:r>
              <w:rPr>
                <w:noProof/>
                <w:webHidden/>
              </w:rPr>
              <w:t>3</w:t>
            </w:r>
            <w:r>
              <w:rPr>
                <w:noProof/>
                <w:webHidden/>
              </w:rPr>
              <w:fldChar w:fldCharType="end"/>
            </w:r>
          </w:hyperlink>
        </w:p>
        <w:p w14:paraId="6A9E3B9F" w14:textId="77777777" w:rsidR="001938F6" w:rsidRDefault="00000000">
          <w:pPr>
            <w:pStyle w:val="TOC1"/>
            <w:tabs>
              <w:tab w:val="right" w:leader="dot" w:pos="9350"/>
            </w:tabs>
            <w:rPr>
              <w:noProof/>
            </w:rPr>
          </w:pPr>
          <w:hyperlink w:anchor="_Toc167369998" w:history="1">
            <w:r w:rsidR="001938F6" w:rsidRPr="00EC2812">
              <w:rPr>
                <w:rStyle w:val="Hyperlink"/>
                <w:noProof/>
              </w:rPr>
              <w:t>Community Engagement Principles</w:t>
            </w:r>
            <w:r w:rsidR="001938F6">
              <w:rPr>
                <w:noProof/>
                <w:webHidden/>
              </w:rPr>
              <w:tab/>
            </w:r>
            <w:r w:rsidR="001938F6">
              <w:rPr>
                <w:noProof/>
                <w:webHidden/>
              </w:rPr>
              <w:fldChar w:fldCharType="begin"/>
            </w:r>
            <w:r w:rsidR="001938F6">
              <w:rPr>
                <w:noProof/>
                <w:webHidden/>
              </w:rPr>
              <w:instrText xml:space="preserve"> PAGEREF _Toc167369998 \h </w:instrText>
            </w:r>
            <w:r w:rsidR="001938F6">
              <w:rPr>
                <w:noProof/>
                <w:webHidden/>
              </w:rPr>
            </w:r>
            <w:r w:rsidR="001938F6">
              <w:rPr>
                <w:noProof/>
                <w:webHidden/>
              </w:rPr>
              <w:fldChar w:fldCharType="separate"/>
            </w:r>
            <w:r w:rsidR="001938F6">
              <w:rPr>
                <w:noProof/>
                <w:webHidden/>
              </w:rPr>
              <w:t>4</w:t>
            </w:r>
            <w:r w:rsidR="001938F6">
              <w:rPr>
                <w:noProof/>
                <w:webHidden/>
              </w:rPr>
              <w:fldChar w:fldCharType="end"/>
            </w:r>
          </w:hyperlink>
        </w:p>
        <w:p w14:paraId="5362296A" w14:textId="77777777" w:rsidR="001938F6" w:rsidRDefault="00000000">
          <w:pPr>
            <w:pStyle w:val="TOC1"/>
            <w:tabs>
              <w:tab w:val="right" w:leader="dot" w:pos="9350"/>
            </w:tabs>
            <w:rPr>
              <w:noProof/>
            </w:rPr>
          </w:pPr>
          <w:hyperlink w:anchor="_Toc167369999" w:history="1">
            <w:r w:rsidR="001938F6" w:rsidRPr="00EC2812">
              <w:rPr>
                <w:rStyle w:val="Hyperlink"/>
                <w:noProof/>
              </w:rPr>
              <w:t>Planning and Design</w:t>
            </w:r>
            <w:r w:rsidR="001938F6">
              <w:rPr>
                <w:noProof/>
                <w:webHidden/>
              </w:rPr>
              <w:tab/>
            </w:r>
            <w:r w:rsidR="001938F6">
              <w:rPr>
                <w:noProof/>
                <w:webHidden/>
              </w:rPr>
              <w:fldChar w:fldCharType="begin"/>
            </w:r>
            <w:r w:rsidR="001938F6">
              <w:rPr>
                <w:noProof/>
                <w:webHidden/>
              </w:rPr>
              <w:instrText xml:space="preserve"> PAGEREF _Toc167369999 \h </w:instrText>
            </w:r>
            <w:r w:rsidR="001938F6">
              <w:rPr>
                <w:noProof/>
                <w:webHidden/>
              </w:rPr>
            </w:r>
            <w:r w:rsidR="001938F6">
              <w:rPr>
                <w:noProof/>
                <w:webHidden/>
              </w:rPr>
              <w:fldChar w:fldCharType="separate"/>
            </w:r>
            <w:r w:rsidR="001938F6">
              <w:rPr>
                <w:noProof/>
                <w:webHidden/>
              </w:rPr>
              <w:t>6</w:t>
            </w:r>
            <w:r w:rsidR="001938F6">
              <w:rPr>
                <w:noProof/>
                <w:webHidden/>
              </w:rPr>
              <w:fldChar w:fldCharType="end"/>
            </w:r>
          </w:hyperlink>
        </w:p>
        <w:p w14:paraId="77DB9B80" w14:textId="77777777" w:rsidR="001938F6" w:rsidRDefault="00000000">
          <w:pPr>
            <w:pStyle w:val="TOC1"/>
            <w:tabs>
              <w:tab w:val="right" w:leader="dot" w:pos="9350"/>
            </w:tabs>
            <w:rPr>
              <w:noProof/>
            </w:rPr>
          </w:pPr>
          <w:hyperlink w:anchor="_Toc167370000" w:history="1">
            <w:r w:rsidR="001938F6" w:rsidRPr="00EC2812">
              <w:rPr>
                <w:rStyle w:val="Hyperlink"/>
                <w:noProof/>
              </w:rPr>
              <w:t>Standards</w:t>
            </w:r>
            <w:r w:rsidR="001938F6">
              <w:rPr>
                <w:noProof/>
                <w:webHidden/>
              </w:rPr>
              <w:tab/>
            </w:r>
            <w:r w:rsidR="001938F6">
              <w:rPr>
                <w:noProof/>
                <w:webHidden/>
              </w:rPr>
              <w:fldChar w:fldCharType="begin"/>
            </w:r>
            <w:r w:rsidR="001938F6">
              <w:rPr>
                <w:noProof/>
                <w:webHidden/>
              </w:rPr>
              <w:instrText xml:space="preserve"> PAGEREF _Toc167370000 \h </w:instrText>
            </w:r>
            <w:r w:rsidR="001938F6">
              <w:rPr>
                <w:noProof/>
                <w:webHidden/>
              </w:rPr>
            </w:r>
            <w:r w:rsidR="001938F6">
              <w:rPr>
                <w:noProof/>
                <w:webHidden/>
              </w:rPr>
              <w:fldChar w:fldCharType="separate"/>
            </w:r>
            <w:r w:rsidR="001938F6">
              <w:rPr>
                <w:noProof/>
                <w:webHidden/>
              </w:rPr>
              <w:t>8</w:t>
            </w:r>
            <w:r w:rsidR="001938F6">
              <w:rPr>
                <w:noProof/>
                <w:webHidden/>
              </w:rPr>
              <w:fldChar w:fldCharType="end"/>
            </w:r>
          </w:hyperlink>
        </w:p>
        <w:p w14:paraId="3EE96F17" w14:textId="77777777" w:rsidR="001938F6" w:rsidRDefault="00000000">
          <w:pPr>
            <w:pStyle w:val="TOC1"/>
            <w:tabs>
              <w:tab w:val="right" w:leader="dot" w:pos="9350"/>
            </w:tabs>
            <w:rPr>
              <w:noProof/>
            </w:rPr>
          </w:pPr>
          <w:hyperlink w:anchor="_Toc167370001" w:history="1">
            <w:r w:rsidR="001938F6" w:rsidRPr="00EC2812">
              <w:rPr>
                <w:rStyle w:val="Hyperlink"/>
                <w:noProof/>
              </w:rPr>
              <w:t>Evaluation and Impact</w:t>
            </w:r>
            <w:r w:rsidR="001938F6">
              <w:rPr>
                <w:noProof/>
                <w:webHidden/>
              </w:rPr>
              <w:tab/>
            </w:r>
            <w:r w:rsidR="001938F6">
              <w:rPr>
                <w:noProof/>
                <w:webHidden/>
              </w:rPr>
              <w:fldChar w:fldCharType="begin"/>
            </w:r>
            <w:r w:rsidR="001938F6">
              <w:rPr>
                <w:noProof/>
                <w:webHidden/>
              </w:rPr>
              <w:instrText xml:space="preserve"> PAGEREF _Toc167370001 \h </w:instrText>
            </w:r>
            <w:r w:rsidR="001938F6">
              <w:rPr>
                <w:noProof/>
                <w:webHidden/>
              </w:rPr>
            </w:r>
            <w:r w:rsidR="001938F6">
              <w:rPr>
                <w:noProof/>
                <w:webHidden/>
              </w:rPr>
              <w:fldChar w:fldCharType="separate"/>
            </w:r>
            <w:r w:rsidR="001938F6">
              <w:rPr>
                <w:noProof/>
                <w:webHidden/>
              </w:rPr>
              <w:t>10</w:t>
            </w:r>
            <w:r w:rsidR="001938F6">
              <w:rPr>
                <w:noProof/>
                <w:webHidden/>
              </w:rPr>
              <w:fldChar w:fldCharType="end"/>
            </w:r>
          </w:hyperlink>
        </w:p>
        <w:p w14:paraId="1C57AD49" w14:textId="77777777" w:rsidR="001938F6" w:rsidRDefault="00000000">
          <w:pPr>
            <w:pStyle w:val="TOC1"/>
            <w:tabs>
              <w:tab w:val="right" w:leader="dot" w:pos="9350"/>
            </w:tabs>
            <w:rPr>
              <w:noProof/>
            </w:rPr>
          </w:pPr>
          <w:hyperlink w:anchor="_Toc167370002" w:history="1">
            <w:r w:rsidR="001938F6" w:rsidRPr="00EC2812">
              <w:rPr>
                <w:rStyle w:val="Hyperlink"/>
                <w:noProof/>
              </w:rPr>
              <w:t>Links to Personal Skills</w:t>
            </w:r>
            <w:r w:rsidR="001938F6">
              <w:rPr>
                <w:noProof/>
                <w:webHidden/>
              </w:rPr>
              <w:tab/>
            </w:r>
            <w:r w:rsidR="001938F6">
              <w:rPr>
                <w:noProof/>
                <w:webHidden/>
              </w:rPr>
              <w:fldChar w:fldCharType="begin"/>
            </w:r>
            <w:r w:rsidR="001938F6">
              <w:rPr>
                <w:noProof/>
                <w:webHidden/>
              </w:rPr>
              <w:instrText xml:space="preserve"> PAGEREF _Toc167370002 \h </w:instrText>
            </w:r>
            <w:r w:rsidR="001938F6">
              <w:rPr>
                <w:noProof/>
                <w:webHidden/>
              </w:rPr>
            </w:r>
            <w:r w:rsidR="001938F6">
              <w:rPr>
                <w:noProof/>
                <w:webHidden/>
              </w:rPr>
              <w:fldChar w:fldCharType="separate"/>
            </w:r>
            <w:r w:rsidR="001938F6">
              <w:rPr>
                <w:noProof/>
                <w:webHidden/>
              </w:rPr>
              <w:t>12</w:t>
            </w:r>
            <w:r w:rsidR="001938F6">
              <w:rPr>
                <w:noProof/>
                <w:webHidden/>
              </w:rPr>
              <w:fldChar w:fldCharType="end"/>
            </w:r>
          </w:hyperlink>
        </w:p>
        <w:p w14:paraId="6A9F7A85" w14:textId="77777777" w:rsidR="001938F6" w:rsidRDefault="00000000">
          <w:pPr>
            <w:pStyle w:val="TOC1"/>
            <w:tabs>
              <w:tab w:val="right" w:leader="dot" w:pos="9350"/>
            </w:tabs>
            <w:rPr>
              <w:noProof/>
            </w:rPr>
          </w:pPr>
          <w:hyperlink w:anchor="_Toc167370003" w:history="1">
            <w:r w:rsidR="001938F6" w:rsidRPr="00EC2812">
              <w:rPr>
                <w:rStyle w:val="Hyperlink"/>
                <w:noProof/>
              </w:rPr>
              <w:t>Conclusion</w:t>
            </w:r>
            <w:r w:rsidR="001938F6">
              <w:rPr>
                <w:noProof/>
                <w:webHidden/>
              </w:rPr>
              <w:tab/>
            </w:r>
            <w:r w:rsidR="001938F6">
              <w:rPr>
                <w:noProof/>
                <w:webHidden/>
              </w:rPr>
              <w:fldChar w:fldCharType="begin"/>
            </w:r>
            <w:r w:rsidR="001938F6">
              <w:rPr>
                <w:noProof/>
                <w:webHidden/>
              </w:rPr>
              <w:instrText xml:space="preserve"> PAGEREF _Toc167370003 \h </w:instrText>
            </w:r>
            <w:r w:rsidR="001938F6">
              <w:rPr>
                <w:noProof/>
                <w:webHidden/>
              </w:rPr>
            </w:r>
            <w:r w:rsidR="001938F6">
              <w:rPr>
                <w:noProof/>
                <w:webHidden/>
              </w:rPr>
              <w:fldChar w:fldCharType="separate"/>
            </w:r>
            <w:r w:rsidR="001938F6">
              <w:rPr>
                <w:noProof/>
                <w:webHidden/>
              </w:rPr>
              <w:t>14</w:t>
            </w:r>
            <w:r w:rsidR="001938F6">
              <w:rPr>
                <w:noProof/>
                <w:webHidden/>
              </w:rPr>
              <w:fldChar w:fldCharType="end"/>
            </w:r>
          </w:hyperlink>
        </w:p>
        <w:p w14:paraId="032C3895" w14:textId="77777777" w:rsidR="001938F6" w:rsidRDefault="00000000">
          <w:pPr>
            <w:pStyle w:val="TOC1"/>
            <w:tabs>
              <w:tab w:val="right" w:leader="dot" w:pos="9350"/>
            </w:tabs>
            <w:rPr>
              <w:noProof/>
            </w:rPr>
          </w:pPr>
          <w:hyperlink w:anchor="_Toc167370004" w:history="1">
            <w:r w:rsidR="001938F6" w:rsidRPr="00EC2812">
              <w:rPr>
                <w:rStyle w:val="Hyperlink"/>
                <w:noProof/>
              </w:rPr>
              <w:t>References</w:t>
            </w:r>
            <w:r w:rsidR="001938F6">
              <w:rPr>
                <w:noProof/>
                <w:webHidden/>
              </w:rPr>
              <w:tab/>
            </w:r>
            <w:r w:rsidR="001938F6">
              <w:rPr>
                <w:noProof/>
                <w:webHidden/>
              </w:rPr>
              <w:fldChar w:fldCharType="begin"/>
            </w:r>
            <w:r w:rsidR="001938F6">
              <w:rPr>
                <w:noProof/>
                <w:webHidden/>
              </w:rPr>
              <w:instrText xml:space="preserve"> PAGEREF _Toc167370004 \h </w:instrText>
            </w:r>
            <w:r w:rsidR="001938F6">
              <w:rPr>
                <w:noProof/>
                <w:webHidden/>
              </w:rPr>
            </w:r>
            <w:r w:rsidR="001938F6">
              <w:rPr>
                <w:noProof/>
                <w:webHidden/>
              </w:rPr>
              <w:fldChar w:fldCharType="separate"/>
            </w:r>
            <w:r w:rsidR="001938F6">
              <w:rPr>
                <w:noProof/>
                <w:webHidden/>
              </w:rPr>
              <w:t>15</w:t>
            </w:r>
            <w:r w:rsidR="001938F6">
              <w:rPr>
                <w:noProof/>
                <w:webHidden/>
              </w:rPr>
              <w:fldChar w:fldCharType="end"/>
            </w:r>
          </w:hyperlink>
        </w:p>
        <w:p w14:paraId="52834DB2" w14:textId="77777777" w:rsidR="001938F6" w:rsidRDefault="00000000">
          <w:pPr>
            <w:pStyle w:val="TOC1"/>
            <w:tabs>
              <w:tab w:val="right" w:leader="dot" w:pos="9350"/>
            </w:tabs>
            <w:rPr>
              <w:noProof/>
            </w:rPr>
          </w:pPr>
          <w:hyperlink w:anchor="_Toc167370005" w:history="1">
            <w:r w:rsidR="001938F6" w:rsidRPr="00EC2812">
              <w:rPr>
                <w:rStyle w:val="Hyperlink"/>
                <w:noProof/>
              </w:rPr>
              <w:t>Appendix</w:t>
            </w:r>
            <w:r w:rsidR="001938F6">
              <w:rPr>
                <w:noProof/>
                <w:webHidden/>
              </w:rPr>
              <w:tab/>
            </w:r>
            <w:r w:rsidR="001938F6">
              <w:rPr>
                <w:noProof/>
                <w:webHidden/>
              </w:rPr>
              <w:fldChar w:fldCharType="begin"/>
            </w:r>
            <w:r w:rsidR="001938F6">
              <w:rPr>
                <w:noProof/>
                <w:webHidden/>
              </w:rPr>
              <w:instrText xml:space="preserve"> PAGEREF _Toc167370005 \h </w:instrText>
            </w:r>
            <w:r w:rsidR="001938F6">
              <w:rPr>
                <w:noProof/>
                <w:webHidden/>
              </w:rPr>
            </w:r>
            <w:r w:rsidR="001938F6">
              <w:rPr>
                <w:noProof/>
                <w:webHidden/>
              </w:rPr>
              <w:fldChar w:fldCharType="separate"/>
            </w:r>
            <w:r w:rsidR="001938F6">
              <w:rPr>
                <w:noProof/>
                <w:webHidden/>
              </w:rPr>
              <w:t>18</w:t>
            </w:r>
            <w:r w:rsidR="001938F6">
              <w:rPr>
                <w:noProof/>
                <w:webHidden/>
              </w:rPr>
              <w:fldChar w:fldCharType="end"/>
            </w:r>
          </w:hyperlink>
        </w:p>
        <w:p w14:paraId="12488DE5" w14:textId="77777777" w:rsidR="001938F6" w:rsidRDefault="001938F6">
          <w:r>
            <w:rPr>
              <w:b/>
              <w:bCs/>
              <w:noProof/>
            </w:rPr>
            <w:fldChar w:fldCharType="end"/>
          </w:r>
        </w:p>
      </w:sdtContent>
    </w:sdt>
    <w:p w14:paraId="047847B6" w14:textId="77777777" w:rsidR="00A83336" w:rsidRDefault="00A83336">
      <w:pPr>
        <w:spacing w:before="0" w:after="200" w:line="276" w:lineRule="auto"/>
        <w:jc w:val="left"/>
      </w:pPr>
      <w:r>
        <w:br w:type="page"/>
      </w:r>
    </w:p>
    <w:p w14:paraId="1563C977" w14:textId="77777777" w:rsidR="005E40CA" w:rsidRDefault="00A83336" w:rsidP="00A83336">
      <w:pPr>
        <w:pStyle w:val="Heading1"/>
      </w:pPr>
      <w:bookmarkStart w:id="0" w:name="_Toc167369997"/>
      <w:r>
        <w:lastRenderedPageBreak/>
        <w:t>Introduction</w:t>
      </w:r>
      <w:bookmarkEnd w:id="0"/>
    </w:p>
    <w:p w14:paraId="3034A47C" w14:textId="77777777" w:rsidR="005D4022" w:rsidRPr="00AE5B49" w:rsidRDefault="008C6CE4" w:rsidP="005D4022">
      <w:r w:rsidRPr="00AE5B49">
        <w:t>The summary of the project is Manchester Green Space Improvements Plan is to increase the number of green spaces within areas of high urban density, with an emphasis on green technologies, social inclusiveness, and population health benefits. Specifically, this project features the rehabilitation of abandoned land and depopulated areas of cities into parks, gardens and recreational zones that will address the needs of the populace within the community. This reflective portfolio will show how the project incorporates best practices includ</w:t>
      </w:r>
      <w:r w:rsidR="001A2548">
        <w:t>ing</w:t>
      </w:r>
      <w:r w:rsidRPr="00AE5B49">
        <w:t xml:space="preserve"> the five principles of community engagement, proper planning and design of the project including current standards, and appropriate evaluation of the project</w:t>
      </w:r>
      <w:r w:rsidR="001C2ACC">
        <w:t xml:space="preserve"> </w:t>
      </w:r>
      <w:r w:rsidR="001C2ACC" w:rsidRPr="001C2ACC">
        <w:t>(Alnsour et al., 2020)</w:t>
      </w:r>
      <w:r w:rsidRPr="00AE5B49">
        <w:t xml:space="preserve">. Under this, it will be necessary for the report to explain the approaches to be taken for finding out and explaining such engagement principles as inclusiveness, openness, and partnership with other parties or stakeholders. After this, it will discuss the analysis phase and how planning and design of the project will be done such as community needs assessment and engagement of various stakeholders. After this, the report will assess the standards like </w:t>
      </w:r>
      <w:r w:rsidR="001A2548">
        <w:t xml:space="preserve">the </w:t>
      </w:r>
      <w:r w:rsidRPr="00AE5B49">
        <w:t xml:space="preserve">UK Green Flag Award and will describe the suitability and communiqué thereof. In the evaluation and impact section, the approaches for assessing the efficacy of the project and </w:t>
      </w:r>
      <w:r w:rsidR="001A2548">
        <w:t>how</w:t>
      </w:r>
      <w:r w:rsidRPr="00AE5B49">
        <w:t xml:space="preserve"> findings will be disseminated to stakeholders will be provided</w:t>
      </w:r>
      <w:r w:rsidR="001C2ACC">
        <w:t xml:space="preserve"> </w:t>
      </w:r>
      <w:r w:rsidR="001C2ACC" w:rsidRPr="001C2ACC">
        <w:t>(Baiocchi and Ganuza, 2020)</w:t>
      </w:r>
      <w:r w:rsidRPr="00AE5B49">
        <w:t xml:space="preserve">. Last but not least, the report will demonstrate how skills that have been described in the process of </w:t>
      </w:r>
      <w:r w:rsidR="001A2548">
        <w:t xml:space="preserve">the </w:t>
      </w:r>
      <w:r w:rsidRPr="00AE5B49">
        <w:t>CPD log are related to the management and facilitation of the given project. In the conclusion part, the author will briefly restate the main findings and evaluate the potential repercussions of the project</w:t>
      </w:r>
      <w:r w:rsidR="005D4022" w:rsidRPr="00AE5B49">
        <w:t>.</w:t>
      </w:r>
    </w:p>
    <w:p w14:paraId="6E97031C" w14:textId="77777777" w:rsidR="005D4022" w:rsidRPr="00AE5B49" w:rsidRDefault="005D4022">
      <w:pPr>
        <w:spacing w:before="0" w:after="200" w:line="276" w:lineRule="auto"/>
        <w:jc w:val="left"/>
      </w:pPr>
      <w:r w:rsidRPr="00AE5B49">
        <w:br w:type="page"/>
      </w:r>
    </w:p>
    <w:p w14:paraId="325F2FC0" w14:textId="77777777" w:rsidR="005D4022" w:rsidRPr="00AE5B49" w:rsidRDefault="005D4022" w:rsidP="005D4022">
      <w:pPr>
        <w:pStyle w:val="Heading1"/>
      </w:pPr>
      <w:bookmarkStart w:id="1" w:name="_Toc167369998"/>
      <w:r w:rsidRPr="00AE5B49">
        <w:lastRenderedPageBreak/>
        <w:t>Community Engagement Principles</w:t>
      </w:r>
      <w:bookmarkEnd w:id="1"/>
    </w:p>
    <w:p w14:paraId="08B7A5DB" w14:textId="77777777" w:rsidR="005D4022" w:rsidRPr="00AE5B49" w:rsidRDefault="005D4022" w:rsidP="005D4022">
      <w:pPr>
        <w:rPr>
          <w:b/>
          <w:bCs/>
        </w:rPr>
      </w:pPr>
      <w:r w:rsidRPr="00AE5B49">
        <w:rPr>
          <w:b/>
          <w:bCs/>
        </w:rPr>
        <w:t>Identification of Principles</w:t>
      </w:r>
    </w:p>
    <w:p w14:paraId="08627284" w14:textId="77777777" w:rsidR="008C6CE4" w:rsidRPr="00AE5B49" w:rsidRDefault="008C6CE4" w:rsidP="008C6CE4">
      <w:r w:rsidRPr="00AE5B49">
        <w:t>The Green Spaces Community Revitali</w:t>
      </w:r>
      <w:r w:rsidR="00AE5B49">
        <w:t>s</w:t>
      </w:r>
      <w:r w:rsidRPr="00AE5B49">
        <w:t>ation Project in Manchester will adhere to several key community engagement principles:</w:t>
      </w:r>
    </w:p>
    <w:p w14:paraId="43CFEF05" w14:textId="77777777" w:rsidR="008C6CE4" w:rsidRPr="00AE5B49" w:rsidRDefault="008C6CE4" w:rsidP="008C6CE4">
      <w:r w:rsidRPr="00263BEE">
        <w:rPr>
          <w:b/>
          <w:bCs/>
        </w:rPr>
        <w:t>1. Inclusivity:</w:t>
      </w:r>
      <w:r w:rsidRPr="00AE5B49">
        <w:t xml:space="preserve"> Ensures that everyone’s voice across the diverse community can be heard, and they all can contribute towards the program and have </w:t>
      </w:r>
      <w:r w:rsidR="001A2548">
        <w:t>the</w:t>
      </w:r>
      <w:r w:rsidRPr="00AE5B49">
        <w:t xml:space="preserve"> capacity to feel that they belong to the community</w:t>
      </w:r>
      <w:r w:rsidR="001C2ACC">
        <w:t xml:space="preserve"> </w:t>
      </w:r>
      <w:r w:rsidR="001C2ACC" w:rsidRPr="001C2ACC">
        <w:t>(Biruk and Trapence, 2020)</w:t>
      </w:r>
      <w:r w:rsidRPr="00AE5B49">
        <w:t>.</w:t>
      </w:r>
    </w:p>
    <w:p w14:paraId="1B116E15" w14:textId="77777777" w:rsidR="008C6CE4" w:rsidRPr="00AE5B49" w:rsidRDefault="008C6CE4" w:rsidP="008C6CE4">
      <w:r w:rsidRPr="00263BEE">
        <w:rPr>
          <w:b/>
          <w:bCs/>
        </w:rPr>
        <w:t>2. Transparency:</w:t>
      </w:r>
      <w:r w:rsidRPr="00AE5B49">
        <w:t xml:space="preserve"> This requires the effective announcement/communication of what the project entails, the processes to be followed or any decision made to the community for the project team and the community </w:t>
      </w:r>
      <w:r w:rsidR="001A2548">
        <w:t xml:space="preserve">to </w:t>
      </w:r>
      <w:r w:rsidRPr="00AE5B49">
        <w:t>gain trust hence making the actions exhibited very conspicuous and reasonable.</w:t>
      </w:r>
    </w:p>
    <w:p w14:paraId="06B8D840" w14:textId="77777777" w:rsidR="005D4022" w:rsidRPr="00AE5B49" w:rsidRDefault="008C6CE4" w:rsidP="008C6CE4">
      <w:r w:rsidRPr="00263BEE">
        <w:rPr>
          <w:b/>
          <w:bCs/>
        </w:rPr>
        <w:t>3. Collaboration:</w:t>
      </w:r>
      <w:r w:rsidRPr="00AE5B49">
        <w:t xml:space="preserve"> Stresses that it is crucial to engage a mix of groups that are potentially interested in the project, this could be the residents, other businesses, and government departments to benefit from as many different skill sets, knowledge and resources as possible</w:t>
      </w:r>
      <w:r w:rsidR="005D4022" w:rsidRPr="00AE5B49">
        <w:t>.</w:t>
      </w:r>
    </w:p>
    <w:p w14:paraId="7C4CC0B3" w14:textId="77777777" w:rsidR="00180429" w:rsidRPr="00AE5B49" w:rsidRDefault="00180429" w:rsidP="00180429">
      <w:r w:rsidRPr="00263BEE">
        <w:rPr>
          <w:b/>
          <w:bCs/>
        </w:rPr>
        <w:t>4. Empowerment:</w:t>
      </w:r>
      <w:r w:rsidRPr="00AE5B49">
        <w:t xml:space="preserve"> This concentrates on the fact that the community members should be empowered to make a positive contribution through the provision of tools, resources and opportunities in a bid to develop local ownership and thereby ensure sustained implementation of the project</w:t>
      </w:r>
      <w:r w:rsidR="001C2ACC">
        <w:t xml:space="preserve"> </w:t>
      </w:r>
      <w:r w:rsidR="001C2ACC" w:rsidRPr="001C2ACC">
        <w:t>(Burgess et al., 2021)</w:t>
      </w:r>
      <w:r w:rsidRPr="00AE5B49">
        <w:t>.</w:t>
      </w:r>
    </w:p>
    <w:p w14:paraId="27898EBC" w14:textId="77777777" w:rsidR="00180429" w:rsidRPr="00AE5B49" w:rsidRDefault="00180429" w:rsidP="00180429">
      <w:r w:rsidRPr="00263BEE">
        <w:rPr>
          <w:b/>
          <w:bCs/>
        </w:rPr>
        <w:t>5. Sustainability:</w:t>
      </w:r>
      <w:r w:rsidRPr="00AE5B49">
        <w:t xml:space="preserve"> It should ensure that a project is not just solving the short-term problems but will in the long run have positive effects on the community and environment and not just existent once the project is completed.</w:t>
      </w:r>
    </w:p>
    <w:p w14:paraId="633597F0" w14:textId="77777777" w:rsidR="00180429" w:rsidRPr="00AE5B49" w:rsidRDefault="00180429" w:rsidP="00180429">
      <w:pPr>
        <w:rPr>
          <w:b/>
          <w:bCs/>
        </w:rPr>
      </w:pPr>
      <w:r w:rsidRPr="00AE5B49">
        <w:rPr>
          <w:b/>
          <w:bCs/>
        </w:rPr>
        <w:t>Relevance and Suitability</w:t>
      </w:r>
    </w:p>
    <w:p w14:paraId="1A12C3A2" w14:textId="77777777" w:rsidR="00180429" w:rsidRPr="00AE5B49" w:rsidRDefault="00180429" w:rsidP="00180429">
      <w:r w:rsidRPr="00AE5B49">
        <w:t>These principles are particularly appropriate for the Green Spaces Community Revitali</w:t>
      </w:r>
      <w:r w:rsidR="00AE5B49">
        <w:t>s</w:t>
      </w:r>
      <w:r w:rsidRPr="00AE5B49">
        <w:t>ation Project for several reasons:</w:t>
      </w:r>
    </w:p>
    <w:p w14:paraId="5CE7D17A" w14:textId="77777777" w:rsidR="00180429" w:rsidRPr="00AE5B49" w:rsidRDefault="00180429" w:rsidP="001C2ACC">
      <w:r w:rsidRPr="00263BEE">
        <w:rPr>
          <w:b/>
          <w:bCs/>
        </w:rPr>
        <w:lastRenderedPageBreak/>
        <w:t>Inclusivity:</w:t>
      </w:r>
      <w:r w:rsidRPr="00AE5B49">
        <w:t xml:space="preserve"> increases identification, and brings satisfaction of the member’s needs and wants, which in turn, will foster support from the whole community</w:t>
      </w:r>
      <w:r w:rsidR="001C2ACC">
        <w:t xml:space="preserve"> (Carter et al., 2022)</w:t>
      </w:r>
      <w:r w:rsidRPr="00AE5B49">
        <w:t>. In this regard, the integration of a broad variety of focal points ensures that the needs of all stakeholders are incorporated and exclusion is eliminated.</w:t>
      </w:r>
    </w:p>
    <w:p w14:paraId="445C14EE" w14:textId="77777777" w:rsidR="00180429" w:rsidRPr="00AE5B49" w:rsidRDefault="00180429" w:rsidP="00180429">
      <w:r w:rsidRPr="00263BEE">
        <w:rPr>
          <w:b/>
          <w:bCs/>
        </w:rPr>
        <w:t>Transparency:</w:t>
      </w:r>
      <w:r w:rsidRPr="00AE5B49">
        <w:t xml:space="preserve"> Promotes trust since members of the community are made to feel that their contributions count in making decisions and are informed on how decisions are made and this reduces conflict.</w:t>
      </w:r>
    </w:p>
    <w:p w14:paraId="1B9BBF9C" w14:textId="77777777" w:rsidR="00180429" w:rsidRPr="00AE5B49" w:rsidRDefault="00180429" w:rsidP="00180429">
      <w:r w:rsidRPr="00263BEE">
        <w:rPr>
          <w:b/>
          <w:bCs/>
        </w:rPr>
        <w:t>Collaboration:</w:t>
      </w:r>
      <w:r w:rsidRPr="00AE5B49">
        <w:t xml:space="preserve"> Expands on the overall capability and visibility of the project by including a diverse range of professionals and backing from all circles.</w:t>
      </w:r>
    </w:p>
    <w:p w14:paraId="411292A6" w14:textId="77777777" w:rsidR="00180429" w:rsidRPr="00AE5B49" w:rsidRDefault="00180429" w:rsidP="00180429">
      <w:r w:rsidRPr="00263BEE">
        <w:rPr>
          <w:b/>
          <w:bCs/>
        </w:rPr>
        <w:t>Empowerment:</w:t>
      </w:r>
      <w:r w:rsidRPr="00AE5B49">
        <w:t xml:space="preserve"> This makes everyone in the community have ownership over a project which is very important when it comes to sustainability</w:t>
      </w:r>
      <w:r w:rsidR="001C2ACC">
        <w:t xml:space="preserve"> </w:t>
      </w:r>
      <w:r w:rsidR="001C2ACC" w:rsidRPr="001C2ACC">
        <w:t>(Coy et al., 2021)</w:t>
      </w:r>
      <w:r w:rsidRPr="00AE5B49">
        <w:t xml:space="preserve">. Engagement and support </w:t>
      </w:r>
      <w:r w:rsidR="001A2548">
        <w:t>for</w:t>
      </w:r>
      <w:r w:rsidRPr="00AE5B49">
        <w:t xml:space="preserve"> the green spaces are key to commitment </w:t>
      </w:r>
      <w:r w:rsidR="001A2548">
        <w:t>to</w:t>
      </w:r>
      <w:r w:rsidRPr="00AE5B49">
        <w:t xml:space="preserve"> their management and enhancement.</w:t>
      </w:r>
    </w:p>
    <w:p w14:paraId="0090AF05" w14:textId="77777777" w:rsidR="00180429" w:rsidRPr="00AE5B49" w:rsidRDefault="00180429" w:rsidP="00180429">
      <w:r w:rsidRPr="00263BEE">
        <w:rPr>
          <w:b/>
          <w:bCs/>
        </w:rPr>
        <w:t>Sustainability:</w:t>
      </w:r>
      <w:r w:rsidRPr="00AE5B49">
        <w:t xml:space="preserve"> Strengthens its position as a model for environmental responsibility and continuing community use, thus assuring a future for the project.</w:t>
      </w:r>
    </w:p>
    <w:p w14:paraId="4996F595" w14:textId="77777777" w:rsidR="00180429" w:rsidRPr="00AE5B49" w:rsidRDefault="00180429" w:rsidP="00180429">
      <w:pPr>
        <w:rPr>
          <w:b/>
          <w:bCs/>
        </w:rPr>
      </w:pPr>
      <w:r w:rsidRPr="00AE5B49">
        <w:rPr>
          <w:b/>
          <w:bCs/>
        </w:rPr>
        <w:t>Communication Strategies</w:t>
      </w:r>
    </w:p>
    <w:p w14:paraId="3F5839C2" w14:textId="77777777" w:rsidR="00180429" w:rsidRPr="00AE5B49" w:rsidRDefault="00180429" w:rsidP="00180429">
      <w:r w:rsidRPr="00AE5B49">
        <w:t>It is thus imperative to ensure that all these principles are communicated to the stakeholders.</w:t>
      </w:r>
    </w:p>
    <w:p w14:paraId="36ACAA9C" w14:textId="77777777" w:rsidR="00180429" w:rsidRPr="00AE5B49" w:rsidRDefault="00180429" w:rsidP="00180429">
      <w:r w:rsidRPr="00263BEE">
        <w:rPr>
          <w:b/>
          <w:bCs/>
        </w:rPr>
        <w:t>Community Meetings:</w:t>
      </w:r>
      <w:r w:rsidRPr="00AE5B49">
        <w:t xml:space="preserve"> Scheduling of meetings that will encompass the progress made, reception, and resolutions will be democratic to encourage deliberation.</w:t>
      </w:r>
    </w:p>
    <w:p w14:paraId="1919E210" w14:textId="77777777" w:rsidR="00180429" w:rsidRPr="00AE5B49" w:rsidRDefault="00180429" w:rsidP="00180429">
      <w:r w:rsidRPr="00263BEE">
        <w:rPr>
          <w:b/>
          <w:bCs/>
        </w:rPr>
        <w:t>Social media:</w:t>
      </w:r>
      <w:r w:rsidRPr="00AE5B49">
        <w:t xml:space="preserve"> </w:t>
      </w:r>
      <w:r w:rsidR="001A2548">
        <w:t>S</w:t>
      </w:r>
      <w:r w:rsidRPr="00AE5B49">
        <w:t xml:space="preserve">ocial media sites such as </w:t>
      </w:r>
      <w:r w:rsidR="001A2548">
        <w:t>F</w:t>
      </w:r>
      <w:r w:rsidRPr="00AE5B49">
        <w:t xml:space="preserve">acebook, </w:t>
      </w:r>
      <w:r w:rsidR="001A2548">
        <w:t>Twit</w:t>
      </w:r>
      <w:r w:rsidRPr="00AE5B49">
        <w:t>ter, and Instagram will be used to port messages, get feedback and inform a large audience in real</w:t>
      </w:r>
      <w:r w:rsidR="00036F96">
        <w:t xml:space="preserve"> </w:t>
      </w:r>
      <w:r w:rsidRPr="00AE5B49">
        <w:t>time.</w:t>
      </w:r>
    </w:p>
    <w:p w14:paraId="11024CEB" w14:textId="77777777" w:rsidR="00180429" w:rsidRPr="00AE5B49" w:rsidRDefault="00180429" w:rsidP="00180429">
      <w:r w:rsidRPr="00263BEE">
        <w:rPr>
          <w:b/>
          <w:bCs/>
        </w:rPr>
        <w:t>Newsletters:</w:t>
      </w:r>
      <w:r w:rsidRPr="00AE5B49">
        <w:t xml:space="preserve"> Standard quarterly reports, electronic and paper-based, will detail current and future progress on projects, as well as how people can engage with the organi</w:t>
      </w:r>
      <w:r w:rsidR="00AE5B49">
        <w:t>s</w:t>
      </w:r>
      <w:r w:rsidRPr="00AE5B49">
        <w:t>ation</w:t>
      </w:r>
      <w:r w:rsidR="001C2ACC">
        <w:t xml:space="preserve"> </w:t>
      </w:r>
      <w:r w:rsidR="001C2ACC" w:rsidRPr="001C2ACC">
        <w:t>(Dessart et al., 2020)</w:t>
      </w:r>
      <w:r w:rsidRPr="00AE5B49">
        <w:t>.</w:t>
      </w:r>
    </w:p>
    <w:p w14:paraId="204D8354" w14:textId="77777777" w:rsidR="005D4022" w:rsidRPr="00AE5B49" w:rsidRDefault="00180429" w:rsidP="00180429">
      <w:r w:rsidRPr="00263BEE">
        <w:rPr>
          <w:b/>
          <w:bCs/>
        </w:rPr>
        <w:t>Workshops and Public Consultations:</w:t>
      </w:r>
      <w:r w:rsidRPr="00AE5B49">
        <w:t xml:space="preserve"> The proposed mode of learning encourages group participation, and this means the stakeholders will be in a position to express themselves and offer suggestions.</w:t>
      </w:r>
    </w:p>
    <w:p w14:paraId="58B3EA95" w14:textId="77777777" w:rsidR="00180429" w:rsidRPr="00AE5B49" w:rsidRDefault="00180429" w:rsidP="00180429">
      <w:r w:rsidRPr="00263BEE">
        <w:rPr>
          <w:b/>
          <w:bCs/>
        </w:rPr>
        <w:lastRenderedPageBreak/>
        <w:t>Feedback Tools:</w:t>
      </w:r>
      <w:r w:rsidRPr="00AE5B49">
        <w:t xml:space="preserve"> Online surveys and feedback forms will gather input from community members, ensuring broad participation in decision-making.</w:t>
      </w:r>
    </w:p>
    <w:p w14:paraId="093B3165" w14:textId="77777777" w:rsidR="00180429" w:rsidRPr="00AE5B49" w:rsidRDefault="00180429" w:rsidP="00180429">
      <w:r w:rsidRPr="00263BEE">
        <w:rPr>
          <w:b/>
          <w:bCs/>
        </w:rPr>
        <w:t>Information Boards:</w:t>
      </w:r>
      <w:r w:rsidRPr="00AE5B49">
        <w:t xml:space="preserve"> Boards at project sites will update passersby and provide ways to get involved, reaching those who may not be engaged online.</w:t>
      </w:r>
    </w:p>
    <w:p w14:paraId="3EE2AC4F" w14:textId="77777777" w:rsidR="005D4022" w:rsidRPr="00AE5B49" w:rsidRDefault="001B7A5C" w:rsidP="00180429">
      <w:r w:rsidRPr="001B7A5C">
        <w:t xml:space="preserve">These are the meaningful communication strategies to promote the principles of diversity, openness, teamwork and participation, </w:t>
      </w:r>
      <w:r w:rsidR="005F68A1">
        <w:t xml:space="preserve">and </w:t>
      </w:r>
      <w:r w:rsidRPr="001B7A5C">
        <w:t xml:space="preserve">support and participation of the community </w:t>
      </w:r>
      <w:r w:rsidR="001C2ACC" w:rsidRPr="001C2ACC">
        <w:t>(Fitzgerald et al., 2020)</w:t>
      </w:r>
      <w:r w:rsidR="005D4022" w:rsidRPr="00AE5B49">
        <w:t>.</w:t>
      </w:r>
    </w:p>
    <w:p w14:paraId="18F92A85" w14:textId="77777777" w:rsidR="00EF7C3A" w:rsidRPr="00AE5B49" w:rsidRDefault="00EF7C3A" w:rsidP="00EF7C3A">
      <w:pPr>
        <w:pStyle w:val="Heading1"/>
      </w:pPr>
      <w:bookmarkStart w:id="2" w:name="_Toc167369999"/>
      <w:r w:rsidRPr="00AE5B49">
        <w:t>Planning and Design</w:t>
      </w:r>
      <w:bookmarkEnd w:id="2"/>
    </w:p>
    <w:p w14:paraId="29E0DF4C" w14:textId="77777777" w:rsidR="00EF7C3A" w:rsidRPr="00AE5B49" w:rsidRDefault="00EF7C3A" w:rsidP="00EF7C3A">
      <w:pPr>
        <w:rPr>
          <w:b/>
          <w:bCs/>
        </w:rPr>
      </w:pPr>
      <w:r w:rsidRPr="00AE5B49">
        <w:rPr>
          <w:b/>
          <w:bCs/>
        </w:rPr>
        <w:t>Project Planning Stages</w:t>
      </w:r>
    </w:p>
    <w:p w14:paraId="32E33C2E" w14:textId="77777777" w:rsidR="006E76DC" w:rsidRPr="00AE5B49" w:rsidRDefault="00983054" w:rsidP="006E76DC">
      <w:r w:rsidRPr="00983054">
        <w:t xml:space="preserve">Subject to the provisions of this </w:t>
      </w:r>
      <w:r w:rsidR="008352AB">
        <w:t>report</w:t>
      </w:r>
      <w:r w:rsidRPr="00983054">
        <w:t>, the Green Spaces Community Revitalisation Project will do the following in its Planning Phase</w:t>
      </w:r>
      <w:r w:rsidR="006E76DC" w:rsidRPr="00AE5B49">
        <w:t>:</w:t>
      </w:r>
    </w:p>
    <w:p w14:paraId="528874D2" w14:textId="77777777" w:rsidR="00983054" w:rsidRDefault="00983054" w:rsidP="00983054">
      <w:r w:rsidRPr="00983054">
        <w:rPr>
          <w:b/>
          <w:bCs/>
        </w:rPr>
        <w:t>1. Site Selection:</w:t>
      </w:r>
      <w:r>
        <w:t xml:space="preserve"> Therefore, the potential sites can be selected </w:t>
      </w:r>
      <w:r w:rsidR="005F68A1">
        <w:t>concerning</w:t>
      </w:r>
      <w:r>
        <w:t xml:space="preserve"> features such as accessibility, existing usage, and if it can be made better. This stage involves preliminary discussions with the relevant authorities and initial reconnaissance of the development site.</w:t>
      </w:r>
    </w:p>
    <w:p w14:paraId="57F67A66" w14:textId="77777777" w:rsidR="00983054" w:rsidRDefault="00983054" w:rsidP="00983054">
      <w:r w:rsidRPr="00983054">
        <w:rPr>
          <w:b/>
          <w:bCs/>
        </w:rPr>
        <w:t>2. Design Workshops:</w:t>
      </w:r>
      <w:r>
        <w:t xml:space="preserve"> Conduct a focus group discussion with the residents to establish general features of green spaces that would be preferred and the potential ways for their use. This will help in </w:t>
      </w:r>
      <w:r w:rsidR="005F68A1">
        <w:t xml:space="preserve">the </w:t>
      </w:r>
      <w:r>
        <w:t>formulation of early design strategies.</w:t>
      </w:r>
    </w:p>
    <w:p w14:paraId="25C27A4A" w14:textId="77777777" w:rsidR="00983054" w:rsidRDefault="00983054" w:rsidP="00983054">
      <w:r w:rsidRPr="00983054">
        <w:rPr>
          <w:b/>
          <w:bCs/>
        </w:rPr>
        <w:t>3. Implementation:</w:t>
      </w:r>
      <w:r>
        <w:t xml:space="preserve"> The project aims and objectives, concrete actions, project timeline, and protocol of project leadership plan and goals (Gilmore et al., 2020). Implementation includes the act of constructing structures; planting and fixing structures and amenities.</w:t>
      </w:r>
    </w:p>
    <w:p w14:paraId="30DA3D8E" w14:textId="77777777" w:rsidR="00983054" w:rsidRPr="00983054" w:rsidRDefault="00983054" w:rsidP="00983054">
      <w:pPr>
        <w:rPr>
          <w:b/>
          <w:bCs/>
        </w:rPr>
      </w:pPr>
      <w:r w:rsidRPr="00983054">
        <w:rPr>
          <w:b/>
          <w:bCs/>
        </w:rPr>
        <w:t>Design Process</w:t>
      </w:r>
    </w:p>
    <w:p w14:paraId="3F782DCD" w14:textId="77777777" w:rsidR="00983054" w:rsidRDefault="00983054" w:rsidP="00983054">
      <w:r w:rsidRPr="00983054">
        <w:rPr>
          <w:b/>
          <w:bCs/>
        </w:rPr>
        <w:t>1. Initial Consultations:</w:t>
      </w:r>
      <w:r>
        <w:t xml:space="preserve"> Gather information about the needs and preferences of community members as well as other stakeholders such as local non-governmental </w:t>
      </w:r>
      <w:r w:rsidR="00004EE6">
        <w:t>organisations</w:t>
      </w:r>
      <w:r>
        <w:t>. This can help in the establishment of the fact that the designed system is responsive to the desires of the community.</w:t>
      </w:r>
    </w:p>
    <w:p w14:paraId="0081FAAD" w14:textId="77777777" w:rsidR="00983054" w:rsidRDefault="00983054" w:rsidP="00983054">
      <w:r w:rsidRPr="00983054">
        <w:rPr>
          <w:b/>
          <w:bCs/>
        </w:rPr>
        <w:lastRenderedPageBreak/>
        <w:t>2. Drafting Plans:</w:t>
      </w:r>
      <w:r>
        <w:t xml:space="preserve"> Based on consultations, outline preliminary layouts of the design. Such layouts, features, and proposed landscape items shall be included in these plans.</w:t>
      </w:r>
    </w:p>
    <w:p w14:paraId="157A733A" w14:textId="77777777" w:rsidR="00983054" w:rsidRDefault="00983054" w:rsidP="00983054">
      <w:r w:rsidRPr="00983054">
        <w:rPr>
          <w:b/>
          <w:bCs/>
        </w:rPr>
        <w:t>3. Feedback:</w:t>
      </w:r>
      <w:r>
        <w:t xml:space="preserve"> The draft plans should be taken back to the people through public forums like meetings and giving out feedback forms or through online platforms. This stage lays the responsibility </w:t>
      </w:r>
      <w:r w:rsidR="005F68A1">
        <w:t>of</w:t>
      </w:r>
      <w:r>
        <w:t xml:space="preserve"> validating that the design is up to the desired standards of the community.</w:t>
      </w:r>
    </w:p>
    <w:p w14:paraId="15A32A47" w14:textId="77777777" w:rsidR="00983054" w:rsidRDefault="00983054" w:rsidP="00983054">
      <w:r w:rsidRPr="00983054">
        <w:rPr>
          <w:b/>
          <w:bCs/>
        </w:rPr>
        <w:t>4. Finalisation:</w:t>
      </w:r>
      <w:r>
        <w:t xml:space="preserve"> Based on the received feedback, complete the necessary preparations concerning the designs. This can entail </w:t>
      </w:r>
      <w:r w:rsidR="005F68A1">
        <w:t xml:space="preserve">a </w:t>
      </w:r>
      <w:r>
        <w:t xml:space="preserve">change in the design </w:t>
      </w:r>
      <w:r w:rsidR="005F68A1">
        <w:t>following</w:t>
      </w:r>
      <w:r>
        <w:t xml:space="preserve"> other suggestions and handling complaints from the community.</w:t>
      </w:r>
    </w:p>
    <w:p w14:paraId="2F99993C" w14:textId="77777777" w:rsidR="00983054" w:rsidRPr="00983054" w:rsidRDefault="00983054" w:rsidP="00983054">
      <w:pPr>
        <w:rPr>
          <w:b/>
          <w:bCs/>
        </w:rPr>
      </w:pPr>
      <w:r w:rsidRPr="00983054">
        <w:rPr>
          <w:b/>
          <w:bCs/>
        </w:rPr>
        <w:t>Community Needs Assessment</w:t>
      </w:r>
    </w:p>
    <w:p w14:paraId="32984DCE" w14:textId="77777777" w:rsidR="009C4D75" w:rsidRPr="00AE5B49" w:rsidRDefault="00983054" w:rsidP="00983054">
      <w:r>
        <w:t>The community’s need aspect can also not be overlooked just as it is to see what the community wants for the project.</w:t>
      </w:r>
      <w:r w:rsidRPr="001C2ACC">
        <w:t xml:space="preserve"> </w:t>
      </w:r>
      <w:r w:rsidR="001C2ACC" w:rsidRPr="001C2ACC">
        <w:t>(Gough et al., 2021)</w:t>
      </w:r>
      <w:r w:rsidR="009C4D75" w:rsidRPr="00AE5B49">
        <w:t>. The following methods will be used:</w:t>
      </w:r>
    </w:p>
    <w:p w14:paraId="17EDA01B" w14:textId="77777777" w:rsidR="009C4D75" w:rsidRPr="00AE5B49" w:rsidRDefault="009C4D75" w:rsidP="009C4D75">
      <w:r w:rsidRPr="00263BEE">
        <w:rPr>
          <w:b/>
          <w:bCs/>
        </w:rPr>
        <w:t>1. Surveys:</w:t>
      </w:r>
      <w:r w:rsidRPr="00AE5B49">
        <w:t xml:space="preserve"> Administer questionnaires electronically and on paper to get general information on what modifications and additions people want to see in the green areas.</w:t>
      </w:r>
    </w:p>
    <w:p w14:paraId="1223F9D9" w14:textId="77777777" w:rsidR="009C4D75" w:rsidRPr="00AE5B49" w:rsidRDefault="009C4D75" w:rsidP="009C4D75">
      <w:r w:rsidRPr="00263BEE">
        <w:rPr>
          <w:b/>
          <w:bCs/>
        </w:rPr>
        <w:t>2. Focus Groups:</w:t>
      </w:r>
      <w:r w:rsidRPr="00AE5B49">
        <w:t xml:space="preserve"> Subgroup people from the targeted communities and get more details on their needs and choice</w:t>
      </w:r>
      <w:r w:rsidR="001A2548">
        <w:t>s</w:t>
      </w:r>
      <w:r w:rsidRPr="00AE5B49">
        <w:t xml:space="preserve"> from focus groups. These groups may yield data that are not obtained when conducting large surveys of the population.</w:t>
      </w:r>
    </w:p>
    <w:p w14:paraId="0934C759" w14:textId="77777777" w:rsidR="009C4D75" w:rsidRPr="00AE5B49" w:rsidRDefault="009C4D75" w:rsidP="009C4D75">
      <w:r w:rsidRPr="00263BEE">
        <w:rPr>
          <w:b/>
          <w:bCs/>
        </w:rPr>
        <w:t>3. Public Meetings:</w:t>
      </w:r>
      <w:r w:rsidRPr="00AE5B49">
        <w:t xml:space="preserve"> Organi</w:t>
      </w:r>
      <w:r w:rsidR="00AE5B49">
        <w:t>s</w:t>
      </w:r>
      <w:r w:rsidRPr="00AE5B49">
        <w:t>e forums and get-together sessions in which the members of the community can give out their opinions about the project</w:t>
      </w:r>
      <w:r w:rsidR="001C2ACC">
        <w:t xml:space="preserve"> </w:t>
      </w:r>
      <w:r w:rsidR="001C2ACC" w:rsidRPr="001C2ACC">
        <w:t>(Henigson, 2022)</w:t>
      </w:r>
      <w:r w:rsidRPr="00AE5B49">
        <w:t>. These means provide a ground for direct interaction and feedback in a much faster manner than one can input into a computer.</w:t>
      </w:r>
    </w:p>
    <w:p w14:paraId="48D0646E" w14:textId="77777777" w:rsidR="009C4D75" w:rsidRPr="00AE5B49" w:rsidRDefault="009C4D75" w:rsidP="009C4D75">
      <w:pPr>
        <w:rPr>
          <w:b/>
          <w:bCs/>
        </w:rPr>
      </w:pPr>
      <w:r w:rsidRPr="00AE5B49">
        <w:rPr>
          <w:b/>
          <w:bCs/>
        </w:rPr>
        <w:t>Stakeholder Engagement</w:t>
      </w:r>
    </w:p>
    <w:p w14:paraId="7DA9AFE7" w14:textId="77777777" w:rsidR="009C4D75" w:rsidRPr="00AE5B49" w:rsidRDefault="009C4D75" w:rsidP="009C4D75">
      <w:r w:rsidRPr="00AE5B49">
        <w:t>Managing stakeholders’ response</w:t>
      </w:r>
      <w:r w:rsidR="001A2548">
        <w:t>s</w:t>
      </w:r>
      <w:r w:rsidRPr="00AE5B49">
        <w:t xml:space="preserve"> is vital for the project outcome. The following strategies will be employed:</w:t>
      </w:r>
    </w:p>
    <w:p w14:paraId="71CE34A4" w14:textId="77777777" w:rsidR="009C4D75" w:rsidRPr="00AE5B49" w:rsidRDefault="009C4D75" w:rsidP="009C4D75">
      <w:r w:rsidRPr="00263BEE">
        <w:rPr>
          <w:b/>
          <w:bCs/>
        </w:rPr>
        <w:lastRenderedPageBreak/>
        <w:t>1. Regular Updates:</w:t>
      </w:r>
      <w:r w:rsidRPr="00AE5B49">
        <w:t xml:space="preserve"> It also means that newsletters, social media and community meetings should be used to give updates about the achievement of the project. All this ensures that the stakeholders are well</w:t>
      </w:r>
      <w:r w:rsidR="001A2548">
        <w:t>-</w:t>
      </w:r>
      <w:r w:rsidRPr="00AE5B49">
        <w:t>informed and participate in the implementation of the decisions made.</w:t>
      </w:r>
    </w:p>
    <w:p w14:paraId="0EC65E02" w14:textId="77777777" w:rsidR="009C4D75" w:rsidRPr="00AE5B49" w:rsidRDefault="009C4D75" w:rsidP="009C4D75">
      <w:r w:rsidRPr="00263BEE">
        <w:rPr>
          <w:b/>
          <w:bCs/>
        </w:rPr>
        <w:t>2. Collaborative Workshops:</w:t>
      </w:r>
      <w:r w:rsidRPr="00AE5B49">
        <w:t xml:space="preserve"> It is helpful to arrange one or multiple meetings that involve all the interested people in the area; the representatives of the businesses, authorities, and others who can become involved in the implementation of the project.</w:t>
      </w:r>
    </w:p>
    <w:p w14:paraId="6B1131E4" w14:textId="77777777" w:rsidR="009C4D75" w:rsidRPr="00AE5B49" w:rsidRDefault="009C4D75" w:rsidP="009C4D75">
      <w:r w:rsidRPr="00263BEE">
        <w:rPr>
          <w:b/>
          <w:bCs/>
        </w:rPr>
        <w:t>3. Volunteer Opportunities:</w:t>
      </w:r>
      <w:r w:rsidRPr="00AE5B49">
        <w:t xml:space="preserve"> Actively involve them in the exercise by getting them to be part of the exercis</w:t>
      </w:r>
      <w:r w:rsidR="001A2548">
        <w:t>e</w:t>
      </w:r>
      <w:r w:rsidRPr="00AE5B49">
        <w:t xml:space="preserve"> by involving them in various forms of direct participation when implementing the project</w:t>
      </w:r>
      <w:r w:rsidR="001C2ACC">
        <w:t xml:space="preserve"> </w:t>
      </w:r>
      <w:r w:rsidR="001C2ACC" w:rsidRPr="001C2ACC">
        <w:t>(Hügel and Davies, 2020)</w:t>
      </w:r>
      <w:r w:rsidRPr="00AE5B49">
        <w:t>. This entails shared responsibilities and therefore promotes positive participation among the parties involved.</w:t>
      </w:r>
    </w:p>
    <w:p w14:paraId="0DB3D664" w14:textId="77777777" w:rsidR="009C4D75" w:rsidRPr="00AE5B49" w:rsidRDefault="009C4D75" w:rsidP="009C4D75">
      <w:r w:rsidRPr="00263BEE">
        <w:rPr>
          <w:b/>
          <w:bCs/>
        </w:rPr>
        <w:t xml:space="preserve">4. Advisory Committees: </w:t>
      </w:r>
      <w:r w:rsidRPr="00AE5B49">
        <w:t>An achievement of advisory committees including those from the major interest bodies is important. All of these committees will offer continuous help and would also help in the people selection process to have different people in the committees.</w:t>
      </w:r>
    </w:p>
    <w:p w14:paraId="473476CC" w14:textId="77777777" w:rsidR="009C4D75" w:rsidRPr="00AE5B49" w:rsidRDefault="009C4D75" w:rsidP="009C4D75">
      <w:r w:rsidRPr="00263BEE">
        <w:rPr>
          <w:b/>
          <w:bCs/>
        </w:rPr>
        <w:t>5. Feedback Mechanisms:</w:t>
      </w:r>
      <w:r w:rsidRPr="00AE5B49">
        <w:t xml:space="preserve"> Feedback mechanisms should be put in place through the use of suggestion boxes and bulletin boards to receive feedback and relevant concerns right from the start of the project, through to its development and up to its completion.</w:t>
      </w:r>
    </w:p>
    <w:p w14:paraId="42BE39FD" w14:textId="77777777" w:rsidR="005D4022" w:rsidRPr="00AE5B49" w:rsidRDefault="009C4D75" w:rsidP="009C4D75">
      <w:r w:rsidRPr="00AE5B49">
        <w:t>Thus, the planning and design of the green spaces, coupled with community needs assessment and stakeholders’ participation, the Green Spaces Community Revitali</w:t>
      </w:r>
      <w:r w:rsidR="00AE5B49">
        <w:t>s</w:t>
      </w:r>
      <w:r w:rsidRPr="00AE5B49">
        <w:t>ation Project should be able to bring out quality green spaces that will meet the expectations of people</w:t>
      </w:r>
      <w:r w:rsidR="001C2ACC">
        <w:t xml:space="preserve"> </w:t>
      </w:r>
      <w:r w:rsidR="001C2ACC" w:rsidRPr="001C2ACC">
        <w:t>(Jewett et al., 2021)</w:t>
      </w:r>
      <w:r w:rsidR="00EF7C3A" w:rsidRPr="00AE5B49">
        <w:t>.</w:t>
      </w:r>
    </w:p>
    <w:p w14:paraId="16C37C80" w14:textId="77777777" w:rsidR="0020114B" w:rsidRPr="00AE5B49" w:rsidRDefault="001A3873" w:rsidP="0020114B">
      <w:pPr>
        <w:pStyle w:val="Heading1"/>
      </w:pPr>
      <w:bookmarkStart w:id="3" w:name="_Toc167370000"/>
      <w:r w:rsidRPr="00AE5B49">
        <w:t>Standards</w:t>
      </w:r>
      <w:bookmarkEnd w:id="3"/>
    </w:p>
    <w:p w14:paraId="648BE8F4" w14:textId="77777777" w:rsidR="0020114B" w:rsidRPr="00AE5B49" w:rsidRDefault="0020114B" w:rsidP="0020114B">
      <w:pPr>
        <w:rPr>
          <w:b/>
          <w:bCs/>
        </w:rPr>
      </w:pPr>
      <w:r w:rsidRPr="00AE5B49">
        <w:rPr>
          <w:b/>
          <w:bCs/>
        </w:rPr>
        <w:t>Identification of Relevant Standards</w:t>
      </w:r>
    </w:p>
    <w:p w14:paraId="6674CA28" w14:textId="77777777" w:rsidR="00BB155D" w:rsidRPr="00AE5B49" w:rsidRDefault="00BB155D" w:rsidP="00BB155D">
      <w:r w:rsidRPr="00AE5B49">
        <w:t>The Green Space Community Revitali</w:t>
      </w:r>
      <w:r w:rsidR="00AE5B49">
        <w:t>s</w:t>
      </w:r>
      <w:r w:rsidRPr="00AE5B49">
        <w:t>ation Project will follow the provisions of the United Kingdom Green Flag Awards. The Green Flag Award is objective for the operation, maintenance and development of high</w:t>
      </w:r>
      <w:r w:rsidR="00036F96">
        <w:t>-</w:t>
      </w:r>
      <w:r w:rsidRPr="00AE5B49">
        <w:t>standard public green areas, underlining basic criteria like tidiness, safety, sustainability, community involvement and efficient management.</w:t>
      </w:r>
    </w:p>
    <w:p w14:paraId="297C417D" w14:textId="77777777" w:rsidR="00BB155D" w:rsidRPr="00AE5B49" w:rsidRDefault="00BB155D" w:rsidP="00BB155D">
      <w:pPr>
        <w:rPr>
          <w:b/>
          <w:bCs/>
        </w:rPr>
      </w:pPr>
      <w:r w:rsidRPr="00AE5B49">
        <w:rPr>
          <w:b/>
          <w:bCs/>
        </w:rPr>
        <w:lastRenderedPageBreak/>
        <w:t>Suitability of Standards</w:t>
      </w:r>
    </w:p>
    <w:p w14:paraId="1EE933E6" w14:textId="77777777" w:rsidR="00BB155D" w:rsidRPr="00AE5B49" w:rsidRDefault="00BB155D" w:rsidP="00BB155D">
      <w:r w:rsidRPr="00AE5B49">
        <w:t xml:space="preserve">The criteria of the Green Flag Award </w:t>
      </w:r>
      <w:r w:rsidR="00036F96">
        <w:t xml:space="preserve">are </w:t>
      </w:r>
      <w:r w:rsidRPr="00AE5B49">
        <w:t xml:space="preserve">accurately and suitably applicable </w:t>
      </w:r>
      <w:r w:rsidR="00036F96">
        <w:t>to</w:t>
      </w:r>
      <w:r w:rsidRPr="00AE5B49">
        <w:t xml:space="preserve"> this project. These standards provide an understanding that green spaces are much more than just pleasing to the eye, safe, and functional</w:t>
      </w:r>
      <w:r w:rsidR="001C2ACC">
        <w:t xml:space="preserve"> </w:t>
      </w:r>
      <w:r w:rsidR="001C2ACC" w:rsidRPr="001C2ACC">
        <w:t>(Marston et al., 2020)</w:t>
      </w:r>
      <w:r w:rsidRPr="00AE5B49">
        <w:t>. When the criteria mentioned herein are followed to the letter, the project will be offering a clean packaged social and recreational infrastructure that would adequately address the needs of the community in a manner that does not compromise the environment. The standards stress resorting to the community during the project implementation, which complies with the very core of the concept of open cooperation.</w:t>
      </w:r>
    </w:p>
    <w:p w14:paraId="7378D013" w14:textId="77777777" w:rsidR="00BB155D" w:rsidRPr="00AE5B49" w:rsidRDefault="00BB155D" w:rsidP="00BB155D">
      <w:pPr>
        <w:rPr>
          <w:b/>
          <w:bCs/>
        </w:rPr>
      </w:pPr>
      <w:r w:rsidRPr="00AE5B49">
        <w:rPr>
          <w:b/>
          <w:bCs/>
        </w:rPr>
        <w:t>Communication of Standards</w:t>
      </w:r>
    </w:p>
    <w:p w14:paraId="7CD35AB7" w14:textId="77777777" w:rsidR="00BB155D" w:rsidRPr="00AE5B49" w:rsidRDefault="00BB155D" w:rsidP="00BB155D">
      <w:r w:rsidRPr="00AE5B49">
        <w:t>The adherence to these standards will be communicated to stakeholders through various channels:</w:t>
      </w:r>
    </w:p>
    <w:p w14:paraId="534C1B63" w14:textId="77777777" w:rsidR="00BB155D" w:rsidRPr="00AE5B49" w:rsidRDefault="00BB155D" w:rsidP="00BB155D">
      <w:r w:rsidRPr="00263BEE">
        <w:rPr>
          <w:b/>
          <w:bCs/>
        </w:rPr>
        <w:t>1. Project Documentation:</w:t>
      </w:r>
      <w:r w:rsidRPr="00AE5B49">
        <w:t xml:space="preserve"> Specific documentation and documentation of the report on how the project addresses the Green Flag criteria will come up. These plans will entail measures to adhere to cleanness, safety, and sustainability standards.</w:t>
      </w:r>
    </w:p>
    <w:p w14:paraId="29C37703" w14:textId="77777777" w:rsidR="00BB155D" w:rsidRPr="00AE5B49" w:rsidRDefault="00BB155D" w:rsidP="00BB155D">
      <w:r w:rsidRPr="00263BEE">
        <w:rPr>
          <w:b/>
          <w:bCs/>
        </w:rPr>
        <w:t>2. Public Presentations:</w:t>
      </w:r>
      <w:r w:rsidRPr="00AE5B49">
        <w:t xml:space="preserve"> Presentations made to the full community meetings will ensure the following for the project that has to meet the Green Flag standards</w:t>
      </w:r>
      <w:r w:rsidR="001C2ACC">
        <w:t xml:space="preserve"> </w:t>
      </w:r>
      <w:r w:rsidR="001C2ACC" w:rsidRPr="001C2ACC">
        <w:t>(Ng’ang’a et al., 2021)</w:t>
      </w:r>
      <w:r w:rsidRPr="00AE5B49">
        <w:t>. These sessions will involve disclosure as well as the opportunity for visitors to voice their opinions.</w:t>
      </w:r>
    </w:p>
    <w:p w14:paraId="4AB983F5" w14:textId="77777777" w:rsidR="00BB155D" w:rsidRPr="00AE5B49" w:rsidRDefault="00BB155D" w:rsidP="00BB155D">
      <w:r w:rsidRPr="00263BEE">
        <w:rPr>
          <w:b/>
          <w:bCs/>
        </w:rPr>
        <w:t>3. Information Boards:</w:t>
      </w:r>
      <w:r w:rsidRPr="00AE5B49">
        <w:t xml:space="preserve"> Temporary information boards placed around the site will contain information on Awards criteria and on how this project is compliant with them. These boards will update the community about the company’s desire to keep the project as qualitative as possible and environmentally friendly.</w:t>
      </w:r>
    </w:p>
    <w:p w14:paraId="4A082DFD" w14:textId="77777777" w:rsidR="001A3873" w:rsidRDefault="00BB155D" w:rsidP="00BB155D">
      <w:r w:rsidRPr="00AE5B49">
        <w:t>Through the following communication strategies, the project will ensure that; all the stakeholders go for the Green Flag Award standards and support them</w:t>
      </w:r>
      <w:r w:rsidR="0020114B" w:rsidRPr="00AE5B49">
        <w:t>.</w:t>
      </w:r>
    </w:p>
    <w:p w14:paraId="36D91089" w14:textId="77777777" w:rsidR="001C2ACC" w:rsidRDefault="001C2ACC" w:rsidP="00BB155D"/>
    <w:p w14:paraId="405C3881" w14:textId="77777777" w:rsidR="001C2ACC" w:rsidRPr="00AE5B49" w:rsidRDefault="001C2ACC" w:rsidP="00BB155D"/>
    <w:p w14:paraId="2CF07372" w14:textId="77777777" w:rsidR="001D4B72" w:rsidRPr="00AE5B49" w:rsidRDefault="00791C9B" w:rsidP="00406A95">
      <w:pPr>
        <w:pStyle w:val="Heading1"/>
      </w:pPr>
      <w:bookmarkStart w:id="4" w:name="_Toc167370001"/>
      <w:r w:rsidRPr="00AE5B49">
        <w:lastRenderedPageBreak/>
        <w:t>Evaluation and Impact</w:t>
      </w:r>
      <w:bookmarkEnd w:id="4"/>
    </w:p>
    <w:p w14:paraId="1F89BA4D" w14:textId="77777777" w:rsidR="001D4B72" w:rsidRPr="00AE5B49" w:rsidRDefault="001D4B72" w:rsidP="001D4B72">
      <w:pPr>
        <w:rPr>
          <w:b/>
          <w:bCs/>
        </w:rPr>
      </w:pPr>
      <w:r w:rsidRPr="00AE5B49">
        <w:rPr>
          <w:b/>
          <w:bCs/>
        </w:rPr>
        <w:t>Impact Measurement</w:t>
      </w:r>
    </w:p>
    <w:p w14:paraId="01BCE64E" w14:textId="77777777" w:rsidR="001F6548" w:rsidRPr="00AE5B49" w:rsidRDefault="001F6548" w:rsidP="001F6548">
      <w:r w:rsidRPr="00AE5B49">
        <w:t>The following are potential outcomes that could be useful in assessing the overall impact of the Green Spaces Community Revitali</w:t>
      </w:r>
      <w:r w:rsidR="00AE5B49">
        <w:t>s</w:t>
      </w:r>
      <w:r w:rsidRPr="00AE5B49">
        <w:t>ation Project. Key impact areas include:</w:t>
      </w:r>
    </w:p>
    <w:p w14:paraId="46DBF901" w14:textId="77777777" w:rsidR="001F6548" w:rsidRPr="00AE5B49" w:rsidRDefault="001F6548" w:rsidP="001F6548">
      <w:r w:rsidRPr="00263BEE">
        <w:rPr>
          <w:b/>
          <w:bCs/>
        </w:rPr>
        <w:t>1.  Usage Statistics:</w:t>
      </w:r>
      <w:r w:rsidRPr="00AE5B49">
        <w:t xml:space="preserve"> The quantitative result will be achieved </w:t>
      </w:r>
      <w:r w:rsidR="00036F96">
        <w:t>by</w:t>
      </w:r>
      <w:r w:rsidRPr="00AE5B49">
        <w:t xml:space="preserve"> counting the number of visitors </w:t>
      </w:r>
      <w:r w:rsidR="00036F96">
        <w:t>i</w:t>
      </w:r>
      <w:r w:rsidRPr="00AE5B49">
        <w:t>n the green spaces, the number of times they visit the spaces and any other activities held in the spaces.</w:t>
      </w:r>
    </w:p>
    <w:p w14:paraId="7FEC7DD1" w14:textId="77777777" w:rsidR="001F6548" w:rsidRPr="00AE5B49" w:rsidRDefault="001F6548" w:rsidP="001F6548">
      <w:r w:rsidRPr="00263BEE">
        <w:rPr>
          <w:b/>
          <w:bCs/>
        </w:rPr>
        <w:t>2.  Health Outcomes:</w:t>
      </w:r>
      <w:r w:rsidRPr="00AE5B49">
        <w:t xml:space="preserve"> When it comes to measuring the various aspects of health in terms of physical activity, mental health as well as the status of the community</w:t>
      </w:r>
      <w:r w:rsidR="001C2ACC">
        <w:t xml:space="preserve"> </w:t>
      </w:r>
      <w:r w:rsidR="001C2ACC" w:rsidRPr="001C2ACC">
        <w:t>(Park and Ha, 2021)</w:t>
      </w:r>
      <w:r w:rsidRPr="00AE5B49">
        <w:t xml:space="preserve">. Such positive effects for users will include; improved mental health, reduced stress, </w:t>
      </w:r>
      <w:r w:rsidR="001A2548">
        <w:t xml:space="preserve">and </w:t>
      </w:r>
      <w:r w:rsidRPr="00AE5B49">
        <w:t>improved fitness level</w:t>
      </w:r>
      <w:r w:rsidR="001A2548">
        <w:t>s</w:t>
      </w:r>
      <w:r w:rsidRPr="00AE5B49">
        <w:t xml:space="preserve"> to measure the impact of the project on public health.</w:t>
      </w:r>
    </w:p>
    <w:p w14:paraId="2EA3C5B2" w14:textId="77777777" w:rsidR="001F6548" w:rsidRPr="00AE5B49" w:rsidRDefault="001F6548" w:rsidP="001F6548">
      <w:r w:rsidRPr="00263BEE">
        <w:rPr>
          <w:b/>
          <w:bCs/>
        </w:rPr>
        <w:t>3.  Biodiversity Assessments:</w:t>
      </w:r>
      <w:r w:rsidRPr="00AE5B49">
        <w:t xml:space="preserve"> Drawing the movement of plant and animal species as well as their densities in the area will show how the green spaces impact the environment.</w:t>
      </w:r>
    </w:p>
    <w:p w14:paraId="5BE4006C" w14:textId="77777777" w:rsidR="001F6548" w:rsidRPr="00AE5B49" w:rsidRDefault="001F6548" w:rsidP="001F6548">
      <w:pPr>
        <w:rPr>
          <w:b/>
          <w:bCs/>
        </w:rPr>
      </w:pPr>
      <w:r w:rsidRPr="00AE5B49">
        <w:rPr>
          <w:b/>
          <w:bCs/>
        </w:rPr>
        <w:t>Evaluation Methods</w:t>
      </w:r>
    </w:p>
    <w:p w14:paraId="54F1295E" w14:textId="77777777" w:rsidR="001F6548" w:rsidRPr="00AE5B49" w:rsidRDefault="001F6548" w:rsidP="001F6548">
      <w:r w:rsidRPr="00AE5B49">
        <w:t>Several tools and methods will be employed to evaluate these impact areas effectively:</w:t>
      </w:r>
    </w:p>
    <w:p w14:paraId="42CCD7D6" w14:textId="77777777" w:rsidR="001F6548" w:rsidRPr="00AE5B49" w:rsidRDefault="001F6548" w:rsidP="001F6548">
      <w:r w:rsidRPr="00263BEE">
        <w:rPr>
          <w:b/>
          <w:bCs/>
        </w:rPr>
        <w:t>1.  Surveys:</w:t>
      </w:r>
      <w:r w:rsidRPr="00AE5B49">
        <w:t xml:space="preserve"> Conduct a questionnaire on the members of the community to capture their views perception</w:t>
      </w:r>
      <w:r w:rsidR="001A2548">
        <w:t>s</w:t>
      </w:r>
      <w:r w:rsidRPr="00AE5B49">
        <w:t xml:space="preserve"> satisfaction levels and/or experiences of the green spaces available. Areas of concern such as usage of the website, perceived advantages, and changes that can be made will also be a part of </w:t>
      </w:r>
      <w:r w:rsidR="001A2548">
        <w:t xml:space="preserve">the </w:t>
      </w:r>
      <w:r w:rsidRPr="00AE5B49">
        <w:t>questionnaires.</w:t>
      </w:r>
    </w:p>
    <w:p w14:paraId="4780FAAB" w14:textId="77777777" w:rsidR="001F6548" w:rsidRPr="00AE5B49" w:rsidRDefault="001F6548" w:rsidP="001F6548">
      <w:r w:rsidRPr="00263BEE">
        <w:rPr>
          <w:b/>
          <w:bCs/>
        </w:rPr>
        <w:t>2.  Data Analysis:</w:t>
      </w:r>
      <w:r w:rsidRPr="00AE5B49">
        <w:t xml:space="preserve"> The data to be </w:t>
      </w:r>
      <w:r w:rsidR="007A490C" w:rsidRPr="00AE5B49">
        <w:t>analysed</w:t>
      </w:r>
      <w:r w:rsidRPr="00AE5B49">
        <w:t xml:space="preserve"> are usage data that could be collected using sensors, logs of visitors and/or records of participation. This information shall be used </w:t>
      </w:r>
      <w:r w:rsidR="001A2548">
        <w:t>to identify</w:t>
      </w:r>
      <w:r w:rsidRPr="00AE5B49">
        <w:t xml:space="preserve"> the extent of using green spaces</w:t>
      </w:r>
      <w:r w:rsidR="001C2ACC">
        <w:t xml:space="preserve"> </w:t>
      </w:r>
      <w:r w:rsidR="001C2ACC" w:rsidRPr="001C2ACC">
        <w:t>(Putra et al., 2022)</w:t>
      </w:r>
      <w:r w:rsidRPr="00AE5B49">
        <w:t>.</w:t>
      </w:r>
    </w:p>
    <w:p w14:paraId="3A1D485D" w14:textId="77777777" w:rsidR="001F6548" w:rsidRPr="00AE5B49" w:rsidRDefault="001F6548" w:rsidP="001F6548">
      <w:r w:rsidRPr="00263BEE">
        <w:rPr>
          <w:b/>
          <w:bCs/>
        </w:rPr>
        <w:t>3.  Feedback Forms:</w:t>
      </w:r>
      <w:r w:rsidRPr="00AE5B49">
        <w:t xml:space="preserve"> Ensure that there are feedback forms placed at different points around green spaces and also on social sites so that the form can be filled by the users at their convenient time. </w:t>
      </w:r>
      <w:r w:rsidRPr="00AE5B49">
        <w:lastRenderedPageBreak/>
        <w:t>It will also assist in identifying strengths and weaknesses so that nothing compromises the work being done.</w:t>
      </w:r>
    </w:p>
    <w:p w14:paraId="106DF440" w14:textId="77777777" w:rsidR="001F6548" w:rsidRPr="00AE5B49" w:rsidRDefault="001F6548" w:rsidP="001F6548">
      <w:r w:rsidRPr="00263BEE">
        <w:rPr>
          <w:b/>
          <w:bCs/>
        </w:rPr>
        <w:t>4. Health Assessments:</w:t>
      </w:r>
      <w:r w:rsidRPr="00AE5B49">
        <w:t xml:space="preserve"> Work with the local health departments on establishing the co-implementation of health surveys and gather data on the positive effects on both </w:t>
      </w:r>
      <w:r w:rsidR="001A2548">
        <w:t xml:space="preserve">the </w:t>
      </w:r>
      <w:r w:rsidRPr="00AE5B49">
        <w:t>physical and mental well</w:t>
      </w:r>
      <w:r w:rsidR="001A2548">
        <w:t>-</w:t>
      </w:r>
      <w:r w:rsidRPr="00AE5B49">
        <w:t>being of the users.</w:t>
      </w:r>
    </w:p>
    <w:p w14:paraId="653FF445" w14:textId="77777777" w:rsidR="001D4B72" w:rsidRPr="00AE5B49" w:rsidRDefault="001F6548" w:rsidP="001F6548">
      <w:r w:rsidRPr="00263BEE">
        <w:rPr>
          <w:b/>
          <w:bCs/>
        </w:rPr>
        <w:t>5.  Biodiversity Monitoring:</w:t>
      </w:r>
      <w:r w:rsidRPr="00AE5B49">
        <w:t xml:space="preserve"> Conduct, with the help of environmentalists and other like-minded citizens, a periodic review of the flora and fauna in the conservation area to document any changes</w:t>
      </w:r>
      <w:r w:rsidR="001D4B72" w:rsidRPr="00AE5B49">
        <w:t>.</w:t>
      </w:r>
    </w:p>
    <w:p w14:paraId="618ADDAC" w14:textId="77777777" w:rsidR="001D4B72" w:rsidRPr="00AE5B49" w:rsidRDefault="001D4B72" w:rsidP="001D4B72">
      <w:pPr>
        <w:rPr>
          <w:b/>
          <w:bCs/>
        </w:rPr>
      </w:pPr>
      <w:r w:rsidRPr="00AE5B49">
        <w:rPr>
          <w:b/>
          <w:bCs/>
        </w:rPr>
        <w:t>Communication of Results</w:t>
      </w:r>
    </w:p>
    <w:p w14:paraId="2766EAD3" w14:textId="77777777" w:rsidR="007A490C" w:rsidRPr="00AE5B49" w:rsidRDefault="007A490C" w:rsidP="007A490C">
      <w:r w:rsidRPr="00AE5B49">
        <w:t xml:space="preserve">Reporting the evaluation outcomes to the various stakeholders is important in creating trust, </w:t>
      </w:r>
      <w:r w:rsidR="001A2548">
        <w:t>a</w:t>
      </w:r>
      <w:r w:rsidRPr="00AE5B49">
        <w:t>s well as continuing the involvement of the stakeholders within the evaluation process</w:t>
      </w:r>
      <w:r w:rsidR="001C2ACC">
        <w:t xml:space="preserve"> </w:t>
      </w:r>
      <w:r w:rsidR="001C2ACC" w:rsidRPr="001C2ACC">
        <w:t>(Robler et al., 2020)</w:t>
      </w:r>
      <w:r w:rsidRPr="00AE5B49">
        <w:t>. The following strategies will be used:</w:t>
      </w:r>
    </w:p>
    <w:p w14:paraId="324B643D" w14:textId="77777777" w:rsidR="007A490C" w:rsidRPr="00AE5B49" w:rsidRDefault="007A490C" w:rsidP="007A490C">
      <w:r w:rsidRPr="00263BEE">
        <w:rPr>
          <w:b/>
          <w:bCs/>
        </w:rPr>
        <w:t>1. Community Reports:</w:t>
      </w:r>
      <w:r w:rsidRPr="00AE5B49">
        <w:t xml:space="preserve"> Produce detailed evaluation reports for the various communities, to provide only a brief list of outcomes here. It is also noteworthy that these reports will be made available for the public in both print and electronic version</w:t>
      </w:r>
      <w:r w:rsidR="001A2548">
        <w:t>s</w:t>
      </w:r>
      <w:r w:rsidRPr="00AE5B49">
        <w:t>.</w:t>
      </w:r>
    </w:p>
    <w:p w14:paraId="11514BDC" w14:textId="77777777" w:rsidR="007A490C" w:rsidRPr="00AE5B49" w:rsidRDefault="007A490C" w:rsidP="007A490C">
      <w:r w:rsidRPr="00263BEE">
        <w:rPr>
          <w:b/>
          <w:bCs/>
        </w:rPr>
        <w:t xml:space="preserve">2. </w:t>
      </w:r>
      <w:r w:rsidR="00263BEE" w:rsidRPr="00263BEE">
        <w:rPr>
          <w:b/>
          <w:bCs/>
        </w:rPr>
        <w:t>Social media</w:t>
      </w:r>
      <w:r w:rsidRPr="00263BEE">
        <w:rPr>
          <w:b/>
          <w:bCs/>
        </w:rPr>
        <w:t>:</w:t>
      </w:r>
      <w:r w:rsidRPr="00AE5B49">
        <w:t xml:space="preserve"> Some of the specific recommendations include: us</w:t>
      </w:r>
      <w:r w:rsidR="001A2548">
        <w:t>ing</w:t>
      </w:r>
      <w:r w:rsidRPr="00AE5B49">
        <w:t xml:space="preserve"> regular social media platforms Share key findings and highlights through social media platforms to reach a wider audience. The frequency of providing updates on the weekly progress and impacts </w:t>
      </w:r>
      <w:r w:rsidR="001A2548">
        <w:t>continuously</w:t>
      </w:r>
      <w:r w:rsidRPr="00AE5B49">
        <w:t xml:space="preserve"> is likely to help in informing and engaging the community.</w:t>
      </w:r>
    </w:p>
    <w:p w14:paraId="76D7E646" w14:textId="77777777" w:rsidR="007A490C" w:rsidRPr="00AE5B49" w:rsidRDefault="007A490C" w:rsidP="007A490C">
      <w:r w:rsidRPr="00263BEE">
        <w:rPr>
          <w:b/>
          <w:bCs/>
        </w:rPr>
        <w:t>3. Public Meetings:</w:t>
      </w:r>
      <w:r w:rsidRPr="00AE5B49">
        <w:t xml:space="preserve"> Turn in evaluation data in each of the community meeting</w:t>
      </w:r>
      <w:r w:rsidR="001A2548">
        <w:t>s</w:t>
      </w:r>
      <w:r w:rsidRPr="00AE5B49">
        <w:t xml:space="preserve"> so that the stakeholders are in a position to question, comment and share their thoughts on the </w:t>
      </w:r>
      <w:r w:rsidR="001A2548">
        <w:t>outcome of the results</w:t>
      </w:r>
      <w:r w:rsidR="001C2ACC">
        <w:t xml:space="preserve"> </w:t>
      </w:r>
      <w:r w:rsidR="001C2ACC" w:rsidRPr="001C2ACC">
        <w:t>(Shaturaev, 2021)</w:t>
      </w:r>
      <w:r w:rsidRPr="00AE5B49">
        <w:t>. Such meetings will foster transparency in communication with the team and enable the consideration of the progress or effects of the project.</w:t>
      </w:r>
    </w:p>
    <w:p w14:paraId="53AA03D7" w14:textId="77777777" w:rsidR="007A490C" w:rsidRPr="00AE5B49" w:rsidRDefault="007A490C" w:rsidP="007A490C">
      <w:r w:rsidRPr="00263BEE">
        <w:rPr>
          <w:b/>
          <w:bCs/>
        </w:rPr>
        <w:t xml:space="preserve">4. Local Media: </w:t>
      </w:r>
      <w:r w:rsidRPr="00AE5B49">
        <w:t>Contribute to local newspapers, radios, television stations, or any other channel of communication to pass information about the progress made and new initiatives in progress. This is because it extends the target population reach and may hence attract more people in the community to embrace and support such initiatives.</w:t>
      </w:r>
    </w:p>
    <w:p w14:paraId="3C62250C" w14:textId="77777777" w:rsidR="007A490C" w:rsidRPr="00AE5B49" w:rsidRDefault="007A490C" w:rsidP="007A490C">
      <w:r w:rsidRPr="00263BEE">
        <w:rPr>
          <w:b/>
          <w:bCs/>
        </w:rPr>
        <w:lastRenderedPageBreak/>
        <w:t>5. Information Boards:</w:t>
      </w:r>
      <w:r w:rsidRPr="00AE5B49">
        <w:t xml:space="preserve"> It is recommended to update on-site information boards whenever new evaluations are made to ensure that patrons are informed of the results. These boards will help visitors get information about the benefits of the project and the further activities aimed at the enhancement of green areas</w:t>
      </w:r>
      <w:r w:rsidR="001C2ACC">
        <w:t xml:space="preserve"> </w:t>
      </w:r>
      <w:r w:rsidR="001C2ACC" w:rsidRPr="001C2ACC">
        <w:t>(World Health Organization, 2020)</w:t>
      </w:r>
      <w:r w:rsidRPr="00AE5B49">
        <w:t>.</w:t>
      </w:r>
    </w:p>
    <w:p w14:paraId="1C342450" w14:textId="77777777" w:rsidR="00791C9B" w:rsidRPr="00AE5B49" w:rsidRDefault="007A490C" w:rsidP="007A490C">
      <w:r w:rsidRPr="00AE5B49">
        <w:t>Thus, using the described impact measurement and evaluation approaches and the effective communication strategy, the Green Spaces Community Revitali</w:t>
      </w:r>
      <w:r w:rsidR="00AE5B49">
        <w:t>s</w:t>
      </w:r>
      <w:r w:rsidRPr="00AE5B49">
        <w:t>ation Project will be able to evidentially prove it works and develop continuing support and engagement from the community. As a result of this approach, similar or different projects and undertakings can be informed and guided for improved implementation in future projects to strengthen commitment towards organi</w:t>
      </w:r>
      <w:r w:rsidR="00AE5B49">
        <w:t>s</w:t>
      </w:r>
      <w:r w:rsidRPr="00AE5B49">
        <w:t>ational change.</w:t>
      </w:r>
    </w:p>
    <w:p w14:paraId="1761DA92" w14:textId="77777777" w:rsidR="00406A95" w:rsidRPr="00AE5B49" w:rsidRDefault="00191D62" w:rsidP="00191D62">
      <w:pPr>
        <w:pStyle w:val="Heading1"/>
      </w:pPr>
      <w:bookmarkStart w:id="5" w:name="_Toc167370002"/>
      <w:r w:rsidRPr="00AE5B49">
        <w:t>Links to Personal Skills</w:t>
      </w:r>
      <w:bookmarkEnd w:id="5"/>
    </w:p>
    <w:p w14:paraId="200ACDC9" w14:textId="77777777" w:rsidR="00CB1076" w:rsidRPr="00AE5B49" w:rsidRDefault="00CB1076" w:rsidP="0001611F">
      <w:pPr>
        <w:rPr>
          <w:b/>
          <w:bCs/>
        </w:rPr>
      </w:pPr>
      <w:r w:rsidRPr="00AE5B49">
        <w:rPr>
          <w:b/>
          <w:bCs/>
        </w:rPr>
        <w:t>Identification of Skills</w:t>
      </w:r>
    </w:p>
    <w:p w14:paraId="59855B14" w14:textId="77777777" w:rsidR="005A2B9C" w:rsidRPr="00AE5B49" w:rsidRDefault="005A2B9C" w:rsidP="005A2B9C">
      <w:r w:rsidRPr="00AE5B49">
        <w:t>Relevant skills from my CPD log include:</w:t>
      </w:r>
    </w:p>
    <w:p w14:paraId="6C03FDE8" w14:textId="77777777" w:rsidR="005A2B9C" w:rsidRPr="00AE5B49" w:rsidRDefault="005A2B9C" w:rsidP="005A2B9C">
      <w:r w:rsidRPr="00263BEE">
        <w:rPr>
          <w:b/>
          <w:bCs/>
        </w:rPr>
        <w:t>1. Project Management:</w:t>
      </w:r>
      <w:r w:rsidRPr="00AE5B49">
        <w:t xml:space="preserve"> Showed practical experience </w:t>
      </w:r>
      <w:r w:rsidR="001A2548">
        <w:t>in</w:t>
      </w:r>
      <w:r w:rsidRPr="00AE5B49">
        <w:t xml:space="preserve"> planning, scheduling and managing the various projects to their desired outcome.</w:t>
      </w:r>
    </w:p>
    <w:p w14:paraId="70309FD8" w14:textId="77777777" w:rsidR="005A2B9C" w:rsidRPr="00AE5B49" w:rsidRDefault="005A2B9C" w:rsidP="005A2B9C">
      <w:r w:rsidRPr="00263BEE">
        <w:rPr>
          <w:b/>
          <w:bCs/>
        </w:rPr>
        <w:t>2. Community Outreach:</w:t>
      </w:r>
      <w:r w:rsidRPr="00AE5B49">
        <w:t xml:space="preserve"> </w:t>
      </w:r>
      <w:r w:rsidR="001A2548">
        <w:t>T</w:t>
      </w:r>
      <w:r w:rsidRPr="00AE5B49">
        <w:t>his th</w:t>
      </w:r>
      <w:r w:rsidR="001A2548">
        <w:t>e</w:t>
      </w:r>
      <w:r w:rsidRPr="00AE5B49">
        <w:t xml:space="preserve">n establishes me as a candidate who </w:t>
      </w:r>
      <w:r w:rsidR="001A2548">
        <w:t>can deal</w:t>
      </w:r>
      <w:r w:rsidRPr="00AE5B49">
        <w:t xml:space="preserve"> with various stakeholders and be in harmony with the community.</w:t>
      </w:r>
    </w:p>
    <w:p w14:paraId="14711755" w14:textId="77777777" w:rsidR="005A2B9C" w:rsidRPr="00AE5B49" w:rsidRDefault="005A2B9C" w:rsidP="005A2B9C">
      <w:r w:rsidRPr="00263BEE">
        <w:rPr>
          <w:b/>
          <w:bCs/>
        </w:rPr>
        <w:t>3. Environmental Planning:</w:t>
      </w:r>
      <w:r w:rsidRPr="00AE5B49">
        <w:t xml:space="preserve"> Special skills in </w:t>
      </w:r>
      <w:r w:rsidR="001A2548">
        <w:t xml:space="preserve">the </w:t>
      </w:r>
      <w:r w:rsidRPr="00AE5B49">
        <w:t>evaluation of environmental conditions and making projects incorporate sustainable principles.</w:t>
      </w:r>
    </w:p>
    <w:p w14:paraId="5198E714" w14:textId="77777777" w:rsidR="005A2B9C" w:rsidRPr="00AE5B49" w:rsidRDefault="005A2B9C" w:rsidP="005A2B9C">
      <w:pPr>
        <w:rPr>
          <w:b/>
          <w:bCs/>
        </w:rPr>
      </w:pPr>
      <w:r w:rsidRPr="00AE5B49">
        <w:rPr>
          <w:b/>
          <w:bCs/>
        </w:rPr>
        <w:t>Application of Skills</w:t>
      </w:r>
    </w:p>
    <w:p w14:paraId="71E5C3E1" w14:textId="77777777" w:rsidR="005A2B9C" w:rsidRPr="00AE5B49" w:rsidRDefault="005A2B9C" w:rsidP="005A2B9C">
      <w:r w:rsidRPr="00AE5B49">
        <w:t>These skills will be instrumental in managing and facilitating the Green Spaces Community Revitali</w:t>
      </w:r>
      <w:r w:rsidR="00AE5B49">
        <w:t>s</w:t>
      </w:r>
      <w:r w:rsidRPr="00AE5B49">
        <w:t>ation Project:</w:t>
      </w:r>
    </w:p>
    <w:p w14:paraId="169871DF" w14:textId="77777777" w:rsidR="005A2B9C" w:rsidRPr="00AE5B49" w:rsidRDefault="005A2B9C" w:rsidP="005A2B9C">
      <w:r w:rsidRPr="00263BEE">
        <w:rPr>
          <w:b/>
          <w:bCs/>
        </w:rPr>
        <w:t>1. Project Management:</w:t>
      </w:r>
      <w:r w:rsidRPr="00AE5B49">
        <w:t xml:space="preserve"> Appropriate project management skills will help me in managing the whole project enterprise from funding, </w:t>
      </w:r>
      <w:r w:rsidR="001A2548">
        <w:t xml:space="preserve">to </w:t>
      </w:r>
      <w:r w:rsidRPr="00AE5B49">
        <w:t>setting up timelines and staffing plans</w:t>
      </w:r>
      <w:r w:rsidR="001C2ACC">
        <w:t xml:space="preserve"> </w:t>
      </w:r>
      <w:r w:rsidR="001C2ACC" w:rsidRPr="001C2ACC">
        <w:t xml:space="preserve">(Alnsour et al., </w:t>
      </w:r>
      <w:r w:rsidR="001C2ACC" w:rsidRPr="001C2ACC">
        <w:lastRenderedPageBreak/>
        <w:t>2020)</w:t>
      </w:r>
      <w:r w:rsidRPr="00AE5B49">
        <w:t>. This will confirm that all the related undertaking</w:t>
      </w:r>
      <w:r w:rsidR="001A2548">
        <w:t>s</w:t>
      </w:r>
      <w:r w:rsidRPr="00AE5B49">
        <w:t xml:space="preserve"> run successfully and achieve </w:t>
      </w:r>
      <w:r w:rsidR="001A2548">
        <w:t>their goals</w:t>
      </w:r>
      <w:r w:rsidRPr="00AE5B49">
        <w:t xml:space="preserve"> in the timeline and cost plan.</w:t>
      </w:r>
    </w:p>
    <w:p w14:paraId="71553779" w14:textId="77777777" w:rsidR="005A2B9C" w:rsidRPr="00AE5B49" w:rsidRDefault="005A2B9C" w:rsidP="005A2B9C">
      <w:r w:rsidRPr="00263BEE">
        <w:rPr>
          <w:b/>
          <w:bCs/>
        </w:rPr>
        <w:t>2. Community Outreach:</w:t>
      </w:r>
      <w:r w:rsidRPr="00AE5B49">
        <w:t xml:space="preserve"> Effective communication with the stakeholders will be easily possible since the necessary outreach skills will be developed for interaction with the members of the community such as the residents, the businesses and the government organi</w:t>
      </w:r>
      <w:r w:rsidR="00AE5B49">
        <w:t>s</w:t>
      </w:r>
      <w:r w:rsidRPr="00AE5B49">
        <w:t>ations among others. Incorporating the community into the planning and decision-making procedures allows for the project to be geared towards the right requirement</w:t>
      </w:r>
      <w:r w:rsidR="001A2548">
        <w:t>s</w:t>
      </w:r>
      <w:r w:rsidRPr="00AE5B49">
        <w:t xml:space="preserve"> of society.</w:t>
      </w:r>
    </w:p>
    <w:p w14:paraId="6D3E1763" w14:textId="77777777" w:rsidR="005A2B9C" w:rsidRPr="00AE5B49" w:rsidRDefault="005A2B9C" w:rsidP="005A2B9C">
      <w:r w:rsidRPr="00263BEE">
        <w:rPr>
          <w:b/>
          <w:bCs/>
        </w:rPr>
        <w:t>3. Environmental Planning:</w:t>
      </w:r>
      <w:r w:rsidRPr="00AE5B49">
        <w:t xml:space="preserve"> Incorporation of sustainability aspects into the project development will be done under the advisory of </w:t>
      </w:r>
      <w:r w:rsidR="001A2548">
        <w:t xml:space="preserve">a </w:t>
      </w:r>
      <w:r w:rsidRPr="00AE5B49">
        <w:t>specialist in environmental planning</w:t>
      </w:r>
      <w:r w:rsidR="001C2ACC">
        <w:t xml:space="preserve"> </w:t>
      </w:r>
      <w:r w:rsidR="001C2ACC" w:rsidRPr="001C2ACC">
        <w:t>(Baiocchi and Ganuza, 2020)</w:t>
      </w:r>
      <w:r w:rsidRPr="00AE5B49">
        <w:t>. These options include green infrastructure, protection of biological diversity, and resource use efficiency, which results in the creation of sustainable and environmentally friendly green areas.</w:t>
      </w:r>
    </w:p>
    <w:p w14:paraId="021429AE" w14:textId="77777777" w:rsidR="005A2B9C" w:rsidRPr="00AE5B49" w:rsidRDefault="005A2B9C" w:rsidP="005A2B9C">
      <w:pPr>
        <w:rPr>
          <w:b/>
          <w:bCs/>
        </w:rPr>
      </w:pPr>
      <w:r w:rsidRPr="00AE5B49">
        <w:rPr>
          <w:b/>
          <w:bCs/>
        </w:rPr>
        <w:t>Learning and Future Application</w:t>
      </w:r>
    </w:p>
    <w:p w14:paraId="5A8F9D4D" w14:textId="77777777" w:rsidR="005A2B9C" w:rsidRPr="00AE5B49" w:rsidRDefault="005A2B9C" w:rsidP="005A2B9C">
      <w:r w:rsidRPr="00AE5B49">
        <w:t>The knowledge gained from this module will provide valuable insights and tools for future projects:</w:t>
      </w:r>
    </w:p>
    <w:p w14:paraId="52926971" w14:textId="77777777" w:rsidR="005A2B9C" w:rsidRPr="00AE5B49" w:rsidRDefault="005A2B9C" w:rsidP="005A2B9C">
      <w:r w:rsidRPr="00263BEE">
        <w:rPr>
          <w:b/>
          <w:bCs/>
        </w:rPr>
        <w:t>1. Enhanced Project Management Skills:</w:t>
      </w:r>
      <w:r w:rsidRPr="00AE5B49">
        <w:t xml:space="preserve"> General knowledge of key principles of project management will help a person in leading and managing </w:t>
      </w:r>
      <w:r w:rsidR="001A2548">
        <w:t>several</w:t>
      </w:r>
      <w:r w:rsidRPr="00AE5B49">
        <w:t xml:space="preserve"> projects in the future and achieve success and impact.</w:t>
      </w:r>
    </w:p>
    <w:p w14:paraId="55E3F60E" w14:textId="77777777" w:rsidR="005A2B9C" w:rsidRPr="00AE5B49" w:rsidRDefault="005A2B9C" w:rsidP="005A2B9C">
      <w:r w:rsidRPr="00263BEE">
        <w:rPr>
          <w:b/>
          <w:bCs/>
        </w:rPr>
        <w:t>2. Deeper Community Engagement:</w:t>
      </w:r>
      <w:r w:rsidRPr="00AE5B49">
        <w:t xml:space="preserve"> The knowledge </w:t>
      </w:r>
      <w:r w:rsidR="001A2548">
        <w:t>of</w:t>
      </w:r>
      <w:r w:rsidRPr="00AE5B49">
        <w:t xml:space="preserve"> principles and strategies of community engagement will enable me </w:t>
      </w:r>
      <w:r w:rsidR="001A2548">
        <w:t xml:space="preserve">to </w:t>
      </w:r>
      <w:r w:rsidRPr="00AE5B49">
        <w:t>engage future communities/stakeholders with more effective collaboration and set up processes to achieve common goals</w:t>
      </w:r>
      <w:r w:rsidR="001C2ACC">
        <w:t xml:space="preserve"> </w:t>
      </w:r>
      <w:r w:rsidR="001C2ACC" w:rsidRPr="001C2ACC">
        <w:t>(Biruk and Trapence, 2020)</w:t>
      </w:r>
      <w:r w:rsidRPr="00AE5B49">
        <w:t>.</w:t>
      </w:r>
    </w:p>
    <w:p w14:paraId="25636768" w14:textId="77777777" w:rsidR="00CB1076" w:rsidRPr="00AE5B49" w:rsidRDefault="005A2B9C" w:rsidP="005A2B9C">
      <w:r w:rsidRPr="00263BEE">
        <w:rPr>
          <w:b/>
          <w:bCs/>
        </w:rPr>
        <w:t>3. Sustainability Integration:</w:t>
      </w:r>
      <w:r w:rsidRPr="00AE5B49">
        <w:t xml:space="preserve"> I will be able to apply the principles of sustainability to future projects when there is more awareness, and I will make suggestions </w:t>
      </w:r>
      <w:r w:rsidR="001A2548">
        <w:t>for</w:t>
      </w:r>
      <w:r w:rsidRPr="00AE5B49">
        <w:t xml:space="preserve"> sustainable development outcomes</w:t>
      </w:r>
      <w:r w:rsidR="00CB1076" w:rsidRPr="00AE5B49">
        <w:t>.</w:t>
      </w:r>
    </w:p>
    <w:p w14:paraId="7182BEF8" w14:textId="77777777" w:rsidR="000C2D38" w:rsidRPr="00AE5B49" w:rsidRDefault="00523D71" w:rsidP="0001611F">
      <w:r w:rsidRPr="00AE5B49">
        <w:t>My abilities and knowledge from this class will help the Green Spaces Community Revitali</w:t>
      </w:r>
      <w:r w:rsidR="00AE5B49">
        <w:t>s</w:t>
      </w:r>
      <w:r w:rsidRPr="00AE5B49">
        <w:t>ation Project flourish and help me grow as a community leader and environmentalist</w:t>
      </w:r>
      <w:r w:rsidR="00CB1076" w:rsidRPr="00AE5B49">
        <w:t>.</w:t>
      </w:r>
      <w:r w:rsidR="000C2D38" w:rsidRPr="00AE5B49">
        <w:br w:type="page"/>
      </w:r>
    </w:p>
    <w:p w14:paraId="3FE52728" w14:textId="77777777" w:rsidR="003966C8" w:rsidRPr="00AE5B49" w:rsidRDefault="000C2D38" w:rsidP="003966C8">
      <w:pPr>
        <w:pStyle w:val="Heading1"/>
      </w:pPr>
      <w:bookmarkStart w:id="6" w:name="_Toc167370003"/>
      <w:r w:rsidRPr="00AE5B49">
        <w:lastRenderedPageBreak/>
        <w:t>Conclusion</w:t>
      </w:r>
      <w:bookmarkEnd w:id="6"/>
    </w:p>
    <w:p w14:paraId="551BF522" w14:textId="77777777" w:rsidR="00A3580C" w:rsidRPr="00AE5B49" w:rsidRDefault="00A31725" w:rsidP="003966C8">
      <w:r w:rsidRPr="00AE5B49">
        <w:t>In conclusion, the Green Spaces Community Revitali</w:t>
      </w:r>
      <w:r w:rsidR="00AE5B49">
        <w:t>s</w:t>
      </w:r>
      <w:r w:rsidRPr="00AE5B49">
        <w:t>ation Project has aptly captured strategic community involvement, strategic and proper planning and layout, RMNCAH standards, compliance with measures, as well as aspects of performance monitoring and assessment</w:t>
      </w:r>
      <w:r w:rsidR="001C2ACC">
        <w:t xml:space="preserve"> </w:t>
      </w:r>
      <w:r w:rsidR="001C2ACC" w:rsidRPr="001C2ACC">
        <w:t>(Burgess et al., 2021)</w:t>
      </w:r>
      <w:r w:rsidRPr="00AE5B49">
        <w:t xml:space="preserve">. This is intended to be achieved through engaging in consultation and partnership with the various stakeholders involved and through creating open channels of communication within the society to ensure that the establishment of green spaces that are viable and sustainable is accomplished in tune with the necessities of the community. Some of the highlights discussed </w:t>
      </w:r>
      <w:r w:rsidR="001A2548">
        <w:t>in</w:t>
      </w:r>
      <w:r w:rsidRPr="00AE5B49">
        <w:t xml:space="preserve"> the report include the principles of community engagement, which are as follows; Participation, openness as well as involvement and partnerships, other essentials include Standards whereby it is recommended to observe standards that are in line with the </w:t>
      </w:r>
      <w:r w:rsidR="001A2548">
        <w:t>Green Flag A</w:t>
      </w:r>
      <w:r w:rsidRPr="00AE5B49">
        <w:t xml:space="preserve">ward criterion in the United Kingdom, finally effectivity evaluation is crucial whereby there </w:t>
      </w:r>
      <w:r w:rsidR="001A2548">
        <w:t>are</w:t>
      </w:r>
      <w:r w:rsidRPr="00AE5B49">
        <w:t xml:space="preserve"> clear cut methods of evaluation to ensure impact achieved in the next upcoming session</w:t>
      </w:r>
      <w:r w:rsidR="001C2ACC">
        <w:t xml:space="preserve"> </w:t>
      </w:r>
      <w:r w:rsidR="001C2ACC" w:rsidRPr="001C2ACC">
        <w:t>(Carter et al., 2022)</w:t>
      </w:r>
      <w:r w:rsidRPr="00AE5B49">
        <w:t>. Finally, it will discuss the prospect of the project in creating a sustainable positive change as a social, environmental, and health improvement project in the community. Additionally, the findings in this study are the beneficial application of community engagement principles over a specific area of study that can be adopted in other contexts and enhance decision-making processes, empower individuals, and enhance effective positive social change</w:t>
      </w:r>
      <w:r w:rsidR="001C2ACC">
        <w:t xml:space="preserve"> </w:t>
      </w:r>
      <w:r w:rsidR="001C2ACC" w:rsidRPr="001C2ACC">
        <w:t>(Coy et al., 2021)</w:t>
      </w:r>
      <w:r w:rsidRPr="00AE5B49">
        <w:t xml:space="preserve">. </w:t>
      </w:r>
      <w:r w:rsidR="005C7B3C" w:rsidRPr="005C7B3C">
        <w:t>This call for a review enhances the need to push even harder in celebrating stakeholder involvement and planning for sustainability in achieving the developments required for building better communities and spaces than what is currently experienced</w:t>
      </w:r>
      <w:r w:rsidR="003966C8" w:rsidRPr="00AE5B49">
        <w:t>.</w:t>
      </w:r>
    </w:p>
    <w:p w14:paraId="2C97FDC2" w14:textId="77777777" w:rsidR="00A3580C" w:rsidRDefault="00A3580C">
      <w:pPr>
        <w:spacing w:before="0" w:after="200" w:line="276" w:lineRule="auto"/>
        <w:jc w:val="left"/>
      </w:pPr>
      <w:r>
        <w:br w:type="page"/>
      </w:r>
    </w:p>
    <w:p w14:paraId="5DEEBE3C" w14:textId="77777777" w:rsidR="000C2D38" w:rsidRDefault="00A3580C" w:rsidP="00A3580C">
      <w:pPr>
        <w:pStyle w:val="Heading1"/>
      </w:pPr>
      <w:bookmarkStart w:id="7" w:name="_Toc167370004"/>
      <w:r>
        <w:lastRenderedPageBreak/>
        <w:t>References</w:t>
      </w:r>
      <w:bookmarkEnd w:id="7"/>
    </w:p>
    <w:p w14:paraId="2B04FDEE" w14:textId="77777777" w:rsidR="008F77C4" w:rsidRDefault="008F77C4" w:rsidP="008F77C4">
      <w:pPr>
        <w:rPr>
          <w:shd w:val="clear" w:color="auto" w:fill="FFFFFF"/>
        </w:rPr>
      </w:pPr>
      <w:r>
        <w:rPr>
          <w:shd w:val="clear" w:color="auto" w:fill="FFFFFF"/>
        </w:rPr>
        <w:t>Alnsour, M., &amp; Al Faour, H. R. (2020). The influence of customer</w:t>
      </w:r>
      <w:r w:rsidR="007D4EF3">
        <w:rPr>
          <w:shd w:val="clear" w:color="auto" w:fill="FFFFFF"/>
        </w:rPr>
        <w:t>'</w:t>
      </w:r>
      <w:r>
        <w:rPr>
          <w:shd w:val="clear" w:color="auto" w:fill="FFFFFF"/>
        </w:rPr>
        <w:t xml:space="preserve">s social media brand community engagement on restaurant </w:t>
      </w:r>
      <w:proofErr w:type="gramStart"/>
      <w:r>
        <w:rPr>
          <w:shd w:val="clear" w:color="auto" w:fill="FFFFFF"/>
        </w:rPr>
        <w:t>visit</w:t>
      </w:r>
      <w:proofErr w:type="gramEnd"/>
      <w:r>
        <w:rPr>
          <w:shd w:val="clear" w:color="auto" w:fill="FFFFFF"/>
        </w:rPr>
        <w:t xml:space="preserve"> intentions. </w:t>
      </w:r>
      <w:r>
        <w:rPr>
          <w:i/>
          <w:iCs/>
          <w:shd w:val="clear" w:color="auto" w:fill="FFFFFF"/>
        </w:rPr>
        <w:t>Journal of International Food &amp; Agribusiness Marketing</w:t>
      </w:r>
      <w:r>
        <w:rPr>
          <w:shd w:val="clear" w:color="auto" w:fill="FFFFFF"/>
        </w:rPr>
        <w:t>, </w:t>
      </w:r>
      <w:r>
        <w:rPr>
          <w:i/>
          <w:iCs/>
          <w:shd w:val="clear" w:color="auto" w:fill="FFFFFF"/>
        </w:rPr>
        <w:t>32</w:t>
      </w:r>
      <w:r>
        <w:rPr>
          <w:shd w:val="clear" w:color="auto" w:fill="FFFFFF"/>
        </w:rPr>
        <w:t>(1), 79-95.</w:t>
      </w:r>
    </w:p>
    <w:p w14:paraId="798E7025" w14:textId="77777777" w:rsidR="008F77C4" w:rsidRDefault="008F77C4" w:rsidP="008F77C4">
      <w:pPr>
        <w:rPr>
          <w:shd w:val="clear" w:color="auto" w:fill="FFFFFF"/>
        </w:rPr>
      </w:pPr>
      <w:r>
        <w:rPr>
          <w:shd w:val="clear" w:color="auto" w:fill="FFFFFF"/>
        </w:rPr>
        <w:t>Baiocchi, G., &amp; Ganuza, E. (2020). </w:t>
      </w:r>
      <w:r>
        <w:rPr>
          <w:i/>
          <w:iCs/>
          <w:shd w:val="clear" w:color="auto" w:fill="FFFFFF"/>
        </w:rPr>
        <w:t>Popular democracy: The paradox of participation</w:t>
      </w:r>
      <w:r>
        <w:rPr>
          <w:shd w:val="clear" w:color="auto" w:fill="FFFFFF"/>
        </w:rPr>
        <w:t>. Stanford University Press.</w:t>
      </w:r>
    </w:p>
    <w:p w14:paraId="68712FBA" w14:textId="77777777" w:rsidR="008F77C4" w:rsidRDefault="008F77C4" w:rsidP="008F77C4">
      <w:pPr>
        <w:rPr>
          <w:shd w:val="clear" w:color="auto" w:fill="FFFFFF"/>
        </w:rPr>
      </w:pPr>
      <w:r>
        <w:rPr>
          <w:shd w:val="clear" w:color="auto" w:fill="FFFFFF"/>
        </w:rPr>
        <w:t>Biruk, C., &amp; Trapence, G. (2020). Community Engagement in an Economy of Harms: Reflections from an LGBTI-rights NGO in Malawi. In </w:t>
      </w:r>
      <w:r>
        <w:rPr>
          <w:i/>
          <w:iCs/>
          <w:shd w:val="clear" w:color="auto" w:fill="FFFFFF"/>
        </w:rPr>
        <w:t>The Ethics and Politics of Community Engagement in Global Health Research</w:t>
      </w:r>
      <w:r>
        <w:rPr>
          <w:shd w:val="clear" w:color="auto" w:fill="FFFFFF"/>
        </w:rPr>
        <w:t> (pp. 87-98). Routledge.</w:t>
      </w:r>
    </w:p>
    <w:p w14:paraId="5940EF2D" w14:textId="77777777" w:rsidR="008F77C4" w:rsidRDefault="008F77C4" w:rsidP="008F77C4">
      <w:pPr>
        <w:rPr>
          <w:shd w:val="clear" w:color="auto" w:fill="FFFFFF"/>
        </w:rPr>
      </w:pPr>
      <w:r>
        <w:rPr>
          <w:shd w:val="clear" w:color="auto" w:fill="FFFFFF"/>
        </w:rPr>
        <w:t>Burgess, R. A., Osborne, R. H., Yongabi, K. A., Greenhalgh, T., Gurdasani, D., Kang, G., ... &amp; McKee, M. (2021). The COVID-19 vaccines rush: participatory community engagement matters more than ever. </w:t>
      </w:r>
      <w:r>
        <w:rPr>
          <w:i/>
          <w:iCs/>
          <w:shd w:val="clear" w:color="auto" w:fill="FFFFFF"/>
        </w:rPr>
        <w:t>The Lancet</w:t>
      </w:r>
      <w:r>
        <w:rPr>
          <w:shd w:val="clear" w:color="auto" w:fill="FFFFFF"/>
        </w:rPr>
        <w:t>, </w:t>
      </w:r>
      <w:r>
        <w:rPr>
          <w:i/>
          <w:iCs/>
          <w:shd w:val="clear" w:color="auto" w:fill="FFFFFF"/>
        </w:rPr>
        <w:t>397</w:t>
      </w:r>
      <w:r>
        <w:rPr>
          <w:shd w:val="clear" w:color="auto" w:fill="FFFFFF"/>
        </w:rPr>
        <w:t>(10268), 8-10.</w:t>
      </w:r>
    </w:p>
    <w:p w14:paraId="2B246DD0" w14:textId="77777777" w:rsidR="008F77C4" w:rsidRDefault="008F77C4" w:rsidP="008F77C4">
      <w:pPr>
        <w:rPr>
          <w:shd w:val="clear" w:color="auto" w:fill="FFFFFF"/>
        </w:rPr>
      </w:pPr>
      <w:r>
        <w:rPr>
          <w:shd w:val="clear" w:color="auto" w:fill="FFFFFF"/>
        </w:rPr>
        <w:t>Carter, L., Cosijn, M., Williams, L. J., Chakraborty, A., &amp; Kar, S. (2022). Including marginalised voices in agricultural development processes using an ethical community engagement framework in West Bengal, India. </w:t>
      </w:r>
      <w:r>
        <w:rPr>
          <w:i/>
          <w:iCs/>
          <w:shd w:val="clear" w:color="auto" w:fill="FFFFFF"/>
        </w:rPr>
        <w:t>Sustainability Science</w:t>
      </w:r>
      <w:r>
        <w:rPr>
          <w:shd w:val="clear" w:color="auto" w:fill="FFFFFF"/>
        </w:rPr>
        <w:t>, </w:t>
      </w:r>
      <w:r>
        <w:rPr>
          <w:i/>
          <w:iCs/>
          <w:shd w:val="clear" w:color="auto" w:fill="FFFFFF"/>
        </w:rPr>
        <w:t>17</w:t>
      </w:r>
      <w:r>
        <w:rPr>
          <w:shd w:val="clear" w:color="auto" w:fill="FFFFFF"/>
        </w:rPr>
        <w:t>(2), 485-496.</w:t>
      </w:r>
    </w:p>
    <w:p w14:paraId="2F957D96" w14:textId="77777777" w:rsidR="008F77C4" w:rsidRDefault="008F77C4" w:rsidP="008F77C4">
      <w:pPr>
        <w:rPr>
          <w:shd w:val="clear" w:color="auto" w:fill="FFFFFF"/>
        </w:rPr>
      </w:pPr>
      <w:r>
        <w:rPr>
          <w:shd w:val="clear" w:color="auto" w:fill="FFFFFF"/>
        </w:rPr>
        <w:t>Coy, D., Malekpour, S., Saeri, A. K., &amp; Dargaville, R. (2021). Rethinking community empowerment in the energy transformation: A critical review of the definitions, drivers and outcomes. </w:t>
      </w:r>
      <w:r>
        <w:rPr>
          <w:i/>
          <w:iCs/>
          <w:shd w:val="clear" w:color="auto" w:fill="FFFFFF"/>
        </w:rPr>
        <w:t>Energy Research &amp; Social Science</w:t>
      </w:r>
      <w:r>
        <w:rPr>
          <w:shd w:val="clear" w:color="auto" w:fill="FFFFFF"/>
        </w:rPr>
        <w:t>, </w:t>
      </w:r>
      <w:r>
        <w:rPr>
          <w:i/>
          <w:iCs/>
          <w:shd w:val="clear" w:color="auto" w:fill="FFFFFF"/>
        </w:rPr>
        <w:t>72</w:t>
      </w:r>
      <w:r>
        <w:rPr>
          <w:shd w:val="clear" w:color="auto" w:fill="FFFFFF"/>
        </w:rPr>
        <w:t>, 101871.</w:t>
      </w:r>
    </w:p>
    <w:p w14:paraId="14FF9FBD" w14:textId="77777777" w:rsidR="008F77C4" w:rsidRDefault="008F77C4" w:rsidP="008F77C4">
      <w:pPr>
        <w:rPr>
          <w:shd w:val="clear" w:color="auto" w:fill="FFFFFF"/>
        </w:rPr>
      </w:pPr>
      <w:r>
        <w:rPr>
          <w:shd w:val="clear" w:color="auto" w:fill="FFFFFF"/>
        </w:rPr>
        <w:t>Dessart, L., Veloutsou, C., &amp; Morgan-Thomas, A. (2020). Brand negativity: a relational perspective on anti-brand community participation. </w:t>
      </w:r>
      <w:r>
        <w:rPr>
          <w:i/>
          <w:iCs/>
          <w:shd w:val="clear" w:color="auto" w:fill="FFFFFF"/>
        </w:rPr>
        <w:t>European Journal of Marketing</w:t>
      </w:r>
      <w:r>
        <w:rPr>
          <w:shd w:val="clear" w:color="auto" w:fill="FFFFFF"/>
        </w:rPr>
        <w:t>, </w:t>
      </w:r>
      <w:r>
        <w:rPr>
          <w:i/>
          <w:iCs/>
          <w:shd w:val="clear" w:color="auto" w:fill="FFFFFF"/>
        </w:rPr>
        <w:t>54</w:t>
      </w:r>
      <w:r>
        <w:rPr>
          <w:shd w:val="clear" w:color="auto" w:fill="FFFFFF"/>
        </w:rPr>
        <w:t>(7), 1761-1785.</w:t>
      </w:r>
    </w:p>
    <w:p w14:paraId="2D9FCAA3" w14:textId="77777777" w:rsidR="008F77C4" w:rsidRDefault="008F77C4" w:rsidP="008F77C4">
      <w:pPr>
        <w:rPr>
          <w:shd w:val="clear" w:color="auto" w:fill="FFFFFF"/>
        </w:rPr>
      </w:pPr>
      <w:r>
        <w:rPr>
          <w:shd w:val="clear" w:color="auto" w:fill="FFFFFF"/>
        </w:rPr>
        <w:t>Fitzgerald, H. E., Karen, B., Sonka, S. T., Furco, A., &amp; Swanson, L. (2020). The centrality of engagement in higher education. In </w:t>
      </w:r>
      <w:r>
        <w:rPr>
          <w:i/>
          <w:iCs/>
          <w:shd w:val="clear" w:color="auto" w:fill="FFFFFF"/>
        </w:rPr>
        <w:t>Building the field of higher education engagement</w:t>
      </w:r>
      <w:r>
        <w:rPr>
          <w:shd w:val="clear" w:color="auto" w:fill="FFFFFF"/>
        </w:rPr>
        <w:t> (pp. 201-219). Routledge.</w:t>
      </w:r>
    </w:p>
    <w:p w14:paraId="662D92CC" w14:textId="77777777" w:rsidR="008F77C4" w:rsidRDefault="008F77C4" w:rsidP="008F77C4">
      <w:pPr>
        <w:rPr>
          <w:shd w:val="clear" w:color="auto" w:fill="FFFFFF"/>
        </w:rPr>
      </w:pPr>
      <w:r>
        <w:rPr>
          <w:shd w:val="clear" w:color="auto" w:fill="FFFFFF"/>
        </w:rPr>
        <w:lastRenderedPageBreak/>
        <w:t>Gilmore, B., Ndejjo, R., Tchetchia, A., de Claro, V., Mago, E., Lopes, C., &amp; Bhattacharyya, S. (2020). Community engagement for COVID-19 prevention and control: a rapid evidence synthesis. </w:t>
      </w:r>
      <w:r>
        <w:rPr>
          <w:i/>
          <w:iCs/>
          <w:shd w:val="clear" w:color="auto" w:fill="FFFFFF"/>
        </w:rPr>
        <w:t xml:space="preserve">BMJ </w:t>
      </w:r>
      <w:r w:rsidR="007D4EF3">
        <w:rPr>
          <w:i/>
          <w:iCs/>
          <w:shd w:val="clear" w:color="auto" w:fill="FFFFFF"/>
        </w:rPr>
        <w:t>Global H</w:t>
      </w:r>
      <w:r>
        <w:rPr>
          <w:i/>
          <w:iCs/>
          <w:shd w:val="clear" w:color="auto" w:fill="FFFFFF"/>
        </w:rPr>
        <w:t>ealth</w:t>
      </w:r>
      <w:r>
        <w:rPr>
          <w:shd w:val="clear" w:color="auto" w:fill="FFFFFF"/>
        </w:rPr>
        <w:t>, </w:t>
      </w:r>
      <w:r>
        <w:rPr>
          <w:i/>
          <w:iCs/>
          <w:shd w:val="clear" w:color="auto" w:fill="FFFFFF"/>
        </w:rPr>
        <w:t>5</w:t>
      </w:r>
      <w:r>
        <w:rPr>
          <w:shd w:val="clear" w:color="auto" w:fill="FFFFFF"/>
        </w:rPr>
        <w:t>(10), e003188.</w:t>
      </w:r>
    </w:p>
    <w:p w14:paraId="7D65962A" w14:textId="77777777" w:rsidR="008F77C4" w:rsidRDefault="008F77C4" w:rsidP="008F77C4">
      <w:pPr>
        <w:rPr>
          <w:shd w:val="clear" w:color="auto" w:fill="FFFFFF"/>
        </w:rPr>
      </w:pPr>
      <w:r>
        <w:rPr>
          <w:shd w:val="clear" w:color="auto" w:fill="FFFFFF"/>
        </w:rPr>
        <w:t>Gough, C., Weber, H., George, S., Maeder, A., &amp; Lewis, L. (2021). Location monitoring of physical activity and participation in community</w:t>
      </w:r>
      <w:r w:rsidR="007D4EF3">
        <w:rPr>
          <w:shd w:val="clear" w:color="auto" w:fill="FFFFFF"/>
        </w:rPr>
        <w:t>-</w:t>
      </w:r>
      <w:r>
        <w:rPr>
          <w:shd w:val="clear" w:color="auto" w:fill="FFFFFF"/>
        </w:rPr>
        <w:t>dwelling older people: a scoping review. </w:t>
      </w:r>
      <w:r>
        <w:rPr>
          <w:i/>
          <w:iCs/>
          <w:shd w:val="clear" w:color="auto" w:fill="FFFFFF"/>
        </w:rPr>
        <w:t xml:space="preserve">Disability and </w:t>
      </w:r>
      <w:r w:rsidR="007D4EF3">
        <w:rPr>
          <w:i/>
          <w:iCs/>
          <w:shd w:val="clear" w:color="auto" w:fill="FFFFFF"/>
        </w:rPr>
        <w:t>R</w:t>
      </w:r>
      <w:r>
        <w:rPr>
          <w:i/>
          <w:iCs/>
          <w:shd w:val="clear" w:color="auto" w:fill="FFFFFF"/>
        </w:rPr>
        <w:t>ehabilitation</w:t>
      </w:r>
      <w:r>
        <w:rPr>
          <w:shd w:val="clear" w:color="auto" w:fill="FFFFFF"/>
        </w:rPr>
        <w:t>, </w:t>
      </w:r>
      <w:r>
        <w:rPr>
          <w:i/>
          <w:iCs/>
          <w:shd w:val="clear" w:color="auto" w:fill="FFFFFF"/>
        </w:rPr>
        <w:t>43</w:t>
      </w:r>
      <w:r>
        <w:rPr>
          <w:shd w:val="clear" w:color="auto" w:fill="FFFFFF"/>
        </w:rPr>
        <w:t>(2), 270-283.</w:t>
      </w:r>
    </w:p>
    <w:p w14:paraId="3D3EC557" w14:textId="77777777" w:rsidR="008F77C4" w:rsidRDefault="008F77C4" w:rsidP="008F77C4">
      <w:pPr>
        <w:rPr>
          <w:shd w:val="clear" w:color="auto" w:fill="FFFFFF"/>
        </w:rPr>
      </w:pPr>
      <w:r>
        <w:rPr>
          <w:shd w:val="clear" w:color="auto" w:fill="FFFFFF"/>
        </w:rPr>
        <w:t>Henigson, H. (2022). </w:t>
      </w:r>
      <w:r>
        <w:rPr>
          <w:i/>
          <w:iCs/>
          <w:shd w:val="clear" w:color="auto" w:fill="FFFFFF"/>
        </w:rPr>
        <w:t>Community engagement in UN peacekeeping operations: a people-centred approach to protecting civilians</w:t>
      </w:r>
      <w:r>
        <w:rPr>
          <w:shd w:val="clear" w:color="auto" w:fill="FFFFFF"/>
        </w:rPr>
        <w:t>. International Peace Institute.</w:t>
      </w:r>
    </w:p>
    <w:p w14:paraId="2C256CA7" w14:textId="77777777" w:rsidR="008F77C4" w:rsidRDefault="008F77C4" w:rsidP="008F77C4">
      <w:pPr>
        <w:rPr>
          <w:shd w:val="clear" w:color="auto" w:fill="FFFFFF"/>
        </w:rPr>
      </w:pPr>
      <w:r>
        <w:rPr>
          <w:shd w:val="clear" w:color="auto" w:fill="FFFFFF"/>
        </w:rPr>
        <w:t>Hügel, S., &amp; Davies, A. R. (2020). Public participation, engagement, and climate change adaptation: A review of the research literature. </w:t>
      </w:r>
      <w:r>
        <w:rPr>
          <w:i/>
          <w:iCs/>
          <w:shd w:val="clear" w:color="auto" w:fill="FFFFFF"/>
        </w:rPr>
        <w:t>Wiley Interdisciplinary Reviews: Climate Change</w:t>
      </w:r>
      <w:r>
        <w:rPr>
          <w:shd w:val="clear" w:color="auto" w:fill="FFFFFF"/>
        </w:rPr>
        <w:t>, </w:t>
      </w:r>
      <w:r>
        <w:rPr>
          <w:i/>
          <w:iCs/>
          <w:shd w:val="clear" w:color="auto" w:fill="FFFFFF"/>
        </w:rPr>
        <w:t>11</w:t>
      </w:r>
      <w:r>
        <w:rPr>
          <w:shd w:val="clear" w:color="auto" w:fill="FFFFFF"/>
        </w:rPr>
        <w:t>(4), e645.</w:t>
      </w:r>
    </w:p>
    <w:p w14:paraId="32C61889" w14:textId="77777777" w:rsidR="008F77C4" w:rsidRDefault="008F77C4" w:rsidP="008F77C4">
      <w:r>
        <w:rPr>
          <w:shd w:val="clear" w:color="auto" w:fill="FFFFFF"/>
        </w:rPr>
        <w:t>Jewett, R. L., Mah, S. M., Howell, N., &amp; Larsen, M. M. (2021). Social cohesion and community resilience during COVID-19 and pandemics: A rapid scoping review to inform the United Nations research roadmap for COVID-19 recovery. </w:t>
      </w:r>
      <w:r>
        <w:rPr>
          <w:i/>
          <w:iCs/>
          <w:shd w:val="clear" w:color="auto" w:fill="FFFFFF"/>
        </w:rPr>
        <w:t>International Journal of Health Services</w:t>
      </w:r>
      <w:r>
        <w:rPr>
          <w:shd w:val="clear" w:color="auto" w:fill="FFFFFF"/>
        </w:rPr>
        <w:t>, </w:t>
      </w:r>
      <w:r>
        <w:rPr>
          <w:i/>
          <w:iCs/>
          <w:shd w:val="clear" w:color="auto" w:fill="FFFFFF"/>
        </w:rPr>
        <w:t>51</w:t>
      </w:r>
      <w:r>
        <w:rPr>
          <w:shd w:val="clear" w:color="auto" w:fill="FFFFFF"/>
        </w:rPr>
        <w:t>(3), 325-336.</w:t>
      </w:r>
    </w:p>
    <w:p w14:paraId="74A81FC0" w14:textId="77777777" w:rsidR="008F77C4" w:rsidRPr="008F77C4" w:rsidRDefault="008F77C4" w:rsidP="008F77C4">
      <w:r>
        <w:rPr>
          <w:shd w:val="clear" w:color="auto" w:fill="FFFFFF"/>
        </w:rPr>
        <w:t>Marston, C., Renedo, A., &amp; Miles, S. (2020). Community participation is crucial in a pandemic. </w:t>
      </w:r>
      <w:r>
        <w:rPr>
          <w:i/>
          <w:iCs/>
          <w:shd w:val="clear" w:color="auto" w:fill="FFFFFF"/>
        </w:rPr>
        <w:t>The Lancet</w:t>
      </w:r>
      <w:r>
        <w:rPr>
          <w:shd w:val="clear" w:color="auto" w:fill="FFFFFF"/>
        </w:rPr>
        <w:t>, </w:t>
      </w:r>
      <w:r>
        <w:rPr>
          <w:i/>
          <w:iCs/>
          <w:shd w:val="clear" w:color="auto" w:fill="FFFFFF"/>
        </w:rPr>
        <w:t>395</w:t>
      </w:r>
      <w:r>
        <w:rPr>
          <w:shd w:val="clear" w:color="auto" w:fill="FFFFFF"/>
        </w:rPr>
        <w:t>(10238), 1676-1678.</w:t>
      </w:r>
    </w:p>
    <w:p w14:paraId="70D6FCBD" w14:textId="77777777" w:rsidR="008F77C4" w:rsidRDefault="008F77C4" w:rsidP="008F77C4">
      <w:pPr>
        <w:rPr>
          <w:shd w:val="clear" w:color="auto" w:fill="FFFFFF"/>
        </w:rPr>
      </w:pPr>
      <w:r>
        <w:rPr>
          <w:shd w:val="clear" w:color="auto" w:fill="FFFFFF"/>
        </w:rPr>
        <w:t>Ng’ang’a, P. N., Aduogo, P., &amp; Mutero, C. M. (2021). Strengthening community and stakeholder participation in the implementation of integrated vector management for malaria control in western Kenya: a case study. </w:t>
      </w:r>
      <w:r>
        <w:rPr>
          <w:i/>
          <w:iCs/>
          <w:shd w:val="clear" w:color="auto" w:fill="FFFFFF"/>
        </w:rPr>
        <w:t>Malaria journal</w:t>
      </w:r>
      <w:r>
        <w:rPr>
          <w:shd w:val="clear" w:color="auto" w:fill="FFFFFF"/>
        </w:rPr>
        <w:t>, </w:t>
      </w:r>
      <w:r>
        <w:rPr>
          <w:i/>
          <w:iCs/>
          <w:shd w:val="clear" w:color="auto" w:fill="FFFFFF"/>
        </w:rPr>
        <w:t>20</w:t>
      </w:r>
      <w:r>
        <w:rPr>
          <w:shd w:val="clear" w:color="auto" w:fill="FFFFFF"/>
        </w:rPr>
        <w:t>, 1-14.</w:t>
      </w:r>
    </w:p>
    <w:p w14:paraId="02AABF66" w14:textId="77777777" w:rsidR="008F77C4" w:rsidRDefault="008F77C4" w:rsidP="008F77C4">
      <w:pPr>
        <w:rPr>
          <w:shd w:val="clear" w:color="auto" w:fill="FFFFFF"/>
        </w:rPr>
      </w:pPr>
      <w:r>
        <w:rPr>
          <w:shd w:val="clear" w:color="auto" w:fill="FFFFFF"/>
        </w:rPr>
        <w:t>Park, J. S., &amp; Ha, S. (2021). Developing brand loyalty through consumer engagement with brand communities in social media. </w:t>
      </w:r>
      <w:r>
        <w:rPr>
          <w:i/>
          <w:iCs/>
          <w:shd w:val="clear" w:color="auto" w:fill="FFFFFF"/>
        </w:rPr>
        <w:t>Asian Journal of Business Research</w:t>
      </w:r>
      <w:r>
        <w:rPr>
          <w:shd w:val="clear" w:color="auto" w:fill="FFFFFF"/>
        </w:rPr>
        <w:t>, </w:t>
      </w:r>
      <w:r>
        <w:rPr>
          <w:i/>
          <w:iCs/>
          <w:shd w:val="clear" w:color="auto" w:fill="FFFFFF"/>
        </w:rPr>
        <w:t>11</w:t>
      </w:r>
      <w:r>
        <w:rPr>
          <w:shd w:val="clear" w:color="auto" w:fill="FFFFFF"/>
        </w:rPr>
        <w:t>(1), 83-102.</w:t>
      </w:r>
    </w:p>
    <w:p w14:paraId="6B7D4C59" w14:textId="77777777" w:rsidR="008F77C4" w:rsidRDefault="008F77C4" w:rsidP="008F77C4">
      <w:pPr>
        <w:rPr>
          <w:shd w:val="clear" w:color="auto" w:fill="FFFFFF"/>
        </w:rPr>
      </w:pPr>
      <w:r>
        <w:rPr>
          <w:shd w:val="clear" w:color="auto" w:fill="FFFFFF"/>
        </w:rPr>
        <w:t>Putra, I. M. Y. D., Rasmini, N. K., Gayatri, G., &amp; Ratnadi, N. M. D. (2022). Organizational culture as moderating the influence of internal control and community participation on fraud prevention in village fund management during the COVID-19 pandemic. </w:t>
      </w:r>
      <w:r>
        <w:rPr>
          <w:i/>
          <w:iCs/>
          <w:shd w:val="clear" w:color="auto" w:fill="FFFFFF"/>
        </w:rPr>
        <w:t>Linguistics and Culture Review</w:t>
      </w:r>
      <w:r>
        <w:rPr>
          <w:shd w:val="clear" w:color="auto" w:fill="FFFFFF"/>
        </w:rPr>
        <w:t>, </w:t>
      </w:r>
      <w:r>
        <w:rPr>
          <w:i/>
          <w:iCs/>
          <w:shd w:val="clear" w:color="auto" w:fill="FFFFFF"/>
        </w:rPr>
        <w:t>6</w:t>
      </w:r>
      <w:r>
        <w:rPr>
          <w:shd w:val="clear" w:color="auto" w:fill="FFFFFF"/>
        </w:rPr>
        <w:t>(S1), 351-362.</w:t>
      </w:r>
    </w:p>
    <w:p w14:paraId="40E6D730" w14:textId="77777777" w:rsidR="008F77C4" w:rsidRDefault="008F77C4" w:rsidP="008F77C4">
      <w:pPr>
        <w:rPr>
          <w:shd w:val="clear" w:color="auto" w:fill="FFFFFF"/>
        </w:rPr>
      </w:pPr>
      <w:r>
        <w:rPr>
          <w:shd w:val="clear" w:color="auto" w:fill="FFFFFF"/>
        </w:rPr>
        <w:lastRenderedPageBreak/>
        <w:t>Robler, S. K., Inglis, S. M., Gallo, J. J., Parnell, H. E., Ivanoff, P., Ryan, S., ... &amp; Emmett, S. D. (2020). Hearing Norton Sound: community involvement in the design of a mixed methods community randomized trial in 15 Alaska Native communities. </w:t>
      </w:r>
      <w:r>
        <w:rPr>
          <w:i/>
          <w:iCs/>
          <w:shd w:val="clear" w:color="auto" w:fill="FFFFFF"/>
        </w:rPr>
        <w:t>Research Involvement and Engagement</w:t>
      </w:r>
      <w:r>
        <w:rPr>
          <w:shd w:val="clear" w:color="auto" w:fill="FFFFFF"/>
        </w:rPr>
        <w:t>, </w:t>
      </w:r>
      <w:r>
        <w:rPr>
          <w:i/>
          <w:iCs/>
          <w:shd w:val="clear" w:color="auto" w:fill="FFFFFF"/>
        </w:rPr>
        <w:t>6</w:t>
      </w:r>
      <w:r>
        <w:rPr>
          <w:shd w:val="clear" w:color="auto" w:fill="FFFFFF"/>
        </w:rPr>
        <w:t>, 1-11.</w:t>
      </w:r>
    </w:p>
    <w:p w14:paraId="72DA29B8" w14:textId="77777777" w:rsidR="008F77C4" w:rsidRDefault="008F77C4" w:rsidP="008F77C4">
      <w:pPr>
        <w:rPr>
          <w:shd w:val="clear" w:color="auto" w:fill="FFFFFF"/>
        </w:rPr>
      </w:pPr>
      <w:r>
        <w:rPr>
          <w:shd w:val="clear" w:color="auto" w:fill="FFFFFF"/>
        </w:rPr>
        <w:t xml:space="preserve">Shaturaev, J. (2021). </w:t>
      </w:r>
      <w:r w:rsidR="007D4EF3">
        <w:rPr>
          <w:shd w:val="clear" w:color="auto" w:fill="FFFFFF"/>
        </w:rPr>
        <w:t>I</w:t>
      </w:r>
      <w:r>
        <w:rPr>
          <w:shd w:val="clear" w:color="auto" w:fill="FFFFFF"/>
        </w:rPr>
        <w:t>ndonesia: superior policies and management for better education (Community development through Education). </w:t>
      </w:r>
      <w:r>
        <w:rPr>
          <w:i/>
          <w:iCs/>
          <w:shd w:val="clear" w:color="auto" w:fill="FFFFFF"/>
        </w:rPr>
        <w:t>Архив научных исследований</w:t>
      </w:r>
      <w:r>
        <w:rPr>
          <w:shd w:val="clear" w:color="auto" w:fill="FFFFFF"/>
        </w:rPr>
        <w:t>, </w:t>
      </w:r>
      <w:r>
        <w:rPr>
          <w:i/>
          <w:iCs/>
          <w:shd w:val="clear" w:color="auto" w:fill="FFFFFF"/>
        </w:rPr>
        <w:t>1</w:t>
      </w:r>
      <w:r>
        <w:rPr>
          <w:shd w:val="clear" w:color="auto" w:fill="FFFFFF"/>
        </w:rPr>
        <w:t>(1).</w:t>
      </w:r>
    </w:p>
    <w:p w14:paraId="367F7D84" w14:textId="77777777" w:rsidR="007E6578" w:rsidRDefault="008F77C4" w:rsidP="008F77C4">
      <w:pPr>
        <w:rPr>
          <w:shd w:val="clear" w:color="auto" w:fill="FFFFFF"/>
        </w:rPr>
      </w:pPr>
      <w:r>
        <w:rPr>
          <w:shd w:val="clear" w:color="auto" w:fill="FFFFFF"/>
        </w:rPr>
        <w:t>World Health Organization. (2020). </w:t>
      </w:r>
      <w:r>
        <w:rPr>
          <w:i/>
          <w:iCs/>
          <w:shd w:val="clear" w:color="auto" w:fill="FFFFFF"/>
        </w:rPr>
        <w:t>Responding to community spread of COVID-19: interim guidance, 7 March 2020</w:t>
      </w:r>
      <w:r>
        <w:rPr>
          <w:shd w:val="clear" w:color="auto" w:fill="FFFFFF"/>
        </w:rPr>
        <w:t> (No. WHO/COVID-19/Community_Transmission/2020.1). World Health Organization.</w:t>
      </w:r>
    </w:p>
    <w:p w14:paraId="53FF0C97" w14:textId="77777777" w:rsidR="008F77C4" w:rsidRDefault="007E6578" w:rsidP="007E6578">
      <w:pPr>
        <w:spacing w:before="0" w:after="200" w:line="276" w:lineRule="auto"/>
        <w:jc w:val="left"/>
        <w:rPr>
          <w:shd w:val="clear" w:color="auto" w:fill="FFFFFF"/>
        </w:rPr>
      </w:pPr>
      <w:r>
        <w:rPr>
          <w:shd w:val="clear" w:color="auto" w:fill="FFFFFF"/>
        </w:rPr>
        <w:br w:type="page"/>
      </w:r>
    </w:p>
    <w:p w14:paraId="7A92DC50" w14:textId="77777777" w:rsidR="00A3580C" w:rsidRDefault="00B8678D" w:rsidP="00B8678D">
      <w:pPr>
        <w:pStyle w:val="Heading1"/>
      </w:pPr>
      <w:bookmarkStart w:id="8" w:name="_Toc167370005"/>
      <w:r>
        <w:lastRenderedPageBreak/>
        <w:t>Appendix</w:t>
      </w:r>
      <w:bookmarkEnd w:id="8"/>
    </w:p>
    <w:p w14:paraId="6F1AD2A2" w14:textId="77777777" w:rsidR="003F79D2" w:rsidRPr="003F79D2" w:rsidRDefault="003F79D2" w:rsidP="003F79D2">
      <w:pPr>
        <w:rPr>
          <w:b/>
          <w:bCs/>
        </w:rPr>
      </w:pPr>
      <w:r w:rsidRPr="003F79D2">
        <w:rPr>
          <w:b/>
          <w:bCs/>
        </w:rPr>
        <w:t>CPD Log Entries</w:t>
      </w:r>
    </w:p>
    <w:p w14:paraId="730F8E81" w14:textId="77777777" w:rsidR="003F79D2" w:rsidRPr="003F79D2" w:rsidRDefault="003F79D2" w:rsidP="003F79D2">
      <w:pPr>
        <w:rPr>
          <w:b/>
          <w:bCs/>
        </w:rPr>
      </w:pPr>
      <w:r w:rsidRPr="003F79D2">
        <w:rPr>
          <w:b/>
          <w:bCs/>
        </w:rPr>
        <w:t>1. Project Management Training Workshop</w:t>
      </w:r>
    </w:p>
    <w:p w14:paraId="36DADC3B" w14:textId="77777777" w:rsidR="003F79D2" w:rsidRDefault="003F79D2" w:rsidP="003F79D2">
      <w:r>
        <w:t>Date: January 15, 2024</w:t>
      </w:r>
    </w:p>
    <w:p w14:paraId="053F9688" w14:textId="77777777" w:rsidR="003F79D2" w:rsidRDefault="000E21D1" w:rsidP="003F79D2">
      <w:r w:rsidRPr="000E21D1">
        <w:rPr>
          <w:b/>
          <w:bCs/>
        </w:rPr>
        <w:t>Description:</w:t>
      </w:r>
      <w:r w:rsidRPr="000E21D1">
        <w:t xml:space="preserve"> On the same note also underwent a whole day </w:t>
      </w:r>
      <w:r w:rsidR="005F68A1">
        <w:t xml:space="preserve">of </w:t>
      </w:r>
      <w:r w:rsidRPr="000E21D1">
        <w:t xml:space="preserve">training on </w:t>
      </w:r>
      <w:r w:rsidR="005F68A1">
        <w:t xml:space="preserve">the </w:t>
      </w:r>
      <w:r w:rsidRPr="000E21D1">
        <w:t>principles and practice of project management. The issues deliberated on included time estimate, resource allocation, cost control, risk analysis, and stakeholders. Involved in activity-based learning which implement</w:t>
      </w:r>
      <w:r w:rsidR="005F68A1">
        <w:t>s</w:t>
      </w:r>
      <w:r w:rsidRPr="000E21D1">
        <w:t xml:space="preserve"> the principle learnt through group activities and cases</w:t>
      </w:r>
      <w:r w:rsidR="003F79D2">
        <w:t>.</w:t>
      </w:r>
    </w:p>
    <w:p w14:paraId="737EA3BD" w14:textId="77777777" w:rsidR="003F79D2" w:rsidRPr="003F79D2" w:rsidRDefault="003F79D2" w:rsidP="003F79D2">
      <w:pPr>
        <w:rPr>
          <w:b/>
          <w:bCs/>
        </w:rPr>
      </w:pPr>
      <w:r w:rsidRPr="003F79D2">
        <w:rPr>
          <w:b/>
          <w:bCs/>
        </w:rPr>
        <w:t>2. Community Outreach Seminar</w:t>
      </w:r>
    </w:p>
    <w:p w14:paraId="5C5C7CAC" w14:textId="77777777" w:rsidR="003F79D2" w:rsidRDefault="003F79D2" w:rsidP="003F79D2">
      <w:r>
        <w:t>Date: February 28, 2024</w:t>
      </w:r>
    </w:p>
    <w:p w14:paraId="6327CBCB" w14:textId="77777777" w:rsidR="003F79D2" w:rsidRDefault="000E21D1" w:rsidP="003F79D2">
      <w:r w:rsidRPr="000E21D1">
        <w:rPr>
          <w:b/>
          <w:bCs/>
        </w:rPr>
        <w:t>Description:</w:t>
      </w:r>
      <w:r w:rsidRPr="000E21D1">
        <w:t xml:space="preserve"> Listened to a seminar on methods of getting the people in any given community involved. Explained methods about how to approach the different types of people, </w:t>
      </w:r>
      <w:r w:rsidR="005F68A1">
        <w:t xml:space="preserve">and </w:t>
      </w:r>
      <w:r w:rsidRPr="000E21D1">
        <w:t>how to build rapport with them or partner</w:t>
      </w:r>
      <w:r w:rsidR="005F68A1">
        <w:t>s</w:t>
      </w:r>
      <w:r w:rsidRPr="000E21D1">
        <w:t>. Defined what cultural competence is in the context of community participation and the functions of listening and empathy in the process</w:t>
      </w:r>
      <w:r w:rsidR="003F79D2">
        <w:t xml:space="preserve">. </w:t>
      </w:r>
    </w:p>
    <w:p w14:paraId="08C20783" w14:textId="77777777" w:rsidR="003F79D2" w:rsidRPr="003F79D2" w:rsidRDefault="003F79D2" w:rsidP="003F79D2">
      <w:pPr>
        <w:rPr>
          <w:b/>
          <w:bCs/>
        </w:rPr>
      </w:pPr>
      <w:r w:rsidRPr="003F79D2">
        <w:rPr>
          <w:b/>
          <w:bCs/>
        </w:rPr>
        <w:t>3. Environmental Planning Conference</w:t>
      </w:r>
    </w:p>
    <w:p w14:paraId="16A6DB20" w14:textId="77777777" w:rsidR="003F79D2" w:rsidRDefault="003F79D2" w:rsidP="003F79D2">
      <w:r>
        <w:t>Date: March 20, 2024</w:t>
      </w:r>
    </w:p>
    <w:p w14:paraId="1A310663" w14:textId="77777777" w:rsidR="003F79D2" w:rsidRDefault="003F79D2" w:rsidP="003F79D2">
      <w:r w:rsidRPr="000E21D1">
        <w:rPr>
          <w:b/>
          <w:bCs/>
        </w:rPr>
        <w:t>Description:</w:t>
      </w:r>
      <w:r>
        <w:t xml:space="preserve"> </w:t>
      </w:r>
      <w:r w:rsidR="000E21D1" w:rsidRPr="000E21D1">
        <w:t>I attended a conference organi</w:t>
      </w:r>
      <w:r w:rsidR="00004EE6">
        <w:t>s</w:t>
      </w:r>
      <w:r w:rsidR="000E21D1" w:rsidRPr="000E21D1">
        <w:t xml:space="preserve">ed by the </w:t>
      </w:r>
      <w:r w:rsidR="005F68A1">
        <w:t>D</w:t>
      </w:r>
      <w:r w:rsidR="000E21D1" w:rsidRPr="000E21D1">
        <w:t xml:space="preserve">epartment of </w:t>
      </w:r>
      <w:r w:rsidR="005F68A1">
        <w:t>Environmental P</w:t>
      </w:r>
      <w:r w:rsidR="000E21D1" w:rsidRPr="000E21D1">
        <w:t xml:space="preserve">lanning and </w:t>
      </w:r>
      <w:r w:rsidR="005F68A1">
        <w:t>S</w:t>
      </w:r>
      <w:r w:rsidR="000E21D1" w:rsidRPr="000E21D1">
        <w:t>ustainability. This included session</w:t>
      </w:r>
      <w:r w:rsidR="005F68A1">
        <w:t>s</w:t>
      </w:r>
      <w:r w:rsidR="000E21D1" w:rsidRPr="000E21D1">
        <w:t xml:space="preserve"> that deal</w:t>
      </w:r>
      <w:r w:rsidR="005F68A1">
        <w:t>t</w:t>
      </w:r>
      <w:r w:rsidR="000E21D1" w:rsidRPr="000E21D1">
        <w:t xml:space="preserve"> with green infrastructure, biodiversity conservation, and sustainable development. Proposed approaches and strategies for work</w:t>
      </w:r>
      <w:r w:rsidR="005F68A1">
        <w:t>ing</w:t>
      </w:r>
      <w:r w:rsidR="000E21D1" w:rsidRPr="000E21D1">
        <w:t xml:space="preserve"> with environmental concerns in the process of making propositions in urban planning and design</w:t>
      </w:r>
      <w:r>
        <w:t>.</w:t>
      </w:r>
    </w:p>
    <w:p w14:paraId="65CEBA70" w14:textId="77777777" w:rsidR="003F79D2" w:rsidRPr="003F79D2" w:rsidRDefault="003F79D2" w:rsidP="003F79D2">
      <w:pPr>
        <w:rPr>
          <w:b/>
          <w:bCs/>
        </w:rPr>
      </w:pPr>
      <w:r w:rsidRPr="003F79D2">
        <w:rPr>
          <w:b/>
          <w:bCs/>
        </w:rPr>
        <w:t>4. Project Management Practicum</w:t>
      </w:r>
    </w:p>
    <w:p w14:paraId="46D3368D" w14:textId="77777777" w:rsidR="003F79D2" w:rsidRDefault="003F79D2" w:rsidP="003F79D2">
      <w:r>
        <w:t>Date: April 10-30, 2024</w:t>
      </w:r>
    </w:p>
    <w:p w14:paraId="2FE08D39" w14:textId="77777777" w:rsidR="003F79D2" w:rsidRDefault="000E21D1" w:rsidP="003F79D2">
      <w:r w:rsidRPr="000E21D1">
        <w:rPr>
          <w:b/>
          <w:bCs/>
        </w:rPr>
        <w:lastRenderedPageBreak/>
        <w:t>Description:</w:t>
      </w:r>
      <w:r w:rsidRPr="000E21D1">
        <w:t xml:space="preserve"> Fulfilled a practical assignment on project management. Was involved in a group project that involved the preparation, implementation and evaluation of a fictional community renewal program. Applied knowledge from training sessions concerning project management by developing project schedules, utili</w:t>
      </w:r>
      <w:r w:rsidR="00004EE6">
        <w:t>s</w:t>
      </w:r>
      <w:r w:rsidRPr="000E21D1">
        <w:t>ing schedules and disseminating information to stakeholders</w:t>
      </w:r>
      <w:r w:rsidR="003F79D2">
        <w:t>.</w:t>
      </w:r>
    </w:p>
    <w:p w14:paraId="5496A0EB" w14:textId="77777777" w:rsidR="003F79D2" w:rsidRPr="003F79D2" w:rsidRDefault="003F79D2" w:rsidP="003F79D2">
      <w:pPr>
        <w:rPr>
          <w:b/>
          <w:bCs/>
        </w:rPr>
      </w:pPr>
      <w:r w:rsidRPr="003F79D2">
        <w:rPr>
          <w:b/>
          <w:bCs/>
        </w:rPr>
        <w:t>5. Community Engagement Workshop</w:t>
      </w:r>
    </w:p>
    <w:p w14:paraId="31A82FB6" w14:textId="77777777" w:rsidR="003F79D2" w:rsidRDefault="003F79D2" w:rsidP="003F79D2">
      <w:r>
        <w:t>Date: May 15, 2024</w:t>
      </w:r>
    </w:p>
    <w:p w14:paraId="1C3B38E1" w14:textId="77777777" w:rsidR="00B8678D" w:rsidRPr="00B8678D" w:rsidRDefault="000E21D1" w:rsidP="003F79D2">
      <w:r w:rsidRPr="000E21D1">
        <w:rPr>
          <w:b/>
          <w:bCs/>
        </w:rPr>
        <w:t>Description:</w:t>
      </w:r>
      <w:r w:rsidRPr="000E21D1">
        <w:t xml:space="preserve"> Conducted a workshop on community engagement, principles &amp; practices. Explored methods to build trust, address the members of the community and include them in </w:t>
      </w:r>
      <w:r w:rsidR="005F68A1">
        <w:t xml:space="preserve">the </w:t>
      </w:r>
      <w:r w:rsidRPr="000E21D1">
        <w:t>decision-making process. Identifying objectives and goals of engaging communities, outlining the strategies of successful communication with communities and their examples</w:t>
      </w:r>
      <w:r w:rsidR="003F79D2">
        <w:t>.</w:t>
      </w:r>
    </w:p>
    <w:sectPr w:rsidR="00B8678D" w:rsidRPr="00B8678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782B7D" w14:textId="77777777" w:rsidR="00BA7BD9" w:rsidRDefault="00BA7BD9" w:rsidP="00F7153A">
      <w:pPr>
        <w:spacing w:before="0" w:after="0" w:line="240" w:lineRule="auto"/>
      </w:pPr>
      <w:r>
        <w:separator/>
      </w:r>
    </w:p>
  </w:endnote>
  <w:endnote w:type="continuationSeparator" w:id="0">
    <w:p w14:paraId="546FE571" w14:textId="77777777" w:rsidR="00BA7BD9" w:rsidRDefault="00BA7BD9" w:rsidP="00F7153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2546402"/>
      <w:docPartObj>
        <w:docPartGallery w:val="Page Numbers (Bottom of Page)"/>
        <w:docPartUnique/>
      </w:docPartObj>
    </w:sdtPr>
    <w:sdtEndPr>
      <w:rPr>
        <w:noProof/>
      </w:rPr>
    </w:sdtEndPr>
    <w:sdtContent>
      <w:p w14:paraId="5E2FFFD3" w14:textId="77777777" w:rsidR="00F7153A" w:rsidRDefault="00F715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7623E1" w14:textId="77777777" w:rsidR="00F7153A" w:rsidRDefault="00F715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A4A07A" w14:textId="77777777" w:rsidR="00BA7BD9" w:rsidRDefault="00BA7BD9" w:rsidP="00F7153A">
      <w:pPr>
        <w:spacing w:before="0" w:after="0" w:line="240" w:lineRule="auto"/>
      </w:pPr>
      <w:r>
        <w:separator/>
      </w:r>
    </w:p>
  </w:footnote>
  <w:footnote w:type="continuationSeparator" w:id="0">
    <w:p w14:paraId="778F041C" w14:textId="77777777" w:rsidR="00BA7BD9" w:rsidRDefault="00BA7BD9" w:rsidP="00F7153A">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7A0MrG0NLE0MLcwMjJT0lEKTi0uzszPAykwrAUAZPYoWCwAAAA="/>
  </w:docVars>
  <w:rsids>
    <w:rsidRoot w:val="00A83336"/>
    <w:rsid w:val="00004EE6"/>
    <w:rsid w:val="0001611F"/>
    <w:rsid w:val="00036F96"/>
    <w:rsid w:val="000C2D38"/>
    <w:rsid w:val="000E21D1"/>
    <w:rsid w:val="00174236"/>
    <w:rsid w:val="00180429"/>
    <w:rsid w:val="00191D62"/>
    <w:rsid w:val="001938F6"/>
    <w:rsid w:val="001A2548"/>
    <w:rsid w:val="001A3873"/>
    <w:rsid w:val="001B7A5C"/>
    <w:rsid w:val="001C2ACC"/>
    <w:rsid w:val="001D4B72"/>
    <w:rsid w:val="001E5D73"/>
    <w:rsid w:val="001F6548"/>
    <w:rsid w:val="0020114B"/>
    <w:rsid w:val="00257050"/>
    <w:rsid w:val="00263BEE"/>
    <w:rsid w:val="00274295"/>
    <w:rsid w:val="00285079"/>
    <w:rsid w:val="003604FB"/>
    <w:rsid w:val="003966C8"/>
    <w:rsid w:val="003F79D2"/>
    <w:rsid w:val="00406A95"/>
    <w:rsid w:val="00523D71"/>
    <w:rsid w:val="005270A0"/>
    <w:rsid w:val="005A2B9C"/>
    <w:rsid w:val="005C7B3C"/>
    <w:rsid w:val="005D11E0"/>
    <w:rsid w:val="005D4022"/>
    <w:rsid w:val="005E40CA"/>
    <w:rsid w:val="005F68A1"/>
    <w:rsid w:val="00664C6C"/>
    <w:rsid w:val="006853D5"/>
    <w:rsid w:val="006E76DC"/>
    <w:rsid w:val="00791C9B"/>
    <w:rsid w:val="007A490C"/>
    <w:rsid w:val="007D4EF3"/>
    <w:rsid w:val="007D59A3"/>
    <w:rsid w:val="007E6578"/>
    <w:rsid w:val="008352AB"/>
    <w:rsid w:val="008C6CE4"/>
    <w:rsid w:val="008F77C4"/>
    <w:rsid w:val="009049F3"/>
    <w:rsid w:val="0095184F"/>
    <w:rsid w:val="00983054"/>
    <w:rsid w:val="009C4D75"/>
    <w:rsid w:val="009D5CFB"/>
    <w:rsid w:val="009F4C7A"/>
    <w:rsid w:val="00A31725"/>
    <w:rsid w:val="00A3580C"/>
    <w:rsid w:val="00A44FD2"/>
    <w:rsid w:val="00A83336"/>
    <w:rsid w:val="00AE5B49"/>
    <w:rsid w:val="00B8678D"/>
    <w:rsid w:val="00BA7BD9"/>
    <w:rsid w:val="00BB155D"/>
    <w:rsid w:val="00C92C37"/>
    <w:rsid w:val="00CB1076"/>
    <w:rsid w:val="00D8670E"/>
    <w:rsid w:val="00D87931"/>
    <w:rsid w:val="00DA78C2"/>
    <w:rsid w:val="00DC667D"/>
    <w:rsid w:val="00DE5B91"/>
    <w:rsid w:val="00EF7C3A"/>
    <w:rsid w:val="00F35C44"/>
    <w:rsid w:val="00F71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6366AC"/>
  <w15:chartTrackingRefBased/>
  <w15:docId w15:val="{0FA34C52-47D5-4DD7-9DBE-41C40B2E9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050"/>
    <w:pPr>
      <w:spacing w:before="120" w:after="24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9F4C7A"/>
    <w:pPr>
      <w:keepNext/>
      <w:keepLines/>
      <w:pBdr>
        <w:bottom w:val="single" w:sz="8" w:space="1" w:color="auto"/>
      </w:pBd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F4C7A"/>
    <w:pPr>
      <w:keepNext/>
      <w:keepLines/>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95184F"/>
    <w:pPr>
      <w:keepNext/>
      <w:keepLines/>
      <w:outlineLvl w:val="2"/>
    </w:pPr>
    <w:rPr>
      <w:rFonts w:eastAsiaTheme="majorEastAsia" w:cstheme="majorBidi"/>
      <w:b/>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C7A"/>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9F4C7A"/>
    <w:rPr>
      <w:rFonts w:ascii="Times New Roman" w:eastAsiaTheme="majorEastAsia" w:hAnsi="Times New Roman" w:cstheme="majorBidi"/>
      <w:b/>
      <w:color w:val="000000" w:themeColor="text1"/>
      <w:sz w:val="26"/>
      <w:szCs w:val="26"/>
      <w:lang w:val="en-GB"/>
    </w:rPr>
  </w:style>
  <w:style w:type="paragraph" w:styleId="Title">
    <w:name w:val="Title"/>
    <w:basedOn w:val="Normal"/>
    <w:next w:val="Normal"/>
    <w:link w:val="TitleChar"/>
    <w:uiPriority w:val="10"/>
    <w:qFormat/>
    <w:rsid w:val="009F4C7A"/>
    <w:pPr>
      <w:contextualSpacing/>
    </w:pPr>
    <w:rPr>
      <w:rFonts w:eastAsiaTheme="majorEastAsia" w:cstheme="majorBidi"/>
      <w:color w:val="auto"/>
      <w:spacing w:val="-10"/>
      <w:kern w:val="28"/>
      <w:sz w:val="48"/>
      <w:szCs w:val="56"/>
    </w:rPr>
  </w:style>
  <w:style w:type="character" w:customStyle="1" w:styleId="TitleChar">
    <w:name w:val="Title Char"/>
    <w:basedOn w:val="DefaultParagraphFont"/>
    <w:link w:val="Title"/>
    <w:uiPriority w:val="10"/>
    <w:rsid w:val="009F4C7A"/>
    <w:rPr>
      <w:rFonts w:ascii="Times New Roman" w:eastAsiaTheme="majorEastAsia" w:hAnsi="Times New Roman" w:cstheme="majorBidi"/>
      <w:spacing w:val="-10"/>
      <w:kern w:val="28"/>
      <w:sz w:val="48"/>
      <w:szCs w:val="56"/>
      <w:lang w:val="en-GB"/>
    </w:rPr>
  </w:style>
  <w:style w:type="character" w:customStyle="1" w:styleId="Heading3Char">
    <w:name w:val="Heading 3 Char"/>
    <w:basedOn w:val="DefaultParagraphFont"/>
    <w:link w:val="Heading3"/>
    <w:uiPriority w:val="9"/>
    <w:rsid w:val="0095184F"/>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F7153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7153A"/>
    <w:rPr>
      <w:rFonts w:ascii="Times New Roman" w:hAnsi="Times New Roman"/>
      <w:color w:val="000000" w:themeColor="text1"/>
      <w:sz w:val="24"/>
      <w:lang w:val="en-GB"/>
    </w:rPr>
  </w:style>
  <w:style w:type="paragraph" w:styleId="Footer">
    <w:name w:val="footer"/>
    <w:basedOn w:val="Normal"/>
    <w:link w:val="FooterChar"/>
    <w:uiPriority w:val="99"/>
    <w:unhideWhenUsed/>
    <w:rsid w:val="00F7153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7153A"/>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938F6"/>
    <w:pPr>
      <w:pBdr>
        <w:bottom w:val="none" w:sz="0" w:space="0" w:color="auto"/>
      </w:pBdr>
      <w:spacing w:before="240" w:after="0" w:line="259" w:lineRule="auto"/>
      <w:jc w:val="left"/>
      <w:outlineLvl w:val="9"/>
    </w:pPr>
    <w:rPr>
      <w:rFonts w:asciiTheme="majorHAnsi" w:hAnsiTheme="majorHAnsi"/>
      <w:b w:val="0"/>
      <w:color w:val="365F91" w:themeColor="accent1" w:themeShade="BF"/>
      <w:kern w:val="0"/>
      <w:lang w:val="en-US"/>
      <w14:ligatures w14:val="none"/>
    </w:rPr>
  </w:style>
  <w:style w:type="paragraph" w:styleId="TOC1">
    <w:name w:val="toc 1"/>
    <w:basedOn w:val="Normal"/>
    <w:next w:val="Normal"/>
    <w:autoRedefine/>
    <w:uiPriority w:val="39"/>
    <w:unhideWhenUsed/>
    <w:rsid w:val="001938F6"/>
    <w:pPr>
      <w:spacing w:after="100"/>
    </w:pPr>
  </w:style>
  <w:style w:type="character" w:styleId="Hyperlink">
    <w:name w:val="Hyperlink"/>
    <w:basedOn w:val="DefaultParagraphFont"/>
    <w:uiPriority w:val="99"/>
    <w:unhideWhenUsed/>
    <w:rsid w:val="001938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23FFA-E0E7-4400-AF8E-F5FB115A5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TotalTime>
  <Pages>19</Pages>
  <Words>4375</Words>
  <Characters>24944</Characters>
  <Application>Microsoft Office Word</Application>
  <DocSecurity>0</DocSecurity>
  <Lines>207</Lines>
  <Paragraphs>58</Paragraphs>
  <ScaleCrop>false</ScaleCrop>
  <Company/>
  <LinksUpToDate>false</LinksUpToDate>
  <CharactersWithSpaces>29261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Iulia Gorgan</cp:lastModifiedBy>
  <cp:revision>215</cp:revision>
  <dcterms:created xsi:type="dcterms:W3CDTF">2024-05-22T18:13:00Z</dcterms:created>
  <dcterms:modified xsi:type="dcterms:W3CDTF">2024-07-06T14:08:00Z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adfa84e8-edc9-41f9-b4f2-ba6999e64e71</vt:lpwstr>
  </property>
</Properties>
</file>