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cs="Arial"/>
          <w:color w:val="0F4761" w:themeColor="accent1" w:themeShade="BF"/>
          <w:kern w:val="2"/>
          <w:sz w:val="24"/>
          <w:szCs w:val="24"/>
          <w:lang w:eastAsia="en-GB"/>
          <w14:ligatures w14:val="standardContextual"/>
        </w:rPr>
        <w:id w:val="-1821104537"/>
        <w:docPartObj>
          <w:docPartGallery w:val="Cover Pages"/>
          <w:docPartUnique/>
        </w:docPartObj>
      </w:sdtPr>
      <w:sdtEndPr>
        <w:rPr>
          <w:rFonts w:asciiTheme="majorHAnsi" w:eastAsiaTheme="majorEastAsia" w:hAnsiTheme="majorHAnsi" w:cstheme="majorBidi"/>
          <w:kern w:val="0"/>
          <w:sz w:val="32"/>
          <w:szCs w:val="32"/>
          <w:lang w:eastAsia="zh-CN"/>
          <w14:ligatures w14:val="none"/>
        </w:rPr>
      </w:sdtEndPr>
      <w:sdtContent>
        <w:p w14:paraId="2CFADA80" w14:textId="66D1F10B" w:rsidR="009000CC" w:rsidRDefault="004866B2" w:rsidP="009000CC">
          <w:pPr>
            <w:pStyle w:val="NoSpacing"/>
          </w:pPr>
          <w:r>
            <w:rPr>
              <w:noProof/>
            </w:rPr>
            <mc:AlternateContent>
              <mc:Choice Requires="wps">
                <w:drawing>
                  <wp:anchor distT="228600" distB="228600" distL="228600" distR="228600" simplePos="0" relativeHeight="251663360" behindDoc="0" locked="0" layoutInCell="1" allowOverlap="1" wp14:anchorId="6CB544C3" wp14:editId="407DF502">
                    <wp:simplePos x="0" y="0"/>
                    <wp:positionH relativeFrom="margin">
                      <wp:posOffset>-255905</wp:posOffset>
                    </wp:positionH>
                    <wp:positionV relativeFrom="margin">
                      <wp:posOffset>450215</wp:posOffset>
                    </wp:positionV>
                    <wp:extent cx="6763385" cy="2090420"/>
                    <wp:effectExtent l="0" t="0" r="18415" b="309880"/>
                    <wp:wrapSquare wrapText="bothSides"/>
                    <wp:docPr id="46" name="Rectangle 54"/>
                    <wp:cNvGraphicFramePr/>
                    <a:graphic xmlns:a="http://schemas.openxmlformats.org/drawingml/2006/main">
                      <a:graphicData uri="http://schemas.microsoft.com/office/word/2010/wordprocessingShape">
                        <wps:wsp>
                          <wps:cNvSpPr/>
                          <wps:spPr>
                            <a:xfrm>
                              <a:off x="0" y="0"/>
                              <a:ext cx="6763385" cy="2090420"/>
                            </a:xfrm>
                            <a:prstGeom prst="rect">
                              <a:avLst/>
                            </a:prstGeom>
                            <a:solidFill>
                              <a:schemeClr val="bg1"/>
                            </a:solidFill>
                            <a:ln>
                              <a:solidFill>
                                <a:schemeClr val="tx1"/>
                              </a:solidFill>
                            </a:ln>
                            <a:effectLst>
                              <a:outerShdw dist="274320" dir="5400000" algn="t" rotWithShape="0">
                                <a:prstClr val="black"/>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8BFAF49" w14:textId="77777777" w:rsidR="00303624" w:rsidRDefault="00303624" w:rsidP="00303624">
                                <w:pPr>
                                  <w:pStyle w:val="Title"/>
                                  <w:spacing w:after="400"/>
                                  <w:jc w:val="center"/>
                                  <w:rPr>
                                    <w:sz w:val="52"/>
                                    <w:szCs w:val="52"/>
                                  </w:rPr>
                                </w:pPr>
                              </w:p>
                              <w:p w14:paraId="27351FC5" w14:textId="4532B8FC" w:rsidR="00303624" w:rsidRPr="00C02E1C" w:rsidRDefault="00BA78BA" w:rsidP="00702C07">
                                <w:pPr>
                                  <w:pStyle w:val="Title"/>
                                  <w:spacing w:after="400"/>
                                  <w:jc w:val="center"/>
                                  <w:rPr>
                                    <w:color w:val="262626" w:themeColor="text1" w:themeTint="D9"/>
                                    <w:sz w:val="44"/>
                                    <w:szCs w:val="44"/>
                                  </w:rPr>
                                </w:pPr>
                                <w:sdt>
                                  <w:sdtPr>
                                    <w:rPr>
                                      <w:rFonts w:ascii="Arial" w:eastAsia="Arial" w:hAnsi="Arial" w:cs="Arial"/>
                                      <w:i/>
                                      <w:iCs/>
                                      <w:color w:val="595959"/>
                                      <w:sz w:val="44"/>
                                      <w:szCs w:val="44"/>
                                    </w:rPr>
                                    <w:alias w:val="Subtitle"/>
                                    <w:tag w:val=""/>
                                    <w:id w:val="190345579"/>
                                    <w:dataBinding w:prefixMappings="xmlns:ns0='http://purl.org/dc/elements/1.1/' xmlns:ns1='http://schemas.openxmlformats.org/package/2006/metadata/core-properties' " w:xpath="/ns1:coreProperties[1]/ns0:subject[1]" w:storeItemID="{6C3C8BC8-F283-45AE-878A-BAB7291924A1}"/>
                                    <w:text/>
                                  </w:sdtPr>
                                  <w:sdtEndPr/>
                                  <w:sdtContent>
                                    <w:r w:rsidR="00067976">
                                      <w:rPr>
                                        <w:rFonts w:ascii="Arial" w:eastAsia="Arial" w:hAnsi="Arial" w:cs="Arial"/>
                                        <w:i/>
                                        <w:iCs/>
                                        <w:color w:val="595959"/>
                                        <w:sz w:val="44"/>
                                        <w:szCs w:val="44"/>
                                      </w:rPr>
                                      <w:t>DATA SECURITY AND COMPLIANCE                                                                                               Research and Case Scenario in Data Security and Compliance</w:t>
                                    </w:r>
                                  </w:sdtContent>
                                </w:sdt>
                              </w:p>
                              <w:p w14:paraId="25D36666" w14:textId="77777777" w:rsidR="00303624" w:rsidRDefault="00303624"/>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544C3" id="Rectangle 54" o:spid="_x0000_s1026" style="position:absolute;margin-left:-20.15pt;margin-top:35.45pt;width:532.55pt;height:164.6pt;z-index:25166336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" fillcolor="white [3212]" strokecolor="black [3213]" strokeweight="1pt">
                    <v:shadow on="t" color="black" origin=",-.5" offset="0,21.6pt"/>
                    <v:textbox inset=",7.2pt,,7.2pt">
                      <w:txbxContent>
                        <w:p w14:paraId="48BFAF49" w14:textId="77777777" w:rsidR="00303624" w:rsidRDefault="00303624" w:rsidP="00303624">
                          <w:pPr>
                            <w:pStyle w:val="Title"/>
                            <w:spacing w:after="400"/>
                            <w:jc w:val="center"/>
                            <w:rPr>
                              <w:sz w:val="52"/>
                              <w:szCs w:val="52"/>
                            </w:rPr>
                          </w:pPr>
                        </w:p>
                        <w:p w14:paraId="27351FC5" w14:textId="4532B8FC" w:rsidR="00303624" w:rsidRPr="00C02E1C" w:rsidRDefault="00BA78BA" w:rsidP="00702C07">
                          <w:pPr>
                            <w:pStyle w:val="Title"/>
                            <w:spacing w:after="400"/>
                            <w:jc w:val="center"/>
                            <w:rPr>
                              <w:color w:val="262626" w:themeColor="text1" w:themeTint="D9"/>
                              <w:sz w:val="44"/>
                              <w:szCs w:val="44"/>
                            </w:rPr>
                          </w:pPr>
                          <w:sdt>
                            <w:sdtPr>
                              <w:rPr>
                                <w:rFonts w:ascii="Arial" w:eastAsia="Arial" w:hAnsi="Arial" w:cs="Arial"/>
                                <w:i/>
                                <w:iCs/>
                                <w:color w:val="595959"/>
                                <w:sz w:val="44"/>
                                <w:szCs w:val="44"/>
                              </w:rPr>
                              <w:alias w:val="Subtitle"/>
                              <w:tag w:val=""/>
                              <w:id w:val="190345579"/>
                              <w:dataBinding w:prefixMappings="xmlns:ns0='http://purl.org/dc/elements/1.1/' xmlns:ns1='http://schemas.openxmlformats.org/package/2006/metadata/core-properties' " w:xpath="/ns1:coreProperties[1]/ns0:subject[1]" w:storeItemID="{6C3C8BC8-F283-45AE-878A-BAB7291924A1}"/>
                              <w:text/>
                            </w:sdtPr>
                            <w:sdtEndPr/>
                            <w:sdtContent>
                              <w:r w:rsidR="00067976">
                                <w:rPr>
                                  <w:rFonts w:ascii="Arial" w:eastAsia="Arial" w:hAnsi="Arial" w:cs="Arial"/>
                                  <w:i/>
                                  <w:iCs/>
                                  <w:color w:val="595959"/>
                                  <w:sz w:val="44"/>
                                  <w:szCs w:val="44"/>
                                </w:rPr>
                                <w:t>DATA SECURITY AND COMPLIANCE                                                                                               Research and Case Scenario in Data Security and Compliance</w:t>
                              </w:r>
                            </w:sdtContent>
                          </w:sdt>
                        </w:p>
                        <w:p w14:paraId="25D36666" w14:textId="77777777" w:rsidR="00303624" w:rsidRDefault="00303624"/>
                      </w:txbxContent>
                    </v:textbox>
                    <w10:wrap type="square" anchorx="margin" anchory="margin"/>
                  </v:rect>
                </w:pict>
              </mc:Fallback>
            </mc:AlternateContent>
          </w:r>
          <w:r w:rsidR="009000CC">
            <w:rPr>
              <w:noProof/>
            </w:rPr>
            <mc:AlternateContent>
              <mc:Choice Requires="wpg">
                <w:drawing>
                  <wp:anchor distT="0" distB="0" distL="114300" distR="114300" simplePos="0" relativeHeight="251659264" behindDoc="1" locked="0" layoutInCell="1" allowOverlap="1" wp14:anchorId="2DE69CD7" wp14:editId="0E370D19">
                    <wp:simplePos x="0" y="0"/>
                    <wp:positionH relativeFrom="page">
                      <wp:posOffset>398212</wp:posOffset>
                    </wp:positionH>
                    <wp:positionV relativeFrom="page">
                      <wp:posOffset>-906045</wp:posOffset>
                    </wp:positionV>
                    <wp:extent cx="2222249" cy="9125585"/>
                    <wp:effectExtent l="0" t="0" r="6985" b="15240"/>
                    <wp:wrapNone/>
                    <wp:docPr id="2" name="Group 26"/>
                    <wp:cNvGraphicFramePr/>
                    <a:graphic xmlns:a="http://schemas.openxmlformats.org/drawingml/2006/main">
                      <a:graphicData uri="http://schemas.microsoft.com/office/word/2010/wordprocessingGroup">
                        <wpg:wgp>
                          <wpg:cNvGrpSpPr/>
                          <wpg:grpSpPr>
                            <a:xfrm>
                              <a:off x="0" y="0"/>
                              <a:ext cx="2222249" cy="9125585"/>
                              <a:chOff x="0" y="0"/>
                              <a:chExt cx="2222249"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7689" y="4591906"/>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dd/MM/yyyy"/>
                                      <w:lid w:val="en-GB"/>
                                      <w:storeMappedDataAs w:val="dateTime"/>
                                      <w:calendar w:val="gregorian"/>
                                    </w:date>
                                  </w:sdtPr>
                                  <w:sdtEndPr/>
                                  <w:sdtContent>
                                    <w:p w14:paraId="33280678" w14:textId="05AA926B" w:rsidR="009000CC" w:rsidRDefault="004866B2" w:rsidP="009000CC">
                                      <w:pPr>
                                        <w:pStyle w:val="NoSpacing"/>
                                        <w:jc w:val="center"/>
                                        <w:rPr>
                                          <w:color w:val="FFFFFF" w:themeColor="background1"/>
                                          <w:sz w:val="28"/>
                                          <w:szCs w:val="28"/>
                                        </w:rPr>
                                      </w:pPr>
                                      <w:r>
                                        <w:rPr>
                                          <w:color w:val="FFFFFF" w:themeColor="background1"/>
                                          <w:sz w:val="28"/>
                                          <w:szCs w:val="28"/>
                                        </w:rPr>
                                        <w:t>20/07/2026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DE69CD7" id="Group 26" o:spid="_x0000_s1027" style="position:absolute;margin-left:31.35pt;margin-top:-71.35pt;width:175pt;height:718.55pt;z-index:-251657216;mso-height-percent:950;mso-position-horizontal-relative:page;mso-position-vertical-relative:page;mso-height-percent:950" coordsize="22222,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76;top:45919;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dd/MM/yyyy"/>
                                <w:lid w:val="en-GB"/>
                                <w:storeMappedDataAs w:val="dateTime"/>
                                <w:calendar w:val="gregorian"/>
                              </w:date>
                            </w:sdtPr>
                            <w:sdtEndPr/>
                            <w:sdtContent>
                              <w:p w14:paraId="33280678" w14:textId="05AA926B" w:rsidR="009000CC" w:rsidRDefault="004866B2" w:rsidP="009000CC">
                                <w:pPr>
                                  <w:pStyle w:val="NoSpacing"/>
                                  <w:jc w:val="center"/>
                                  <w:rPr>
                                    <w:color w:val="FFFFFF" w:themeColor="background1"/>
                                    <w:sz w:val="28"/>
                                    <w:szCs w:val="28"/>
                                  </w:rPr>
                                </w:pPr>
                                <w:r>
                                  <w:rPr>
                                    <w:color w:val="FFFFFF" w:themeColor="background1"/>
                                    <w:sz w:val="28"/>
                                    <w:szCs w:val="28"/>
                                  </w:rPr>
                                  <w:t>20/07/2026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3F21726" w14:textId="6424D909" w:rsidR="00630652" w:rsidRDefault="009000CC" w:rsidP="00630652">
          <w:pPr>
            <w:pStyle w:val="TOCHeading"/>
          </w:pPr>
          <w:r>
            <w:rPr>
              <w:noProof/>
            </w:rPr>
            <mc:AlternateContent>
              <mc:Choice Requires="wps">
                <w:drawing>
                  <wp:anchor distT="0" distB="0" distL="114300" distR="114300" simplePos="0" relativeHeight="251661312" behindDoc="0" locked="0" layoutInCell="1" allowOverlap="1" wp14:anchorId="4FEA1EBE" wp14:editId="63AA4AC5">
                    <wp:simplePos x="0" y="0"/>
                    <wp:positionH relativeFrom="page">
                      <wp:posOffset>2633030</wp:posOffset>
                    </wp:positionH>
                    <wp:positionV relativeFrom="page">
                      <wp:posOffset>8020280</wp:posOffset>
                    </wp:positionV>
                    <wp:extent cx="4329629" cy="974992"/>
                    <wp:effectExtent l="0" t="0" r="13970" b="0"/>
                    <wp:wrapNone/>
                    <wp:docPr id="32" name="Text Box 28"/>
                    <wp:cNvGraphicFramePr/>
                    <a:graphic xmlns:a="http://schemas.openxmlformats.org/drawingml/2006/main">
                      <a:graphicData uri="http://schemas.microsoft.com/office/word/2010/wordprocessingShape">
                        <wps:wsp>
                          <wps:cNvSpPr txBox="1"/>
                          <wps:spPr>
                            <a:xfrm>
                              <a:off x="0" y="0"/>
                              <a:ext cx="4329629" cy="9749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CC813" w14:textId="46F0DB3D" w:rsidR="009000CC" w:rsidRPr="00D56CB6" w:rsidRDefault="00BA78BA" w:rsidP="009000CC">
                                <w:pPr>
                                  <w:pStyle w:val="NoSpacing"/>
                                  <w:rPr>
                                    <w:color w:val="156082" w:themeColor="accent1"/>
                                    <w:sz w:val="48"/>
                                    <w:szCs w:val="48"/>
                                  </w:rPr>
                                </w:pPr>
                                <w:sdt>
                                  <w:sdtPr>
                                    <w:rPr>
                                      <w:color w:val="156082"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000CC">
                                      <w:rPr>
                                        <w:color w:val="156082" w:themeColor="accent1"/>
                                        <w:sz w:val="48"/>
                                        <w:szCs w:val="48"/>
                                      </w:rPr>
                                      <w:t>Pawel Waszak (2417221)</w:t>
                                    </w:r>
                                  </w:sdtContent>
                                </w:sdt>
                              </w:p>
                              <w:p w14:paraId="0A745C05" w14:textId="63B8EC11" w:rsidR="009000CC" w:rsidRDefault="00BA78BA" w:rsidP="00900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000CC">
                                      <w:rPr>
                                        <w:caps/>
                                        <w:color w:val="595959" w:themeColor="text1" w:themeTint="A6"/>
                                        <w:sz w:val="20"/>
                                        <w:szCs w:val="20"/>
                                      </w:rPr>
                                      <w:t>Computer networks &amp; Cyber security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FEA1EBE" id="_x0000_t202" coordsize="21600,21600" o:spt="202" path="m,l,21600r21600,l21600,xe">
                    <v:stroke joinstyle="miter"/>
                    <v:path gradientshapeok="t" o:connecttype="rect"/>
                  </v:shapetype>
                  <v:shape id="Text Box 28" o:spid="_x0000_s1056" type="#_x0000_t202" style="position:absolute;margin-left:207.35pt;margin-top:631.5pt;width:340.9pt;height:7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" filled="f" stroked="f" strokeweight=".5pt">
                    <v:textbox inset="0,0,0,0">
                      <w:txbxContent>
                        <w:p w14:paraId="285CC813" w14:textId="46F0DB3D" w:rsidR="009000CC" w:rsidRPr="00D56CB6" w:rsidRDefault="007F5F02" w:rsidP="009000CC">
                          <w:pPr>
                            <w:pStyle w:val="NoSpacing"/>
                            <w:rPr>
                              <w:color w:val="156082" w:themeColor="accent1"/>
                              <w:sz w:val="48"/>
                              <w:szCs w:val="48"/>
                            </w:rPr>
                          </w:pPr>
                          <w:sdt>
                            <w:sdtPr>
                              <w:rPr>
                                <w:color w:val="156082"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000CC">
                                <w:rPr>
                                  <w:color w:val="156082" w:themeColor="accent1"/>
                                  <w:sz w:val="48"/>
                                  <w:szCs w:val="48"/>
                                </w:rPr>
                                <w:t>Pawel Waszak (2417221)</w:t>
                              </w:r>
                            </w:sdtContent>
                          </w:sdt>
                        </w:p>
                        <w:p w14:paraId="0A745C05" w14:textId="63B8EC11" w:rsidR="009000CC" w:rsidRDefault="007F5F02" w:rsidP="00900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000CC">
                                <w:rPr>
                                  <w:caps/>
                                  <w:color w:val="595959" w:themeColor="text1" w:themeTint="A6"/>
                                  <w:sz w:val="20"/>
                                  <w:szCs w:val="20"/>
                                </w:rPr>
                                <w:t>Computer networks &amp; Cyber security</w:t>
                              </w:r>
                            </w:sdtContent>
                          </w:sdt>
                        </w:p>
                      </w:txbxContent>
                    </v:textbox>
                    <w10:wrap anchorx="page" anchory="page"/>
                  </v:shape>
                </w:pict>
              </mc:Fallback>
            </mc:AlternateContent>
          </w:r>
          <w:r>
            <w:br w:type="page"/>
          </w:r>
        </w:p>
      </w:sdtContent>
    </w:sdt>
    <w:sdt>
      <w:sdtPr>
        <w:rPr>
          <w:rFonts w:asciiTheme="minorHAnsi" w:eastAsiaTheme="minorEastAsia" w:hAnsiTheme="minorHAnsi" w:cstheme="minorBidi"/>
          <w:color w:val="auto"/>
          <w:kern w:val="2"/>
          <w:sz w:val="24"/>
          <w:szCs w:val="24"/>
          <w:lang w:eastAsia="en-GB"/>
          <w14:ligatures w14:val="standardContextual"/>
        </w:rPr>
        <w:id w:val="-95562143"/>
        <w:docPartObj>
          <w:docPartGallery w:val="Table of Contents"/>
          <w:docPartUnique/>
        </w:docPartObj>
      </w:sdtPr>
      <w:sdtEndPr>
        <w:rPr>
          <w:lang w:eastAsia="zh-CN"/>
        </w:rPr>
      </w:sdtEndPr>
      <w:sdtContent>
        <w:p w14:paraId="28B55A02" w14:textId="77777777" w:rsidR="00E02B46" w:rsidRPr="00F91119" w:rsidRDefault="00E02B46" w:rsidP="00E02B46">
          <w:pPr>
            <w:pStyle w:val="TOCHeading"/>
          </w:pPr>
          <w:r w:rsidRPr="00F91119">
            <w:t>Contents</w:t>
          </w:r>
        </w:p>
        <w:p w14:paraId="7AB5051B" w14:textId="6F686E4D" w:rsidR="00E02B46" w:rsidRPr="00F91119" w:rsidRDefault="00E02B46">
          <w:pPr>
            <w:pStyle w:val="TOC1"/>
            <w:tabs>
              <w:tab w:val="right" w:leader="dot" w:pos="9016"/>
            </w:tabs>
            <w:rPr>
              <w:noProof/>
              <w:lang w:eastAsia="en-GB"/>
            </w:rPr>
          </w:pPr>
          <w:r w:rsidRPr="00F91119">
            <w:fldChar w:fldCharType="begin"/>
          </w:r>
          <w:r w:rsidRPr="00F91119">
            <w:instrText xml:space="preserve"> TOC \o "1-3" \h \z \u </w:instrText>
          </w:r>
          <w:r w:rsidRPr="00F91119">
            <w:fldChar w:fldCharType="separate"/>
          </w:r>
          <w:hyperlink w:anchor="_Toc232505079" w:history="1">
            <w:r w:rsidRPr="00F91119">
              <w:rPr>
                <w:rStyle w:val="Hyperlink"/>
                <w:rFonts w:ascii="Arial" w:eastAsia="Arial" w:hAnsi="Arial" w:cs="Arial"/>
                <w:noProof/>
              </w:rPr>
              <w:t>Abstract</w:t>
            </w:r>
            <w:r w:rsidRPr="00F91119">
              <w:rPr>
                <w:noProof/>
                <w:webHidden/>
              </w:rPr>
              <w:tab/>
            </w:r>
            <w:r w:rsidRPr="00F91119">
              <w:rPr>
                <w:noProof/>
                <w:webHidden/>
              </w:rPr>
              <w:fldChar w:fldCharType="begin"/>
            </w:r>
            <w:r w:rsidRPr="00F91119">
              <w:rPr>
                <w:noProof/>
                <w:webHidden/>
              </w:rPr>
              <w:instrText xml:space="preserve"> PAGEREF _Toc232505079 \h </w:instrText>
            </w:r>
            <w:r w:rsidRPr="00F91119">
              <w:rPr>
                <w:noProof/>
                <w:webHidden/>
              </w:rPr>
            </w:r>
            <w:r w:rsidRPr="00F91119">
              <w:rPr>
                <w:noProof/>
                <w:webHidden/>
              </w:rPr>
              <w:fldChar w:fldCharType="separate"/>
            </w:r>
            <w:r w:rsidRPr="00F91119">
              <w:rPr>
                <w:noProof/>
                <w:webHidden/>
              </w:rPr>
              <w:t>4</w:t>
            </w:r>
            <w:r w:rsidRPr="00F91119">
              <w:rPr>
                <w:noProof/>
                <w:webHidden/>
              </w:rPr>
              <w:fldChar w:fldCharType="end"/>
            </w:r>
          </w:hyperlink>
        </w:p>
        <w:p w14:paraId="0D91D2F9" w14:textId="3991BF56" w:rsidR="00E02B46" w:rsidRPr="00F91119" w:rsidRDefault="00E02B46">
          <w:pPr>
            <w:pStyle w:val="TOC1"/>
            <w:tabs>
              <w:tab w:val="right" w:leader="dot" w:pos="9016"/>
            </w:tabs>
            <w:rPr>
              <w:noProof/>
              <w:lang w:eastAsia="en-GB"/>
            </w:rPr>
          </w:pPr>
          <w:hyperlink w:anchor="_Toc232505080" w:history="1">
            <w:r w:rsidRPr="00F91119">
              <w:rPr>
                <w:rStyle w:val="Hyperlink"/>
                <w:rFonts w:ascii="Arial" w:eastAsia="Arial" w:hAnsi="Arial" w:cs="Arial"/>
                <w:noProof/>
              </w:rPr>
              <w:t>Task 1.1 – Introduction</w:t>
            </w:r>
            <w:r w:rsidRPr="00F91119">
              <w:rPr>
                <w:noProof/>
                <w:webHidden/>
              </w:rPr>
              <w:tab/>
            </w:r>
            <w:r w:rsidRPr="00F91119">
              <w:rPr>
                <w:noProof/>
                <w:webHidden/>
              </w:rPr>
              <w:fldChar w:fldCharType="begin"/>
            </w:r>
            <w:r w:rsidRPr="00F91119">
              <w:rPr>
                <w:noProof/>
                <w:webHidden/>
              </w:rPr>
              <w:instrText xml:space="preserve"> PAGEREF _Toc232505080 \h </w:instrText>
            </w:r>
            <w:r w:rsidRPr="00F91119">
              <w:rPr>
                <w:noProof/>
                <w:webHidden/>
              </w:rPr>
            </w:r>
            <w:r w:rsidRPr="00F91119">
              <w:rPr>
                <w:noProof/>
                <w:webHidden/>
              </w:rPr>
              <w:fldChar w:fldCharType="separate"/>
            </w:r>
            <w:r w:rsidRPr="00F91119">
              <w:rPr>
                <w:noProof/>
                <w:webHidden/>
              </w:rPr>
              <w:t>4</w:t>
            </w:r>
            <w:r w:rsidRPr="00F91119">
              <w:rPr>
                <w:noProof/>
                <w:webHidden/>
              </w:rPr>
              <w:fldChar w:fldCharType="end"/>
            </w:r>
          </w:hyperlink>
        </w:p>
        <w:p w14:paraId="2E575F2B" w14:textId="139BFACC" w:rsidR="00E02B46" w:rsidRPr="00F91119" w:rsidRDefault="00E02B46">
          <w:pPr>
            <w:pStyle w:val="TOC1"/>
            <w:tabs>
              <w:tab w:val="right" w:leader="dot" w:pos="9016"/>
            </w:tabs>
            <w:rPr>
              <w:noProof/>
              <w:lang w:eastAsia="en-GB"/>
            </w:rPr>
          </w:pPr>
          <w:hyperlink w:anchor="_Toc232505081" w:history="1">
            <w:r w:rsidRPr="00F91119">
              <w:rPr>
                <w:rStyle w:val="Hyperlink"/>
                <w:rFonts w:ascii="Arial" w:eastAsia="Arial" w:hAnsi="Arial" w:cs="Arial"/>
                <w:noProof/>
              </w:rPr>
              <w:t>Task 1.2 – The Threat Landscape</w:t>
            </w:r>
            <w:r w:rsidRPr="00F91119">
              <w:rPr>
                <w:noProof/>
                <w:webHidden/>
              </w:rPr>
              <w:tab/>
            </w:r>
            <w:r w:rsidRPr="00F91119">
              <w:rPr>
                <w:noProof/>
                <w:webHidden/>
              </w:rPr>
              <w:fldChar w:fldCharType="begin"/>
            </w:r>
            <w:r w:rsidRPr="00F91119">
              <w:rPr>
                <w:noProof/>
                <w:webHidden/>
              </w:rPr>
              <w:instrText xml:space="preserve"> PAGEREF _Toc232505081 \h </w:instrText>
            </w:r>
            <w:r w:rsidRPr="00F91119">
              <w:rPr>
                <w:noProof/>
                <w:webHidden/>
              </w:rPr>
            </w:r>
            <w:r w:rsidRPr="00F91119">
              <w:rPr>
                <w:noProof/>
                <w:webHidden/>
              </w:rPr>
              <w:fldChar w:fldCharType="separate"/>
            </w:r>
            <w:r w:rsidRPr="00F91119">
              <w:rPr>
                <w:noProof/>
                <w:webHidden/>
              </w:rPr>
              <w:t>4</w:t>
            </w:r>
            <w:r w:rsidRPr="00F91119">
              <w:rPr>
                <w:noProof/>
                <w:webHidden/>
              </w:rPr>
              <w:fldChar w:fldCharType="end"/>
            </w:r>
          </w:hyperlink>
        </w:p>
        <w:p w14:paraId="68EABDC0" w14:textId="787ECE88" w:rsidR="00E02B46" w:rsidRPr="00F91119" w:rsidRDefault="00E02B46">
          <w:pPr>
            <w:pStyle w:val="TOC1"/>
            <w:tabs>
              <w:tab w:val="right" w:leader="dot" w:pos="9016"/>
            </w:tabs>
            <w:rPr>
              <w:noProof/>
              <w:lang w:eastAsia="en-GB"/>
            </w:rPr>
          </w:pPr>
          <w:hyperlink w:anchor="_Toc232505082" w:history="1">
            <w:r w:rsidRPr="00F91119">
              <w:rPr>
                <w:rStyle w:val="Hyperlink"/>
                <w:rFonts w:ascii="Arial" w:eastAsia="Arial" w:hAnsi="Arial" w:cs="Arial"/>
                <w:noProof/>
              </w:rPr>
              <w:t>Task 1.3 – Zero Trust Architecture: Principles and Foundations</w:t>
            </w:r>
            <w:r w:rsidRPr="00F91119">
              <w:rPr>
                <w:noProof/>
                <w:webHidden/>
              </w:rPr>
              <w:tab/>
            </w:r>
            <w:r w:rsidRPr="00F91119">
              <w:rPr>
                <w:noProof/>
                <w:webHidden/>
              </w:rPr>
              <w:fldChar w:fldCharType="begin"/>
            </w:r>
            <w:r w:rsidRPr="00F91119">
              <w:rPr>
                <w:noProof/>
                <w:webHidden/>
              </w:rPr>
              <w:instrText xml:space="preserve"> PAGEREF _Toc232505082 \h </w:instrText>
            </w:r>
            <w:r w:rsidRPr="00F91119">
              <w:rPr>
                <w:noProof/>
                <w:webHidden/>
              </w:rPr>
            </w:r>
            <w:r w:rsidRPr="00F91119">
              <w:rPr>
                <w:noProof/>
                <w:webHidden/>
              </w:rPr>
              <w:fldChar w:fldCharType="separate"/>
            </w:r>
            <w:r w:rsidRPr="00F91119">
              <w:rPr>
                <w:noProof/>
                <w:webHidden/>
              </w:rPr>
              <w:t>5</w:t>
            </w:r>
            <w:r w:rsidRPr="00F91119">
              <w:rPr>
                <w:noProof/>
                <w:webHidden/>
              </w:rPr>
              <w:fldChar w:fldCharType="end"/>
            </w:r>
          </w:hyperlink>
        </w:p>
        <w:p w14:paraId="107E5362" w14:textId="56F405F9" w:rsidR="00E02B46" w:rsidRPr="00F91119" w:rsidRDefault="00E02B46">
          <w:pPr>
            <w:pStyle w:val="TOC1"/>
            <w:tabs>
              <w:tab w:val="right" w:leader="dot" w:pos="9016"/>
            </w:tabs>
            <w:rPr>
              <w:noProof/>
              <w:lang w:eastAsia="en-GB"/>
            </w:rPr>
          </w:pPr>
          <w:hyperlink w:anchor="_Toc232505083" w:history="1">
            <w:r w:rsidRPr="00F91119">
              <w:rPr>
                <w:rStyle w:val="Hyperlink"/>
                <w:rFonts w:ascii="Arial" w:eastAsia="Arial" w:hAnsi="Arial" w:cs="Arial"/>
                <w:noProof/>
              </w:rPr>
              <w:t>Task 1.4 – Technological Enablers</w:t>
            </w:r>
            <w:r w:rsidRPr="00F91119">
              <w:rPr>
                <w:noProof/>
                <w:webHidden/>
              </w:rPr>
              <w:tab/>
            </w:r>
            <w:r w:rsidRPr="00F91119">
              <w:rPr>
                <w:noProof/>
                <w:webHidden/>
              </w:rPr>
              <w:fldChar w:fldCharType="begin"/>
            </w:r>
            <w:r w:rsidRPr="00F91119">
              <w:rPr>
                <w:noProof/>
                <w:webHidden/>
              </w:rPr>
              <w:instrText xml:space="preserve"> PAGEREF _Toc232505083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595187E7" w14:textId="16100D35" w:rsidR="00E02B46" w:rsidRPr="00F91119" w:rsidRDefault="00E02B46">
          <w:pPr>
            <w:pStyle w:val="TOC2"/>
            <w:tabs>
              <w:tab w:val="right" w:leader="dot" w:pos="9016"/>
            </w:tabs>
            <w:rPr>
              <w:noProof/>
              <w:lang w:eastAsia="en-GB"/>
            </w:rPr>
          </w:pPr>
          <w:hyperlink w:anchor="_Toc232505084" w:history="1">
            <w:r w:rsidRPr="00F91119">
              <w:rPr>
                <w:rStyle w:val="Hyperlink"/>
                <w:rFonts w:ascii="Arial" w:eastAsia="Arial" w:hAnsi="Arial" w:cs="Arial"/>
                <w:noProof/>
              </w:rPr>
              <w:t>Zero Trust Network Access (ZTNA)</w:t>
            </w:r>
            <w:r w:rsidRPr="00F91119">
              <w:rPr>
                <w:noProof/>
                <w:webHidden/>
              </w:rPr>
              <w:tab/>
            </w:r>
            <w:r w:rsidRPr="00F91119">
              <w:rPr>
                <w:noProof/>
                <w:webHidden/>
              </w:rPr>
              <w:fldChar w:fldCharType="begin"/>
            </w:r>
            <w:r w:rsidRPr="00F91119">
              <w:rPr>
                <w:noProof/>
                <w:webHidden/>
              </w:rPr>
              <w:instrText xml:space="preserve"> PAGEREF _Toc232505084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27D796B1" w14:textId="6380E617" w:rsidR="00E02B46" w:rsidRPr="00F91119" w:rsidRDefault="00E02B46">
          <w:pPr>
            <w:pStyle w:val="TOC2"/>
            <w:tabs>
              <w:tab w:val="right" w:leader="dot" w:pos="9016"/>
            </w:tabs>
            <w:rPr>
              <w:noProof/>
              <w:lang w:eastAsia="en-GB"/>
            </w:rPr>
          </w:pPr>
          <w:hyperlink w:anchor="_Toc232505085" w:history="1">
            <w:r w:rsidRPr="00F91119">
              <w:rPr>
                <w:rStyle w:val="Hyperlink"/>
                <w:rFonts w:ascii="Arial" w:eastAsia="Arial" w:hAnsi="Arial" w:cs="Arial"/>
                <w:noProof/>
              </w:rPr>
              <w:t>Secure Access Service Edge (SASE)</w:t>
            </w:r>
            <w:r w:rsidRPr="00F91119">
              <w:rPr>
                <w:noProof/>
                <w:webHidden/>
              </w:rPr>
              <w:tab/>
            </w:r>
            <w:r w:rsidRPr="00F91119">
              <w:rPr>
                <w:noProof/>
                <w:webHidden/>
              </w:rPr>
              <w:fldChar w:fldCharType="begin"/>
            </w:r>
            <w:r w:rsidRPr="00F91119">
              <w:rPr>
                <w:noProof/>
                <w:webHidden/>
              </w:rPr>
              <w:instrText xml:space="preserve"> PAGEREF _Toc232505085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14BCBBC0" w14:textId="44D96D49" w:rsidR="00E02B46" w:rsidRPr="00F91119" w:rsidRDefault="00E02B46">
          <w:pPr>
            <w:pStyle w:val="TOC2"/>
            <w:tabs>
              <w:tab w:val="right" w:leader="dot" w:pos="9016"/>
            </w:tabs>
            <w:rPr>
              <w:noProof/>
              <w:lang w:eastAsia="en-GB"/>
            </w:rPr>
          </w:pPr>
          <w:hyperlink w:anchor="_Toc232505086" w:history="1">
            <w:r w:rsidRPr="00F91119">
              <w:rPr>
                <w:rStyle w:val="Hyperlink"/>
                <w:rFonts w:ascii="Arial" w:eastAsia="Arial" w:hAnsi="Arial" w:cs="Arial"/>
                <w:noProof/>
              </w:rPr>
              <w:t>Identity Governance and Administration (IGA)</w:t>
            </w:r>
            <w:r w:rsidRPr="00F91119">
              <w:rPr>
                <w:noProof/>
                <w:webHidden/>
              </w:rPr>
              <w:tab/>
            </w:r>
            <w:r w:rsidRPr="00F91119">
              <w:rPr>
                <w:noProof/>
                <w:webHidden/>
              </w:rPr>
              <w:fldChar w:fldCharType="begin"/>
            </w:r>
            <w:r w:rsidRPr="00F91119">
              <w:rPr>
                <w:noProof/>
                <w:webHidden/>
              </w:rPr>
              <w:instrText xml:space="preserve"> PAGEREF _Toc232505086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277B781D" w14:textId="5FA5EC37" w:rsidR="00E02B46" w:rsidRPr="00F91119" w:rsidRDefault="00E02B46">
          <w:pPr>
            <w:pStyle w:val="TOC1"/>
            <w:tabs>
              <w:tab w:val="right" w:leader="dot" w:pos="9016"/>
            </w:tabs>
            <w:rPr>
              <w:noProof/>
              <w:lang w:eastAsia="en-GB"/>
            </w:rPr>
          </w:pPr>
          <w:hyperlink w:anchor="_Toc232505087" w:history="1">
            <w:r w:rsidRPr="00F91119">
              <w:rPr>
                <w:rStyle w:val="Hyperlink"/>
                <w:rFonts w:ascii="Arial" w:eastAsia="Arial" w:hAnsi="Arial" w:cs="Arial"/>
                <w:noProof/>
              </w:rPr>
              <w:t>Task 1.5 – Implementation Challenges</w:t>
            </w:r>
            <w:r w:rsidRPr="00F91119">
              <w:rPr>
                <w:noProof/>
                <w:webHidden/>
              </w:rPr>
              <w:tab/>
            </w:r>
            <w:r w:rsidRPr="00F91119">
              <w:rPr>
                <w:noProof/>
                <w:webHidden/>
              </w:rPr>
              <w:fldChar w:fldCharType="begin"/>
            </w:r>
            <w:r w:rsidRPr="00F91119">
              <w:rPr>
                <w:noProof/>
                <w:webHidden/>
              </w:rPr>
              <w:instrText xml:space="preserve"> PAGEREF _Toc232505087 \h </w:instrText>
            </w:r>
            <w:r w:rsidRPr="00F91119">
              <w:rPr>
                <w:noProof/>
                <w:webHidden/>
              </w:rPr>
            </w:r>
            <w:r w:rsidRPr="00F91119">
              <w:rPr>
                <w:noProof/>
                <w:webHidden/>
              </w:rPr>
              <w:fldChar w:fldCharType="separate"/>
            </w:r>
            <w:r w:rsidRPr="00F91119">
              <w:rPr>
                <w:noProof/>
                <w:webHidden/>
              </w:rPr>
              <w:t>7</w:t>
            </w:r>
            <w:r w:rsidRPr="00F91119">
              <w:rPr>
                <w:noProof/>
                <w:webHidden/>
              </w:rPr>
              <w:fldChar w:fldCharType="end"/>
            </w:r>
          </w:hyperlink>
        </w:p>
        <w:p w14:paraId="46BBAF53" w14:textId="43B5C370" w:rsidR="00E02B46" w:rsidRPr="00F91119" w:rsidRDefault="00E02B46">
          <w:pPr>
            <w:pStyle w:val="TOC1"/>
            <w:tabs>
              <w:tab w:val="right" w:leader="dot" w:pos="9016"/>
            </w:tabs>
            <w:rPr>
              <w:noProof/>
              <w:lang w:eastAsia="en-GB"/>
            </w:rPr>
          </w:pPr>
          <w:hyperlink w:anchor="_Toc232505088" w:history="1">
            <w:r w:rsidRPr="00F91119">
              <w:rPr>
                <w:rStyle w:val="Hyperlink"/>
                <w:rFonts w:ascii="Arial" w:eastAsia="Arial" w:hAnsi="Arial" w:cs="Arial"/>
                <w:noProof/>
              </w:rPr>
              <w:t>Task 1.6 – Case Studies and Empirical Evidence</w:t>
            </w:r>
            <w:r w:rsidRPr="00F91119">
              <w:rPr>
                <w:noProof/>
                <w:webHidden/>
              </w:rPr>
              <w:tab/>
            </w:r>
            <w:r w:rsidRPr="00F91119">
              <w:rPr>
                <w:noProof/>
                <w:webHidden/>
              </w:rPr>
              <w:fldChar w:fldCharType="begin"/>
            </w:r>
            <w:r w:rsidRPr="00F91119">
              <w:rPr>
                <w:noProof/>
                <w:webHidden/>
              </w:rPr>
              <w:instrText xml:space="preserve"> PAGEREF _Toc232505088 \h </w:instrText>
            </w:r>
            <w:r w:rsidRPr="00F91119">
              <w:rPr>
                <w:noProof/>
                <w:webHidden/>
              </w:rPr>
            </w:r>
            <w:r w:rsidRPr="00F91119">
              <w:rPr>
                <w:noProof/>
                <w:webHidden/>
              </w:rPr>
              <w:fldChar w:fldCharType="separate"/>
            </w:r>
            <w:r w:rsidRPr="00F91119">
              <w:rPr>
                <w:noProof/>
                <w:webHidden/>
              </w:rPr>
              <w:t>7</w:t>
            </w:r>
            <w:r w:rsidRPr="00F91119">
              <w:rPr>
                <w:noProof/>
                <w:webHidden/>
              </w:rPr>
              <w:fldChar w:fldCharType="end"/>
            </w:r>
          </w:hyperlink>
        </w:p>
        <w:p w14:paraId="2941E53C" w14:textId="33A675D1" w:rsidR="00E02B46" w:rsidRPr="00F91119" w:rsidRDefault="00E02B46">
          <w:pPr>
            <w:pStyle w:val="TOC2"/>
            <w:tabs>
              <w:tab w:val="right" w:leader="dot" w:pos="9016"/>
            </w:tabs>
            <w:rPr>
              <w:noProof/>
              <w:lang w:eastAsia="en-GB"/>
            </w:rPr>
          </w:pPr>
          <w:hyperlink w:anchor="_Toc232505089" w:history="1">
            <w:r w:rsidRPr="00F91119">
              <w:rPr>
                <w:rStyle w:val="Hyperlink"/>
                <w:rFonts w:ascii="Arial" w:eastAsia="Arial" w:hAnsi="Arial" w:cs="Arial"/>
                <w:noProof/>
              </w:rPr>
              <w:t>SolarWinds (2020)</w:t>
            </w:r>
            <w:r w:rsidRPr="00F91119">
              <w:rPr>
                <w:noProof/>
                <w:webHidden/>
              </w:rPr>
              <w:tab/>
            </w:r>
            <w:r w:rsidRPr="00F91119">
              <w:rPr>
                <w:noProof/>
                <w:webHidden/>
              </w:rPr>
              <w:fldChar w:fldCharType="begin"/>
            </w:r>
            <w:r w:rsidRPr="00F91119">
              <w:rPr>
                <w:noProof/>
                <w:webHidden/>
              </w:rPr>
              <w:instrText xml:space="preserve"> PAGEREF _Toc232505089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6003FFB8" w14:textId="4645E5E4" w:rsidR="00E02B46" w:rsidRPr="00F91119" w:rsidRDefault="00E02B46">
          <w:pPr>
            <w:pStyle w:val="TOC2"/>
            <w:tabs>
              <w:tab w:val="right" w:leader="dot" w:pos="9016"/>
            </w:tabs>
            <w:rPr>
              <w:noProof/>
              <w:lang w:eastAsia="en-GB"/>
            </w:rPr>
          </w:pPr>
          <w:hyperlink w:anchor="_Toc232505090" w:history="1">
            <w:r w:rsidRPr="00F91119">
              <w:rPr>
                <w:rStyle w:val="Hyperlink"/>
                <w:rFonts w:ascii="Arial" w:eastAsia="Arial" w:hAnsi="Arial" w:cs="Arial"/>
                <w:noProof/>
              </w:rPr>
              <w:t>MOVEit Transfer / Cl0p (2023)</w:t>
            </w:r>
            <w:r w:rsidRPr="00F91119">
              <w:rPr>
                <w:noProof/>
                <w:webHidden/>
              </w:rPr>
              <w:tab/>
            </w:r>
            <w:r w:rsidRPr="00F91119">
              <w:rPr>
                <w:noProof/>
                <w:webHidden/>
              </w:rPr>
              <w:fldChar w:fldCharType="begin"/>
            </w:r>
            <w:r w:rsidRPr="00F91119">
              <w:rPr>
                <w:noProof/>
                <w:webHidden/>
              </w:rPr>
              <w:instrText xml:space="preserve"> PAGEREF _Toc232505090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14761648" w14:textId="18D8A661" w:rsidR="00E02B46" w:rsidRPr="00F91119" w:rsidRDefault="00E02B46">
          <w:pPr>
            <w:pStyle w:val="TOC1"/>
            <w:tabs>
              <w:tab w:val="right" w:leader="dot" w:pos="9016"/>
            </w:tabs>
            <w:rPr>
              <w:noProof/>
              <w:lang w:eastAsia="en-GB"/>
            </w:rPr>
          </w:pPr>
          <w:hyperlink w:anchor="_Toc232505091" w:history="1">
            <w:r w:rsidRPr="00F91119">
              <w:rPr>
                <w:rStyle w:val="Hyperlink"/>
                <w:rFonts w:ascii="Arial" w:eastAsia="Arial" w:hAnsi="Arial" w:cs="Arial"/>
                <w:noProof/>
              </w:rPr>
              <w:t>Task 1.7 – Discussion</w:t>
            </w:r>
            <w:r w:rsidRPr="00F91119">
              <w:rPr>
                <w:noProof/>
                <w:webHidden/>
              </w:rPr>
              <w:tab/>
            </w:r>
            <w:r w:rsidRPr="00F91119">
              <w:rPr>
                <w:noProof/>
                <w:webHidden/>
              </w:rPr>
              <w:fldChar w:fldCharType="begin"/>
            </w:r>
            <w:r w:rsidRPr="00F91119">
              <w:rPr>
                <w:noProof/>
                <w:webHidden/>
              </w:rPr>
              <w:instrText xml:space="preserve"> PAGEREF _Toc232505091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114172DE" w14:textId="51800A68" w:rsidR="00E02B46" w:rsidRPr="00F91119" w:rsidRDefault="00E02B46">
          <w:pPr>
            <w:pStyle w:val="TOC1"/>
            <w:tabs>
              <w:tab w:val="right" w:leader="dot" w:pos="9016"/>
            </w:tabs>
            <w:rPr>
              <w:noProof/>
              <w:lang w:eastAsia="en-GB"/>
            </w:rPr>
          </w:pPr>
          <w:hyperlink w:anchor="_Toc232505092" w:history="1">
            <w:r w:rsidRPr="00F91119">
              <w:rPr>
                <w:rStyle w:val="Hyperlink"/>
                <w:rFonts w:ascii="Arial" w:eastAsia="Arial" w:hAnsi="Arial" w:cs="Arial"/>
                <w:noProof/>
              </w:rPr>
              <w:t>Task 1.8 – Conclusion</w:t>
            </w:r>
            <w:r w:rsidRPr="00F91119">
              <w:rPr>
                <w:noProof/>
                <w:webHidden/>
              </w:rPr>
              <w:tab/>
            </w:r>
            <w:r w:rsidRPr="00F91119">
              <w:rPr>
                <w:noProof/>
                <w:webHidden/>
              </w:rPr>
              <w:fldChar w:fldCharType="begin"/>
            </w:r>
            <w:r w:rsidRPr="00F91119">
              <w:rPr>
                <w:noProof/>
                <w:webHidden/>
              </w:rPr>
              <w:instrText xml:space="preserve"> PAGEREF _Toc232505092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16E076A8" w14:textId="2B384BC4" w:rsidR="00E02B46" w:rsidRPr="00F91119" w:rsidRDefault="00E02B46">
          <w:pPr>
            <w:pStyle w:val="TOC1"/>
            <w:tabs>
              <w:tab w:val="right" w:leader="dot" w:pos="9016"/>
            </w:tabs>
            <w:rPr>
              <w:noProof/>
              <w:lang w:eastAsia="en-GB"/>
            </w:rPr>
          </w:pPr>
          <w:hyperlink w:anchor="_Toc232505093" w:history="1">
            <w:r w:rsidRPr="00F91119">
              <w:rPr>
                <w:rStyle w:val="Hyperlink"/>
                <w:rFonts w:ascii="Arial" w:eastAsia="Arial" w:hAnsi="Arial" w:cs="Arial"/>
                <w:noProof/>
              </w:rPr>
              <w:t>Task 2.1 – Executive Summary</w:t>
            </w:r>
            <w:r w:rsidRPr="00F91119">
              <w:rPr>
                <w:noProof/>
                <w:webHidden/>
              </w:rPr>
              <w:tab/>
            </w:r>
            <w:r w:rsidRPr="00F91119">
              <w:rPr>
                <w:noProof/>
                <w:webHidden/>
              </w:rPr>
              <w:fldChar w:fldCharType="begin"/>
            </w:r>
            <w:r w:rsidRPr="00F91119">
              <w:rPr>
                <w:noProof/>
                <w:webHidden/>
              </w:rPr>
              <w:instrText xml:space="preserve"> PAGEREF _Toc232505093 \h </w:instrText>
            </w:r>
            <w:r w:rsidRPr="00F91119">
              <w:rPr>
                <w:noProof/>
                <w:webHidden/>
              </w:rPr>
            </w:r>
            <w:r w:rsidRPr="00F91119">
              <w:rPr>
                <w:noProof/>
                <w:webHidden/>
              </w:rPr>
              <w:fldChar w:fldCharType="separate"/>
            </w:r>
            <w:r w:rsidRPr="00F91119">
              <w:rPr>
                <w:noProof/>
                <w:webHidden/>
              </w:rPr>
              <w:t>10</w:t>
            </w:r>
            <w:r w:rsidRPr="00F91119">
              <w:rPr>
                <w:noProof/>
                <w:webHidden/>
              </w:rPr>
              <w:fldChar w:fldCharType="end"/>
            </w:r>
          </w:hyperlink>
        </w:p>
        <w:p w14:paraId="3C34D3DD" w14:textId="30AC7856" w:rsidR="00E02B46" w:rsidRPr="00F91119" w:rsidRDefault="00E02B46">
          <w:pPr>
            <w:pStyle w:val="TOC1"/>
            <w:tabs>
              <w:tab w:val="right" w:leader="dot" w:pos="9016"/>
            </w:tabs>
            <w:rPr>
              <w:noProof/>
              <w:lang w:eastAsia="en-GB"/>
            </w:rPr>
          </w:pPr>
          <w:hyperlink w:anchor="_Toc232505094" w:history="1">
            <w:r w:rsidRPr="00F91119">
              <w:rPr>
                <w:rStyle w:val="Hyperlink"/>
                <w:rFonts w:ascii="Arial" w:eastAsia="Arial" w:hAnsi="Arial" w:cs="Arial"/>
                <w:noProof/>
              </w:rPr>
              <w:t>Task 2.2 – Work-Stream 1: Organisational Design and Resourcing</w:t>
            </w:r>
            <w:r w:rsidRPr="00F91119">
              <w:rPr>
                <w:noProof/>
                <w:webHidden/>
              </w:rPr>
              <w:tab/>
            </w:r>
            <w:r w:rsidRPr="00F91119">
              <w:rPr>
                <w:noProof/>
                <w:webHidden/>
              </w:rPr>
              <w:fldChar w:fldCharType="begin"/>
            </w:r>
            <w:r w:rsidRPr="00F91119">
              <w:rPr>
                <w:noProof/>
                <w:webHidden/>
              </w:rPr>
              <w:instrText xml:space="preserve"> PAGEREF _Toc232505094 \h </w:instrText>
            </w:r>
            <w:r w:rsidRPr="00F91119">
              <w:rPr>
                <w:noProof/>
                <w:webHidden/>
              </w:rPr>
            </w:r>
            <w:r w:rsidRPr="00F91119">
              <w:rPr>
                <w:noProof/>
                <w:webHidden/>
              </w:rPr>
              <w:fldChar w:fldCharType="separate"/>
            </w:r>
            <w:r w:rsidRPr="00F91119">
              <w:rPr>
                <w:noProof/>
                <w:webHidden/>
              </w:rPr>
              <w:t>10</w:t>
            </w:r>
            <w:r w:rsidRPr="00F91119">
              <w:rPr>
                <w:noProof/>
                <w:webHidden/>
              </w:rPr>
              <w:fldChar w:fldCharType="end"/>
            </w:r>
          </w:hyperlink>
        </w:p>
        <w:p w14:paraId="51B08E0A" w14:textId="54CB2E3B" w:rsidR="00E02B46" w:rsidRPr="00F91119" w:rsidRDefault="00E02B46">
          <w:pPr>
            <w:pStyle w:val="TOC1"/>
            <w:tabs>
              <w:tab w:val="right" w:leader="dot" w:pos="9016"/>
            </w:tabs>
            <w:rPr>
              <w:noProof/>
              <w:lang w:eastAsia="en-GB"/>
            </w:rPr>
          </w:pPr>
          <w:hyperlink w:anchor="_Toc232505095" w:history="1">
            <w:r w:rsidRPr="00F91119">
              <w:rPr>
                <w:rStyle w:val="Hyperlink"/>
                <w:rFonts w:ascii="Arial" w:eastAsia="Arial" w:hAnsi="Arial" w:cs="Arial"/>
                <w:noProof/>
              </w:rPr>
              <w:t>Task 2.3 – Work-Stream 2: Policy Framework Development</w:t>
            </w:r>
            <w:r w:rsidRPr="00F91119">
              <w:rPr>
                <w:noProof/>
                <w:webHidden/>
              </w:rPr>
              <w:tab/>
            </w:r>
            <w:r w:rsidRPr="00F91119">
              <w:rPr>
                <w:noProof/>
                <w:webHidden/>
              </w:rPr>
              <w:fldChar w:fldCharType="begin"/>
            </w:r>
            <w:r w:rsidRPr="00F91119">
              <w:rPr>
                <w:noProof/>
                <w:webHidden/>
              </w:rPr>
              <w:instrText xml:space="preserve"> PAGEREF _Toc232505095 \h </w:instrText>
            </w:r>
            <w:r w:rsidRPr="00F91119">
              <w:rPr>
                <w:noProof/>
                <w:webHidden/>
              </w:rPr>
            </w:r>
            <w:r w:rsidRPr="00F91119">
              <w:rPr>
                <w:noProof/>
                <w:webHidden/>
              </w:rPr>
              <w:fldChar w:fldCharType="separate"/>
            </w:r>
            <w:r w:rsidRPr="00F91119">
              <w:rPr>
                <w:noProof/>
                <w:webHidden/>
              </w:rPr>
              <w:t>11</w:t>
            </w:r>
            <w:r w:rsidRPr="00F91119">
              <w:rPr>
                <w:noProof/>
                <w:webHidden/>
              </w:rPr>
              <w:fldChar w:fldCharType="end"/>
            </w:r>
          </w:hyperlink>
        </w:p>
        <w:p w14:paraId="7D45FDC8" w14:textId="0F7CA876" w:rsidR="00E02B46" w:rsidRPr="00F91119" w:rsidRDefault="00E02B46">
          <w:pPr>
            <w:pStyle w:val="TOC2"/>
            <w:tabs>
              <w:tab w:val="right" w:leader="dot" w:pos="9016"/>
            </w:tabs>
            <w:rPr>
              <w:noProof/>
              <w:lang w:eastAsia="en-GB"/>
            </w:rPr>
          </w:pPr>
          <w:hyperlink w:anchor="_Toc232505096" w:history="1">
            <w:r w:rsidRPr="00F91119">
              <w:rPr>
                <w:rStyle w:val="Hyperlink"/>
                <w:rFonts w:ascii="Arial" w:eastAsia="Arial" w:hAnsi="Arial" w:cs="Arial"/>
                <w:noProof/>
              </w:rPr>
              <w:t>Acceptable Use Policy for AI and Cloud Services</w:t>
            </w:r>
            <w:r w:rsidRPr="00F91119">
              <w:rPr>
                <w:noProof/>
                <w:webHidden/>
              </w:rPr>
              <w:tab/>
            </w:r>
            <w:r w:rsidRPr="00F91119">
              <w:rPr>
                <w:noProof/>
                <w:webHidden/>
              </w:rPr>
              <w:fldChar w:fldCharType="begin"/>
            </w:r>
            <w:r w:rsidRPr="00F91119">
              <w:rPr>
                <w:noProof/>
                <w:webHidden/>
              </w:rPr>
              <w:instrText xml:space="preserve"> PAGEREF _Toc232505096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0125CDEF" w14:textId="00162977" w:rsidR="00E02B46" w:rsidRPr="00F91119" w:rsidRDefault="00E02B46">
          <w:pPr>
            <w:pStyle w:val="TOC2"/>
            <w:tabs>
              <w:tab w:val="right" w:leader="dot" w:pos="9016"/>
            </w:tabs>
            <w:rPr>
              <w:noProof/>
              <w:lang w:eastAsia="en-GB"/>
            </w:rPr>
          </w:pPr>
          <w:hyperlink w:anchor="_Toc232505097" w:history="1">
            <w:r w:rsidRPr="00F91119">
              <w:rPr>
                <w:rStyle w:val="Hyperlink"/>
                <w:rFonts w:ascii="Arial" w:eastAsia="Arial" w:hAnsi="Arial" w:cs="Arial"/>
                <w:noProof/>
              </w:rPr>
              <w:t>Hybrid Work and Remote Access Security Policy</w:t>
            </w:r>
            <w:r w:rsidRPr="00F91119">
              <w:rPr>
                <w:noProof/>
                <w:webHidden/>
              </w:rPr>
              <w:tab/>
            </w:r>
            <w:r w:rsidRPr="00F91119">
              <w:rPr>
                <w:noProof/>
                <w:webHidden/>
              </w:rPr>
              <w:fldChar w:fldCharType="begin"/>
            </w:r>
            <w:r w:rsidRPr="00F91119">
              <w:rPr>
                <w:noProof/>
                <w:webHidden/>
              </w:rPr>
              <w:instrText xml:space="preserve"> PAGEREF _Toc232505097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2259E912" w14:textId="0114F633" w:rsidR="00E02B46" w:rsidRPr="00F91119" w:rsidRDefault="00E02B46">
          <w:pPr>
            <w:pStyle w:val="TOC2"/>
            <w:tabs>
              <w:tab w:val="right" w:leader="dot" w:pos="9016"/>
            </w:tabs>
            <w:rPr>
              <w:noProof/>
              <w:lang w:eastAsia="en-GB"/>
            </w:rPr>
          </w:pPr>
          <w:hyperlink w:anchor="_Toc232505098" w:history="1">
            <w:r w:rsidRPr="00F91119">
              <w:rPr>
                <w:rStyle w:val="Hyperlink"/>
                <w:rFonts w:ascii="Arial" w:eastAsia="Arial" w:hAnsi="Arial" w:cs="Arial"/>
                <w:noProof/>
              </w:rPr>
              <w:t>Third-Party and Cloud Vendor Risk Management Policy</w:t>
            </w:r>
            <w:r w:rsidRPr="00F91119">
              <w:rPr>
                <w:noProof/>
                <w:webHidden/>
              </w:rPr>
              <w:tab/>
            </w:r>
            <w:r w:rsidRPr="00F91119">
              <w:rPr>
                <w:noProof/>
                <w:webHidden/>
              </w:rPr>
              <w:fldChar w:fldCharType="begin"/>
            </w:r>
            <w:r w:rsidRPr="00F91119">
              <w:rPr>
                <w:noProof/>
                <w:webHidden/>
              </w:rPr>
              <w:instrText xml:space="preserve"> PAGEREF _Toc232505098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6E4F2790" w14:textId="54464E04" w:rsidR="00E02B46" w:rsidRPr="00F91119" w:rsidRDefault="00E02B46">
          <w:pPr>
            <w:pStyle w:val="TOC1"/>
            <w:tabs>
              <w:tab w:val="right" w:leader="dot" w:pos="9016"/>
            </w:tabs>
            <w:rPr>
              <w:noProof/>
              <w:lang w:eastAsia="en-GB"/>
            </w:rPr>
          </w:pPr>
          <w:hyperlink w:anchor="_Toc232505099" w:history="1">
            <w:r w:rsidRPr="00F91119">
              <w:rPr>
                <w:rStyle w:val="Hyperlink"/>
                <w:rFonts w:ascii="Arial" w:eastAsia="Arial" w:hAnsi="Arial" w:cs="Arial"/>
                <w:noProof/>
              </w:rPr>
              <w:t>Task 2.4 – Work-Stream 3: Regulatory Compliance Strategy</w:t>
            </w:r>
            <w:r w:rsidRPr="00F91119">
              <w:rPr>
                <w:noProof/>
                <w:webHidden/>
              </w:rPr>
              <w:tab/>
            </w:r>
            <w:r w:rsidRPr="00F91119">
              <w:rPr>
                <w:noProof/>
                <w:webHidden/>
              </w:rPr>
              <w:fldChar w:fldCharType="begin"/>
            </w:r>
            <w:r w:rsidRPr="00F91119">
              <w:rPr>
                <w:noProof/>
                <w:webHidden/>
              </w:rPr>
              <w:instrText xml:space="preserve"> PAGEREF _Toc232505099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6DADA45A" w14:textId="36723A61" w:rsidR="00E02B46" w:rsidRPr="00F91119" w:rsidRDefault="00E02B46">
          <w:pPr>
            <w:pStyle w:val="TOC1"/>
            <w:tabs>
              <w:tab w:val="right" w:leader="dot" w:pos="9016"/>
            </w:tabs>
            <w:rPr>
              <w:noProof/>
              <w:lang w:eastAsia="en-GB"/>
            </w:rPr>
          </w:pPr>
          <w:hyperlink w:anchor="_Toc232505100" w:history="1">
            <w:r w:rsidRPr="00F91119">
              <w:rPr>
                <w:rStyle w:val="Hyperlink"/>
                <w:rFonts w:ascii="Arial" w:eastAsia="Arial" w:hAnsi="Arial" w:cs="Arial"/>
                <w:noProof/>
              </w:rPr>
              <w:t>Task 2.5 – Work-Stream 4: Technical Standards and Architecture</w:t>
            </w:r>
            <w:r w:rsidRPr="00F91119">
              <w:rPr>
                <w:noProof/>
                <w:webHidden/>
              </w:rPr>
              <w:tab/>
            </w:r>
            <w:r w:rsidRPr="00F91119">
              <w:rPr>
                <w:noProof/>
                <w:webHidden/>
              </w:rPr>
              <w:fldChar w:fldCharType="begin"/>
            </w:r>
            <w:r w:rsidRPr="00F91119">
              <w:rPr>
                <w:noProof/>
                <w:webHidden/>
              </w:rPr>
              <w:instrText xml:space="preserve"> PAGEREF _Toc232505100 \h </w:instrText>
            </w:r>
            <w:r w:rsidRPr="00F91119">
              <w:rPr>
                <w:noProof/>
                <w:webHidden/>
              </w:rPr>
            </w:r>
            <w:r w:rsidRPr="00F91119">
              <w:rPr>
                <w:noProof/>
                <w:webHidden/>
              </w:rPr>
              <w:fldChar w:fldCharType="separate"/>
            </w:r>
            <w:r w:rsidRPr="00F91119">
              <w:rPr>
                <w:noProof/>
                <w:webHidden/>
              </w:rPr>
              <w:t>13</w:t>
            </w:r>
            <w:r w:rsidRPr="00F91119">
              <w:rPr>
                <w:noProof/>
                <w:webHidden/>
              </w:rPr>
              <w:fldChar w:fldCharType="end"/>
            </w:r>
          </w:hyperlink>
        </w:p>
        <w:p w14:paraId="3986FB9E" w14:textId="5C95B033" w:rsidR="00E02B46" w:rsidRPr="00F91119" w:rsidRDefault="00E02B46">
          <w:pPr>
            <w:pStyle w:val="TOC1"/>
            <w:tabs>
              <w:tab w:val="right" w:leader="dot" w:pos="9016"/>
            </w:tabs>
            <w:rPr>
              <w:noProof/>
              <w:lang w:eastAsia="en-GB"/>
            </w:rPr>
          </w:pPr>
          <w:hyperlink w:anchor="_Toc232505101" w:history="1">
            <w:r w:rsidRPr="00F91119">
              <w:rPr>
                <w:rStyle w:val="Hyperlink"/>
                <w:rFonts w:ascii="Arial" w:eastAsia="Arial" w:hAnsi="Arial" w:cs="Arial"/>
                <w:noProof/>
              </w:rPr>
              <w:t>Task 2.6 – Work-Stream 5: Strategic Risk Assessment</w:t>
            </w:r>
            <w:r w:rsidRPr="00F91119">
              <w:rPr>
                <w:noProof/>
                <w:webHidden/>
              </w:rPr>
              <w:tab/>
            </w:r>
            <w:r w:rsidRPr="00F91119">
              <w:rPr>
                <w:noProof/>
                <w:webHidden/>
              </w:rPr>
              <w:fldChar w:fldCharType="begin"/>
            </w:r>
            <w:r w:rsidRPr="00F91119">
              <w:rPr>
                <w:noProof/>
                <w:webHidden/>
              </w:rPr>
              <w:instrText xml:space="preserve"> PAGEREF _Toc232505101 \h </w:instrText>
            </w:r>
            <w:r w:rsidRPr="00F91119">
              <w:rPr>
                <w:noProof/>
                <w:webHidden/>
              </w:rPr>
            </w:r>
            <w:r w:rsidRPr="00F91119">
              <w:rPr>
                <w:noProof/>
                <w:webHidden/>
              </w:rPr>
              <w:fldChar w:fldCharType="separate"/>
            </w:r>
            <w:r w:rsidRPr="00F91119">
              <w:rPr>
                <w:noProof/>
                <w:webHidden/>
              </w:rPr>
              <w:t>14</w:t>
            </w:r>
            <w:r w:rsidRPr="00F91119">
              <w:rPr>
                <w:noProof/>
                <w:webHidden/>
              </w:rPr>
              <w:fldChar w:fldCharType="end"/>
            </w:r>
          </w:hyperlink>
        </w:p>
        <w:p w14:paraId="0A6FBE09" w14:textId="016FD58C" w:rsidR="00E02B46" w:rsidRPr="00F91119" w:rsidRDefault="00E02B46">
          <w:pPr>
            <w:pStyle w:val="TOC1"/>
            <w:tabs>
              <w:tab w:val="right" w:leader="dot" w:pos="9016"/>
            </w:tabs>
            <w:rPr>
              <w:noProof/>
              <w:lang w:eastAsia="en-GB"/>
            </w:rPr>
          </w:pPr>
          <w:hyperlink w:anchor="_Toc232505102" w:history="1">
            <w:r w:rsidRPr="00F91119">
              <w:rPr>
                <w:rStyle w:val="Hyperlink"/>
                <w:rFonts w:ascii="Arial" w:eastAsia="Arial" w:hAnsi="Arial" w:cs="Arial"/>
                <w:noProof/>
              </w:rPr>
              <w:t>Task 2.7 – Work-Stream 6: Incident Response and Business Continuity</w:t>
            </w:r>
            <w:r w:rsidRPr="00F91119">
              <w:rPr>
                <w:noProof/>
                <w:webHidden/>
              </w:rPr>
              <w:tab/>
            </w:r>
            <w:r w:rsidRPr="00F91119">
              <w:rPr>
                <w:noProof/>
                <w:webHidden/>
              </w:rPr>
              <w:fldChar w:fldCharType="begin"/>
            </w:r>
            <w:r w:rsidRPr="00F91119">
              <w:rPr>
                <w:noProof/>
                <w:webHidden/>
              </w:rPr>
              <w:instrText xml:space="preserve"> PAGEREF _Toc232505102 \h </w:instrText>
            </w:r>
            <w:r w:rsidRPr="00F91119">
              <w:rPr>
                <w:noProof/>
                <w:webHidden/>
              </w:rPr>
            </w:r>
            <w:r w:rsidRPr="00F91119">
              <w:rPr>
                <w:noProof/>
                <w:webHidden/>
              </w:rPr>
              <w:fldChar w:fldCharType="separate"/>
            </w:r>
            <w:r w:rsidRPr="00F91119">
              <w:rPr>
                <w:noProof/>
                <w:webHidden/>
              </w:rPr>
              <w:t>15</w:t>
            </w:r>
            <w:r w:rsidRPr="00F91119">
              <w:rPr>
                <w:noProof/>
                <w:webHidden/>
              </w:rPr>
              <w:fldChar w:fldCharType="end"/>
            </w:r>
          </w:hyperlink>
        </w:p>
        <w:p w14:paraId="7BDA0661" w14:textId="12E5A029" w:rsidR="00E02B46" w:rsidRPr="00F91119" w:rsidRDefault="00E02B46">
          <w:pPr>
            <w:pStyle w:val="TOC2"/>
            <w:tabs>
              <w:tab w:val="right" w:leader="dot" w:pos="9016"/>
            </w:tabs>
            <w:rPr>
              <w:noProof/>
              <w:lang w:eastAsia="en-GB"/>
            </w:rPr>
          </w:pPr>
          <w:hyperlink w:anchor="_Toc232505103" w:history="1">
            <w:r w:rsidRPr="00F91119">
              <w:rPr>
                <w:rStyle w:val="Hyperlink"/>
                <w:rFonts w:ascii="Arial" w:eastAsia="Arial" w:hAnsi="Arial" w:cs="Arial"/>
                <w:noProof/>
              </w:rPr>
              <w:t>Phase 1 – Preparation</w:t>
            </w:r>
            <w:r w:rsidRPr="00F91119">
              <w:rPr>
                <w:noProof/>
                <w:webHidden/>
              </w:rPr>
              <w:tab/>
            </w:r>
            <w:r w:rsidRPr="00F91119">
              <w:rPr>
                <w:noProof/>
                <w:webHidden/>
              </w:rPr>
              <w:fldChar w:fldCharType="begin"/>
            </w:r>
            <w:r w:rsidRPr="00F91119">
              <w:rPr>
                <w:noProof/>
                <w:webHidden/>
              </w:rPr>
              <w:instrText xml:space="preserve"> PAGEREF _Toc232505103 \h </w:instrText>
            </w:r>
            <w:r w:rsidRPr="00F91119">
              <w:rPr>
                <w:noProof/>
                <w:webHidden/>
              </w:rPr>
            </w:r>
            <w:r w:rsidRPr="00F91119">
              <w:rPr>
                <w:noProof/>
                <w:webHidden/>
              </w:rPr>
              <w:fldChar w:fldCharType="separate"/>
            </w:r>
            <w:r w:rsidRPr="00F91119">
              <w:rPr>
                <w:noProof/>
                <w:webHidden/>
              </w:rPr>
              <w:t>15</w:t>
            </w:r>
            <w:r w:rsidRPr="00F91119">
              <w:rPr>
                <w:noProof/>
                <w:webHidden/>
              </w:rPr>
              <w:fldChar w:fldCharType="end"/>
            </w:r>
          </w:hyperlink>
        </w:p>
        <w:p w14:paraId="7633B065" w14:textId="798550A8" w:rsidR="00E02B46" w:rsidRPr="00F91119" w:rsidRDefault="00E02B46">
          <w:pPr>
            <w:pStyle w:val="TOC2"/>
            <w:tabs>
              <w:tab w:val="right" w:leader="dot" w:pos="9016"/>
            </w:tabs>
            <w:rPr>
              <w:noProof/>
              <w:lang w:eastAsia="en-GB"/>
            </w:rPr>
          </w:pPr>
          <w:hyperlink w:anchor="_Toc232505104" w:history="1">
            <w:r w:rsidRPr="00F91119">
              <w:rPr>
                <w:rStyle w:val="Hyperlink"/>
                <w:rFonts w:ascii="Arial" w:eastAsia="Arial" w:hAnsi="Arial" w:cs="Arial"/>
                <w:noProof/>
              </w:rPr>
              <w:t>Phase 2 – Detection and Analysis</w:t>
            </w:r>
            <w:r w:rsidRPr="00F91119">
              <w:rPr>
                <w:noProof/>
                <w:webHidden/>
              </w:rPr>
              <w:tab/>
            </w:r>
            <w:r w:rsidRPr="00F91119">
              <w:rPr>
                <w:noProof/>
                <w:webHidden/>
              </w:rPr>
              <w:fldChar w:fldCharType="begin"/>
            </w:r>
            <w:r w:rsidRPr="00F91119">
              <w:rPr>
                <w:noProof/>
                <w:webHidden/>
              </w:rPr>
              <w:instrText xml:space="preserve"> PAGEREF _Toc232505104 \h </w:instrText>
            </w:r>
            <w:r w:rsidRPr="00F91119">
              <w:rPr>
                <w:noProof/>
                <w:webHidden/>
              </w:rPr>
            </w:r>
            <w:r w:rsidRPr="00F91119">
              <w:rPr>
                <w:noProof/>
                <w:webHidden/>
              </w:rPr>
              <w:fldChar w:fldCharType="separate"/>
            </w:r>
            <w:r w:rsidRPr="00F91119">
              <w:rPr>
                <w:noProof/>
                <w:webHidden/>
              </w:rPr>
              <w:t>15</w:t>
            </w:r>
            <w:r w:rsidRPr="00F91119">
              <w:rPr>
                <w:noProof/>
                <w:webHidden/>
              </w:rPr>
              <w:fldChar w:fldCharType="end"/>
            </w:r>
          </w:hyperlink>
        </w:p>
        <w:p w14:paraId="380307F4" w14:textId="2694ED09" w:rsidR="00E02B46" w:rsidRPr="00F91119" w:rsidRDefault="00E02B46">
          <w:pPr>
            <w:pStyle w:val="TOC2"/>
            <w:tabs>
              <w:tab w:val="right" w:leader="dot" w:pos="9016"/>
            </w:tabs>
            <w:rPr>
              <w:noProof/>
              <w:lang w:eastAsia="en-GB"/>
            </w:rPr>
          </w:pPr>
          <w:hyperlink w:anchor="_Toc232505105" w:history="1">
            <w:r w:rsidRPr="00F91119">
              <w:rPr>
                <w:rStyle w:val="Hyperlink"/>
                <w:rFonts w:ascii="Arial" w:eastAsia="Arial" w:hAnsi="Arial" w:cs="Arial"/>
                <w:noProof/>
              </w:rPr>
              <w:t>Phase 3 – Containment</w:t>
            </w:r>
            <w:r w:rsidRPr="00F91119">
              <w:rPr>
                <w:noProof/>
                <w:webHidden/>
              </w:rPr>
              <w:tab/>
            </w:r>
            <w:r w:rsidRPr="00F91119">
              <w:rPr>
                <w:noProof/>
                <w:webHidden/>
              </w:rPr>
              <w:fldChar w:fldCharType="begin"/>
            </w:r>
            <w:r w:rsidRPr="00F91119">
              <w:rPr>
                <w:noProof/>
                <w:webHidden/>
              </w:rPr>
              <w:instrText xml:space="preserve"> PAGEREF _Toc232505105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6754FFD1" w14:textId="16577D89" w:rsidR="00E02B46" w:rsidRPr="00F91119" w:rsidRDefault="00E02B46">
          <w:pPr>
            <w:pStyle w:val="TOC2"/>
            <w:tabs>
              <w:tab w:val="right" w:leader="dot" w:pos="9016"/>
            </w:tabs>
            <w:rPr>
              <w:noProof/>
              <w:lang w:eastAsia="en-GB"/>
            </w:rPr>
          </w:pPr>
          <w:hyperlink w:anchor="_Toc232505106" w:history="1">
            <w:r w:rsidRPr="00F91119">
              <w:rPr>
                <w:rStyle w:val="Hyperlink"/>
                <w:rFonts w:ascii="Arial" w:eastAsia="Arial" w:hAnsi="Arial" w:cs="Arial"/>
                <w:noProof/>
              </w:rPr>
              <w:t>Phase 4 – Eradication</w:t>
            </w:r>
            <w:r w:rsidRPr="00F91119">
              <w:rPr>
                <w:noProof/>
                <w:webHidden/>
              </w:rPr>
              <w:tab/>
            </w:r>
            <w:r w:rsidRPr="00F91119">
              <w:rPr>
                <w:noProof/>
                <w:webHidden/>
              </w:rPr>
              <w:fldChar w:fldCharType="begin"/>
            </w:r>
            <w:r w:rsidRPr="00F91119">
              <w:rPr>
                <w:noProof/>
                <w:webHidden/>
              </w:rPr>
              <w:instrText xml:space="preserve"> PAGEREF _Toc232505106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42E6EF82" w14:textId="4B35276D" w:rsidR="00E02B46" w:rsidRPr="00F91119" w:rsidRDefault="00E02B46">
          <w:pPr>
            <w:pStyle w:val="TOC2"/>
            <w:tabs>
              <w:tab w:val="right" w:leader="dot" w:pos="9016"/>
            </w:tabs>
            <w:rPr>
              <w:noProof/>
              <w:lang w:eastAsia="en-GB"/>
            </w:rPr>
          </w:pPr>
          <w:hyperlink w:anchor="_Toc232505107" w:history="1">
            <w:r w:rsidRPr="00F91119">
              <w:rPr>
                <w:rStyle w:val="Hyperlink"/>
                <w:rFonts w:ascii="Arial" w:eastAsia="Arial" w:hAnsi="Arial" w:cs="Arial"/>
                <w:noProof/>
              </w:rPr>
              <w:t>Phase 5 – Recovery</w:t>
            </w:r>
            <w:r w:rsidRPr="00F91119">
              <w:rPr>
                <w:noProof/>
                <w:webHidden/>
              </w:rPr>
              <w:tab/>
            </w:r>
            <w:r w:rsidRPr="00F91119">
              <w:rPr>
                <w:noProof/>
                <w:webHidden/>
              </w:rPr>
              <w:fldChar w:fldCharType="begin"/>
            </w:r>
            <w:r w:rsidRPr="00F91119">
              <w:rPr>
                <w:noProof/>
                <w:webHidden/>
              </w:rPr>
              <w:instrText xml:space="preserve"> PAGEREF _Toc232505107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307F2E5C" w14:textId="2FA2508E" w:rsidR="00E02B46" w:rsidRPr="00F91119" w:rsidRDefault="00E02B46">
          <w:pPr>
            <w:pStyle w:val="TOC2"/>
            <w:tabs>
              <w:tab w:val="right" w:leader="dot" w:pos="9016"/>
            </w:tabs>
            <w:rPr>
              <w:noProof/>
              <w:lang w:eastAsia="en-GB"/>
            </w:rPr>
          </w:pPr>
          <w:hyperlink w:anchor="_Toc232505108" w:history="1">
            <w:r w:rsidRPr="00F91119">
              <w:rPr>
                <w:rStyle w:val="Hyperlink"/>
                <w:rFonts w:ascii="Arial" w:eastAsia="Arial" w:hAnsi="Arial" w:cs="Arial"/>
                <w:noProof/>
              </w:rPr>
              <w:t>Phase 6 – Communication and Reporting</w:t>
            </w:r>
            <w:r w:rsidRPr="00F91119">
              <w:rPr>
                <w:noProof/>
                <w:webHidden/>
              </w:rPr>
              <w:tab/>
            </w:r>
            <w:r w:rsidRPr="00F91119">
              <w:rPr>
                <w:noProof/>
                <w:webHidden/>
              </w:rPr>
              <w:fldChar w:fldCharType="begin"/>
            </w:r>
            <w:r w:rsidRPr="00F91119">
              <w:rPr>
                <w:noProof/>
                <w:webHidden/>
              </w:rPr>
              <w:instrText xml:space="preserve"> PAGEREF _Toc232505108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1A225AFD" w14:textId="724BDB61" w:rsidR="00E02B46" w:rsidRPr="00F91119" w:rsidRDefault="00E02B46">
          <w:pPr>
            <w:pStyle w:val="TOC1"/>
            <w:tabs>
              <w:tab w:val="right" w:leader="dot" w:pos="9016"/>
            </w:tabs>
            <w:rPr>
              <w:noProof/>
              <w:lang w:eastAsia="en-GB"/>
            </w:rPr>
          </w:pPr>
          <w:hyperlink w:anchor="_Toc232505109" w:history="1">
            <w:r w:rsidRPr="00F91119">
              <w:rPr>
                <w:rStyle w:val="Hyperlink"/>
                <w:rFonts w:ascii="Arial" w:eastAsia="Arial" w:hAnsi="Arial" w:cs="Arial"/>
                <w:noProof/>
              </w:rPr>
              <w:t>Task 2.8 – Work-Stream 7: Governance and Strategic Roadmap</w:t>
            </w:r>
            <w:r w:rsidRPr="00F91119">
              <w:rPr>
                <w:noProof/>
                <w:webHidden/>
              </w:rPr>
              <w:tab/>
            </w:r>
            <w:r w:rsidRPr="00F91119">
              <w:rPr>
                <w:noProof/>
                <w:webHidden/>
              </w:rPr>
              <w:fldChar w:fldCharType="begin"/>
            </w:r>
            <w:r w:rsidRPr="00F91119">
              <w:rPr>
                <w:noProof/>
                <w:webHidden/>
              </w:rPr>
              <w:instrText xml:space="preserve"> PAGEREF _Toc232505109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33094E0A" w14:textId="2D1A2B1E" w:rsidR="00E02B46" w:rsidRPr="00F91119" w:rsidRDefault="00E02B46">
          <w:pPr>
            <w:pStyle w:val="TOC1"/>
            <w:tabs>
              <w:tab w:val="right" w:leader="dot" w:pos="9016"/>
            </w:tabs>
            <w:rPr>
              <w:noProof/>
              <w:lang w:eastAsia="en-GB"/>
            </w:rPr>
          </w:pPr>
          <w:hyperlink w:anchor="_Toc232505110" w:history="1">
            <w:r w:rsidRPr="00F91119">
              <w:rPr>
                <w:rStyle w:val="Hyperlink"/>
                <w:rFonts w:ascii="Arial" w:eastAsia="Arial" w:hAnsi="Arial" w:cs="Arial"/>
                <w:noProof/>
              </w:rPr>
              <w:t>Task 2.9 – Conclusion</w:t>
            </w:r>
            <w:r w:rsidRPr="00F91119">
              <w:rPr>
                <w:noProof/>
                <w:webHidden/>
              </w:rPr>
              <w:tab/>
            </w:r>
            <w:r w:rsidRPr="00F91119">
              <w:rPr>
                <w:noProof/>
                <w:webHidden/>
              </w:rPr>
              <w:fldChar w:fldCharType="begin"/>
            </w:r>
            <w:r w:rsidRPr="00F91119">
              <w:rPr>
                <w:noProof/>
                <w:webHidden/>
              </w:rPr>
              <w:instrText xml:space="preserve"> PAGEREF _Toc232505110 \h </w:instrText>
            </w:r>
            <w:r w:rsidRPr="00F91119">
              <w:rPr>
                <w:noProof/>
                <w:webHidden/>
              </w:rPr>
            </w:r>
            <w:r w:rsidRPr="00F91119">
              <w:rPr>
                <w:noProof/>
                <w:webHidden/>
              </w:rPr>
              <w:fldChar w:fldCharType="separate"/>
            </w:r>
            <w:r w:rsidRPr="00F91119">
              <w:rPr>
                <w:noProof/>
                <w:webHidden/>
              </w:rPr>
              <w:t>17</w:t>
            </w:r>
            <w:r w:rsidRPr="00F91119">
              <w:rPr>
                <w:noProof/>
                <w:webHidden/>
              </w:rPr>
              <w:fldChar w:fldCharType="end"/>
            </w:r>
          </w:hyperlink>
        </w:p>
        <w:p w14:paraId="07039CF8" w14:textId="51D41639" w:rsidR="00E02B46" w:rsidRPr="00F91119" w:rsidRDefault="00E02B46">
          <w:pPr>
            <w:pStyle w:val="TOC1"/>
            <w:tabs>
              <w:tab w:val="right" w:leader="dot" w:pos="9016"/>
            </w:tabs>
            <w:rPr>
              <w:noProof/>
              <w:lang w:eastAsia="en-GB"/>
            </w:rPr>
          </w:pPr>
          <w:hyperlink w:anchor="_Toc232505111" w:history="1">
            <w:r w:rsidRPr="00F91119">
              <w:rPr>
                <w:rStyle w:val="Hyperlink"/>
                <w:rFonts w:ascii="Arial" w:eastAsia="Arial" w:hAnsi="Arial" w:cs="Arial"/>
                <w:noProof/>
              </w:rPr>
              <w:t>References</w:t>
            </w:r>
            <w:r w:rsidRPr="00F91119">
              <w:rPr>
                <w:noProof/>
                <w:webHidden/>
              </w:rPr>
              <w:tab/>
            </w:r>
            <w:r w:rsidRPr="00F91119">
              <w:rPr>
                <w:noProof/>
                <w:webHidden/>
              </w:rPr>
              <w:fldChar w:fldCharType="begin"/>
            </w:r>
            <w:r w:rsidRPr="00F91119">
              <w:rPr>
                <w:noProof/>
                <w:webHidden/>
              </w:rPr>
              <w:instrText xml:space="preserve"> PAGEREF _Toc232505111 \h </w:instrText>
            </w:r>
            <w:r w:rsidRPr="00F91119">
              <w:rPr>
                <w:noProof/>
                <w:webHidden/>
              </w:rPr>
            </w:r>
            <w:r w:rsidRPr="00F91119">
              <w:rPr>
                <w:noProof/>
                <w:webHidden/>
              </w:rPr>
              <w:fldChar w:fldCharType="separate"/>
            </w:r>
            <w:r w:rsidRPr="00F91119">
              <w:rPr>
                <w:noProof/>
                <w:webHidden/>
              </w:rPr>
              <w:t>18</w:t>
            </w:r>
            <w:r w:rsidRPr="00F91119">
              <w:rPr>
                <w:noProof/>
                <w:webHidden/>
              </w:rPr>
              <w:fldChar w:fldCharType="end"/>
            </w:r>
          </w:hyperlink>
        </w:p>
        <w:p w14:paraId="56F436A9" w14:textId="30A98693" w:rsidR="00E02B46" w:rsidRPr="00E02B46" w:rsidRDefault="00E02B46" w:rsidP="00E02B46">
          <w:pPr>
            <w:sectPr w:rsidR="00E02B46" w:rsidRPr="00E02B46" w:rsidSect="00E02B46">
              <w:headerReference w:type="default" r:id="rId9"/>
              <w:footerReference w:type="default" r:id="rId10"/>
              <w:type w:val="continuous"/>
              <w:pgSz w:w="11906" w:h="16838"/>
              <w:pgMar w:top="1440" w:right="1440" w:bottom="1440" w:left="1440" w:header="708" w:footer="708" w:gutter="0"/>
              <w:cols w:space="720"/>
              <w:docGrid w:linePitch="360"/>
            </w:sectPr>
          </w:pPr>
          <w:r w:rsidRPr="00F91119">
            <w:fldChar w:fldCharType="end"/>
          </w:r>
        </w:p>
      </w:sdtContent>
    </w:sdt>
    <w:p w14:paraId="137E20F9" w14:textId="77777777" w:rsidR="00630652" w:rsidRDefault="00630652" w:rsidP="00630652">
      <w:pPr>
        <w:pStyle w:val="TOCHeading"/>
        <w:rPr>
          <w:rFonts w:asciiTheme="minorHAnsi" w:eastAsiaTheme="minorEastAsia" w:hAnsiTheme="minorHAnsi" w:cstheme="minorBidi"/>
          <w:color w:val="auto"/>
          <w:kern w:val="2"/>
          <w:sz w:val="24"/>
          <w:szCs w:val="24"/>
          <w:lang w:eastAsia="en-GB"/>
          <w14:ligatures w14:val="standardContextual"/>
        </w:rPr>
      </w:pPr>
      <w:r w:rsidRPr="00630652">
        <w:rPr>
          <w:rFonts w:asciiTheme="minorHAnsi" w:eastAsiaTheme="minorEastAsia" w:hAnsiTheme="minorHAnsi" w:cstheme="minorBidi"/>
          <w:color w:val="auto"/>
          <w:kern w:val="2"/>
          <w:sz w:val="24"/>
          <w:szCs w:val="24"/>
          <w:lang w:eastAsia="en-GB"/>
          <w14:ligatures w14:val="standardContextual"/>
        </w:rPr>
        <w:t xml:space="preserve"> </w:t>
      </w:r>
    </w:p>
    <w:p w14:paraId="74A3EEB2" w14:textId="77777777" w:rsidR="00630652" w:rsidRDefault="00630652" w:rsidP="00630652"/>
    <w:p w14:paraId="09187592" w14:textId="77777777" w:rsidR="002C244E" w:rsidRDefault="002C244E" w:rsidP="00630652"/>
    <w:p w14:paraId="3841D535" w14:textId="77777777" w:rsidR="002C244E" w:rsidRDefault="002C244E" w:rsidP="00630652"/>
    <w:p w14:paraId="365001CF" w14:textId="77777777" w:rsidR="002C244E" w:rsidRDefault="002C244E" w:rsidP="00630652"/>
    <w:p w14:paraId="70476D14" w14:textId="77777777" w:rsidR="002C244E" w:rsidRDefault="002C244E" w:rsidP="00630652"/>
    <w:p w14:paraId="06DFFF23" w14:textId="77777777" w:rsidR="002C244E" w:rsidRDefault="002C244E" w:rsidP="00630652"/>
    <w:p w14:paraId="20BE4971" w14:textId="77777777" w:rsidR="002C244E" w:rsidRDefault="002C244E" w:rsidP="00630652"/>
    <w:p w14:paraId="03FAEF2F" w14:textId="77777777" w:rsidR="002C244E" w:rsidRDefault="002C244E" w:rsidP="00630652"/>
    <w:p w14:paraId="1265269F" w14:textId="77777777" w:rsidR="002C244E" w:rsidRDefault="002C244E" w:rsidP="00630652"/>
    <w:p w14:paraId="488826E1" w14:textId="77777777" w:rsidR="002C244E" w:rsidRDefault="002C244E" w:rsidP="00630652"/>
    <w:p w14:paraId="42E87EE3" w14:textId="77777777" w:rsidR="00173D38" w:rsidRDefault="00173D38" w:rsidP="00630652"/>
    <w:p w14:paraId="1F1FDBF6" w14:textId="77777777" w:rsidR="00173D38" w:rsidRDefault="00173D38" w:rsidP="00630652"/>
    <w:p w14:paraId="30D8F7CC" w14:textId="77777777" w:rsidR="00173D38" w:rsidRDefault="00173D38" w:rsidP="00630652"/>
    <w:p w14:paraId="3CB95385" w14:textId="77777777" w:rsidR="00173D38" w:rsidRDefault="00173D38" w:rsidP="00630652"/>
    <w:p w14:paraId="4018A758" w14:textId="77777777" w:rsidR="00173D38" w:rsidRDefault="00173D38" w:rsidP="00630652"/>
    <w:p w14:paraId="6D5020E4" w14:textId="77777777" w:rsidR="00173D38" w:rsidRDefault="00173D38" w:rsidP="00630652"/>
    <w:p w14:paraId="54A3601B" w14:textId="77777777" w:rsidR="00173D38" w:rsidRDefault="00173D38" w:rsidP="00630652"/>
    <w:p w14:paraId="234AF00A" w14:textId="77777777" w:rsidR="00173D38" w:rsidRDefault="00173D38" w:rsidP="00630652"/>
    <w:p w14:paraId="28A3235D" w14:textId="77777777" w:rsidR="00173D38" w:rsidRDefault="00173D38" w:rsidP="00630652"/>
    <w:p w14:paraId="6907D169" w14:textId="77777777" w:rsidR="00F91119" w:rsidRDefault="00F91119" w:rsidP="00630652"/>
    <w:p w14:paraId="604216C6" w14:textId="77777777" w:rsidR="00F91119" w:rsidRDefault="00F91119" w:rsidP="00630652"/>
    <w:p w14:paraId="099EFDD3" w14:textId="77777777" w:rsidR="00F91119" w:rsidRDefault="00F91119" w:rsidP="00630652"/>
    <w:p w14:paraId="63167222" w14:textId="77777777" w:rsidR="00173D38" w:rsidRDefault="00173D38" w:rsidP="00630652"/>
    <w:p w14:paraId="08C164CB" w14:textId="77777777" w:rsidR="00173D38" w:rsidRDefault="00173D38" w:rsidP="00630652"/>
    <w:p w14:paraId="23C89A96" w14:textId="77777777" w:rsidR="00173D38" w:rsidRDefault="00173D38" w:rsidP="00630652"/>
    <w:p w14:paraId="4BCE113E" w14:textId="77777777" w:rsidR="00173D38" w:rsidRDefault="00173D38" w:rsidP="00630652"/>
    <w:p w14:paraId="12D8E2D2" w14:textId="77777777" w:rsidR="00173D38" w:rsidRDefault="00173D38" w:rsidP="00630652"/>
    <w:p w14:paraId="34AA2C66" w14:textId="77777777" w:rsidR="002C244E" w:rsidRDefault="002C244E" w:rsidP="00630652"/>
    <w:p w14:paraId="6D4A99E0" w14:textId="77777777" w:rsidR="002C244E" w:rsidRDefault="002C244E" w:rsidP="00630652"/>
    <w:p w14:paraId="6C65E12B" w14:textId="77777777" w:rsidR="002C244E" w:rsidRDefault="002C244E" w:rsidP="00630652"/>
    <w:p w14:paraId="033A67B7" w14:textId="77777777" w:rsidR="002C244E" w:rsidRDefault="002C244E" w:rsidP="00630652"/>
    <w:p w14:paraId="6D084D64" w14:textId="77777777" w:rsidR="002C244E" w:rsidRDefault="002C244E" w:rsidP="00630652"/>
    <w:p w14:paraId="4A2B3E80" w14:textId="77777777" w:rsidR="002C244E" w:rsidRDefault="002C244E" w:rsidP="00630652"/>
    <w:p w14:paraId="204D80CC" w14:textId="77777777" w:rsidR="002C244E" w:rsidRDefault="002C244E" w:rsidP="00630652"/>
    <w:p w14:paraId="0BF555BD" w14:textId="77777777" w:rsidR="002C244E" w:rsidRDefault="002C244E" w:rsidP="00630652"/>
    <w:p w14:paraId="7D9D02A0" w14:textId="77777777" w:rsidR="002C244E" w:rsidRDefault="002C244E" w:rsidP="00630652"/>
    <w:p w14:paraId="7D6A8C00" w14:textId="77777777" w:rsidR="002C244E" w:rsidRDefault="002C244E" w:rsidP="00630652"/>
    <w:p w14:paraId="728F6B89" w14:textId="77777777" w:rsidR="002C244E" w:rsidRDefault="002C244E" w:rsidP="00630652"/>
    <w:p w14:paraId="16EAD3E7" w14:textId="77777777" w:rsidR="002C244E" w:rsidRDefault="002C244E" w:rsidP="00630652"/>
    <w:p w14:paraId="496DCF65" w14:textId="77777777" w:rsidR="002C244E" w:rsidRDefault="002C244E" w:rsidP="00630652"/>
    <w:p w14:paraId="4442D726" w14:textId="77777777" w:rsidR="002C244E" w:rsidRDefault="002C244E" w:rsidP="00630652"/>
    <w:p w14:paraId="0CB10E7F" w14:textId="77777777" w:rsidR="002C244E" w:rsidRDefault="002C244E" w:rsidP="00630652"/>
    <w:p w14:paraId="4A575643" w14:textId="77777777" w:rsidR="002C244E" w:rsidRDefault="002C244E" w:rsidP="00630652"/>
    <w:p w14:paraId="59D1A174" w14:textId="77777777" w:rsidR="002C244E" w:rsidRDefault="002C244E" w:rsidP="00630652"/>
    <w:p w14:paraId="5B5B7BBB" w14:textId="77777777" w:rsidR="002C244E" w:rsidRDefault="002C244E" w:rsidP="00630652"/>
    <w:p w14:paraId="180FE1F1" w14:textId="77777777" w:rsidR="002C244E" w:rsidRDefault="002C244E" w:rsidP="00630652"/>
    <w:p w14:paraId="3BA30355" w14:textId="77777777" w:rsidR="002C244E" w:rsidRDefault="002C244E" w:rsidP="00630652"/>
    <w:p w14:paraId="255FE662" w14:textId="77777777" w:rsidR="002C244E" w:rsidRDefault="002C244E" w:rsidP="00630652"/>
    <w:p w14:paraId="49321FDC" w14:textId="77777777" w:rsidR="002C244E" w:rsidRDefault="002C244E" w:rsidP="00630652"/>
    <w:p w14:paraId="10BCCD9B" w14:textId="77777777" w:rsidR="002C244E" w:rsidRDefault="002C244E" w:rsidP="007929B8">
      <w:pPr>
        <w:spacing w:after="120"/>
      </w:pPr>
      <w:r>
        <w:rPr>
          <w:rFonts w:ascii="Arial" w:eastAsia="Arial" w:hAnsi="Arial" w:cs="Arial"/>
          <w:b/>
          <w:bCs/>
          <w:color w:val="1F3864"/>
          <w:sz w:val="32"/>
          <w:szCs w:val="32"/>
        </w:rPr>
        <w:lastRenderedPageBreak/>
        <w:t>TASK 1 – RESEARCH PAPER</w:t>
      </w:r>
    </w:p>
    <w:p w14:paraId="36287266" w14:textId="77777777" w:rsidR="002C244E" w:rsidRDefault="002C244E" w:rsidP="002C244E">
      <w:pPr>
        <w:spacing w:after="320"/>
        <w:jc w:val="center"/>
      </w:pPr>
      <w:r>
        <w:rPr>
          <w:rFonts w:ascii="Arial" w:eastAsia="Arial" w:hAnsi="Arial" w:cs="Arial"/>
          <w:i/>
          <w:iCs/>
          <w:color w:val="595959"/>
        </w:rPr>
        <w:t>Securing the Modern Enterprise: Implementing a Zero Trust Architecture</w:t>
      </w:r>
    </w:p>
    <w:p w14:paraId="48B98AA5" w14:textId="77777777" w:rsidR="002C244E" w:rsidRDefault="002C244E" w:rsidP="002C244E">
      <w:pPr>
        <w:pStyle w:val="Heading1"/>
      </w:pPr>
      <w:bookmarkStart w:id="0" w:name="_Toc232505079"/>
      <w:r>
        <w:rPr>
          <w:rFonts w:ascii="Arial" w:eastAsia="Arial" w:hAnsi="Arial" w:cs="Arial"/>
          <w:b/>
          <w:bCs/>
          <w:color w:val="1F3864"/>
          <w:sz w:val="30"/>
          <w:szCs w:val="30"/>
        </w:rPr>
        <w:t>Abstract</w:t>
      </w:r>
      <w:bookmarkEnd w:id="0"/>
    </w:p>
    <w:p w14:paraId="1108C2BF" w14:textId="4C26A98B" w:rsidR="002C244E" w:rsidRDefault="002C244E" w:rsidP="002C244E">
      <w:pPr>
        <w:spacing w:after="140" w:line="300" w:lineRule="auto"/>
        <w:jc w:val="both"/>
      </w:pPr>
      <w:r>
        <w:rPr>
          <w:rFonts w:ascii="Arial" w:eastAsia="Arial" w:hAnsi="Arial" w:cs="Arial"/>
          <w:sz w:val="22"/>
          <w:szCs w:val="22"/>
        </w:rPr>
        <w:t>Traditional perimeter</w:t>
      </w:r>
      <w:r w:rsidR="00D60361">
        <w:rPr>
          <w:rFonts w:ascii="Arial" w:eastAsia="Arial" w:hAnsi="Arial" w:cs="Arial"/>
          <w:sz w:val="22"/>
          <w:szCs w:val="22"/>
        </w:rPr>
        <w:t xml:space="preserve"> </w:t>
      </w:r>
      <w:r>
        <w:rPr>
          <w:rFonts w:ascii="Arial" w:eastAsia="Arial" w:hAnsi="Arial" w:cs="Arial"/>
          <w:sz w:val="22"/>
          <w:szCs w:val="22"/>
        </w:rPr>
        <w:t>based security has not kept up with the way modern enterprises actually work. Cloud adoption, remote workforces and a steady stream of supply-chain attacks have hollowed out the assumption that anyone or anything inside the network can be trusted by default. This paper reviews the Zero Trust Architecture (ZTA) model, drawing mainly on NIST Special Publication 800-207 [1] and the Cybersecurity and Infrastructure Security Agency Zero Trust Maturity Model [4]. It examines the core principles, the technologies that make Zero Trust deployable (Zero Trust Network Access, Secure Access Service Edge, and Identity Governance and Administration), and the operational challenges organisations report during adoption. Real-world case studies, including the 2020 SolarWinds compromise and the 2023 MOVEit Transfer attacks, are used to argue that perimeter trust models are no longer sufficient against modern threat actors [10], [13]. The paper concludes that Zero Trust is not a single product but a strategic programme. The findings of this research directly inform the CISO proposal in Task 2, where Zero Trust is selected as the guiding model for Aegis FinTech Innovations Ltd.</w:t>
      </w:r>
    </w:p>
    <w:p w14:paraId="1823D4F5" w14:textId="62CAF618" w:rsidR="002C244E" w:rsidRDefault="002C244E" w:rsidP="002C244E">
      <w:pPr>
        <w:spacing w:after="200" w:line="300" w:lineRule="auto"/>
        <w:jc w:val="both"/>
      </w:pPr>
      <w:r>
        <w:rPr>
          <w:rFonts w:ascii="Arial" w:eastAsia="Arial" w:hAnsi="Arial" w:cs="Arial"/>
          <w:b/>
          <w:bCs/>
          <w:i/>
          <w:iCs/>
          <w:sz w:val="22"/>
          <w:szCs w:val="22"/>
        </w:rPr>
        <w:t>Keywords</w:t>
      </w:r>
      <w:r w:rsidR="00D60361">
        <w:rPr>
          <w:rFonts w:ascii="Arial" w:eastAsia="Arial" w:hAnsi="Arial" w:cs="Arial"/>
          <w:b/>
          <w:bCs/>
          <w:i/>
          <w:iCs/>
          <w:sz w:val="22"/>
          <w:szCs w:val="22"/>
        </w:rPr>
        <w:t xml:space="preserve"> </w:t>
      </w:r>
      <w:r>
        <w:rPr>
          <w:rFonts w:ascii="Arial" w:eastAsia="Arial" w:hAnsi="Arial" w:cs="Arial"/>
          <w:sz w:val="22"/>
          <w:szCs w:val="22"/>
        </w:rPr>
        <w:t>Zero Trust Architecture, ZTNA, SASE, NIST SP 800-207, identity governance, ransomware, DORA, GDPR, cloud security, micro-segmentation.</w:t>
      </w:r>
    </w:p>
    <w:p w14:paraId="31AD7DFE" w14:textId="77777777" w:rsidR="002C244E" w:rsidRDefault="002C244E" w:rsidP="002C244E">
      <w:pPr>
        <w:pStyle w:val="Heading1"/>
      </w:pPr>
      <w:bookmarkStart w:id="1" w:name="_Toc232505080"/>
      <w:r>
        <w:rPr>
          <w:rFonts w:ascii="Arial" w:eastAsia="Arial" w:hAnsi="Arial" w:cs="Arial"/>
          <w:b/>
          <w:bCs/>
          <w:color w:val="1F3864"/>
          <w:sz w:val="30"/>
          <w:szCs w:val="30"/>
        </w:rPr>
        <w:t>Task 1.1 – Introduction</w:t>
      </w:r>
      <w:bookmarkEnd w:id="1"/>
    </w:p>
    <w:p w14:paraId="67C73B95" w14:textId="381537BD" w:rsidR="002C244E" w:rsidRDefault="002C244E" w:rsidP="002C244E">
      <w:pPr>
        <w:spacing w:after="140" w:line="300" w:lineRule="auto"/>
        <w:jc w:val="both"/>
      </w:pPr>
      <w:r>
        <w:rPr>
          <w:rFonts w:ascii="Arial" w:eastAsia="Arial" w:hAnsi="Arial" w:cs="Arial"/>
          <w:sz w:val="22"/>
          <w:szCs w:val="22"/>
        </w:rPr>
        <w:t>For most of the last twenty years, enterprise security relied on a simple idea: build a strong perimeter, and treat anything inside it as trusted. The model worked reasonably well when staff sat in offices, applications ran on company-</w:t>
      </w:r>
      <w:r>
        <w:rPr>
          <w:rFonts w:ascii="Arial" w:eastAsia="Arial" w:hAnsi="Arial" w:cs="Arial"/>
          <w:sz w:val="22"/>
          <w:szCs w:val="22"/>
        </w:rPr>
        <w:t>owned servers, and the firewall was the main control point. That world is gone. According to IBM’s most recent X-Force Threat Intelligence Index, identity</w:t>
      </w:r>
      <w:r w:rsidR="00CF2130">
        <w:rPr>
          <w:rFonts w:ascii="Arial" w:eastAsia="Arial" w:hAnsi="Arial" w:cs="Arial"/>
          <w:sz w:val="22"/>
          <w:szCs w:val="22"/>
        </w:rPr>
        <w:t xml:space="preserve"> </w:t>
      </w:r>
      <w:r>
        <w:rPr>
          <w:rFonts w:ascii="Arial" w:eastAsia="Arial" w:hAnsi="Arial" w:cs="Arial"/>
          <w:sz w:val="22"/>
          <w:szCs w:val="22"/>
        </w:rPr>
        <w:t>based attacks now account for a third of all incidents observed in 2024, with valid credentials abused in nearly 30% of cases [7]. Cloud adoption has shifted critical data outside the corporate network, and the pandemic accelerated remote working in a way that has not reversed [11].</w:t>
      </w:r>
    </w:p>
    <w:p w14:paraId="6145B9D0" w14:textId="77777777" w:rsidR="002C244E" w:rsidRDefault="002C244E" w:rsidP="002C244E">
      <w:pPr>
        <w:spacing w:after="140" w:line="300" w:lineRule="auto"/>
        <w:jc w:val="both"/>
      </w:pPr>
      <w:r>
        <w:rPr>
          <w:rFonts w:ascii="Arial" w:eastAsia="Arial" w:hAnsi="Arial" w:cs="Arial"/>
          <w:sz w:val="22"/>
          <w:szCs w:val="22"/>
        </w:rPr>
        <w:t>Against this background, the United States National Institute of Standards and Technology (NIST) published Special Publication 800-207 in 2020, formalising what had until then been a loose collection of practitioner ideas under the heading “Zero Trust Architecture” (ZTA) [1]. The Cybersecurity and Infrastructure Security Agency (CISA) followed in 2023 with a maturity model giving organisations a way to measure their progress [4]. Both documents now sit at the heart of how the US federal government, and increasingly UK and EU regulators, expect modern organisations to design their security.</w:t>
      </w:r>
    </w:p>
    <w:p w14:paraId="4AF655FA" w14:textId="77777777" w:rsidR="002C244E" w:rsidRDefault="002C244E" w:rsidP="002C244E">
      <w:pPr>
        <w:spacing w:after="140" w:line="300" w:lineRule="auto"/>
        <w:jc w:val="both"/>
      </w:pPr>
      <w:r>
        <w:rPr>
          <w:rFonts w:ascii="Arial" w:eastAsia="Arial" w:hAnsi="Arial" w:cs="Arial"/>
          <w:sz w:val="22"/>
          <w:szCs w:val="22"/>
        </w:rPr>
        <w:t>The aim of this paper is to evaluate Zero Trust as a strategy for organisations operating in hybrid cloud environments. The motivating question is whether the model can plausibly replace perimeter security as the default for a modern enterprise. Five things are covered: the changing threat landscape (Section 1.2); the principles of Zero Trust as set out in NIST SP 800-207 (Section 1.3); the technologies that enable it in practice (Section 1.4); the challenges organisations face when adopting it (Section 1.5); and case-study evidence of attacks that perimeter models failed to stop (Section 1.6). Section 1.7 brings these together. The paper closes by setting out why Zero Trust is the appropriate model for the case organisation in Task 2.</w:t>
      </w:r>
    </w:p>
    <w:p w14:paraId="674D237F" w14:textId="77777777" w:rsidR="002C244E" w:rsidRDefault="002C244E" w:rsidP="002C244E">
      <w:pPr>
        <w:pStyle w:val="Heading1"/>
      </w:pPr>
      <w:bookmarkStart w:id="2" w:name="_Toc232505081"/>
      <w:r>
        <w:rPr>
          <w:rFonts w:ascii="Arial" w:eastAsia="Arial" w:hAnsi="Arial" w:cs="Arial"/>
          <w:b/>
          <w:bCs/>
          <w:color w:val="1F3864"/>
          <w:sz w:val="30"/>
          <w:szCs w:val="30"/>
        </w:rPr>
        <w:lastRenderedPageBreak/>
        <w:t>Task 1.2 – The Threat Landscape</w:t>
      </w:r>
      <w:bookmarkEnd w:id="2"/>
    </w:p>
    <w:p w14:paraId="1557AA83" w14:textId="37149118" w:rsidR="002C244E" w:rsidRDefault="002C244E" w:rsidP="002C244E">
      <w:pPr>
        <w:spacing w:after="140" w:line="300" w:lineRule="auto"/>
        <w:jc w:val="both"/>
      </w:pPr>
      <w:r>
        <w:rPr>
          <w:rFonts w:ascii="Arial" w:eastAsia="Arial" w:hAnsi="Arial" w:cs="Arial"/>
          <w:sz w:val="22"/>
          <w:szCs w:val="22"/>
        </w:rPr>
        <w:t>Three trends in particular make a perimeter</w:t>
      </w:r>
      <w:r w:rsidR="008B3524">
        <w:rPr>
          <w:rFonts w:ascii="Arial" w:eastAsia="Arial" w:hAnsi="Arial" w:cs="Arial"/>
          <w:sz w:val="22"/>
          <w:szCs w:val="22"/>
        </w:rPr>
        <w:t xml:space="preserve"> </w:t>
      </w:r>
      <w:r>
        <w:rPr>
          <w:rFonts w:ascii="Arial" w:eastAsia="Arial" w:hAnsi="Arial" w:cs="Arial"/>
          <w:sz w:val="22"/>
          <w:szCs w:val="22"/>
        </w:rPr>
        <w:t>only model untenable. The first is the prevalence of credential abuse. Verizon’s 2024 Data Breach Investigations Report puts the human element in roughly 68% of breaches, most of which involve stolen or phished credentials [11]. The second is supply</w:t>
      </w:r>
      <w:r w:rsidR="0024503D">
        <w:rPr>
          <w:rFonts w:ascii="Arial" w:eastAsia="Arial" w:hAnsi="Arial" w:cs="Arial"/>
          <w:sz w:val="22"/>
          <w:szCs w:val="22"/>
        </w:rPr>
        <w:t xml:space="preserve"> </w:t>
      </w:r>
      <w:r>
        <w:rPr>
          <w:rFonts w:ascii="Arial" w:eastAsia="Arial" w:hAnsi="Arial" w:cs="Arial"/>
          <w:sz w:val="22"/>
          <w:szCs w:val="22"/>
        </w:rPr>
        <w:t>chain compromise: attackers no longer need to break in directly when they can compromise a trusted vendor and ride that trust into the target. The SolarWinds Orion incident is the most</w:t>
      </w:r>
      <w:r w:rsidR="0024503D">
        <w:rPr>
          <w:rFonts w:ascii="Arial" w:eastAsia="Arial" w:hAnsi="Arial" w:cs="Arial"/>
          <w:sz w:val="22"/>
          <w:szCs w:val="22"/>
        </w:rPr>
        <w:t xml:space="preserve"> </w:t>
      </w:r>
      <w:r>
        <w:rPr>
          <w:rFonts w:ascii="Arial" w:eastAsia="Arial" w:hAnsi="Arial" w:cs="Arial"/>
          <w:sz w:val="22"/>
          <w:szCs w:val="22"/>
        </w:rPr>
        <w:t>cited example, but more recent supply</w:t>
      </w:r>
      <w:r w:rsidR="0024503D">
        <w:rPr>
          <w:rFonts w:ascii="Arial" w:eastAsia="Arial" w:hAnsi="Arial" w:cs="Arial"/>
          <w:sz w:val="22"/>
          <w:szCs w:val="22"/>
        </w:rPr>
        <w:t xml:space="preserve"> </w:t>
      </w:r>
      <w:r>
        <w:rPr>
          <w:rFonts w:ascii="Arial" w:eastAsia="Arial" w:hAnsi="Arial" w:cs="Arial"/>
          <w:sz w:val="22"/>
          <w:szCs w:val="22"/>
        </w:rPr>
        <w:t>chain campaigns against MOVEit Transfer (Cl0p, 2023) and 3CX (Lazarus Group, 2023) show that the pattern continues [10], [13]. The third trend is ransomware. The 2024 Sophos State of Ransomware report records that 59% of organisations surveyed were hit by ransomware in the previous year, with a mean recovery cost of US$2.73 million when ransom payments are excluded [13].</w:t>
      </w:r>
    </w:p>
    <w:p w14:paraId="5F35223A" w14:textId="214D0BED" w:rsidR="002C244E" w:rsidRDefault="002C244E" w:rsidP="002C244E">
      <w:pPr>
        <w:spacing w:after="140" w:line="300" w:lineRule="auto"/>
        <w:jc w:val="both"/>
      </w:pPr>
      <w:r>
        <w:rPr>
          <w:rFonts w:ascii="Arial" w:eastAsia="Arial" w:hAnsi="Arial" w:cs="Arial"/>
          <w:sz w:val="22"/>
          <w:szCs w:val="22"/>
        </w:rPr>
        <w:t>None of these trends is well addressed by a network perimeter. Stolen credentials let attackers walk straight through it. Supply</w:t>
      </w:r>
      <w:r w:rsidR="001617D8">
        <w:rPr>
          <w:rFonts w:ascii="Arial" w:eastAsia="Arial" w:hAnsi="Arial" w:cs="Arial"/>
          <w:sz w:val="22"/>
          <w:szCs w:val="22"/>
        </w:rPr>
        <w:t xml:space="preserve"> </w:t>
      </w:r>
      <w:r>
        <w:rPr>
          <w:rFonts w:ascii="Arial" w:eastAsia="Arial" w:hAnsi="Arial" w:cs="Arial"/>
          <w:sz w:val="22"/>
          <w:szCs w:val="22"/>
        </w:rPr>
        <w:t>chain compromise turns trusted insiders into hostile insiders. Ransomware operators who land in one system rely on lateral movement to encrypt the rest of the estate, which is precisely what micro</w:t>
      </w:r>
      <w:r w:rsidR="001617D8">
        <w:rPr>
          <w:rFonts w:ascii="Arial" w:eastAsia="Arial" w:hAnsi="Arial" w:cs="Arial"/>
          <w:sz w:val="22"/>
          <w:szCs w:val="22"/>
        </w:rPr>
        <w:t xml:space="preserve"> </w:t>
      </w:r>
      <w:r>
        <w:rPr>
          <w:rFonts w:ascii="Arial" w:eastAsia="Arial" w:hAnsi="Arial" w:cs="Arial"/>
          <w:sz w:val="22"/>
          <w:szCs w:val="22"/>
        </w:rPr>
        <w:t>segmentation, a core Zero Trust control, is designed to stop [3].</w:t>
      </w:r>
    </w:p>
    <w:p w14:paraId="146F0595" w14:textId="77777777" w:rsidR="002C244E" w:rsidRDefault="002C244E" w:rsidP="002C244E">
      <w:pPr>
        <w:pStyle w:val="Heading1"/>
      </w:pPr>
      <w:bookmarkStart w:id="3" w:name="_Toc232505082"/>
      <w:r>
        <w:rPr>
          <w:rFonts w:ascii="Arial" w:eastAsia="Arial" w:hAnsi="Arial" w:cs="Arial"/>
          <w:b/>
          <w:bCs/>
          <w:color w:val="1F3864"/>
          <w:sz w:val="30"/>
          <w:szCs w:val="30"/>
        </w:rPr>
        <w:t>Task 1.3 – Zero Trust Architecture: Principles and Foundations</w:t>
      </w:r>
      <w:bookmarkEnd w:id="3"/>
    </w:p>
    <w:p w14:paraId="0235D7EF" w14:textId="77777777" w:rsidR="002C244E" w:rsidRDefault="002C244E" w:rsidP="002C244E">
      <w:pPr>
        <w:spacing w:after="140" w:line="300" w:lineRule="auto"/>
        <w:jc w:val="both"/>
      </w:pPr>
      <w:r>
        <w:rPr>
          <w:rFonts w:ascii="Arial" w:eastAsia="Arial" w:hAnsi="Arial" w:cs="Arial"/>
          <w:sz w:val="22"/>
          <w:szCs w:val="22"/>
        </w:rPr>
        <w:t>The clearest definition of Zero Trust comes from NIST SP 800-207, which states that ZTA is a set of concepts and design principles based on the assumption that “no implicit trust is granted to assets or user accounts based solely on their physical or network location” [1]. The same publication identifies seven tenets that any Zero Trust deployment should follow, which can be summarised as: every resource is treated as a distinct unit; every access request is authenticated and authorised on a per-session basis; access policies are dynamic and based on signals such as device posture, user behaviour and threat intelligence; the network is treated as hostile; and all flows are logged for monitoring.</w:t>
      </w:r>
    </w:p>
    <w:p w14:paraId="66A9A524" w14:textId="63A5BEC9" w:rsidR="002C244E" w:rsidRDefault="002C244E" w:rsidP="002C244E">
      <w:pPr>
        <w:spacing w:after="140" w:line="300" w:lineRule="auto"/>
        <w:jc w:val="both"/>
      </w:pPr>
      <w:r>
        <w:rPr>
          <w:rFonts w:ascii="Arial" w:eastAsia="Arial" w:hAnsi="Arial" w:cs="Arial"/>
          <w:sz w:val="22"/>
          <w:szCs w:val="22"/>
        </w:rPr>
        <w:t>The architectural pattern that follows is built around two planes. A control plane (the policy decision point and policy administrator) decides whether a request should be granted; a data plane (the policy enforcement point) carries out that decision and provides the connection. Rose et al. emphasise that the separation is logical rather than physical and that the same component can play both roles in a small deployment [1], [3]. The key change from older models is that a successful authentication does not give long</w:t>
      </w:r>
      <w:r w:rsidR="00C52C45">
        <w:rPr>
          <w:rFonts w:ascii="Arial" w:eastAsia="Arial" w:hAnsi="Arial" w:cs="Arial"/>
          <w:sz w:val="22"/>
          <w:szCs w:val="22"/>
        </w:rPr>
        <w:t xml:space="preserve"> </w:t>
      </w:r>
      <w:r>
        <w:rPr>
          <w:rFonts w:ascii="Arial" w:eastAsia="Arial" w:hAnsi="Arial" w:cs="Arial"/>
          <w:sz w:val="22"/>
          <w:szCs w:val="22"/>
        </w:rPr>
        <w:t>running access. Every request is re-evaluated against current signals. Table I summarises how this differs from the perimeter model it replaces.</w:t>
      </w:r>
    </w:p>
    <w:p w14:paraId="15315490" w14:textId="77777777" w:rsidR="002C244E" w:rsidRDefault="002C244E" w:rsidP="002C244E">
      <w:pPr>
        <w:sectPr w:rsidR="002C244E" w:rsidSect="002C244E">
          <w:headerReference w:type="default" r:id="rId11"/>
          <w:footerReference w:type="default" r:id="rId12"/>
          <w:type w:val="continuous"/>
          <w:pgSz w:w="11906" w:h="16838"/>
          <w:pgMar w:top="1134" w:right="1134" w:bottom="1134" w:left="1134" w:header="708" w:footer="708" w:gutter="0"/>
          <w:cols w:num="2" w:space="360"/>
          <w:docGrid w:linePitch="360"/>
        </w:sect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38"/>
        <w:gridCol w:w="3700"/>
        <w:gridCol w:w="3700"/>
      </w:tblGrid>
      <w:tr w:rsidR="002C244E" w14:paraId="50638C3E" w14:textId="77777777" w:rsidTr="00206844">
        <w:trPr>
          <w:tblHeader/>
        </w:trPr>
        <w:tc>
          <w:tcPr>
            <w:tcW w:w="2238"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085D3CF" w14:textId="77777777" w:rsidR="002C244E" w:rsidRDefault="002C244E" w:rsidP="00206844">
            <w:r>
              <w:rPr>
                <w:rFonts w:ascii="Arial" w:eastAsia="Arial" w:hAnsi="Arial" w:cs="Arial"/>
                <w:b/>
                <w:bCs/>
                <w:sz w:val="18"/>
                <w:szCs w:val="18"/>
              </w:rPr>
              <w:t>Dimension</w:t>
            </w:r>
          </w:p>
        </w:tc>
        <w:tc>
          <w:tcPr>
            <w:tcW w:w="3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491B6837" w14:textId="77777777" w:rsidR="002C244E" w:rsidRDefault="002C244E" w:rsidP="00206844">
            <w:r>
              <w:rPr>
                <w:rFonts w:ascii="Arial" w:eastAsia="Arial" w:hAnsi="Arial" w:cs="Arial"/>
                <w:b/>
                <w:bCs/>
                <w:sz w:val="18"/>
                <w:szCs w:val="18"/>
              </w:rPr>
              <w:t>Traditional Perimeter Model</w:t>
            </w:r>
          </w:p>
        </w:tc>
        <w:tc>
          <w:tcPr>
            <w:tcW w:w="3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3B79F2C7" w14:textId="77777777" w:rsidR="002C244E" w:rsidRDefault="002C244E" w:rsidP="00206844">
            <w:r>
              <w:rPr>
                <w:rFonts w:ascii="Arial" w:eastAsia="Arial" w:hAnsi="Arial" w:cs="Arial"/>
                <w:b/>
                <w:bCs/>
                <w:sz w:val="18"/>
                <w:szCs w:val="18"/>
              </w:rPr>
              <w:t>Zero Trust Architecture</w:t>
            </w:r>
          </w:p>
        </w:tc>
      </w:tr>
      <w:tr w:rsidR="002C244E" w14:paraId="6D5A81BF"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607F919" w14:textId="77777777" w:rsidR="002C244E" w:rsidRDefault="002C244E" w:rsidP="00206844">
            <w:r>
              <w:rPr>
                <w:rFonts w:ascii="Arial" w:eastAsia="Arial" w:hAnsi="Arial" w:cs="Arial"/>
                <w:b/>
                <w:bCs/>
                <w:sz w:val="18"/>
                <w:szCs w:val="18"/>
              </w:rPr>
              <w:t>Trust assumption</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AEBEE00" w14:textId="77777777" w:rsidR="002C244E" w:rsidRDefault="002C244E" w:rsidP="00206844">
            <w:r>
              <w:rPr>
                <w:rFonts w:ascii="Arial" w:eastAsia="Arial" w:hAnsi="Arial" w:cs="Arial"/>
                <w:sz w:val="18"/>
                <w:szCs w:val="18"/>
              </w:rPr>
              <w:t>Implicit trust for anything inside the network boundary</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8165F7F" w14:textId="77777777" w:rsidR="002C244E" w:rsidRDefault="002C244E" w:rsidP="00206844">
            <w:r>
              <w:rPr>
                <w:rFonts w:ascii="Arial" w:eastAsia="Arial" w:hAnsi="Arial" w:cs="Arial"/>
                <w:sz w:val="18"/>
                <w:szCs w:val="18"/>
              </w:rPr>
              <w:t>No implicit trust; every request verified regardless of origin [1]</w:t>
            </w:r>
          </w:p>
        </w:tc>
      </w:tr>
      <w:tr w:rsidR="002C244E" w14:paraId="1FD13647"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4306AD5" w14:textId="77777777" w:rsidR="002C244E" w:rsidRDefault="002C244E" w:rsidP="00206844">
            <w:r>
              <w:rPr>
                <w:rFonts w:ascii="Arial" w:eastAsia="Arial" w:hAnsi="Arial" w:cs="Arial"/>
                <w:b/>
                <w:bCs/>
                <w:sz w:val="18"/>
                <w:szCs w:val="18"/>
              </w:rPr>
              <w:t>Access granularity</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07F3D55" w14:textId="77777777" w:rsidR="002C244E" w:rsidRDefault="002C244E" w:rsidP="00206844">
            <w:r>
              <w:rPr>
                <w:rFonts w:ascii="Arial" w:eastAsia="Arial" w:hAnsi="Arial" w:cs="Arial"/>
                <w:sz w:val="18"/>
                <w:szCs w:val="18"/>
              </w:rPr>
              <w:t>Network-level: VPN grants broad internal access</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C609215" w14:textId="77777777" w:rsidR="002C244E" w:rsidRDefault="002C244E" w:rsidP="00206844">
            <w:r>
              <w:rPr>
                <w:rFonts w:ascii="Arial" w:eastAsia="Arial" w:hAnsi="Arial" w:cs="Arial"/>
                <w:sz w:val="18"/>
                <w:szCs w:val="18"/>
              </w:rPr>
              <w:t>Application-level: per-session, per-resource decisions [5]</w:t>
            </w:r>
          </w:p>
        </w:tc>
      </w:tr>
      <w:tr w:rsidR="002C244E" w14:paraId="5ECFB887"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81C0501" w14:textId="77777777" w:rsidR="002C244E" w:rsidRDefault="002C244E" w:rsidP="00206844">
            <w:r>
              <w:rPr>
                <w:rFonts w:ascii="Arial" w:eastAsia="Arial" w:hAnsi="Arial" w:cs="Arial"/>
                <w:b/>
                <w:bCs/>
                <w:sz w:val="18"/>
                <w:szCs w:val="18"/>
              </w:rPr>
              <w:t>Primary control point</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5F8CE95" w14:textId="77777777" w:rsidR="002C244E" w:rsidRDefault="002C244E" w:rsidP="00206844">
            <w:r>
              <w:rPr>
                <w:rFonts w:ascii="Arial" w:eastAsia="Arial" w:hAnsi="Arial" w:cs="Arial"/>
                <w:sz w:val="18"/>
                <w:szCs w:val="18"/>
              </w:rPr>
              <w:t>Firewall at the network edge</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519EE17" w14:textId="77777777" w:rsidR="002C244E" w:rsidRDefault="002C244E" w:rsidP="00206844">
            <w:r>
              <w:rPr>
                <w:rFonts w:ascii="Arial" w:eastAsia="Arial" w:hAnsi="Arial" w:cs="Arial"/>
                <w:sz w:val="18"/>
                <w:szCs w:val="18"/>
              </w:rPr>
              <w:t>Identity provider and policy decision point [12]</w:t>
            </w:r>
          </w:p>
        </w:tc>
      </w:tr>
      <w:tr w:rsidR="002C244E" w14:paraId="574770FE"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1E6FA84" w14:textId="77777777" w:rsidR="002C244E" w:rsidRDefault="002C244E" w:rsidP="00206844">
            <w:r>
              <w:rPr>
                <w:rFonts w:ascii="Arial" w:eastAsia="Arial" w:hAnsi="Arial" w:cs="Arial"/>
                <w:b/>
                <w:bCs/>
                <w:sz w:val="18"/>
                <w:szCs w:val="18"/>
              </w:rPr>
              <w:lastRenderedPageBreak/>
              <w:t>Lateral movement</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525943C" w14:textId="77777777" w:rsidR="002C244E" w:rsidRDefault="002C244E" w:rsidP="00206844">
            <w:r>
              <w:rPr>
                <w:rFonts w:ascii="Arial" w:eastAsia="Arial" w:hAnsi="Arial" w:cs="Arial"/>
                <w:sz w:val="18"/>
                <w:szCs w:val="18"/>
              </w:rPr>
              <w:t>Largely unrestricted once inside</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DB4AC6C" w14:textId="77777777" w:rsidR="002C244E" w:rsidRDefault="002C244E" w:rsidP="00206844">
            <w:r>
              <w:rPr>
                <w:rFonts w:ascii="Arial" w:eastAsia="Arial" w:hAnsi="Arial" w:cs="Arial"/>
                <w:sz w:val="18"/>
                <w:szCs w:val="18"/>
              </w:rPr>
              <w:t>Constrained by micro-segmentation and per-request policy [3]</w:t>
            </w:r>
          </w:p>
        </w:tc>
      </w:tr>
      <w:tr w:rsidR="002C244E" w14:paraId="2BC40131"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AC69E3B" w14:textId="77777777" w:rsidR="002C244E" w:rsidRDefault="002C244E" w:rsidP="00206844">
            <w:r>
              <w:rPr>
                <w:rFonts w:ascii="Arial" w:eastAsia="Arial" w:hAnsi="Arial" w:cs="Arial"/>
                <w:b/>
                <w:bCs/>
                <w:sz w:val="18"/>
                <w:szCs w:val="18"/>
              </w:rPr>
              <w:t>Remote work</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0B13518" w14:textId="77777777" w:rsidR="002C244E" w:rsidRDefault="002C244E" w:rsidP="00206844">
            <w:r>
              <w:rPr>
                <w:rFonts w:ascii="Arial" w:eastAsia="Arial" w:hAnsi="Arial" w:cs="Arial"/>
                <w:sz w:val="18"/>
                <w:szCs w:val="18"/>
              </w:rPr>
              <w:t>VPN extends the perimeter to the endpoint</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94EB6B5" w14:textId="77777777" w:rsidR="002C244E" w:rsidRDefault="002C244E" w:rsidP="00206844">
            <w:r>
              <w:rPr>
                <w:rFonts w:ascii="Arial" w:eastAsia="Arial" w:hAnsi="Arial" w:cs="Arial"/>
                <w:sz w:val="18"/>
                <w:szCs w:val="18"/>
              </w:rPr>
              <w:t>ZTNA brokers application access; no network extension [5]</w:t>
            </w:r>
          </w:p>
        </w:tc>
      </w:tr>
      <w:tr w:rsidR="002C244E" w14:paraId="020E2E77"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96E7A90" w14:textId="77777777" w:rsidR="002C244E" w:rsidRDefault="002C244E" w:rsidP="00206844">
            <w:r>
              <w:rPr>
                <w:rFonts w:ascii="Arial" w:eastAsia="Arial" w:hAnsi="Arial" w:cs="Arial"/>
                <w:b/>
                <w:bCs/>
                <w:sz w:val="18"/>
                <w:szCs w:val="18"/>
              </w:rPr>
              <w:t>Monitoring focus</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E609DE9" w14:textId="77777777" w:rsidR="002C244E" w:rsidRDefault="002C244E" w:rsidP="00206844">
            <w:r>
              <w:rPr>
                <w:rFonts w:ascii="Arial" w:eastAsia="Arial" w:hAnsi="Arial" w:cs="Arial"/>
                <w:sz w:val="18"/>
                <w:szCs w:val="18"/>
              </w:rPr>
              <w:t>North-south traffic at the boundary</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B96C4F2" w14:textId="77777777" w:rsidR="002C244E" w:rsidRDefault="002C244E" w:rsidP="00206844">
            <w:r>
              <w:rPr>
                <w:rFonts w:ascii="Arial" w:eastAsia="Arial" w:hAnsi="Arial" w:cs="Arial"/>
                <w:sz w:val="18"/>
                <w:szCs w:val="18"/>
              </w:rPr>
              <w:t>All flows, including east-west, continuously logged [1], [4]</w:t>
            </w:r>
          </w:p>
        </w:tc>
      </w:tr>
      <w:tr w:rsidR="002C244E" w14:paraId="1312CDA3"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51947B2" w14:textId="77777777" w:rsidR="002C244E" w:rsidRDefault="002C244E" w:rsidP="00206844">
            <w:r>
              <w:rPr>
                <w:rFonts w:ascii="Arial" w:eastAsia="Arial" w:hAnsi="Arial" w:cs="Arial"/>
                <w:b/>
                <w:bCs/>
                <w:sz w:val="18"/>
                <w:szCs w:val="18"/>
              </w:rPr>
              <w:t>Breach blast radius</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5E067E8" w14:textId="77777777" w:rsidR="002C244E" w:rsidRDefault="002C244E" w:rsidP="00206844">
            <w:r>
              <w:rPr>
                <w:rFonts w:ascii="Arial" w:eastAsia="Arial" w:hAnsi="Arial" w:cs="Arial"/>
                <w:sz w:val="18"/>
                <w:szCs w:val="18"/>
              </w:rPr>
              <w:t>Potentially the whole estate (cf. SolarWinds [10])</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CFF23F1" w14:textId="77777777" w:rsidR="002C244E" w:rsidRDefault="002C244E" w:rsidP="00206844">
            <w:r>
              <w:rPr>
                <w:rFonts w:ascii="Arial" w:eastAsia="Arial" w:hAnsi="Arial" w:cs="Arial"/>
                <w:sz w:val="18"/>
                <w:szCs w:val="18"/>
              </w:rPr>
              <w:t>Limited to the resources the compromised identity can reach</w:t>
            </w:r>
          </w:p>
        </w:tc>
      </w:tr>
    </w:tbl>
    <w:p w14:paraId="5367AE12" w14:textId="2891AFDA" w:rsidR="002C244E" w:rsidRDefault="002C244E" w:rsidP="002C244E">
      <w:pPr>
        <w:spacing w:before="80" w:after="200"/>
        <w:jc w:val="center"/>
      </w:pPr>
      <w:r>
        <w:rPr>
          <w:rFonts w:ascii="Arial" w:eastAsia="Arial" w:hAnsi="Arial" w:cs="Arial"/>
          <w:i/>
          <w:iCs/>
          <w:color w:val="595959"/>
          <w:sz w:val="20"/>
          <w:szCs w:val="20"/>
        </w:rPr>
        <w:t xml:space="preserve">Table </w:t>
      </w:r>
      <w:r w:rsidR="00067976">
        <w:rPr>
          <w:rFonts w:ascii="Arial" w:eastAsia="Arial" w:hAnsi="Arial" w:cs="Arial"/>
          <w:i/>
          <w:iCs/>
          <w:color w:val="595959"/>
          <w:sz w:val="20"/>
          <w:szCs w:val="20"/>
        </w:rPr>
        <w:t>1</w:t>
      </w:r>
      <w:r>
        <w:rPr>
          <w:rFonts w:ascii="Arial" w:eastAsia="Arial" w:hAnsi="Arial" w:cs="Arial"/>
          <w:i/>
          <w:iCs/>
          <w:color w:val="595959"/>
          <w:sz w:val="20"/>
          <w:szCs w:val="20"/>
        </w:rPr>
        <w:t>. Traditional perimeter security compared with Zero Trust Architecture across seven dimensions. Compiled from NIST SP 800-207 [1], CISA ZTMM [4] and Gartner ZTNA guidance [5].</w:t>
      </w:r>
    </w:p>
    <w:p w14:paraId="4B8DC9CC" w14:textId="77777777" w:rsidR="002C244E" w:rsidRDefault="002C244E" w:rsidP="002C244E">
      <w:pPr>
        <w:sectPr w:rsidR="002C244E" w:rsidSect="002C244E">
          <w:type w:val="continuous"/>
          <w:pgSz w:w="11906" w:h="16838"/>
          <w:pgMar w:top="1134" w:right="1134" w:bottom="1134" w:left="1134" w:header="708" w:footer="708" w:gutter="0"/>
          <w:cols w:space="720"/>
          <w:docGrid w:linePitch="360"/>
        </w:sectPr>
      </w:pPr>
    </w:p>
    <w:p w14:paraId="1983681C" w14:textId="77777777" w:rsidR="002C244E" w:rsidRDefault="002C244E" w:rsidP="002C244E">
      <w:pPr>
        <w:spacing w:after="140" w:line="300" w:lineRule="auto"/>
        <w:jc w:val="both"/>
      </w:pPr>
      <w:r>
        <w:rPr>
          <w:rFonts w:ascii="Arial" w:eastAsia="Arial" w:hAnsi="Arial" w:cs="Arial"/>
          <w:sz w:val="22"/>
          <w:szCs w:val="22"/>
        </w:rPr>
        <w:t>CISA’s Zero Trust Maturity Model adds a useful operational layer to the NIST work. It defines five pillars (Identity, Devices, Networks, Applications and Workloads, and Data) and four maturity levels (Traditional, Initial, Advanced and Optimal) [4]. Organisations rarely arrive at Optimal in one project; the model is intended as a phased programme. The same point is made by Stafford in a 2020 NIST commentary: Zero Trust is best understood as a strategy, not a product [3].</w:t>
      </w:r>
    </w:p>
    <w:p w14:paraId="613DBB35" w14:textId="77777777" w:rsidR="002C244E" w:rsidRDefault="002C244E" w:rsidP="002C244E">
      <w:pPr>
        <w:pStyle w:val="Heading1"/>
      </w:pPr>
      <w:bookmarkStart w:id="4" w:name="_Toc232505083"/>
      <w:r>
        <w:rPr>
          <w:rFonts w:ascii="Arial" w:eastAsia="Arial" w:hAnsi="Arial" w:cs="Arial"/>
          <w:b/>
          <w:bCs/>
          <w:color w:val="1F3864"/>
          <w:sz w:val="30"/>
          <w:szCs w:val="30"/>
        </w:rPr>
        <w:t>Task 1.4 – Technological Enablers</w:t>
      </w:r>
      <w:bookmarkEnd w:id="4"/>
    </w:p>
    <w:p w14:paraId="1843D392" w14:textId="77777777" w:rsidR="002C244E" w:rsidRDefault="002C244E" w:rsidP="002C244E">
      <w:pPr>
        <w:spacing w:after="140" w:line="300" w:lineRule="auto"/>
        <w:jc w:val="both"/>
      </w:pPr>
      <w:r>
        <w:rPr>
          <w:rFonts w:ascii="Arial" w:eastAsia="Arial" w:hAnsi="Arial" w:cs="Arial"/>
          <w:sz w:val="22"/>
          <w:szCs w:val="22"/>
        </w:rPr>
        <w:t>Three technology families have come to dominate Zero Trust deployments in practice. Each addresses a different pillar of the CISA model. Table II maps the five pillars to the enabling technologies discussed in this section.</w:t>
      </w:r>
    </w:p>
    <w:p w14:paraId="7D18506B" w14:textId="77777777" w:rsidR="002C244E" w:rsidRDefault="002C244E" w:rsidP="002C244E">
      <w:pPr>
        <w:pStyle w:val="Heading2"/>
      </w:pPr>
      <w:bookmarkStart w:id="5" w:name="_Toc232505084"/>
      <w:r>
        <w:rPr>
          <w:rFonts w:ascii="Arial" w:eastAsia="Arial" w:hAnsi="Arial" w:cs="Arial"/>
          <w:b/>
          <w:bCs/>
          <w:color w:val="2F5496"/>
          <w:sz w:val="26"/>
          <w:szCs w:val="26"/>
        </w:rPr>
        <w:t>Zero Trust Network Access (ZTNA)</w:t>
      </w:r>
      <w:bookmarkEnd w:id="5"/>
    </w:p>
    <w:p w14:paraId="28D2048B" w14:textId="48565C2E" w:rsidR="002C244E" w:rsidRDefault="002C244E" w:rsidP="002C244E">
      <w:pPr>
        <w:spacing w:after="140" w:line="300" w:lineRule="auto"/>
        <w:jc w:val="both"/>
      </w:pPr>
      <w:r>
        <w:rPr>
          <w:rFonts w:ascii="Arial" w:eastAsia="Arial" w:hAnsi="Arial" w:cs="Arial"/>
          <w:sz w:val="22"/>
          <w:szCs w:val="22"/>
        </w:rPr>
        <w:t>ZTNA replaces the traditional VPN. Instead of granting a remote user access to the corporate network as a whole, it brokers an application</w:t>
      </w:r>
      <w:r w:rsidR="00B3590D">
        <w:rPr>
          <w:rFonts w:ascii="Arial" w:eastAsia="Arial" w:hAnsi="Arial" w:cs="Arial"/>
          <w:sz w:val="22"/>
          <w:szCs w:val="22"/>
        </w:rPr>
        <w:t xml:space="preserve"> </w:t>
      </w:r>
      <w:r>
        <w:rPr>
          <w:rFonts w:ascii="Arial" w:eastAsia="Arial" w:hAnsi="Arial" w:cs="Arial"/>
          <w:sz w:val="22"/>
          <w:szCs w:val="22"/>
        </w:rPr>
        <w:t>by</w:t>
      </w:r>
      <w:r w:rsidR="00B3590D">
        <w:rPr>
          <w:rFonts w:ascii="Arial" w:eastAsia="Arial" w:hAnsi="Arial" w:cs="Arial"/>
          <w:sz w:val="22"/>
          <w:szCs w:val="22"/>
        </w:rPr>
        <w:t xml:space="preserve"> </w:t>
      </w:r>
      <w:r>
        <w:rPr>
          <w:rFonts w:ascii="Arial" w:eastAsia="Arial" w:hAnsi="Arial" w:cs="Arial"/>
          <w:sz w:val="22"/>
          <w:szCs w:val="22"/>
        </w:rPr>
        <w:t>application tunnel that is only established after the user, the device and the context have been verified [5]. Gartner’s 2024 Market Guide forecasts that by 2026 around 60% of enterprises will phase out their remote</w:t>
      </w:r>
      <w:r w:rsidR="00111A53">
        <w:rPr>
          <w:rFonts w:ascii="Arial" w:eastAsia="Arial" w:hAnsi="Arial" w:cs="Arial"/>
          <w:sz w:val="22"/>
          <w:szCs w:val="22"/>
        </w:rPr>
        <w:t xml:space="preserve"> </w:t>
      </w:r>
      <w:r>
        <w:rPr>
          <w:rFonts w:ascii="Arial" w:eastAsia="Arial" w:hAnsi="Arial" w:cs="Arial"/>
          <w:sz w:val="22"/>
          <w:szCs w:val="22"/>
        </w:rPr>
        <w:t xml:space="preserve">access VPNs in favour of ZTNA [5]. The reduction in attack surface is the main argument: a </w:t>
      </w:r>
      <w:r>
        <w:rPr>
          <w:rFonts w:ascii="Arial" w:eastAsia="Arial" w:hAnsi="Arial" w:cs="Arial"/>
          <w:sz w:val="22"/>
          <w:szCs w:val="22"/>
        </w:rPr>
        <w:t>compromised endpoint can no longer broadcast its access to the whole internal network.</w:t>
      </w:r>
    </w:p>
    <w:p w14:paraId="1C052316" w14:textId="77777777" w:rsidR="002C244E" w:rsidRDefault="002C244E" w:rsidP="002C244E">
      <w:pPr>
        <w:pStyle w:val="Heading2"/>
      </w:pPr>
      <w:bookmarkStart w:id="6" w:name="_Toc232505085"/>
      <w:r>
        <w:rPr>
          <w:rFonts w:ascii="Arial" w:eastAsia="Arial" w:hAnsi="Arial" w:cs="Arial"/>
          <w:b/>
          <w:bCs/>
          <w:color w:val="2F5496"/>
          <w:sz w:val="26"/>
          <w:szCs w:val="26"/>
        </w:rPr>
        <w:t>Secure Access Service Edge (SASE)</w:t>
      </w:r>
      <w:bookmarkEnd w:id="6"/>
    </w:p>
    <w:p w14:paraId="0C1FCDA0" w14:textId="4CD987E2" w:rsidR="002C244E" w:rsidRDefault="002C244E" w:rsidP="002C244E">
      <w:pPr>
        <w:spacing w:after="140" w:line="300" w:lineRule="auto"/>
        <w:jc w:val="both"/>
      </w:pPr>
      <w:r>
        <w:rPr>
          <w:rFonts w:ascii="Arial" w:eastAsia="Arial" w:hAnsi="Arial" w:cs="Arial"/>
          <w:sz w:val="22"/>
          <w:szCs w:val="22"/>
        </w:rPr>
        <w:t>SASE, a term coined by Gartner in 2019 and now widely adopted by vendors, integrates network security functions (secure web gateway, cloud access security broker, firewall</w:t>
      </w:r>
      <w:r w:rsidR="00E51431">
        <w:rPr>
          <w:rFonts w:ascii="Arial" w:eastAsia="Arial" w:hAnsi="Arial" w:cs="Arial"/>
          <w:sz w:val="22"/>
          <w:szCs w:val="22"/>
        </w:rPr>
        <w:t xml:space="preserve"> </w:t>
      </w:r>
      <w:r>
        <w:rPr>
          <w:rFonts w:ascii="Arial" w:eastAsia="Arial" w:hAnsi="Arial" w:cs="Arial"/>
          <w:sz w:val="22"/>
          <w:szCs w:val="22"/>
        </w:rPr>
        <w:t>as</w:t>
      </w:r>
      <w:r w:rsidR="00E51431">
        <w:rPr>
          <w:rFonts w:ascii="Arial" w:eastAsia="Arial" w:hAnsi="Arial" w:cs="Arial"/>
          <w:sz w:val="22"/>
          <w:szCs w:val="22"/>
        </w:rPr>
        <w:t xml:space="preserve"> </w:t>
      </w:r>
      <w:r>
        <w:rPr>
          <w:rFonts w:ascii="Arial" w:eastAsia="Arial" w:hAnsi="Arial" w:cs="Arial"/>
          <w:sz w:val="22"/>
          <w:szCs w:val="22"/>
        </w:rPr>
        <w:t>a</w:t>
      </w:r>
      <w:r w:rsidR="00E51431">
        <w:rPr>
          <w:rFonts w:ascii="Arial" w:eastAsia="Arial" w:hAnsi="Arial" w:cs="Arial"/>
          <w:sz w:val="22"/>
          <w:szCs w:val="22"/>
        </w:rPr>
        <w:t xml:space="preserve"> </w:t>
      </w:r>
      <w:r>
        <w:rPr>
          <w:rFonts w:ascii="Arial" w:eastAsia="Arial" w:hAnsi="Arial" w:cs="Arial"/>
          <w:sz w:val="22"/>
          <w:szCs w:val="22"/>
        </w:rPr>
        <w:t>service, ZTNA) into a single cloud</w:t>
      </w:r>
      <w:r w:rsidR="00584C1A">
        <w:rPr>
          <w:rFonts w:ascii="Arial" w:eastAsia="Arial" w:hAnsi="Arial" w:cs="Arial"/>
          <w:sz w:val="22"/>
          <w:szCs w:val="22"/>
        </w:rPr>
        <w:t xml:space="preserve"> </w:t>
      </w:r>
      <w:r>
        <w:rPr>
          <w:rFonts w:ascii="Arial" w:eastAsia="Arial" w:hAnsi="Arial" w:cs="Arial"/>
          <w:sz w:val="22"/>
          <w:szCs w:val="22"/>
        </w:rPr>
        <w:t>delivered service [9]. From a Zero Trust perspective, SASE matters because it pushes the policy enforcement point as close to the user as possible, regardless of where the user is or what they are accessing. Convergence has been the dominant theme in the security vendor market over the last three years, with established firms (Zscaler, Netskope, Palo Alto Prisma, Cisco Secure Access) building integrated SASE platforms.</w:t>
      </w:r>
    </w:p>
    <w:p w14:paraId="3B20234E" w14:textId="77777777" w:rsidR="002C244E" w:rsidRDefault="002C244E" w:rsidP="002C244E">
      <w:pPr>
        <w:pStyle w:val="Heading2"/>
      </w:pPr>
      <w:bookmarkStart w:id="7" w:name="_Toc232505086"/>
      <w:r>
        <w:rPr>
          <w:rFonts w:ascii="Arial" w:eastAsia="Arial" w:hAnsi="Arial" w:cs="Arial"/>
          <w:b/>
          <w:bCs/>
          <w:color w:val="2F5496"/>
          <w:sz w:val="26"/>
          <w:szCs w:val="26"/>
        </w:rPr>
        <w:t>Identity Governance and Administration (IGA)</w:t>
      </w:r>
      <w:bookmarkEnd w:id="7"/>
    </w:p>
    <w:p w14:paraId="5AF7394E" w14:textId="061A1A20" w:rsidR="002C244E" w:rsidRDefault="002C244E" w:rsidP="002C244E">
      <w:pPr>
        <w:spacing w:after="140" w:line="300" w:lineRule="auto"/>
        <w:jc w:val="both"/>
      </w:pPr>
      <w:r>
        <w:rPr>
          <w:rFonts w:ascii="Arial" w:eastAsia="Arial" w:hAnsi="Arial" w:cs="Arial"/>
          <w:sz w:val="22"/>
          <w:szCs w:val="22"/>
        </w:rPr>
        <w:t xml:space="preserve">Identity is described in NIST SP 800-207 as the new perimeter, and Forrester make the same argument in their Zero Trust eXtended framework [12]. IGA covers the joiner-mover-leaver lifecycle, periodic access reviews, separation of duties, and privileged access management. Without strong IGA, the policy decisions made elsewhere in the architecture are built on unreliable foundations. Microsoft’s 2024 Digital Defense Report records a 146% </w:t>
      </w:r>
      <w:r>
        <w:rPr>
          <w:rFonts w:ascii="Arial" w:eastAsia="Arial" w:hAnsi="Arial" w:cs="Arial"/>
          <w:sz w:val="22"/>
          <w:szCs w:val="22"/>
        </w:rPr>
        <w:lastRenderedPageBreak/>
        <w:t>year</w:t>
      </w:r>
      <w:r w:rsidR="00A9018A">
        <w:rPr>
          <w:rFonts w:ascii="Arial" w:eastAsia="Arial" w:hAnsi="Arial" w:cs="Arial"/>
          <w:sz w:val="22"/>
          <w:szCs w:val="22"/>
        </w:rPr>
        <w:t xml:space="preserve"> </w:t>
      </w:r>
      <w:r>
        <w:rPr>
          <w:rFonts w:ascii="Arial" w:eastAsia="Arial" w:hAnsi="Arial" w:cs="Arial"/>
          <w:sz w:val="22"/>
          <w:szCs w:val="22"/>
        </w:rPr>
        <w:t>on</w:t>
      </w:r>
      <w:r w:rsidR="00A9018A">
        <w:rPr>
          <w:rFonts w:ascii="Arial" w:eastAsia="Arial" w:hAnsi="Arial" w:cs="Arial"/>
          <w:sz w:val="22"/>
          <w:szCs w:val="22"/>
        </w:rPr>
        <w:t xml:space="preserve"> </w:t>
      </w:r>
      <w:r>
        <w:rPr>
          <w:rFonts w:ascii="Arial" w:eastAsia="Arial" w:hAnsi="Arial" w:cs="Arial"/>
          <w:sz w:val="22"/>
          <w:szCs w:val="22"/>
        </w:rPr>
        <w:t>year increase in identity</w:t>
      </w:r>
      <w:r w:rsidR="00A9018A">
        <w:rPr>
          <w:rFonts w:ascii="Arial" w:eastAsia="Arial" w:hAnsi="Arial" w:cs="Arial"/>
          <w:sz w:val="22"/>
          <w:szCs w:val="22"/>
        </w:rPr>
        <w:t xml:space="preserve"> </w:t>
      </w:r>
      <w:r>
        <w:rPr>
          <w:rFonts w:ascii="Arial" w:eastAsia="Arial" w:hAnsi="Arial" w:cs="Arial"/>
          <w:sz w:val="22"/>
          <w:szCs w:val="22"/>
        </w:rPr>
        <w:t>based attacks, much of which exploited stale or over-privileged accounts [16].</w:t>
      </w:r>
    </w:p>
    <w:p w14:paraId="595E5A99" w14:textId="77777777" w:rsidR="002C244E" w:rsidRDefault="002C244E" w:rsidP="002C244E">
      <w:pPr>
        <w:spacing w:after="140" w:line="300" w:lineRule="auto"/>
        <w:jc w:val="both"/>
      </w:pPr>
      <w:r>
        <w:rPr>
          <w:rFonts w:ascii="Arial" w:eastAsia="Arial" w:hAnsi="Arial" w:cs="Arial"/>
          <w:sz w:val="22"/>
          <w:szCs w:val="22"/>
        </w:rPr>
        <w:t>Taken together, these three families turn the high-level NIST tenets into something organisations can buy and deploy. None of them is a silver bullet on its own; the value comes from running them as an integrated programme.</w:t>
      </w:r>
    </w:p>
    <w:p w14:paraId="13C683B0" w14:textId="77777777" w:rsidR="002C244E" w:rsidRDefault="002C244E" w:rsidP="002C244E">
      <w:pPr>
        <w:sectPr w:rsidR="002C244E" w:rsidSect="002C244E">
          <w:type w:val="continuous"/>
          <w:pgSz w:w="11906" w:h="16838"/>
          <w:pgMar w:top="1134" w:right="1134" w:bottom="1134" w:left="1134" w:header="708" w:footer="708" w:gutter="0"/>
          <w:cols w:num="2" w:space="360"/>
          <w:docGrid w:linePitch="360"/>
        </w:sect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700"/>
        <w:gridCol w:w="2700"/>
        <w:gridCol w:w="2338"/>
      </w:tblGrid>
      <w:tr w:rsidR="002C244E" w14:paraId="1F677C2C" w14:textId="77777777" w:rsidTr="00206844">
        <w:trPr>
          <w:tblHeader/>
        </w:trPr>
        <w:tc>
          <w:tcPr>
            <w:tcW w:w="19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41B6C430" w14:textId="77777777" w:rsidR="002C244E" w:rsidRDefault="002C244E" w:rsidP="00206844">
            <w:r>
              <w:rPr>
                <w:rFonts w:ascii="Arial" w:eastAsia="Arial" w:hAnsi="Arial" w:cs="Arial"/>
                <w:b/>
                <w:bCs/>
                <w:sz w:val="18"/>
                <w:szCs w:val="18"/>
              </w:rPr>
              <w:t>CISA ZTMM Pillar</w:t>
            </w:r>
          </w:p>
        </w:tc>
        <w:tc>
          <w:tcPr>
            <w:tcW w:w="2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1B9149B2" w14:textId="77777777" w:rsidR="002C244E" w:rsidRDefault="002C244E" w:rsidP="00206844">
            <w:r>
              <w:rPr>
                <w:rFonts w:ascii="Arial" w:eastAsia="Arial" w:hAnsi="Arial" w:cs="Arial"/>
                <w:b/>
                <w:bCs/>
                <w:sz w:val="18"/>
                <w:szCs w:val="18"/>
              </w:rPr>
              <w:t>Objective at Advanced Maturity</w:t>
            </w:r>
          </w:p>
        </w:tc>
        <w:tc>
          <w:tcPr>
            <w:tcW w:w="2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FC4E67D" w14:textId="77777777" w:rsidR="002C244E" w:rsidRDefault="002C244E" w:rsidP="00206844">
            <w:r>
              <w:rPr>
                <w:rFonts w:ascii="Arial" w:eastAsia="Arial" w:hAnsi="Arial" w:cs="Arial"/>
                <w:b/>
                <w:bCs/>
                <w:sz w:val="18"/>
                <w:szCs w:val="18"/>
              </w:rPr>
              <w:t>Primary Enabling Technologies</w:t>
            </w:r>
          </w:p>
        </w:tc>
        <w:tc>
          <w:tcPr>
            <w:tcW w:w="2338"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FCB256C" w14:textId="77777777" w:rsidR="002C244E" w:rsidRDefault="002C244E" w:rsidP="00206844">
            <w:r>
              <w:rPr>
                <w:rFonts w:ascii="Arial" w:eastAsia="Arial" w:hAnsi="Arial" w:cs="Arial"/>
                <w:b/>
                <w:bCs/>
                <w:sz w:val="18"/>
                <w:szCs w:val="18"/>
              </w:rPr>
              <w:t>Key Sources</w:t>
            </w:r>
          </w:p>
        </w:tc>
      </w:tr>
      <w:tr w:rsidR="002C244E" w14:paraId="24E73DFA"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01378F4" w14:textId="77777777" w:rsidR="002C244E" w:rsidRDefault="002C244E" w:rsidP="00206844">
            <w:r>
              <w:rPr>
                <w:rFonts w:ascii="Arial" w:eastAsia="Arial" w:hAnsi="Arial" w:cs="Arial"/>
                <w:b/>
                <w:bCs/>
                <w:sz w:val="18"/>
                <w:szCs w:val="18"/>
              </w:rPr>
              <w:t>Identity</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61401BA" w14:textId="77777777" w:rsidR="002C244E" w:rsidRDefault="002C244E" w:rsidP="00206844">
            <w:r>
              <w:rPr>
                <w:rFonts w:ascii="Arial" w:eastAsia="Arial" w:hAnsi="Arial" w:cs="Arial"/>
                <w:sz w:val="18"/>
                <w:szCs w:val="18"/>
              </w:rPr>
              <w:t>Phishing-resistant MFA; continuous risk-based validation</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8933BA7" w14:textId="77777777" w:rsidR="002C244E" w:rsidRDefault="002C244E" w:rsidP="00206844">
            <w:r>
              <w:rPr>
                <w:rFonts w:ascii="Arial" w:eastAsia="Arial" w:hAnsi="Arial" w:cs="Arial"/>
                <w:sz w:val="18"/>
                <w:szCs w:val="18"/>
              </w:rPr>
              <w:t>IdP, IGA, privileged access management</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3642B8B" w14:textId="77777777" w:rsidR="002C244E" w:rsidRDefault="002C244E" w:rsidP="00206844">
            <w:pPr>
              <w:jc w:val="center"/>
            </w:pPr>
            <w:r>
              <w:rPr>
                <w:rFonts w:ascii="Arial" w:eastAsia="Arial" w:hAnsi="Arial" w:cs="Arial"/>
                <w:sz w:val="18"/>
                <w:szCs w:val="18"/>
              </w:rPr>
              <w:t>[1], [12], [16]</w:t>
            </w:r>
          </w:p>
        </w:tc>
      </w:tr>
      <w:tr w:rsidR="002C244E" w14:paraId="50DA21CD"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641686D" w14:textId="77777777" w:rsidR="002C244E" w:rsidRDefault="002C244E" w:rsidP="00206844">
            <w:r>
              <w:rPr>
                <w:rFonts w:ascii="Arial" w:eastAsia="Arial" w:hAnsi="Arial" w:cs="Arial"/>
                <w:b/>
                <w:bCs/>
                <w:sz w:val="18"/>
                <w:szCs w:val="18"/>
              </w:rPr>
              <w:t>Devices</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64FF7D0" w14:textId="77777777" w:rsidR="002C244E" w:rsidRDefault="002C244E" w:rsidP="00206844">
            <w:r>
              <w:rPr>
                <w:rFonts w:ascii="Arial" w:eastAsia="Arial" w:hAnsi="Arial" w:cs="Arial"/>
                <w:sz w:val="18"/>
                <w:szCs w:val="18"/>
              </w:rPr>
              <w:t>Device posture verified at every access request</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4E2B4B6" w14:textId="77777777" w:rsidR="002C244E" w:rsidRDefault="002C244E" w:rsidP="00206844">
            <w:r>
              <w:rPr>
                <w:rFonts w:ascii="Arial" w:eastAsia="Arial" w:hAnsi="Arial" w:cs="Arial"/>
                <w:sz w:val="18"/>
                <w:szCs w:val="18"/>
              </w:rPr>
              <w:t>EDR, mobile device management, posture agents</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83B9543" w14:textId="77777777" w:rsidR="002C244E" w:rsidRDefault="002C244E" w:rsidP="00206844">
            <w:pPr>
              <w:jc w:val="center"/>
            </w:pPr>
            <w:r>
              <w:rPr>
                <w:rFonts w:ascii="Arial" w:eastAsia="Arial" w:hAnsi="Arial" w:cs="Arial"/>
                <w:sz w:val="18"/>
                <w:szCs w:val="18"/>
              </w:rPr>
              <w:t>[4], [5]</w:t>
            </w:r>
          </w:p>
        </w:tc>
      </w:tr>
      <w:tr w:rsidR="002C244E" w14:paraId="0EDC5EDB"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B4F95FB" w14:textId="77777777" w:rsidR="002C244E" w:rsidRDefault="002C244E" w:rsidP="00206844">
            <w:r>
              <w:rPr>
                <w:rFonts w:ascii="Arial" w:eastAsia="Arial" w:hAnsi="Arial" w:cs="Arial"/>
                <w:b/>
                <w:bCs/>
                <w:sz w:val="18"/>
                <w:szCs w:val="18"/>
              </w:rPr>
              <w:t>Networks</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739963A" w14:textId="77777777" w:rsidR="002C244E" w:rsidRDefault="002C244E" w:rsidP="00206844">
            <w:r>
              <w:rPr>
                <w:rFonts w:ascii="Arial" w:eastAsia="Arial" w:hAnsi="Arial" w:cs="Arial"/>
                <w:sz w:val="18"/>
                <w:szCs w:val="18"/>
              </w:rPr>
              <w:t>Micro-segmentation; encrypted east-west traffic</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744F2F5" w14:textId="77777777" w:rsidR="002C244E" w:rsidRDefault="002C244E" w:rsidP="00206844">
            <w:r>
              <w:rPr>
                <w:rFonts w:ascii="Arial" w:eastAsia="Arial" w:hAnsi="Arial" w:cs="Arial"/>
                <w:sz w:val="18"/>
                <w:szCs w:val="18"/>
              </w:rPr>
              <w:t>ZTNA, SASE, software-defined perimeter</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B296A35" w14:textId="77777777" w:rsidR="002C244E" w:rsidRDefault="002C244E" w:rsidP="00206844">
            <w:pPr>
              <w:jc w:val="center"/>
            </w:pPr>
            <w:r>
              <w:rPr>
                <w:rFonts w:ascii="Arial" w:eastAsia="Arial" w:hAnsi="Arial" w:cs="Arial"/>
                <w:sz w:val="18"/>
                <w:szCs w:val="18"/>
              </w:rPr>
              <w:t>[5], [9]</w:t>
            </w:r>
          </w:p>
        </w:tc>
      </w:tr>
      <w:tr w:rsidR="002C244E" w14:paraId="6CE8E50C"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72FA4BE" w14:textId="77777777" w:rsidR="002C244E" w:rsidRDefault="002C244E" w:rsidP="00206844">
            <w:r>
              <w:rPr>
                <w:rFonts w:ascii="Arial" w:eastAsia="Arial" w:hAnsi="Arial" w:cs="Arial"/>
                <w:b/>
                <w:bCs/>
                <w:sz w:val="18"/>
                <w:szCs w:val="18"/>
              </w:rPr>
              <w:t>Applications &amp; Workloads</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9CFD4CE" w14:textId="77777777" w:rsidR="002C244E" w:rsidRDefault="002C244E" w:rsidP="00206844">
            <w:r>
              <w:rPr>
                <w:rFonts w:ascii="Arial" w:eastAsia="Arial" w:hAnsi="Arial" w:cs="Arial"/>
                <w:sz w:val="18"/>
                <w:szCs w:val="18"/>
              </w:rPr>
              <w:t>Continuous authorisation; secure development pipeline</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523BD1F" w14:textId="77777777" w:rsidR="002C244E" w:rsidRDefault="002C244E" w:rsidP="00206844">
            <w:r>
              <w:rPr>
                <w:rFonts w:ascii="Arial" w:eastAsia="Arial" w:hAnsi="Arial" w:cs="Arial"/>
                <w:sz w:val="18"/>
                <w:szCs w:val="18"/>
              </w:rPr>
              <w:t>CWPP, DevSecOps tooling, API gateways</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71B49BE" w14:textId="77777777" w:rsidR="002C244E" w:rsidRDefault="002C244E" w:rsidP="00206844">
            <w:pPr>
              <w:jc w:val="center"/>
            </w:pPr>
            <w:r>
              <w:rPr>
                <w:rFonts w:ascii="Arial" w:eastAsia="Arial" w:hAnsi="Arial" w:cs="Arial"/>
                <w:sz w:val="18"/>
                <w:szCs w:val="18"/>
              </w:rPr>
              <w:t>[2], [4]</w:t>
            </w:r>
          </w:p>
        </w:tc>
      </w:tr>
      <w:tr w:rsidR="002C244E" w14:paraId="54E8FF73"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DA7F445" w14:textId="77777777" w:rsidR="002C244E" w:rsidRDefault="002C244E" w:rsidP="00206844">
            <w:r>
              <w:rPr>
                <w:rFonts w:ascii="Arial" w:eastAsia="Arial" w:hAnsi="Arial" w:cs="Arial"/>
                <w:b/>
                <w:bCs/>
                <w:sz w:val="18"/>
                <w:szCs w:val="18"/>
              </w:rPr>
              <w:t>Data</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F52DF18" w14:textId="77777777" w:rsidR="002C244E" w:rsidRDefault="002C244E" w:rsidP="00206844">
            <w:r>
              <w:rPr>
                <w:rFonts w:ascii="Arial" w:eastAsia="Arial" w:hAnsi="Arial" w:cs="Arial"/>
                <w:sz w:val="18"/>
                <w:szCs w:val="18"/>
              </w:rPr>
              <w:t>Data categorised, encrypted, and access-logged everywhere</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945885D" w14:textId="77777777" w:rsidR="002C244E" w:rsidRDefault="002C244E" w:rsidP="00206844">
            <w:r>
              <w:rPr>
                <w:rFonts w:ascii="Arial" w:eastAsia="Arial" w:hAnsi="Arial" w:cs="Arial"/>
                <w:sz w:val="18"/>
                <w:szCs w:val="18"/>
              </w:rPr>
              <w:t>DLP, encryption, rights management, CSPM</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B8D404F" w14:textId="77777777" w:rsidR="002C244E" w:rsidRDefault="002C244E" w:rsidP="00206844">
            <w:pPr>
              <w:jc w:val="center"/>
            </w:pPr>
            <w:r>
              <w:rPr>
                <w:rFonts w:ascii="Arial" w:eastAsia="Arial" w:hAnsi="Arial" w:cs="Arial"/>
                <w:sz w:val="18"/>
                <w:szCs w:val="18"/>
              </w:rPr>
              <w:t>[4], [9]</w:t>
            </w:r>
          </w:p>
        </w:tc>
      </w:tr>
    </w:tbl>
    <w:p w14:paraId="099CB613" w14:textId="2A164A8B" w:rsidR="002C244E" w:rsidRDefault="002C244E" w:rsidP="002C244E">
      <w:pPr>
        <w:spacing w:before="80" w:after="200"/>
        <w:jc w:val="center"/>
      </w:pPr>
      <w:r>
        <w:rPr>
          <w:rFonts w:ascii="Arial" w:eastAsia="Arial" w:hAnsi="Arial" w:cs="Arial"/>
          <w:i/>
          <w:iCs/>
          <w:color w:val="595959"/>
          <w:sz w:val="20"/>
          <w:szCs w:val="20"/>
        </w:rPr>
        <w:t xml:space="preserve">Table </w:t>
      </w:r>
      <w:r w:rsidR="00067976">
        <w:rPr>
          <w:rFonts w:ascii="Arial" w:eastAsia="Arial" w:hAnsi="Arial" w:cs="Arial"/>
          <w:i/>
          <w:iCs/>
          <w:color w:val="595959"/>
          <w:sz w:val="20"/>
          <w:szCs w:val="20"/>
        </w:rPr>
        <w:t>2</w:t>
      </w:r>
      <w:r>
        <w:rPr>
          <w:rFonts w:ascii="Arial" w:eastAsia="Arial" w:hAnsi="Arial" w:cs="Arial"/>
          <w:i/>
          <w:iCs/>
          <w:color w:val="595959"/>
          <w:sz w:val="20"/>
          <w:szCs w:val="20"/>
        </w:rPr>
        <w:t>. The five CISA Zero Trust Maturity Model pillars mapped to enabling technologies. The Advanced maturity column reflects CISA ZTMM v2.0 stage definitions [4].</w:t>
      </w:r>
    </w:p>
    <w:p w14:paraId="5C019B77" w14:textId="77777777" w:rsidR="002C244E" w:rsidRDefault="002C244E" w:rsidP="002C244E">
      <w:pPr>
        <w:sectPr w:rsidR="002C244E" w:rsidSect="002C244E">
          <w:type w:val="continuous"/>
          <w:pgSz w:w="11906" w:h="16838"/>
          <w:pgMar w:top="1134" w:right="1134" w:bottom="1134" w:left="1134" w:header="708" w:footer="708" w:gutter="0"/>
          <w:cols w:space="720"/>
          <w:docGrid w:linePitch="360"/>
        </w:sectPr>
      </w:pPr>
    </w:p>
    <w:p w14:paraId="44B616A5" w14:textId="77777777" w:rsidR="002C244E" w:rsidRDefault="002C244E" w:rsidP="002C244E">
      <w:pPr>
        <w:pStyle w:val="Heading1"/>
      </w:pPr>
      <w:bookmarkStart w:id="8" w:name="_Toc232505087"/>
      <w:r>
        <w:rPr>
          <w:rFonts w:ascii="Arial" w:eastAsia="Arial" w:hAnsi="Arial" w:cs="Arial"/>
          <w:b/>
          <w:bCs/>
          <w:color w:val="1F3864"/>
          <w:sz w:val="30"/>
          <w:szCs w:val="30"/>
        </w:rPr>
        <w:t>Task 1.5 – Implementation Challenges</w:t>
      </w:r>
      <w:bookmarkEnd w:id="8"/>
    </w:p>
    <w:p w14:paraId="188F9FCB" w14:textId="58DAD793" w:rsidR="002C244E" w:rsidRDefault="002C244E" w:rsidP="002C244E">
      <w:pPr>
        <w:spacing w:after="140" w:line="300" w:lineRule="auto"/>
        <w:jc w:val="both"/>
      </w:pPr>
      <w:r>
        <w:rPr>
          <w:rFonts w:ascii="Arial" w:eastAsia="Arial" w:hAnsi="Arial" w:cs="Arial"/>
          <w:sz w:val="22"/>
          <w:szCs w:val="22"/>
        </w:rPr>
        <w:t>Adoption surveys consistently find a gap between strategic intent and operational reality. Gartner reports that 63% of organisations have adopted a Zero Trust strategy in some form, but only 32% have moved beyond identity</w:t>
      </w:r>
      <w:r w:rsidR="00CA34BC">
        <w:rPr>
          <w:rFonts w:ascii="Arial" w:eastAsia="Arial" w:hAnsi="Arial" w:cs="Arial"/>
          <w:sz w:val="22"/>
          <w:szCs w:val="22"/>
        </w:rPr>
        <w:t xml:space="preserve"> </w:t>
      </w:r>
      <w:r>
        <w:rPr>
          <w:rFonts w:ascii="Arial" w:eastAsia="Arial" w:hAnsi="Arial" w:cs="Arial"/>
          <w:sz w:val="22"/>
          <w:szCs w:val="22"/>
        </w:rPr>
        <w:t>focused pilots [5]. Four challenges come up repeatedly in the literature.</w:t>
      </w:r>
    </w:p>
    <w:p w14:paraId="58F1FF25" w14:textId="77777777" w:rsidR="002C244E" w:rsidRDefault="002C244E" w:rsidP="002C244E">
      <w:pPr>
        <w:spacing w:after="140" w:line="300" w:lineRule="auto"/>
        <w:jc w:val="both"/>
      </w:pPr>
      <w:r>
        <w:rPr>
          <w:rFonts w:ascii="Arial" w:eastAsia="Arial" w:hAnsi="Arial" w:cs="Arial"/>
          <w:sz w:val="22"/>
          <w:szCs w:val="22"/>
        </w:rPr>
        <w:t>First is legacy estate. Most organisations still operate applications that were designed for a trusted network and cannot easily be retrofitted with continuous authentication. Buck et al. identify this as the single largest barrier in their 2021 systematic review [2]. Refactoring or replacing these systems is expensive and slow.</w:t>
      </w:r>
    </w:p>
    <w:p w14:paraId="56D60475" w14:textId="1127F265" w:rsidR="002C244E" w:rsidRDefault="002C244E" w:rsidP="002C244E">
      <w:pPr>
        <w:spacing w:after="140" w:line="300" w:lineRule="auto"/>
        <w:jc w:val="both"/>
      </w:pPr>
      <w:r>
        <w:rPr>
          <w:rFonts w:ascii="Arial" w:eastAsia="Arial" w:hAnsi="Arial" w:cs="Arial"/>
          <w:sz w:val="22"/>
          <w:szCs w:val="22"/>
        </w:rPr>
        <w:t xml:space="preserve">Second is cultural resistance. Zero Trust changes how staff access work, and the additional authentication steps (even when made invisible) create friction. Without clear </w:t>
      </w:r>
      <w:r>
        <w:rPr>
          <w:rFonts w:ascii="Arial" w:eastAsia="Arial" w:hAnsi="Arial" w:cs="Arial"/>
          <w:sz w:val="22"/>
          <w:szCs w:val="22"/>
        </w:rPr>
        <w:t>executive sponsorship, programmes tend to stall after the first identity wins [8]. Eidle et al. report that user pushback was cited by 41% of CISOs in their study as the main reason for slower</w:t>
      </w:r>
      <w:r w:rsidR="00841FF6">
        <w:rPr>
          <w:rFonts w:ascii="Arial" w:eastAsia="Arial" w:hAnsi="Arial" w:cs="Arial"/>
          <w:sz w:val="22"/>
          <w:szCs w:val="22"/>
        </w:rPr>
        <w:t xml:space="preserve"> </w:t>
      </w:r>
      <w:r>
        <w:rPr>
          <w:rFonts w:ascii="Arial" w:eastAsia="Arial" w:hAnsi="Arial" w:cs="Arial"/>
          <w:sz w:val="22"/>
          <w:szCs w:val="22"/>
        </w:rPr>
        <w:t>than</w:t>
      </w:r>
      <w:r w:rsidR="00841FF6">
        <w:rPr>
          <w:rFonts w:ascii="Arial" w:eastAsia="Arial" w:hAnsi="Arial" w:cs="Arial"/>
          <w:sz w:val="22"/>
          <w:szCs w:val="22"/>
        </w:rPr>
        <w:t xml:space="preserve"> </w:t>
      </w:r>
      <w:r>
        <w:rPr>
          <w:rFonts w:ascii="Arial" w:eastAsia="Arial" w:hAnsi="Arial" w:cs="Arial"/>
          <w:sz w:val="22"/>
          <w:szCs w:val="22"/>
        </w:rPr>
        <w:t>planned rollouts [6].</w:t>
      </w:r>
    </w:p>
    <w:p w14:paraId="6B75EA6C" w14:textId="1B3CF4D0" w:rsidR="002C244E" w:rsidRDefault="002C244E" w:rsidP="002C244E">
      <w:pPr>
        <w:spacing w:after="140" w:line="300" w:lineRule="auto"/>
        <w:jc w:val="both"/>
      </w:pPr>
      <w:r>
        <w:rPr>
          <w:rFonts w:ascii="Arial" w:eastAsia="Arial" w:hAnsi="Arial" w:cs="Arial"/>
          <w:sz w:val="22"/>
          <w:szCs w:val="22"/>
        </w:rPr>
        <w:t>Third is policy complexity. Once micro</w:t>
      </w:r>
      <w:r w:rsidR="00841FF6">
        <w:rPr>
          <w:rFonts w:ascii="Arial" w:eastAsia="Arial" w:hAnsi="Arial" w:cs="Arial"/>
          <w:sz w:val="22"/>
          <w:szCs w:val="22"/>
        </w:rPr>
        <w:t xml:space="preserve"> </w:t>
      </w:r>
      <w:r>
        <w:rPr>
          <w:rFonts w:ascii="Arial" w:eastAsia="Arial" w:hAnsi="Arial" w:cs="Arial"/>
          <w:sz w:val="22"/>
          <w:szCs w:val="22"/>
        </w:rPr>
        <w:t>segmentation is in place, the number of access policies that have to be maintained increases by an order of magnitude. Stafford and Buck both note that organisations frequently underestimate the operational cost of keeping these policies current as the business changes [2], [3].</w:t>
      </w:r>
    </w:p>
    <w:p w14:paraId="25AF1CFC" w14:textId="5B7F1784" w:rsidR="002C244E" w:rsidRDefault="002C244E" w:rsidP="002C244E">
      <w:pPr>
        <w:spacing w:after="140" w:line="300" w:lineRule="auto"/>
        <w:jc w:val="both"/>
      </w:pPr>
      <w:r>
        <w:rPr>
          <w:rFonts w:ascii="Arial" w:eastAsia="Arial" w:hAnsi="Arial" w:cs="Arial"/>
          <w:sz w:val="22"/>
          <w:szCs w:val="22"/>
        </w:rPr>
        <w:t>Fourth is integration cost. ZTNA, SASE, CSPM and SIEM all need to share telemetry to make Zero Trust work, and most large organisations end up running components from several vendors. The integration work, often through SOAR platforms, is non</w:t>
      </w:r>
      <w:r w:rsidR="00D3093C">
        <w:rPr>
          <w:rFonts w:ascii="Arial" w:eastAsia="Arial" w:hAnsi="Arial" w:cs="Arial"/>
          <w:sz w:val="22"/>
          <w:szCs w:val="22"/>
        </w:rPr>
        <w:t xml:space="preserve"> </w:t>
      </w:r>
      <w:r>
        <w:rPr>
          <w:rFonts w:ascii="Arial" w:eastAsia="Arial" w:hAnsi="Arial" w:cs="Arial"/>
          <w:sz w:val="22"/>
          <w:szCs w:val="22"/>
        </w:rPr>
        <w:t>trivial and frequently bespoke [9].</w:t>
      </w:r>
    </w:p>
    <w:p w14:paraId="49F7AAD1" w14:textId="77777777" w:rsidR="002C244E" w:rsidRDefault="002C244E" w:rsidP="002C244E">
      <w:pPr>
        <w:spacing w:after="140" w:line="300" w:lineRule="auto"/>
        <w:jc w:val="both"/>
      </w:pPr>
      <w:r>
        <w:rPr>
          <w:rFonts w:ascii="Arial" w:eastAsia="Arial" w:hAnsi="Arial" w:cs="Arial"/>
          <w:sz w:val="22"/>
          <w:szCs w:val="22"/>
        </w:rPr>
        <w:lastRenderedPageBreak/>
        <w:t>None of these challenges is a reason to avoid Zero Trust. They are, however, reasons to plan the programme carefully and to set realistic expectations with the executive.</w:t>
      </w:r>
    </w:p>
    <w:p w14:paraId="3D60E167" w14:textId="77777777" w:rsidR="002C244E" w:rsidRDefault="002C244E" w:rsidP="002C244E">
      <w:pPr>
        <w:pStyle w:val="Heading1"/>
      </w:pPr>
      <w:bookmarkStart w:id="9" w:name="_Toc232505088"/>
      <w:r>
        <w:rPr>
          <w:rFonts w:ascii="Arial" w:eastAsia="Arial" w:hAnsi="Arial" w:cs="Arial"/>
          <w:b/>
          <w:bCs/>
          <w:color w:val="1F3864"/>
          <w:sz w:val="30"/>
          <w:szCs w:val="30"/>
        </w:rPr>
        <w:t>Task 1.6 – Case Studies and Empirical Evidence</w:t>
      </w:r>
      <w:bookmarkEnd w:id="9"/>
    </w:p>
    <w:p w14:paraId="48B3FF37" w14:textId="77777777" w:rsidR="002C244E" w:rsidRDefault="002C244E" w:rsidP="002C244E">
      <w:pPr>
        <w:spacing w:after="140" w:line="300" w:lineRule="auto"/>
        <w:jc w:val="both"/>
      </w:pPr>
      <w:r>
        <w:rPr>
          <w:rFonts w:ascii="Arial" w:eastAsia="Arial" w:hAnsi="Arial" w:cs="Arial"/>
          <w:sz w:val="22"/>
          <w:szCs w:val="22"/>
        </w:rPr>
        <w:t>Two recent incidents illustrate why perimeter trust no longer works.</w:t>
      </w:r>
    </w:p>
    <w:p w14:paraId="3C52AFCE" w14:textId="77777777" w:rsidR="002C244E" w:rsidRDefault="002C244E" w:rsidP="002C244E">
      <w:pPr>
        <w:pStyle w:val="Heading2"/>
      </w:pPr>
      <w:bookmarkStart w:id="10" w:name="_Toc232505089"/>
      <w:r>
        <w:rPr>
          <w:rFonts w:ascii="Arial" w:eastAsia="Arial" w:hAnsi="Arial" w:cs="Arial"/>
          <w:b/>
          <w:bCs/>
          <w:color w:val="2F5496"/>
          <w:sz w:val="26"/>
          <w:szCs w:val="26"/>
        </w:rPr>
        <w:t>SolarWinds (2020)</w:t>
      </w:r>
      <w:bookmarkEnd w:id="10"/>
    </w:p>
    <w:p w14:paraId="4B2F4EF9" w14:textId="1BBB1EC5" w:rsidR="002C244E" w:rsidRDefault="002C244E" w:rsidP="002C244E">
      <w:pPr>
        <w:spacing w:after="140" w:line="300" w:lineRule="auto"/>
        <w:jc w:val="both"/>
      </w:pPr>
      <w:r>
        <w:rPr>
          <w:rFonts w:ascii="Arial" w:eastAsia="Arial" w:hAnsi="Arial" w:cs="Arial"/>
          <w:sz w:val="22"/>
          <w:szCs w:val="22"/>
        </w:rPr>
        <w:t>Russian state</w:t>
      </w:r>
      <w:r w:rsidR="00B960BF">
        <w:rPr>
          <w:rFonts w:ascii="Arial" w:eastAsia="Arial" w:hAnsi="Arial" w:cs="Arial"/>
          <w:sz w:val="22"/>
          <w:szCs w:val="22"/>
        </w:rPr>
        <w:t xml:space="preserve"> </w:t>
      </w:r>
      <w:r>
        <w:rPr>
          <w:rFonts w:ascii="Arial" w:eastAsia="Arial" w:hAnsi="Arial" w:cs="Arial"/>
          <w:sz w:val="22"/>
          <w:szCs w:val="22"/>
        </w:rPr>
        <w:t>aligned attackers compromised the build pipeline of SolarWinds Orion, a widely deployed network</w:t>
      </w:r>
      <w:r w:rsidR="00B960BF">
        <w:rPr>
          <w:rFonts w:ascii="Arial" w:eastAsia="Arial" w:hAnsi="Arial" w:cs="Arial"/>
          <w:sz w:val="22"/>
          <w:szCs w:val="22"/>
        </w:rPr>
        <w:t xml:space="preserve"> </w:t>
      </w:r>
      <w:r>
        <w:rPr>
          <w:rFonts w:ascii="Arial" w:eastAsia="Arial" w:hAnsi="Arial" w:cs="Arial"/>
          <w:sz w:val="22"/>
          <w:szCs w:val="22"/>
        </w:rPr>
        <w:t>management product, and inserted a backdoor that was distributed through legitimate software updates to roughly 18,000 customers [10]. Because Orion ran inside the corporate perimeter and was inherently trusted, the malicious update was free to communicate outward and laterally inside victim networks. CISA’s after</w:t>
      </w:r>
      <w:r w:rsidR="00F608D9">
        <w:rPr>
          <w:rFonts w:ascii="Arial" w:eastAsia="Arial" w:hAnsi="Arial" w:cs="Arial"/>
          <w:sz w:val="22"/>
          <w:szCs w:val="22"/>
        </w:rPr>
        <w:t xml:space="preserve"> </w:t>
      </w:r>
      <w:r>
        <w:rPr>
          <w:rFonts w:ascii="Arial" w:eastAsia="Arial" w:hAnsi="Arial" w:cs="Arial"/>
          <w:sz w:val="22"/>
          <w:szCs w:val="22"/>
        </w:rPr>
        <w:t>action analysis concluded that organisations practising Zero Trust principles, particularly continuous monitoring of east-west traffic and behavioural baselining of trusted applications, were significantly better placed to detect the compromise [10].</w:t>
      </w:r>
    </w:p>
    <w:p w14:paraId="70F577D4" w14:textId="77777777" w:rsidR="002C244E" w:rsidRDefault="002C244E" w:rsidP="002C244E">
      <w:pPr>
        <w:pStyle w:val="Heading2"/>
      </w:pPr>
      <w:bookmarkStart w:id="11" w:name="_Toc232505090"/>
      <w:r>
        <w:rPr>
          <w:rFonts w:ascii="Arial" w:eastAsia="Arial" w:hAnsi="Arial" w:cs="Arial"/>
          <w:b/>
          <w:bCs/>
          <w:color w:val="2F5496"/>
          <w:sz w:val="26"/>
          <w:szCs w:val="26"/>
        </w:rPr>
        <w:t>MOVEit Transfer / Cl0p (2023)</w:t>
      </w:r>
      <w:bookmarkEnd w:id="11"/>
    </w:p>
    <w:p w14:paraId="1402E3E6" w14:textId="77777777" w:rsidR="002C244E" w:rsidRDefault="002C244E" w:rsidP="002C244E">
      <w:pPr>
        <w:spacing w:after="140" w:line="300" w:lineRule="auto"/>
        <w:jc w:val="both"/>
      </w:pPr>
      <w:r>
        <w:rPr>
          <w:rFonts w:ascii="Arial" w:eastAsia="Arial" w:hAnsi="Arial" w:cs="Arial"/>
          <w:sz w:val="22"/>
          <w:szCs w:val="22"/>
        </w:rPr>
        <w:t>The Cl0p ransomware group exploited a zero-day SQL injection vulnerability in Progress Software’s MOVEit Transfer product to steal data from more than 2,700 organisations [13]. As with SolarWinds, the initial vector was a trusted third-party application. The lesson for Zero Trust is that least privilege at the data layer matters as much as least privilege at the network layer: even compromised applications should be unable to exfiltrate data at scale without triggering data loss prevention or anomalous-egress controls.</w:t>
      </w:r>
    </w:p>
    <w:p w14:paraId="4DEDA6FA" w14:textId="38AFEE61" w:rsidR="002C244E" w:rsidRDefault="002C244E" w:rsidP="002C244E">
      <w:pPr>
        <w:spacing w:after="140" w:line="300" w:lineRule="auto"/>
        <w:jc w:val="both"/>
      </w:pPr>
      <w:r>
        <w:rPr>
          <w:rFonts w:ascii="Arial" w:eastAsia="Arial" w:hAnsi="Arial" w:cs="Arial"/>
          <w:sz w:val="22"/>
          <w:szCs w:val="22"/>
        </w:rPr>
        <w:t>In both cases, the controls Zero Trust prescribes (micro</w:t>
      </w:r>
      <w:r w:rsidR="006A1E3E">
        <w:rPr>
          <w:rFonts w:ascii="Arial" w:eastAsia="Arial" w:hAnsi="Arial" w:cs="Arial"/>
          <w:sz w:val="22"/>
          <w:szCs w:val="22"/>
        </w:rPr>
        <w:t xml:space="preserve"> </w:t>
      </w:r>
      <w:r>
        <w:rPr>
          <w:rFonts w:ascii="Arial" w:eastAsia="Arial" w:hAnsi="Arial" w:cs="Arial"/>
          <w:sz w:val="22"/>
          <w:szCs w:val="22"/>
        </w:rPr>
        <w:t>segmentation, continuous monitoring, strict egress policy and per</w:t>
      </w:r>
      <w:r w:rsidR="008A51BB">
        <w:rPr>
          <w:rFonts w:ascii="Arial" w:eastAsia="Arial" w:hAnsi="Arial" w:cs="Arial"/>
          <w:sz w:val="22"/>
          <w:szCs w:val="22"/>
        </w:rPr>
        <w:t xml:space="preserve"> </w:t>
      </w:r>
      <w:r>
        <w:rPr>
          <w:rFonts w:ascii="Arial" w:eastAsia="Arial" w:hAnsi="Arial" w:cs="Arial"/>
          <w:sz w:val="22"/>
          <w:szCs w:val="22"/>
        </w:rPr>
        <w:t xml:space="preserve">application authentication) would have limited the blast </w:t>
      </w:r>
      <w:r>
        <w:rPr>
          <w:rFonts w:ascii="Arial" w:eastAsia="Arial" w:hAnsi="Arial" w:cs="Arial"/>
          <w:sz w:val="22"/>
          <w:szCs w:val="22"/>
        </w:rPr>
        <w:t>radius even where they would not have prevented the initial compromise. This is the more realistic claim for Zero Trust: it does not stop every attack, but it makes attacks much harder to scale.</w:t>
      </w:r>
    </w:p>
    <w:p w14:paraId="312B960B" w14:textId="77777777" w:rsidR="002C244E" w:rsidRDefault="002C244E" w:rsidP="002C244E">
      <w:pPr>
        <w:pStyle w:val="Heading1"/>
      </w:pPr>
      <w:bookmarkStart w:id="12" w:name="_Toc232505091"/>
      <w:r>
        <w:rPr>
          <w:rFonts w:ascii="Arial" w:eastAsia="Arial" w:hAnsi="Arial" w:cs="Arial"/>
          <w:b/>
          <w:bCs/>
          <w:color w:val="1F3864"/>
          <w:sz w:val="30"/>
          <w:szCs w:val="30"/>
        </w:rPr>
        <w:t>Task 1.7 – Discussion</w:t>
      </w:r>
      <w:bookmarkEnd w:id="12"/>
    </w:p>
    <w:p w14:paraId="7027F9F0" w14:textId="77777777" w:rsidR="002C244E" w:rsidRDefault="002C244E" w:rsidP="002C244E">
      <w:pPr>
        <w:spacing w:after="140" w:line="300" w:lineRule="auto"/>
        <w:jc w:val="both"/>
      </w:pPr>
      <w:r>
        <w:rPr>
          <w:rFonts w:ascii="Arial" w:eastAsia="Arial" w:hAnsi="Arial" w:cs="Arial"/>
          <w:sz w:val="22"/>
          <w:szCs w:val="22"/>
        </w:rPr>
        <w:t>Three things stand out from the literature reviewed. First, Zero Trust is now mainstream. NIST, CISA, the UK National Cyber Security Centre and the EU Agency for Cybersecurity all publish guidance built around it [1], [4], [15]. It is no longer a vendor talking point; it is the assumed baseline for new architectures.</w:t>
      </w:r>
    </w:p>
    <w:p w14:paraId="48AC5324" w14:textId="77777777" w:rsidR="002C244E" w:rsidRDefault="002C244E" w:rsidP="002C244E">
      <w:pPr>
        <w:spacing w:after="140" w:line="300" w:lineRule="auto"/>
        <w:jc w:val="both"/>
      </w:pPr>
      <w:r>
        <w:rPr>
          <w:rFonts w:ascii="Arial" w:eastAsia="Arial" w:hAnsi="Arial" w:cs="Arial"/>
          <w:sz w:val="22"/>
          <w:szCs w:val="22"/>
        </w:rPr>
        <w:t>Second, the technology stack has matured. Five years ago, deploying Zero Trust meant stitching together products that were never designed to work together. The SASE convergence has changed this, and 2024 Gartner data shows the integration burden has fallen materially [5], [9]. For an organisation starting from scratch, this matters: there is no longer a strong technical reason to design around the old perimeter model.</w:t>
      </w:r>
    </w:p>
    <w:p w14:paraId="15FE55BC" w14:textId="77777777" w:rsidR="002C244E" w:rsidRDefault="002C244E" w:rsidP="002C244E">
      <w:pPr>
        <w:spacing w:after="140" w:line="300" w:lineRule="auto"/>
        <w:jc w:val="both"/>
      </w:pPr>
      <w:r>
        <w:rPr>
          <w:rFonts w:ascii="Arial" w:eastAsia="Arial" w:hAnsi="Arial" w:cs="Arial"/>
          <w:sz w:val="22"/>
          <w:szCs w:val="22"/>
        </w:rPr>
        <w:t>Third, and most important, the regulatory environment is moving in the same direction. The EU Digital Operational Resilience Act, which becomes enforceable in January 2025, requires financial entities to implement “sound and comprehensive ICT risk management frameworks” that are explicitly aligned with international standards [14]. The General Data Protection Regulation’s Article 32 already mandates “state of the art” security measures [17]. For a financial services firm in the EU, Zero Trust is rapidly becoming the practical interpretation of those obligations.</w:t>
      </w:r>
    </w:p>
    <w:p w14:paraId="592BD5FA" w14:textId="3107F373" w:rsidR="002C244E" w:rsidRDefault="002C244E" w:rsidP="002C244E">
      <w:pPr>
        <w:spacing w:after="140" w:line="300" w:lineRule="auto"/>
        <w:jc w:val="both"/>
      </w:pPr>
      <w:r>
        <w:rPr>
          <w:rFonts w:ascii="Arial" w:eastAsia="Arial" w:hAnsi="Arial" w:cs="Arial"/>
          <w:sz w:val="22"/>
          <w:szCs w:val="22"/>
        </w:rPr>
        <w:t>That said, the model has limits. Buck et al. are right to flag that Zero Trust does not by itself address insider threat, social engineering or supply</w:t>
      </w:r>
      <w:r w:rsidR="00C76672">
        <w:rPr>
          <w:rFonts w:ascii="Arial" w:eastAsia="Arial" w:hAnsi="Arial" w:cs="Arial"/>
          <w:sz w:val="22"/>
          <w:szCs w:val="22"/>
        </w:rPr>
        <w:t xml:space="preserve"> </w:t>
      </w:r>
      <w:r>
        <w:rPr>
          <w:rFonts w:ascii="Arial" w:eastAsia="Arial" w:hAnsi="Arial" w:cs="Arial"/>
          <w:sz w:val="22"/>
          <w:szCs w:val="22"/>
        </w:rPr>
        <w:t>chain risk at the design level [2]. It changes the blast radius once an attack starts but does not necessarily prevent it.</w:t>
      </w:r>
    </w:p>
    <w:p w14:paraId="01BCB902" w14:textId="77777777" w:rsidR="002C244E" w:rsidRDefault="002C244E" w:rsidP="002C244E">
      <w:pPr>
        <w:pStyle w:val="Heading1"/>
      </w:pPr>
      <w:bookmarkStart w:id="13" w:name="_Toc232505092"/>
      <w:r>
        <w:rPr>
          <w:rFonts w:ascii="Arial" w:eastAsia="Arial" w:hAnsi="Arial" w:cs="Arial"/>
          <w:b/>
          <w:bCs/>
          <w:color w:val="1F3864"/>
          <w:sz w:val="30"/>
          <w:szCs w:val="30"/>
        </w:rPr>
        <w:lastRenderedPageBreak/>
        <w:t>Task 1.8 – Conclusion</w:t>
      </w:r>
      <w:bookmarkEnd w:id="13"/>
    </w:p>
    <w:p w14:paraId="40122565" w14:textId="77777777" w:rsidR="002C244E" w:rsidRDefault="002C244E" w:rsidP="002C244E">
      <w:pPr>
        <w:spacing w:after="140" w:line="300" w:lineRule="auto"/>
        <w:jc w:val="both"/>
      </w:pPr>
      <w:r>
        <w:rPr>
          <w:rFonts w:ascii="Arial" w:eastAsia="Arial" w:hAnsi="Arial" w:cs="Arial"/>
          <w:sz w:val="22"/>
          <w:szCs w:val="22"/>
        </w:rPr>
        <w:t>This paper has argued that Zero Trust Architecture is the appropriate model for modern enterprises operating in hybrid cloud environments. The threat landscape, the regulatory environment and the maturity of the technology stack all point the same way. Implementation is not trivial: legacy systems, cultural resistance and operational complexity all create real obstacles. The case studies reviewed nonetheless suggest that Zero Trust controls measurably reduce the impact of the kinds of attacks that perimeter security cannot prevent.</w:t>
      </w:r>
    </w:p>
    <w:p w14:paraId="133158DB" w14:textId="3A5648F3" w:rsidR="002C244E" w:rsidRDefault="002C244E" w:rsidP="002C244E">
      <w:pPr>
        <w:spacing w:after="140" w:line="300" w:lineRule="auto"/>
        <w:jc w:val="both"/>
      </w:pPr>
      <w:r>
        <w:rPr>
          <w:rFonts w:ascii="Arial" w:eastAsia="Arial" w:hAnsi="Arial" w:cs="Arial"/>
          <w:sz w:val="22"/>
          <w:szCs w:val="22"/>
        </w:rPr>
        <w:t>Task 2 of this submission applies these findings. The case organisation, Aegis FinTech Innovations Ltd, is a cloud</w:t>
      </w:r>
      <w:r w:rsidR="00F624AF">
        <w:rPr>
          <w:rFonts w:ascii="Arial" w:eastAsia="Arial" w:hAnsi="Arial" w:cs="Arial"/>
          <w:sz w:val="22"/>
          <w:szCs w:val="22"/>
        </w:rPr>
        <w:t xml:space="preserve"> </w:t>
      </w:r>
      <w:r>
        <w:rPr>
          <w:rFonts w:ascii="Arial" w:eastAsia="Arial" w:hAnsi="Arial" w:cs="Arial"/>
          <w:sz w:val="22"/>
          <w:szCs w:val="22"/>
        </w:rPr>
        <w:t>native financial services startup preparing for EU expansion. Zero Trust is selected as the strategic model because the organisation is small enough to adopt it from the outset without legacy refactoring, the regulatory environment (GDPR and DORA) demands it, and the threat profile (ransomware, supply-chain attacks against fintech, AI data poisoning) is precisely the kind that Zero Trust is designed to limit. The remainder of the report sets out the proposal.</w:t>
      </w:r>
    </w:p>
    <w:p w14:paraId="538B6684" w14:textId="77777777" w:rsidR="002C244E" w:rsidRDefault="002C244E" w:rsidP="00630652"/>
    <w:p w14:paraId="6E89A3ED" w14:textId="77777777" w:rsidR="002C244E" w:rsidRDefault="002C244E" w:rsidP="00630652"/>
    <w:p w14:paraId="33EC0865" w14:textId="77777777" w:rsidR="002C244E" w:rsidRDefault="002C244E" w:rsidP="00630652"/>
    <w:p w14:paraId="158A19A6" w14:textId="77777777" w:rsidR="002C244E" w:rsidRDefault="002C244E" w:rsidP="00630652"/>
    <w:p w14:paraId="10777E7B" w14:textId="77777777" w:rsidR="002C244E" w:rsidRDefault="002C244E" w:rsidP="00630652"/>
    <w:p w14:paraId="3BC20484" w14:textId="77777777" w:rsidR="002C244E" w:rsidRDefault="002C244E" w:rsidP="00630652"/>
    <w:p w14:paraId="71CD6312" w14:textId="77777777" w:rsidR="002C244E" w:rsidRDefault="002C244E" w:rsidP="00630652"/>
    <w:p w14:paraId="1CCDF958" w14:textId="77777777" w:rsidR="002C244E" w:rsidRDefault="002C244E" w:rsidP="00630652"/>
    <w:p w14:paraId="41771711" w14:textId="77777777" w:rsidR="002C244E" w:rsidRDefault="002C244E" w:rsidP="00630652"/>
    <w:p w14:paraId="7F8622B5" w14:textId="77777777" w:rsidR="002C244E" w:rsidRDefault="002C244E" w:rsidP="00630652"/>
    <w:p w14:paraId="6F87E341" w14:textId="77777777" w:rsidR="002C244E" w:rsidRDefault="002C244E" w:rsidP="00630652"/>
    <w:p w14:paraId="0FDF947A" w14:textId="77777777" w:rsidR="002C244E" w:rsidRDefault="002C244E" w:rsidP="00630652"/>
    <w:p w14:paraId="0301D554" w14:textId="77777777" w:rsidR="002C244E" w:rsidRDefault="002C244E" w:rsidP="00630652"/>
    <w:p w14:paraId="52F5A5F6" w14:textId="77777777" w:rsidR="002C244E" w:rsidRDefault="002C244E" w:rsidP="00630652"/>
    <w:p w14:paraId="75121587" w14:textId="77777777" w:rsidR="002C244E" w:rsidRDefault="002C244E" w:rsidP="00630652"/>
    <w:p w14:paraId="53733C15" w14:textId="77777777" w:rsidR="002C244E" w:rsidRDefault="002C244E" w:rsidP="00630652"/>
    <w:p w14:paraId="2E8595A3" w14:textId="77777777" w:rsidR="002C244E" w:rsidRDefault="002C244E" w:rsidP="00630652"/>
    <w:p w14:paraId="4C5DC86D" w14:textId="77777777" w:rsidR="002C244E" w:rsidRDefault="002C244E" w:rsidP="00630652"/>
    <w:p w14:paraId="37402FBA" w14:textId="77777777" w:rsidR="002C244E" w:rsidRDefault="002C244E" w:rsidP="00630652"/>
    <w:p w14:paraId="1D3D1901" w14:textId="77777777" w:rsidR="002C244E" w:rsidRDefault="002C244E" w:rsidP="00630652">
      <w:pPr>
        <w:sectPr w:rsidR="002C244E" w:rsidSect="00630652">
          <w:headerReference w:type="default" r:id="rId13"/>
          <w:footerReference w:type="default" r:id="rId14"/>
          <w:type w:val="continuous"/>
          <w:pgSz w:w="11906" w:h="16838"/>
          <w:pgMar w:top="1134" w:right="1134" w:bottom="1134" w:left="1134" w:header="708" w:footer="708" w:gutter="0"/>
          <w:cols w:num="2" w:space="360"/>
          <w:docGrid w:linePitch="360"/>
        </w:sectPr>
      </w:pPr>
    </w:p>
    <w:p w14:paraId="2ED89DC1" w14:textId="77777777" w:rsidR="00526B99" w:rsidRDefault="00526B99" w:rsidP="00526B99">
      <w:pPr>
        <w:spacing w:before="400" w:after="120"/>
        <w:jc w:val="center"/>
      </w:pPr>
      <w:r>
        <w:rPr>
          <w:rFonts w:ascii="Arial" w:eastAsia="Arial" w:hAnsi="Arial" w:cs="Arial"/>
          <w:b/>
          <w:bCs/>
          <w:color w:val="1F3864"/>
          <w:sz w:val="32"/>
          <w:szCs w:val="32"/>
        </w:rPr>
        <w:lastRenderedPageBreak/>
        <w:t>TASK 2 – CISO PROPOSAL</w:t>
      </w:r>
    </w:p>
    <w:p w14:paraId="4728C8CF" w14:textId="77777777" w:rsidR="00526B99" w:rsidRDefault="00526B99" w:rsidP="00526B99">
      <w:pPr>
        <w:spacing w:after="120"/>
        <w:jc w:val="center"/>
      </w:pPr>
      <w:r>
        <w:rPr>
          <w:rFonts w:ascii="Arial" w:eastAsia="Arial" w:hAnsi="Arial" w:cs="Arial"/>
          <w:i/>
          <w:iCs/>
          <w:color w:val="595959"/>
          <w:sz w:val="22"/>
          <w:szCs w:val="22"/>
        </w:rPr>
        <w:t>Information Security Unit Establishment and Implementation Plan</w:t>
      </w:r>
    </w:p>
    <w:p w14:paraId="02AC82EC" w14:textId="77777777" w:rsidR="00526B99" w:rsidRDefault="00526B99" w:rsidP="00526B99">
      <w:pPr>
        <w:spacing w:after="280"/>
        <w:jc w:val="center"/>
      </w:pPr>
      <w:r>
        <w:rPr>
          <w:rFonts w:ascii="Arial" w:eastAsia="Arial" w:hAnsi="Arial" w:cs="Arial"/>
          <w:color w:val="595959"/>
          <w:sz w:val="22"/>
          <w:szCs w:val="22"/>
        </w:rPr>
        <w:t>Aegis FinTech Innovations Ltd – Board Proposal</w:t>
      </w:r>
    </w:p>
    <w:p w14:paraId="2F27436B" w14:textId="77777777" w:rsidR="00526B99" w:rsidRDefault="00526B99" w:rsidP="00526B99">
      <w:pPr>
        <w:spacing w:after="120"/>
        <w:jc w:val="center"/>
      </w:pPr>
      <w:r>
        <w:rPr>
          <w:rFonts w:ascii="Arial" w:eastAsia="Arial" w:hAnsi="Arial" w:cs="Arial"/>
          <w:color w:val="000000"/>
          <w:sz w:val="22"/>
          <w:szCs w:val="22"/>
        </w:rPr>
        <w:t>Prepared by: Pawel Waszak, Chief Information Security Officer</w:t>
      </w:r>
    </w:p>
    <w:p w14:paraId="105235BF" w14:textId="77777777" w:rsidR="00526B99" w:rsidRDefault="00526B99" w:rsidP="00526B99">
      <w:pPr>
        <w:spacing w:after="120"/>
        <w:jc w:val="center"/>
      </w:pPr>
      <w:r>
        <w:rPr>
          <w:rFonts w:ascii="Arial" w:eastAsia="Arial" w:hAnsi="Arial" w:cs="Arial"/>
          <w:color w:val="000000"/>
          <w:sz w:val="22"/>
          <w:szCs w:val="22"/>
        </w:rPr>
        <w:t>Aegis FinTech Innovations Ltd, London</w:t>
      </w:r>
    </w:p>
    <w:p w14:paraId="3CE48AA6" w14:textId="77777777" w:rsidR="00526B99" w:rsidRDefault="00526B99" w:rsidP="00526B99">
      <w:pPr>
        <w:spacing w:after="120"/>
        <w:jc w:val="center"/>
      </w:pPr>
      <w:r>
        <w:rPr>
          <w:rFonts w:ascii="Arial" w:eastAsia="Arial" w:hAnsi="Arial" w:cs="Arial"/>
          <w:color w:val="000000"/>
          <w:sz w:val="22"/>
          <w:szCs w:val="22"/>
        </w:rPr>
        <w:t>For the attention of: The Executive Board</w:t>
      </w:r>
    </w:p>
    <w:p w14:paraId="26A7C6DE" w14:textId="65D5C0BF" w:rsidR="00526B99" w:rsidRDefault="00526B99" w:rsidP="00526B99">
      <w:pPr>
        <w:spacing w:after="120"/>
        <w:jc w:val="center"/>
      </w:pPr>
      <w:r>
        <w:rPr>
          <w:rFonts w:ascii="Arial" w:eastAsia="Arial" w:hAnsi="Arial" w:cs="Arial"/>
          <w:color w:val="000000"/>
          <w:sz w:val="22"/>
          <w:szCs w:val="22"/>
        </w:rPr>
        <w:t>Date: 2</w:t>
      </w:r>
      <w:r w:rsidR="001F3479">
        <w:rPr>
          <w:rFonts w:ascii="Arial" w:eastAsia="Arial" w:hAnsi="Arial" w:cs="Arial"/>
          <w:color w:val="000000"/>
          <w:sz w:val="22"/>
          <w:szCs w:val="22"/>
        </w:rPr>
        <w:t>0</w:t>
      </w:r>
      <w:r>
        <w:rPr>
          <w:rFonts w:ascii="Arial" w:eastAsia="Arial" w:hAnsi="Arial" w:cs="Arial"/>
          <w:color w:val="000000"/>
          <w:sz w:val="22"/>
          <w:szCs w:val="22"/>
        </w:rPr>
        <w:t xml:space="preserve"> July 2026</w:t>
      </w:r>
    </w:p>
    <w:p w14:paraId="0D84EDD8" w14:textId="77777777" w:rsidR="00526B99" w:rsidRDefault="00526B99" w:rsidP="00526B99">
      <w:pPr>
        <w:spacing w:after="280"/>
        <w:jc w:val="center"/>
      </w:pPr>
      <w:r>
        <w:rPr>
          <w:rFonts w:ascii="Arial" w:eastAsia="Arial" w:hAnsi="Arial" w:cs="Arial"/>
          <w:b/>
          <w:bCs/>
          <w:color w:val="C00000"/>
          <w:sz w:val="22"/>
          <w:szCs w:val="22"/>
        </w:rPr>
        <w:t>Classification: CONFIDENTIAL – Board Members Only</w:t>
      </w:r>
    </w:p>
    <w:p w14:paraId="3FA53DFA" w14:textId="77777777" w:rsidR="00526B99" w:rsidRDefault="00526B99" w:rsidP="00526B99">
      <w:pPr>
        <w:pStyle w:val="Heading1"/>
      </w:pPr>
      <w:bookmarkStart w:id="14" w:name="_Toc232505093"/>
      <w:r>
        <w:rPr>
          <w:rFonts w:ascii="Arial" w:eastAsia="Arial" w:hAnsi="Arial" w:cs="Arial"/>
          <w:b/>
          <w:bCs/>
          <w:color w:val="1F3864"/>
          <w:sz w:val="30"/>
          <w:szCs w:val="30"/>
        </w:rPr>
        <w:t>Task 2.1 – Executive Summary</w:t>
      </w:r>
      <w:bookmarkEnd w:id="14"/>
    </w:p>
    <w:p w14:paraId="414776BD" w14:textId="77777777" w:rsidR="00526B99" w:rsidRDefault="00526B99" w:rsidP="00526B99">
      <w:pPr>
        <w:spacing w:after="140" w:line="300" w:lineRule="auto"/>
        <w:jc w:val="both"/>
      </w:pPr>
      <w:r>
        <w:rPr>
          <w:rFonts w:ascii="Arial" w:eastAsia="Arial" w:hAnsi="Arial" w:cs="Arial"/>
          <w:sz w:val="22"/>
          <w:szCs w:val="22"/>
        </w:rPr>
        <w:t>This proposal sets out the design of Aegis FinTech’s new Information Security Unit, the policy framework it will operate under, the compliance roadmap for European Union expansion, and the technical architecture it will implement. The whole proposal is built on the conclusion reached in Task 1: that Zero Trust Architecture, as defined by NIST Special Publication 800-207 [1] and operationalised through the CISA Zero Trust Maturity Model [4], is the right strategic model for a cloud-native fintech preparing for the EU market.</w:t>
      </w:r>
    </w:p>
    <w:p w14:paraId="6DA2FF1C" w14:textId="4FE157B3" w:rsidR="00526B99" w:rsidRDefault="00526B99" w:rsidP="00526B99">
      <w:pPr>
        <w:spacing w:after="140" w:line="300" w:lineRule="auto"/>
        <w:jc w:val="both"/>
      </w:pPr>
      <w:r>
        <w:rPr>
          <w:rFonts w:ascii="Arial" w:eastAsia="Arial" w:hAnsi="Arial" w:cs="Arial"/>
          <w:sz w:val="22"/>
          <w:szCs w:val="22"/>
        </w:rPr>
        <w:t>The proposal recommends a twelve-person Information Security Unit organised under the CISO, with five functional leads (Cloud Security Architecture, DevSecOps Engineering, Data Protection, GRC &amp; Compliance, and SOC &amp; Incident Response). The total Year 1 budget request is approximately £1.85 million, including headcount, tooling and external assurance. A twelve</w:t>
      </w:r>
      <w:r w:rsidR="006E7749">
        <w:rPr>
          <w:rFonts w:ascii="Arial" w:eastAsia="Arial" w:hAnsi="Arial" w:cs="Arial"/>
          <w:sz w:val="22"/>
          <w:szCs w:val="22"/>
        </w:rPr>
        <w:t xml:space="preserve"> </w:t>
      </w:r>
      <w:r>
        <w:rPr>
          <w:rFonts w:ascii="Arial" w:eastAsia="Arial" w:hAnsi="Arial" w:cs="Arial"/>
          <w:sz w:val="22"/>
          <w:szCs w:val="22"/>
        </w:rPr>
        <w:t>month roadmap is proposed (Section 2.8 and Figure 3) with prioritised initiatives in four quarterly waves: Foundations, Zero Trust, Resilience and Assurance. The compliance roadmap covers both the General Data Protection Regulation [17] and the EU Digital Operational Resilience Act [14], with critical DORA milestones aligned to the EU launch date.</w:t>
      </w:r>
    </w:p>
    <w:p w14:paraId="2121B5D5" w14:textId="77777777" w:rsidR="00526B99" w:rsidRDefault="00526B99" w:rsidP="00526B99">
      <w:pPr>
        <w:spacing w:after="140" w:line="300" w:lineRule="auto"/>
        <w:jc w:val="both"/>
      </w:pPr>
      <w:r>
        <w:rPr>
          <w:rFonts w:ascii="Arial" w:eastAsia="Arial" w:hAnsi="Arial" w:cs="Arial"/>
          <w:sz w:val="22"/>
          <w:szCs w:val="22"/>
        </w:rPr>
        <w:t>Three risks dominate the strategic picture: cloud misconfiguration, ransomware against the financial sector, and supply-chain compromise of SaaS vendors. These are quantified in the risk register at Section 2.6 and mitigated through specific controls drawn from the Task 1 research.</w:t>
      </w:r>
    </w:p>
    <w:p w14:paraId="25496C25" w14:textId="77777777" w:rsidR="00526B99" w:rsidRDefault="00526B99" w:rsidP="00526B99">
      <w:pPr>
        <w:pStyle w:val="Heading1"/>
      </w:pPr>
      <w:bookmarkStart w:id="15" w:name="_Toc232505094"/>
      <w:r>
        <w:rPr>
          <w:rFonts w:ascii="Arial" w:eastAsia="Arial" w:hAnsi="Arial" w:cs="Arial"/>
          <w:b/>
          <w:bCs/>
          <w:color w:val="1F3864"/>
          <w:sz w:val="30"/>
          <w:szCs w:val="30"/>
        </w:rPr>
        <w:t>Task 2.2 – Work-Stream 1: Organisational Design and Resourcing</w:t>
      </w:r>
      <w:bookmarkEnd w:id="15"/>
    </w:p>
    <w:p w14:paraId="0CC69106" w14:textId="77777777" w:rsidR="00526B99" w:rsidRDefault="00526B99" w:rsidP="00526B99">
      <w:pPr>
        <w:spacing w:after="140" w:line="300" w:lineRule="auto"/>
        <w:jc w:val="both"/>
      </w:pPr>
      <w:r>
        <w:rPr>
          <w:rFonts w:ascii="Arial" w:eastAsia="Arial" w:hAnsi="Arial" w:cs="Arial"/>
          <w:sz w:val="22"/>
          <w:szCs w:val="22"/>
        </w:rPr>
        <w:t>The proposed Information Security Unit is organised around the five CISA Zero Trust pillars (Identity, Devices, Networks, Applications and Workloads, and Data) rather than around traditional functional silos [4]. Figure 1 shows the structure. The CISO reports to the CEO and chairs the Cyber Security Steering Committee (see Section 2.8).</w:t>
      </w:r>
    </w:p>
    <w:p w14:paraId="75F62CC6" w14:textId="77777777" w:rsidR="00E02B46" w:rsidRDefault="00E02B46" w:rsidP="00526B99">
      <w:pPr>
        <w:spacing w:before="200" w:after="80"/>
        <w:jc w:val="center"/>
      </w:pPr>
    </w:p>
    <w:p w14:paraId="7BEDFF6A" w14:textId="77777777" w:rsidR="00E02B46" w:rsidRDefault="00E02B46" w:rsidP="00526B99">
      <w:pPr>
        <w:spacing w:before="200" w:after="80"/>
        <w:jc w:val="center"/>
      </w:pPr>
    </w:p>
    <w:p w14:paraId="38B654E4" w14:textId="00208DD6" w:rsidR="00526B99" w:rsidRDefault="0000305F" w:rsidP="00526B99">
      <w:pPr>
        <w:spacing w:before="200" w:after="80"/>
        <w:jc w:val="center"/>
      </w:pPr>
      <w:r w:rsidRPr="0000305F">
        <w:rPr>
          <w:noProof/>
        </w:rPr>
        <w:drawing>
          <wp:inline distT="0" distB="0" distL="0" distR="0" wp14:anchorId="6BB74BE1" wp14:editId="2854D0D7">
            <wp:extent cx="5625632" cy="1560044"/>
            <wp:effectExtent l="0" t="0" r="0" b="2540"/>
            <wp:docPr id="1042576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76918" name=""/>
                    <pic:cNvPicPr/>
                  </pic:nvPicPr>
                  <pic:blipFill>
                    <a:blip r:embed="rId15"/>
                    <a:stretch>
                      <a:fillRect/>
                    </a:stretch>
                  </pic:blipFill>
                  <pic:spPr>
                    <a:xfrm>
                      <a:off x="0" y="0"/>
                      <a:ext cx="5669676" cy="1572258"/>
                    </a:xfrm>
                    <a:prstGeom prst="rect">
                      <a:avLst/>
                    </a:prstGeom>
                  </pic:spPr>
                </pic:pic>
              </a:graphicData>
            </a:graphic>
          </wp:inline>
        </w:drawing>
      </w:r>
    </w:p>
    <w:p w14:paraId="65D8EF0A" w14:textId="27ADC8A0" w:rsidR="00E02B46" w:rsidRDefault="00E02B46" w:rsidP="00E02B46">
      <w:pPr>
        <w:spacing w:before="80" w:after="200"/>
        <w:jc w:val="center"/>
        <w:rPr>
          <w:rFonts w:ascii="Arial" w:eastAsia="Arial" w:hAnsi="Arial" w:cs="Arial"/>
          <w:i/>
          <w:iCs/>
          <w:color w:val="595959"/>
          <w:sz w:val="20"/>
          <w:szCs w:val="20"/>
        </w:rPr>
      </w:pPr>
      <w:r w:rsidRPr="00E02B46">
        <w:rPr>
          <w:rFonts w:ascii="Arial" w:eastAsia="Arial" w:hAnsi="Arial" w:cs="Arial"/>
          <w:i/>
          <w:iCs/>
          <w:noProof/>
          <w:color w:val="595959"/>
          <w:sz w:val="20"/>
          <w:szCs w:val="20"/>
        </w:rPr>
        <w:drawing>
          <wp:inline distT="0" distB="0" distL="0" distR="0" wp14:anchorId="1ED94521" wp14:editId="59BCB491">
            <wp:extent cx="4498328" cy="916511"/>
            <wp:effectExtent l="0" t="0" r="0" b="0"/>
            <wp:docPr id="175464849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3085" cy="933780"/>
                    </a:xfrm>
                    <a:prstGeom prst="rect">
                      <a:avLst/>
                    </a:prstGeom>
                    <a:noFill/>
                    <a:ln>
                      <a:noFill/>
                    </a:ln>
                  </pic:spPr>
                </pic:pic>
              </a:graphicData>
            </a:graphic>
          </wp:inline>
        </w:drawing>
      </w:r>
    </w:p>
    <w:p w14:paraId="45E39422" w14:textId="2D711254" w:rsidR="00526B99" w:rsidRDefault="00526B99" w:rsidP="00526B99">
      <w:pPr>
        <w:spacing w:before="80" w:after="200"/>
        <w:jc w:val="center"/>
      </w:pPr>
      <w:r>
        <w:rPr>
          <w:rFonts w:ascii="Arial" w:eastAsia="Arial" w:hAnsi="Arial" w:cs="Arial"/>
          <w:i/>
          <w:iCs/>
          <w:color w:val="595959"/>
          <w:sz w:val="20"/>
          <w:szCs w:val="20"/>
        </w:rPr>
        <w:t>Figure 1. Proposed Information Security Unit organisational chart. Five functional leads report to the CISO; the Cyber Security Steering Committee provides cross-functional governance.</w:t>
      </w:r>
    </w:p>
    <w:p w14:paraId="46B6A602" w14:textId="1B05A6F6" w:rsidR="00526B99" w:rsidRDefault="00526B99" w:rsidP="00526B99">
      <w:pPr>
        <w:spacing w:after="140" w:line="300" w:lineRule="auto"/>
        <w:jc w:val="both"/>
      </w:pPr>
      <w:r>
        <w:rPr>
          <w:rFonts w:ascii="Arial" w:eastAsia="Arial" w:hAnsi="Arial" w:cs="Arial"/>
          <w:sz w:val="22"/>
          <w:szCs w:val="22"/>
        </w:rPr>
        <w:t>The five leads and their justifications are as follows. The Cloud Security Architect owns AWS estate hardening and Cloud Security Posture Management; this is a direct response to the Task 1 finding that cloud misconfiguration remains the single most</w:t>
      </w:r>
      <w:r w:rsidR="00FF3D8E">
        <w:rPr>
          <w:rFonts w:ascii="Arial" w:eastAsia="Arial" w:hAnsi="Arial" w:cs="Arial"/>
          <w:sz w:val="22"/>
          <w:szCs w:val="22"/>
        </w:rPr>
        <w:t xml:space="preserve"> </w:t>
      </w:r>
      <w:r>
        <w:rPr>
          <w:rFonts w:ascii="Arial" w:eastAsia="Arial" w:hAnsi="Arial" w:cs="Arial"/>
          <w:sz w:val="22"/>
          <w:szCs w:val="22"/>
        </w:rPr>
        <w:t>cited root cause of fintech breaches [9]. The DevSecOps Engineering Lead owns secure software</w:t>
      </w:r>
      <w:r w:rsidR="00274B0C">
        <w:rPr>
          <w:rFonts w:ascii="Arial" w:eastAsia="Arial" w:hAnsi="Arial" w:cs="Arial"/>
          <w:sz w:val="22"/>
          <w:szCs w:val="22"/>
        </w:rPr>
        <w:t xml:space="preserve"> </w:t>
      </w:r>
      <w:r>
        <w:rPr>
          <w:rFonts w:ascii="Arial" w:eastAsia="Arial" w:hAnsi="Arial" w:cs="Arial"/>
          <w:sz w:val="22"/>
          <w:szCs w:val="22"/>
        </w:rPr>
        <w:t>development</w:t>
      </w:r>
      <w:r w:rsidR="00274B0C">
        <w:rPr>
          <w:rFonts w:ascii="Arial" w:eastAsia="Arial" w:hAnsi="Arial" w:cs="Arial"/>
          <w:sz w:val="22"/>
          <w:szCs w:val="22"/>
        </w:rPr>
        <w:t xml:space="preserve"> </w:t>
      </w:r>
      <w:r>
        <w:rPr>
          <w:rFonts w:ascii="Arial" w:eastAsia="Arial" w:hAnsi="Arial" w:cs="Arial"/>
          <w:sz w:val="22"/>
          <w:szCs w:val="22"/>
        </w:rPr>
        <w:t>lifecycle integration, which the Task 1 research showed is essential for closing the developer</w:t>
      </w:r>
      <w:r w:rsidR="00274B0C">
        <w:rPr>
          <w:rFonts w:ascii="Arial" w:eastAsia="Arial" w:hAnsi="Arial" w:cs="Arial"/>
          <w:sz w:val="22"/>
          <w:szCs w:val="22"/>
        </w:rPr>
        <w:t xml:space="preserve"> </w:t>
      </w:r>
      <w:r>
        <w:rPr>
          <w:rFonts w:ascii="Arial" w:eastAsia="Arial" w:hAnsi="Arial" w:cs="Arial"/>
          <w:sz w:val="22"/>
          <w:szCs w:val="22"/>
        </w:rPr>
        <w:t>to</w:t>
      </w:r>
      <w:r w:rsidR="00274B0C">
        <w:rPr>
          <w:rFonts w:ascii="Arial" w:eastAsia="Arial" w:hAnsi="Arial" w:cs="Arial"/>
          <w:sz w:val="22"/>
          <w:szCs w:val="22"/>
        </w:rPr>
        <w:t xml:space="preserve"> </w:t>
      </w:r>
      <w:r>
        <w:rPr>
          <w:rFonts w:ascii="Arial" w:eastAsia="Arial" w:hAnsi="Arial" w:cs="Arial"/>
          <w:sz w:val="22"/>
          <w:szCs w:val="22"/>
        </w:rPr>
        <w:t>production attack path [2]. The Data Protection Officer is mandated by Article 37 of the GDPR for organisations processing personal data on the scale Aegis FinTech intends [17]; the role is independent of the CISO line management for the parts of its remit that GDPR requires.</w:t>
      </w:r>
    </w:p>
    <w:p w14:paraId="680B6368" w14:textId="77777777" w:rsidR="00526B99" w:rsidRDefault="00526B99" w:rsidP="00526B99">
      <w:pPr>
        <w:spacing w:after="140" w:line="300" w:lineRule="auto"/>
        <w:jc w:val="both"/>
      </w:pPr>
      <w:r>
        <w:rPr>
          <w:rFonts w:ascii="Arial" w:eastAsia="Arial" w:hAnsi="Arial" w:cs="Arial"/>
          <w:sz w:val="22"/>
          <w:szCs w:val="22"/>
        </w:rPr>
        <w:t>The GRC and Compliance Manager owns the DORA, GDPR and ISO 27001 programme, working directly with Legal. The SOC and Incident Response Lead owns continuous monitoring and the ransomware playbook (Section 2.7). Below this tier, eight specialist roles complete the unit, including two SOC analysts (24/7 coverage requires a minimum rota), a Threat Intelligence Lead, a Privacy Analyst working under the DPO, and a Compliance Analyst leading DORA implementation.</w:t>
      </w:r>
    </w:p>
    <w:p w14:paraId="17F16DF7" w14:textId="77777777" w:rsidR="00526B99" w:rsidRDefault="00526B99" w:rsidP="00526B99">
      <w:pPr>
        <w:spacing w:after="140" w:line="300" w:lineRule="auto"/>
        <w:jc w:val="both"/>
      </w:pPr>
      <w:r>
        <w:rPr>
          <w:rFonts w:ascii="Arial" w:eastAsia="Arial" w:hAnsi="Arial" w:cs="Arial"/>
          <w:sz w:val="22"/>
          <w:szCs w:val="22"/>
        </w:rPr>
        <w:t>Total Year 1 headcount: twelve. Estimated payroll cost: approximately £1.45 million including employer’s national insurance and pensions. Tooling and external assurance budget: £400,000, of which the largest single line item is the SIEM/SOAR platform.</w:t>
      </w:r>
    </w:p>
    <w:p w14:paraId="241466C3" w14:textId="77777777" w:rsidR="00526B99" w:rsidRDefault="00526B99" w:rsidP="00526B99">
      <w:pPr>
        <w:pStyle w:val="Heading1"/>
      </w:pPr>
      <w:bookmarkStart w:id="16" w:name="_Toc232505095"/>
      <w:r>
        <w:rPr>
          <w:rFonts w:ascii="Arial" w:eastAsia="Arial" w:hAnsi="Arial" w:cs="Arial"/>
          <w:b/>
          <w:bCs/>
          <w:color w:val="1F3864"/>
          <w:sz w:val="30"/>
          <w:szCs w:val="30"/>
        </w:rPr>
        <w:t>Task 2.3 – Work-Stream 2: Policy Framework Development</w:t>
      </w:r>
      <w:bookmarkEnd w:id="16"/>
    </w:p>
    <w:p w14:paraId="3DB70C00" w14:textId="77777777" w:rsidR="00526B99" w:rsidRDefault="00526B99" w:rsidP="00526B99">
      <w:pPr>
        <w:spacing w:after="140" w:line="300" w:lineRule="auto"/>
        <w:jc w:val="both"/>
      </w:pPr>
      <w:r>
        <w:rPr>
          <w:rFonts w:ascii="Arial" w:eastAsia="Arial" w:hAnsi="Arial" w:cs="Arial"/>
          <w:sz w:val="22"/>
          <w:szCs w:val="22"/>
        </w:rPr>
        <w:t>Three policies are recommended for immediate executive approval. Each is summarised below. The drafting standard follows NIST SP 800-53 Rev. 5 [18] and ISO 27001:2022 Annex A [3].</w:t>
      </w:r>
    </w:p>
    <w:p w14:paraId="32542894" w14:textId="77777777" w:rsidR="00526B99" w:rsidRDefault="00526B99" w:rsidP="00526B99">
      <w:pPr>
        <w:pStyle w:val="Heading2"/>
      </w:pPr>
      <w:bookmarkStart w:id="17" w:name="_Toc232505096"/>
      <w:r>
        <w:rPr>
          <w:rFonts w:ascii="Arial" w:eastAsia="Arial" w:hAnsi="Arial" w:cs="Arial"/>
          <w:b/>
          <w:bCs/>
          <w:color w:val="2F5496"/>
          <w:sz w:val="26"/>
          <w:szCs w:val="26"/>
        </w:rPr>
        <w:lastRenderedPageBreak/>
        <w:t>Acceptable Use Policy for AI and Cloud Services</w:t>
      </w:r>
      <w:bookmarkEnd w:id="17"/>
    </w:p>
    <w:p w14:paraId="61A581AB" w14:textId="0B559E53" w:rsidR="00526B99" w:rsidRDefault="00526B99" w:rsidP="00526B99">
      <w:pPr>
        <w:spacing w:after="140" w:line="300" w:lineRule="auto"/>
        <w:jc w:val="both"/>
      </w:pPr>
      <w:r>
        <w:rPr>
          <w:rFonts w:ascii="Arial" w:eastAsia="Arial" w:hAnsi="Arial" w:cs="Arial"/>
          <w:sz w:val="22"/>
          <w:szCs w:val="22"/>
        </w:rPr>
        <w:t>This policy defines acceptable use of artificial intelligence tools (including third</w:t>
      </w:r>
      <w:r w:rsidR="00B31265">
        <w:rPr>
          <w:rFonts w:ascii="Arial" w:eastAsia="Arial" w:hAnsi="Arial" w:cs="Arial"/>
          <w:sz w:val="22"/>
          <w:szCs w:val="22"/>
        </w:rPr>
        <w:t xml:space="preserve"> </w:t>
      </w:r>
      <w:r>
        <w:rPr>
          <w:rFonts w:ascii="Arial" w:eastAsia="Arial" w:hAnsi="Arial" w:cs="Arial"/>
          <w:sz w:val="22"/>
          <w:szCs w:val="22"/>
        </w:rPr>
        <w:t>party large language models), software</w:t>
      </w:r>
      <w:r w:rsidR="00033F68">
        <w:rPr>
          <w:rFonts w:ascii="Arial" w:eastAsia="Arial" w:hAnsi="Arial" w:cs="Arial"/>
          <w:sz w:val="22"/>
          <w:szCs w:val="22"/>
        </w:rPr>
        <w:t xml:space="preserve"> </w:t>
      </w:r>
      <w:r>
        <w:rPr>
          <w:rFonts w:ascii="Arial" w:eastAsia="Arial" w:hAnsi="Arial" w:cs="Arial"/>
          <w:sz w:val="22"/>
          <w:szCs w:val="22"/>
        </w:rPr>
        <w:t>as</w:t>
      </w:r>
      <w:r w:rsidR="00033F68">
        <w:rPr>
          <w:rFonts w:ascii="Arial" w:eastAsia="Arial" w:hAnsi="Arial" w:cs="Arial"/>
          <w:sz w:val="22"/>
          <w:szCs w:val="22"/>
        </w:rPr>
        <w:t xml:space="preserve"> </w:t>
      </w:r>
      <w:r>
        <w:rPr>
          <w:rFonts w:ascii="Arial" w:eastAsia="Arial" w:hAnsi="Arial" w:cs="Arial"/>
          <w:sz w:val="22"/>
          <w:szCs w:val="22"/>
        </w:rPr>
        <w:t>a</w:t>
      </w:r>
      <w:r w:rsidR="00033F68">
        <w:rPr>
          <w:rFonts w:ascii="Arial" w:eastAsia="Arial" w:hAnsi="Arial" w:cs="Arial"/>
          <w:sz w:val="22"/>
          <w:szCs w:val="22"/>
        </w:rPr>
        <w:t xml:space="preserve"> </w:t>
      </w:r>
      <w:r>
        <w:rPr>
          <w:rFonts w:ascii="Arial" w:eastAsia="Arial" w:hAnsi="Arial" w:cs="Arial"/>
          <w:sz w:val="22"/>
          <w:szCs w:val="22"/>
        </w:rPr>
        <w:t>service platforms and cloud infrastructure by Aegis FinTech employees and contractors. As Task 1 identified, AI governance is now a recognised compliance gap [16], and Aegis FinTech’s own product depends on AI models that handle financial data. Key clauses prohibit submission of customer personal data or non</w:t>
      </w:r>
      <w:r w:rsidR="00033F68">
        <w:rPr>
          <w:rFonts w:ascii="Arial" w:eastAsia="Arial" w:hAnsi="Arial" w:cs="Arial"/>
          <w:sz w:val="22"/>
          <w:szCs w:val="22"/>
        </w:rPr>
        <w:t xml:space="preserve"> </w:t>
      </w:r>
      <w:r>
        <w:rPr>
          <w:rFonts w:ascii="Arial" w:eastAsia="Arial" w:hAnsi="Arial" w:cs="Arial"/>
          <w:sz w:val="22"/>
          <w:szCs w:val="22"/>
        </w:rPr>
        <w:t>public financial information to public AI services, require all AI use cases to be logged in the AI Use Case Register, and mandate review of model outputs before any use in customer</w:t>
      </w:r>
      <w:r w:rsidR="00033F68">
        <w:rPr>
          <w:rFonts w:ascii="Arial" w:eastAsia="Arial" w:hAnsi="Arial" w:cs="Arial"/>
          <w:sz w:val="22"/>
          <w:szCs w:val="22"/>
        </w:rPr>
        <w:t xml:space="preserve"> </w:t>
      </w:r>
      <w:r>
        <w:rPr>
          <w:rFonts w:ascii="Arial" w:eastAsia="Arial" w:hAnsi="Arial" w:cs="Arial"/>
          <w:sz w:val="22"/>
          <w:szCs w:val="22"/>
        </w:rPr>
        <w:t>facing decisions. The policy aligns with the EU AI Act risk classification published in 2024 [15].</w:t>
      </w:r>
    </w:p>
    <w:p w14:paraId="256C5709" w14:textId="77777777" w:rsidR="00526B99" w:rsidRDefault="00526B99" w:rsidP="00526B99">
      <w:pPr>
        <w:pStyle w:val="Heading2"/>
      </w:pPr>
      <w:bookmarkStart w:id="18" w:name="_Toc232505097"/>
      <w:r>
        <w:rPr>
          <w:rFonts w:ascii="Arial" w:eastAsia="Arial" w:hAnsi="Arial" w:cs="Arial"/>
          <w:b/>
          <w:bCs/>
          <w:color w:val="2F5496"/>
          <w:sz w:val="26"/>
          <w:szCs w:val="26"/>
        </w:rPr>
        <w:t>Hybrid Work and Remote Access Security Policy</w:t>
      </w:r>
      <w:bookmarkEnd w:id="18"/>
    </w:p>
    <w:p w14:paraId="4853CCE9" w14:textId="412ED45B" w:rsidR="00526B99" w:rsidRDefault="00526B99" w:rsidP="00526B99">
      <w:pPr>
        <w:spacing w:after="140" w:line="300" w:lineRule="auto"/>
        <w:jc w:val="both"/>
      </w:pPr>
      <w:r>
        <w:rPr>
          <w:rFonts w:ascii="Arial" w:eastAsia="Arial" w:hAnsi="Arial" w:cs="Arial"/>
          <w:sz w:val="22"/>
          <w:szCs w:val="22"/>
        </w:rPr>
        <w:t>This policy implements the Zero Trust remote</w:t>
      </w:r>
      <w:r w:rsidR="00033F68">
        <w:rPr>
          <w:rFonts w:ascii="Arial" w:eastAsia="Arial" w:hAnsi="Arial" w:cs="Arial"/>
          <w:sz w:val="22"/>
          <w:szCs w:val="22"/>
        </w:rPr>
        <w:t xml:space="preserve"> </w:t>
      </w:r>
      <w:r>
        <w:rPr>
          <w:rFonts w:ascii="Arial" w:eastAsia="Arial" w:hAnsi="Arial" w:cs="Arial"/>
          <w:sz w:val="22"/>
          <w:szCs w:val="22"/>
        </w:rPr>
        <w:t>access controls justified by Task 1. All remote access must be brokered through the approved ZTNA gateway; the legacy VPN will be decommissioned within six months. Device posture (encryption, patch state, EDR running) must be verified at each connection [5]. The policy also covers acceptable use of personal devices for work, in line with NCSC bring</w:t>
      </w:r>
      <w:r w:rsidR="00E70AD1">
        <w:rPr>
          <w:rFonts w:ascii="Arial" w:eastAsia="Arial" w:hAnsi="Arial" w:cs="Arial"/>
          <w:sz w:val="22"/>
          <w:szCs w:val="22"/>
        </w:rPr>
        <w:t xml:space="preserve"> </w:t>
      </w:r>
      <w:r>
        <w:rPr>
          <w:rFonts w:ascii="Arial" w:eastAsia="Arial" w:hAnsi="Arial" w:cs="Arial"/>
          <w:sz w:val="22"/>
          <w:szCs w:val="22"/>
        </w:rPr>
        <w:t>your</w:t>
      </w:r>
      <w:r w:rsidR="00E70AD1">
        <w:rPr>
          <w:rFonts w:ascii="Arial" w:eastAsia="Arial" w:hAnsi="Arial" w:cs="Arial"/>
          <w:sz w:val="22"/>
          <w:szCs w:val="22"/>
        </w:rPr>
        <w:t xml:space="preserve"> </w:t>
      </w:r>
      <w:r>
        <w:rPr>
          <w:rFonts w:ascii="Arial" w:eastAsia="Arial" w:hAnsi="Arial" w:cs="Arial"/>
          <w:sz w:val="22"/>
          <w:szCs w:val="22"/>
        </w:rPr>
        <w:t>own</w:t>
      </w:r>
      <w:r w:rsidR="00E70AD1">
        <w:rPr>
          <w:rFonts w:ascii="Arial" w:eastAsia="Arial" w:hAnsi="Arial" w:cs="Arial"/>
          <w:sz w:val="22"/>
          <w:szCs w:val="22"/>
        </w:rPr>
        <w:t xml:space="preserve"> </w:t>
      </w:r>
      <w:r>
        <w:rPr>
          <w:rFonts w:ascii="Arial" w:eastAsia="Arial" w:hAnsi="Arial" w:cs="Arial"/>
          <w:sz w:val="22"/>
          <w:szCs w:val="22"/>
        </w:rPr>
        <w:t>device guidance [15].</w:t>
      </w:r>
    </w:p>
    <w:p w14:paraId="51E8DBEA" w14:textId="77777777" w:rsidR="00526B99" w:rsidRDefault="00526B99" w:rsidP="00526B99">
      <w:pPr>
        <w:pStyle w:val="Heading2"/>
      </w:pPr>
      <w:bookmarkStart w:id="19" w:name="_Toc232505098"/>
      <w:r>
        <w:rPr>
          <w:rFonts w:ascii="Arial" w:eastAsia="Arial" w:hAnsi="Arial" w:cs="Arial"/>
          <w:b/>
          <w:bCs/>
          <w:color w:val="2F5496"/>
          <w:sz w:val="26"/>
          <w:szCs w:val="26"/>
        </w:rPr>
        <w:t>Third-Party and Cloud Vendor Risk Management Policy</w:t>
      </w:r>
      <w:bookmarkEnd w:id="19"/>
    </w:p>
    <w:p w14:paraId="6D496E9B" w14:textId="64777B14" w:rsidR="00526B99" w:rsidRDefault="00526B99" w:rsidP="00526B99">
      <w:pPr>
        <w:spacing w:after="140" w:line="300" w:lineRule="auto"/>
        <w:jc w:val="both"/>
      </w:pPr>
      <w:r>
        <w:rPr>
          <w:rFonts w:ascii="Arial" w:eastAsia="Arial" w:hAnsi="Arial" w:cs="Arial"/>
          <w:sz w:val="22"/>
          <w:szCs w:val="22"/>
        </w:rPr>
        <w:t>This policy operationalises the Task 1 finding that supply</w:t>
      </w:r>
      <w:r w:rsidR="00E70AD1">
        <w:rPr>
          <w:rFonts w:ascii="Arial" w:eastAsia="Arial" w:hAnsi="Arial" w:cs="Arial"/>
          <w:sz w:val="22"/>
          <w:szCs w:val="22"/>
        </w:rPr>
        <w:t xml:space="preserve"> </w:t>
      </w:r>
      <w:r>
        <w:rPr>
          <w:rFonts w:ascii="Arial" w:eastAsia="Arial" w:hAnsi="Arial" w:cs="Arial"/>
          <w:sz w:val="22"/>
          <w:szCs w:val="22"/>
        </w:rPr>
        <w:t>chain compromise is one of the most damaging attack vectors against fintech [10], [13]. All SaaS vendors handling Aegis FinTech data must complete a security assessment before contract; vendors processing personal data must additionally sign a GDPR Article 28 data processing agreement [17]. High</w:t>
      </w:r>
      <w:r w:rsidR="002F46BF">
        <w:rPr>
          <w:rFonts w:ascii="Arial" w:eastAsia="Arial" w:hAnsi="Arial" w:cs="Arial"/>
          <w:sz w:val="22"/>
          <w:szCs w:val="22"/>
        </w:rPr>
        <w:t xml:space="preserve"> </w:t>
      </w:r>
      <w:r>
        <w:rPr>
          <w:rFonts w:ascii="Arial" w:eastAsia="Arial" w:hAnsi="Arial" w:cs="Arial"/>
          <w:sz w:val="22"/>
          <w:szCs w:val="22"/>
        </w:rPr>
        <w:t>risk vendors (those with access to production systems or PII) must demonstrate ISO 27001:2022 certification or equivalent and re</w:t>
      </w:r>
      <w:r w:rsidR="002F46BF">
        <w:rPr>
          <w:rFonts w:ascii="Arial" w:eastAsia="Arial" w:hAnsi="Arial" w:cs="Arial"/>
          <w:sz w:val="22"/>
          <w:szCs w:val="22"/>
        </w:rPr>
        <w:t xml:space="preserve"> </w:t>
      </w:r>
      <w:r>
        <w:rPr>
          <w:rFonts w:ascii="Arial" w:eastAsia="Arial" w:hAnsi="Arial" w:cs="Arial"/>
          <w:sz w:val="22"/>
          <w:szCs w:val="22"/>
        </w:rPr>
        <w:t>attest annually.</w:t>
      </w:r>
    </w:p>
    <w:p w14:paraId="35251EE7" w14:textId="77777777" w:rsidR="00526B99" w:rsidRDefault="00526B99" w:rsidP="00526B99">
      <w:pPr>
        <w:pStyle w:val="Heading1"/>
      </w:pPr>
      <w:bookmarkStart w:id="20" w:name="_Toc232505099"/>
      <w:r>
        <w:rPr>
          <w:rFonts w:ascii="Arial" w:eastAsia="Arial" w:hAnsi="Arial" w:cs="Arial"/>
          <w:b/>
          <w:bCs/>
          <w:color w:val="1F3864"/>
          <w:sz w:val="30"/>
          <w:szCs w:val="30"/>
        </w:rPr>
        <w:t>Task 2.4 – Work-Stream 3: Regulatory Compliance Strategy</w:t>
      </w:r>
      <w:bookmarkEnd w:id="20"/>
    </w:p>
    <w:p w14:paraId="6C1F61A7" w14:textId="77777777" w:rsidR="00526B99" w:rsidRDefault="00526B99" w:rsidP="00526B99">
      <w:pPr>
        <w:spacing w:after="140" w:line="300" w:lineRule="auto"/>
        <w:jc w:val="both"/>
      </w:pPr>
      <w:r>
        <w:rPr>
          <w:rFonts w:ascii="Arial" w:eastAsia="Arial" w:hAnsi="Arial" w:cs="Arial"/>
          <w:sz w:val="22"/>
          <w:szCs w:val="22"/>
        </w:rPr>
        <w:t>Two regulations dominate Aegis FinTech’s compliance position: GDPR (effective since 2018, covering personal data) and DORA (effective from 17 January 2025, covering ICT operational resilience in EU financial services). The compliance roadmap below combines both.</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2000"/>
        <w:gridCol w:w="3000"/>
        <w:gridCol w:w="2600"/>
      </w:tblGrid>
      <w:tr w:rsidR="00526B99" w14:paraId="367A7139" w14:textId="77777777" w:rsidTr="00206844">
        <w:trPr>
          <w:tblHeader/>
        </w:trPr>
        <w:tc>
          <w:tcPr>
            <w:tcW w:w="14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AF2266D" w14:textId="77777777" w:rsidR="00526B99" w:rsidRDefault="00526B99" w:rsidP="00206844">
            <w:r>
              <w:rPr>
                <w:rFonts w:ascii="Arial" w:eastAsia="Arial" w:hAnsi="Arial" w:cs="Arial"/>
                <w:b/>
                <w:bCs/>
                <w:sz w:val="18"/>
                <w:szCs w:val="18"/>
              </w:rPr>
              <w:t>Quarter</w:t>
            </w:r>
          </w:p>
        </w:tc>
        <w:tc>
          <w:tcPr>
            <w:tcW w:w="20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6B8E6AA" w14:textId="77777777" w:rsidR="00526B99" w:rsidRDefault="00526B99" w:rsidP="00206844">
            <w:r>
              <w:rPr>
                <w:rFonts w:ascii="Arial" w:eastAsia="Arial" w:hAnsi="Arial" w:cs="Arial"/>
                <w:b/>
                <w:bCs/>
                <w:sz w:val="18"/>
                <w:szCs w:val="18"/>
              </w:rPr>
              <w:t>Regulation</w:t>
            </w:r>
          </w:p>
        </w:tc>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7E75AAAC" w14:textId="77777777" w:rsidR="00526B99" w:rsidRDefault="00526B99" w:rsidP="00206844">
            <w:r>
              <w:rPr>
                <w:rFonts w:ascii="Arial" w:eastAsia="Arial" w:hAnsi="Arial" w:cs="Arial"/>
                <w:b/>
                <w:bCs/>
                <w:sz w:val="18"/>
                <w:szCs w:val="18"/>
              </w:rPr>
              <w:t>Milestone</w:t>
            </w:r>
          </w:p>
        </w:tc>
        <w:tc>
          <w:tcPr>
            <w:tcW w:w="26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3217B0E" w14:textId="77777777" w:rsidR="00526B99" w:rsidRDefault="00526B99" w:rsidP="00206844">
            <w:r>
              <w:rPr>
                <w:rFonts w:ascii="Arial" w:eastAsia="Arial" w:hAnsi="Arial" w:cs="Arial"/>
                <w:b/>
                <w:bCs/>
                <w:sz w:val="18"/>
                <w:szCs w:val="18"/>
              </w:rPr>
              <w:t>Evidence / Reference</w:t>
            </w:r>
          </w:p>
        </w:tc>
      </w:tr>
      <w:tr w:rsidR="00526B99" w14:paraId="38C2367A"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25666D6" w14:textId="77777777" w:rsidR="00526B99" w:rsidRDefault="00526B99" w:rsidP="00206844">
            <w:r>
              <w:rPr>
                <w:rFonts w:ascii="Arial" w:eastAsia="Arial" w:hAnsi="Arial" w:cs="Arial"/>
                <w:b/>
                <w:bCs/>
                <w:sz w:val="18"/>
                <w:szCs w:val="18"/>
              </w:rPr>
              <w:t>Q1</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7B3E308" w14:textId="77777777" w:rsidR="00526B99" w:rsidRDefault="00526B99" w:rsidP="00206844">
            <w:r>
              <w:rPr>
                <w:rFonts w:ascii="Arial" w:eastAsia="Arial" w:hAnsi="Arial" w:cs="Arial"/>
                <w:sz w:val="18"/>
                <w:szCs w:val="18"/>
              </w:rPr>
              <w:t>GDPR</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B1961BA" w14:textId="77777777" w:rsidR="00526B99" w:rsidRDefault="00526B99" w:rsidP="00206844">
            <w:r>
              <w:rPr>
                <w:rFonts w:ascii="Arial" w:eastAsia="Arial" w:hAnsi="Arial" w:cs="Arial"/>
                <w:sz w:val="18"/>
                <w:szCs w:val="18"/>
              </w:rPr>
              <w:t>Appoint Data Protection Officer; publish Records of Processing Activities</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7C702C6" w14:textId="77777777" w:rsidR="00526B99" w:rsidRDefault="00526B99" w:rsidP="00206844">
            <w:r>
              <w:rPr>
                <w:rFonts w:ascii="Arial" w:eastAsia="Arial" w:hAnsi="Arial" w:cs="Arial"/>
                <w:sz w:val="18"/>
                <w:szCs w:val="18"/>
              </w:rPr>
              <w:t>Articles 30, 37 [17]</w:t>
            </w:r>
          </w:p>
        </w:tc>
      </w:tr>
      <w:tr w:rsidR="00526B99" w14:paraId="5B6341FC"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DB0CA47" w14:textId="77777777" w:rsidR="00526B99" w:rsidRDefault="00526B99" w:rsidP="00206844">
            <w:r>
              <w:rPr>
                <w:rFonts w:ascii="Arial" w:eastAsia="Arial" w:hAnsi="Arial" w:cs="Arial"/>
                <w:b/>
                <w:bCs/>
                <w:sz w:val="18"/>
                <w:szCs w:val="18"/>
              </w:rPr>
              <w:t>Q1</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24CC51B"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632894E" w14:textId="77777777" w:rsidR="00526B99" w:rsidRDefault="00526B99" w:rsidP="00206844">
            <w:r>
              <w:rPr>
                <w:rFonts w:ascii="Arial" w:eastAsia="Arial" w:hAnsi="Arial" w:cs="Arial"/>
                <w:sz w:val="18"/>
                <w:szCs w:val="18"/>
              </w:rPr>
              <w:t>Document ICT risk management framework and Board-approved governance</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BCA4FC6" w14:textId="77777777" w:rsidR="00526B99" w:rsidRDefault="00526B99" w:rsidP="00206844">
            <w:r>
              <w:rPr>
                <w:rFonts w:ascii="Arial" w:eastAsia="Arial" w:hAnsi="Arial" w:cs="Arial"/>
                <w:sz w:val="18"/>
                <w:szCs w:val="18"/>
              </w:rPr>
              <w:t>DORA Articles 5–6 [14]</w:t>
            </w:r>
          </w:p>
        </w:tc>
      </w:tr>
      <w:tr w:rsidR="00526B99" w14:paraId="39F054E0"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9E73F56" w14:textId="77777777" w:rsidR="00526B99" w:rsidRDefault="00526B99" w:rsidP="00206844">
            <w:r>
              <w:rPr>
                <w:rFonts w:ascii="Arial" w:eastAsia="Arial" w:hAnsi="Arial" w:cs="Arial"/>
                <w:b/>
                <w:bCs/>
                <w:sz w:val="18"/>
                <w:szCs w:val="18"/>
              </w:rPr>
              <w:t>Q2</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775711B" w14:textId="77777777" w:rsidR="00526B99" w:rsidRDefault="00526B99" w:rsidP="00206844">
            <w:r>
              <w:rPr>
                <w:rFonts w:ascii="Arial" w:eastAsia="Arial" w:hAnsi="Arial" w:cs="Arial"/>
                <w:sz w:val="18"/>
                <w:szCs w:val="18"/>
              </w:rPr>
              <w:t>GDPR</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F80C863" w14:textId="77777777" w:rsidR="00526B99" w:rsidRDefault="00526B99" w:rsidP="00206844">
            <w:r>
              <w:rPr>
                <w:rFonts w:ascii="Arial" w:eastAsia="Arial" w:hAnsi="Arial" w:cs="Arial"/>
                <w:sz w:val="18"/>
                <w:szCs w:val="18"/>
              </w:rPr>
              <w:t>Data Protection Impact Assessment for AI analytics platform completed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A9464EA" w14:textId="77777777" w:rsidR="00526B99" w:rsidRDefault="00526B99" w:rsidP="00206844">
            <w:r>
              <w:rPr>
                <w:rFonts w:ascii="Arial" w:eastAsia="Arial" w:hAnsi="Arial" w:cs="Arial"/>
                <w:sz w:val="18"/>
                <w:szCs w:val="18"/>
              </w:rPr>
              <w:t>Article 35 [17]</w:t>
            </w:r>
          </w:p>
        </w:tc>
      </w:tr>
      <w:tr w:rsidR="00526B99" w14:paraId="64E21635"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3F4F67B" w14:textId="77777777" w:rsidR="00526B99" w:rsidRDefault="00526B99" w:rsidP="00206844">
            <w:r>
              <w:rPr>
                <w:rFonts w:ascii="Arial" w:eastAsia="Arial" w:hAnsi="Arial" w:cs="Arial"/>
                <w:b/>
                <w:bCs/>
                <w:sz w:val="18"/>
                <w:szCs w:val="18"/>
              </w:rPr>
              <w:t>Q2</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7A0B61B"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B771973" w14:textId="77777777" w:rsidR="00526B99" w:rsidRDefault="00526B99" w:rsidP="00206844">
            <w:r>
              <w:rPr>
                <w:rFonts w:ascii="Arial" w:eastAsia="Arial" w:hAnsi="Arial" w:cs="Arial"/>
                <w:sz w:val="18"/>
                <w:szCs w:val="18"/>
              </w:rPr>
              <w:t>ICT incident classification and reporting procedures operational</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318437E" w14:textId="77777777" w:rsidR="00526B99" w:rsidRDefault="00526B99" w:rsidP="00206844">
            <w:r>
              <w:rPr>
                <w:rFonts w:ascii="Arial" w:eastAsia="Arial" w:hAnsi="Arial" w:cs="Arial"/>
                <w:sz w:val="18"/>
                <w:szCs w:val="18"/>
              </w:rPr>
              <w:t>DORA Articles 17–18 [14]</w:t>
            </w:r>
          </w:p>
        </w:tc>
      </w:tr>
      <w:tr w:rsidR="00526B99" w14:paraId="5F3507DC"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07ADC80" w14:textId="77777777" w:rsidR="00526B99" w:rsidRDefault="00526B99" w:rsidP="00206844">
            <w:r>
              <w:rPr>
                <w:rFonts w:ascii="Arial" w:eastAsia="Arial" w:hAnsi="Arial" w:cs="Arial"/>
                <w:b/>
                <w:bCs/>
                <w:sz w:val="18"/>
                <w:szCs w:val="18"/>
              </w:rPr>
              <w:lastRenderedPageBreak/>
              <w:t>Q3</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469EDE6"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ED84A66" w14:textId="77777777" w:rsidR="00526B99" w:rsidRDefault="00526B99" w:rsidP="00206844">
            <w:r>
              <w:rPr>
                <w:rFonts w:ascii="Arial" w:eastAsia="Arial" w:hAnsi="Arial" w:cs="Arial"/>
                <w:sz w:val="18"/>
                <w:szCs w:val="18"/>
              </w:rPr>
              <w:t>Critical third-party register published; vendor contracts amended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AAB0D97" w14:textId="77777777" w:rsidR="00526B99" w:rsidRDefault="00526B99" w:rsidP="00206844">
            <w:r>
              <w:rPr>
                <w:rFonts w:ascii="Arial" w:eastAsia="Arial" w:hAnsi="Arial" w:cs="Arial"/>
                <w:sz w:val="18"/>
                <w:szCs w:val="18"/>
              </w:rPr>
              <w:t>DORA Articles 28–30 [14]</w:t>
            </w:r>
          </w:p>
        </w:tc>
      </w:tr>
      <w:tr w:rsidR="00526B99" w14:paraId="76E0A486"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07B70FF" w14:textId="77777777" w:rsidR="00526B99" w:rsidRDefault="00526B99" w:rsidP="00206844">
            <w:r>
              <w:rPr>
                <w:rFonts w:ascii="Arial" w:eastAsia="Arial" w:hAnsi="Arial" w:cs="Arial"/>
                <w:b/>
                <w:bCs/>
                <w:sz w:val="18"/>
                <w:szCs w:val="18"/>
              </w:rPr>
              <w:t>Q4</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AAA9397"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CED0776" w14:textId="77777777" w:rsidR="00526B99" w:rsidRDefault="00526B99" w:rsidP="00206844">
            <w:r>
              <w:rPr>
                <w:rFonts w:ascii="Arial" w:eastAsia="Arial" w:hAnsi="Arial" w:cs="Arial"/>
                <w:sz w:val="18"/>
                <w:szCs w:val="18"/>
              </w:rPr>
              <w:t>First Threat-Led Penetration Test (TLPT) commissioned; resilience testing programme established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C43FA28" w14:textId="77777777" w:rsidR="00526B99" w:rsidRDefault="00526B99" w:rsidP="00206844">
            <w:r>
              <w:rPr>
                <w:rFonts w:ascii="Arial" w:eastAsia="Arial" w:hAnsi="Arial" w:cs="Arial"/>
                <w:sz w:val="18"/>
                <w:szCs w:val="18"/>
              </w:rPr>
              <w:t>DORA Articles 24–26 [14]</w:t>
            </w:r>
          </w:p>
        </w:tc>
      </w:tr>
      <w:tr w:rsidR="00526B99" w14:paraId="44E11040"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3149A46" w14:textId="77777777" w:rsidR="00526B99" w:rsidRDefault="00526B99" w:rsidP="00206844">
            <w:r>
              <w:rPr>
                <w:rFonts w:ascii="Arial" w:eastAsia="Arial" w:hAnsi="Arial" w:cs="Arial"/>
                <w:b/>
                <w:bCs/>
                <w:sz w:val="18"/>
                <w:szCs w:val="18"/>
              </w:rPr>
              <w:t>Q4</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86F30FD" w14:textId="77777777" w:rsidR="00526B99" w:rsidRDefault="00526B99" w:rsidP="00206844">
            <w:r>
              <w:rPr>
                <w:rFonts w:ascii="Arial" w:eastAsia="Arial" w:hAnsi="Arial" w:cs="Arial"/>
                <w:sz w:val="18"/>
                <w:szCs w:val="18"/>
              </w:rPr>
              <w:t>Both</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CB757A5" w14:textId="77777777" w:rsidR="00526B99" w:rsidRDefault="00526B99" w:rsidP="00206844">
            <w:r>
              <w:rPr>
                <w:rFonts w:ascii="Arial" w:eastAsia="Arial" w:hAnsi="Arial" w:cs="Arial"/>
                <w:sz w:val="18"/>
                <w:szCs w:val="18"/>
              </w:rPr>
              <w:t>External assurance: ISO 27001:2022 stage-1 audit booked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0AA0079" w14:textId="77777777" w:rsidR="00526B99" w:rsidRDefault="00526B99" w:rsidP="00206844">
            <w:r>
              <w:rPr>
                <w:rFonts w:ascii="Arial" w:eastAsia="Arial" w:hAnsi="Arial" w:cs="Arial"/>
                <w:sz w:val="18"/>
                <w:szCs w:val="18"/>
              </w:rPr>
              <w:t>ISO 27001:2022 [3]</w:t>
            </w:r>
          </w:p>
        </w:tc>
      </w:tr>
    </w:tbl>
    <w:p w14:paraId="09394F7B" w14:textId="77777777" w:rsidR="00526B99" w:rsidRDefault="00526B99" w:rsidP="00526B99">
      <w:pPr>
        <w:spacing w:before="80" w:after="200"/>
        <w:jc w:val="center"/>
      </w:pPr>
      <w:r>
        <w:rPr>
          <w:rFonts w:ascii="Arial" w:eastAsia="Arial" w:hAnsi="Arial" w:cs="Arial"/>
          <w:i/>
          <w:iCs/>
          <w:color w:val="595959"/>
          <w:sz w:val="20"/>
          <w:szCs w:val="20"/>
        </w:rPr>
        <w:t>Table 1. Compliance roadmap aligning GDPR and DORA milestones over the first twelve months. DORA enforcement began on 17 January 2025; all DORA items target completion ahead of the EU service launch.</w:t>
      </w:r>
    </w:p>
    <w:p w14:paraId="76AAC832" w14:textId="24DDC51A" w:rsidR="00526B99" w:rsidRDefault="00526B99" w:rsidP="00526B99">
      <w:pPr>
        <w:spacing w:after="140" w:line="300" w:lineRule="auto"/>
        <w:jc w:val="both"/>
      </w:pPr>
      <w:r>
        <w:rPr>
          <w:rFonts w:ascii="Arial" w:eastAsia="Arial" w:hAnsi="Arial" w:cs="Arial"/>
          <w:sz w:val="22"/>
          <w:szCs w:val="22"/>
        </w:rPr>
        <w:t>Particular attention has been given to DORA’s Articles 28–30 on critical third</w:t>
      </w:r>
      <w:r w:rsidR="002F46BF">
        <w:rPr>
          <w:rFonts w:ascii="Arial" w:eastAsia="Arial" w:hAnsi="Arial" w:cs="Arial"/>
          <w:sz w:val="22"/>
          <w:szCs w:val="22"/>
        </w:rPr>
        <w:t xml:space="preserve"> </w:t>
      </w:r>
      <w:r>
        <w:rPr>
          <w:rFonts w:ascii="Arial" w:eastAsia="Arial" w:hAnsi="Arial" w:cs="Arial"/>
          <w:sz w:val="22"/>
          <w:szCs w:val="22"/>
        </w:rPr>
        <w:t>party providers, because the platform depends on AWS and on third</w:t>
      </w:r>
      <w:r w:rsidR="002F46BF">
        <w:rPr>
          <w:rFonts w:ascii="Arial" w:eastAsia="Arial" w:hAnsi="Arial" w:cs="Arial"/>
          <w:sz w:val="22"/>
          <w:szCs w:val="22"/>
        </w:rPr>
        <w:t xml:space="preserve"> </w:t>
      </w:r>
      <w:r>
        <w:rPr>
          <w:rFonts w:ascii="Arial" w:eastAsia="Arial" w:hAnsi="Arial" w:cs="Arial"/>
          <w:sz w:val="22"/>
          <w:szCs w:val="22"/>
        </w:rPr>
        <w:t>party AI inference services. Both will be classified as critical ICT third</w:t>
      </w:r>
      <w:r w:rsidR="00416CB0">
        <w:rPr>
          <w:rFonts w:ascii="Arial" w:eastAsia="Arial" w:hAnsi="Arial" w:cs="Arial"/>
          <w:sz w:val="22"/>
          <w:szCs w:val="22"/>
        </w:rPr>
        <w:t xml:space="preserve"> </w:t>
      </w:r>
      <w:r>
        <w:rPr>
          <w:rFonts w:ascii="Arial" w:eastAsia="Arial" w:hAnsi="Arial" w:cs="Arial"/>
          <w:sz w:val="22"/>
          <w:szCs w:val="22"/>
        </w:rPr>
        <w:t>party providers under the regulation. The Q3 milestone captures the contractual and operational work that classification triggers [14].</w:t>
      </w:r>
    </w:p>
    <w:p w14:paraId="10CF0DF1" w14:textId="77777777" w:rsidR="00526B99" w:rsidRDefault="00526B99" w:rsidP="00526B99">
      <w:pPr>
        <w:pStyle w:val="Heading1"/>
      </w:pPr>
      <w:bookmarkStart w:id="21" w:name="_Toc232505100"/>
      <w:r>
        <w:rPr>
          <w:rFonts w:ascii="Arial" w:eastAsia="Arial" w:hAnsi="Arial" w:cs="Arial"/>
          <w:b/>
          <w:bCs/>
          <w:color w:val="1F3864"/>
          <w:sz w:val="30"/>
          <w:szCs w:val="30"/>
        </w:rPr>
        <w:t>Task 2.5 – Work-Stream 4: Technical Standards and Architecture</w:t>
      </w:r>
      <w:bookmarkEnd w:id="21"/>
    </w:p>
    <w:p w14:paraId="7256A00D" w14:textId="2C29A132" w:rsidR="00526B99" w:rsidRDefault="00526B99" w:rsidP="00526B99">
      <w:pPr>
        <w:spacing w:after="140" w:line="300" w:lineRule="auto"/>
        <w:jc w:val="both"/>
      </w:pPr>
      <w:r>
        <w:rPr>
          <w:rFonts w:ascii="Arial" w:eastAsia="Arial" w:hAnsi="Arial" w:cs="Arial"/>
          <w:sz w:val="22"/>
          <w:szCs w:val="22"/>
        </w:rPr>
        <w:t>The core security framework for Aegis FinTech will be the NIST Cybersecurity Framework version 2.0, published in February 2024 [19], with the underlying control set drawn from NIST SP 800-53 Rev. 5 [18]. NIST CSF 2.0 has been chosen over ISO 27001:2022 [3] as the primary framework for three reasons. First, it is the framework the Task 1 research aligned to. Second, its new Govern function maps directly onto DORA’s governance requirements, which simplifies dual reporting [14]. Third, it is the framework most commonly required by US</w:t>
      </w:r>
      <w:r w:rsidR="00A90CC5">
        <w:rPr>
          <w:rFonts w:ascii="Arial" w:eastAsia="Arial" w:hAnsi="Arial" w:cs="Arial"/>
          <w:sz w:val="22"/>
          <w:szCs w:val="22"/>
        </w:rPr>
        <w:t xml:space="preserve"> </w:t>
      </w:r>
      <w:r>
        <w:rPr>
          <w:rFonts w:ascii="Arial" w:eastAsia="Arial" w:hAnsi="Arial" w:cs="Arial"/>
          <w:sz w:val="22"/>
          <w:szCs w:val="22"/>
        </w:rPr>
        <w:t>based fintech investors, which matters for the Series B raise. ISO 27001:2022 will still be pursued as a certification track because European customers expect it.</w:t>
      </w:r>
    </w:p>
    <w:p w14:paraId="00471A32" w14:textId="03984265" w:rsidR="00526B99" w:rsidRDefault="00526B99" w:rsidP="00526B99">
      <w:pPr>
        <w:spacing w:after="140" w:line="300" w:lineRule="auto"/>
        <w:jc w:val="both"/>
      </w:pPr>
      <w:r>
        <w:rPr>
          <w:rFonts w:ascii="Arial" w:eastAsia="Arial" w:hAnsi="Arial" w:cs="Arial"/>
          <w:sz w:val="22"/>
          <w:szCs w:val="22"/>
        </w:rPr>
        <w:t>The proposed Year 1 target</w:t>
      </w:r>
      <w:r w:rsidR="00DB7DA0">
        <w:rPr>
          <w:rFonts w:ascii="Arial" w:eastAsia="Arial" w:hAnsi="Arial" w:cs="Arial"/>
          <w:sz w:val="22"/>
          <w:szCs w:val="22"/>
        </w:rPr>
        <w:t xml:space="preserve"> </w:t>
      </w:r>
      <w:r>
        <w:rPr>
          <w:rFonts w:ascii="Arial" w:eastAsia="Arial" w:hAnsi="Arial" w:cs="Arial"/>
          <w:sz w:val="22"/>
          <w:szCs w:val="22"/>
        </w:rPr>
        <w:t>state architecture is shown in Figure 2. It implements the two-plane model from NIST SP 800-207 [1]: a control plane that makes per-request access decisions, and a data plane that carries them out. Identity is the foundation; without it, the rest of the architecture has nothing to decide on.</w:t>
      </w:r>
    </w:p>
    <w:p w14:paraId="42C4B33A" w14:textId="77777777" w:rsidR="00526B99" w:rsidRDefault="00526B99" w:rsidP="00526B99">
      <w:pPr>
        <w:spacing w:before="200" w:after="80"/>
        <w:jc w:val="center"/>
      </w:pPr>
      <w:r>
        <w:rPr>
          <w:noProof/>
        </w:rPr>
        <w:lastRenderedPageBreak/>
        <w:drawing>
          <wp:inline distT="0" distB="0" distL="0" distR="0" wp14:anchorId="72D08FEB" wp14:editId="462E0E2D">
            <wp:extent cx="5143500" cy="3219450"/>
            <wp:effectExtent l="0" t="0" r="0" b="0"/>
            <wp:docPr id="1040782501" name="Picture 104078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143500" cy="3219450"/>
                    </a:xfrm>
                    <a:prstGeom prst="rect">
                      <a:avLst/>
                    </a:prstGeom>
                  </pic:spPr>
                </pic:pic>
              </a:graphicData>
            </a:graphic>
          </wp:inline>
        </w:drawing>
      </w:r>
    </w:p>
    <w:p w14:paraId="0F1C815B" w14:textId="10F75F40" w:rsidR="00526B99" w:rsidRDefault="00526B99" w:rsidP="00526B99">
      <w:pPr>
        <w:spacing w:before="80" w:after="200"/>
        <w:jc w:val="center"/>
      </w:pPr>
      <w:r>
        <w:rPr>
          <w:rFonts w:ascii="Arial" w:eastAsia="Arial" w:hAnsi="Arial" w:cs="Arial"/>
          <w:i/>
          <w:iCs/>
          <w:color w:val="595959"/>
          <w:sz w:val="20"/>
          <w:szCs w:val="20"/>
        </w:rPr>
        <w:t>Figure 2. Proposed Zero Trust target architecture for Aegis FinTech. The control plane (centre) makes per</w:t>
      </w:r>
      <w:r w:rsidR="00DB7DA0">
        <w:rPr>
          <w:rFonts w:ascii="Arial" w:eastAsia="Arial" w:hAnsi="Arial" w:cs="Arial"/>
          <w:i/>
          <w:iCs/>
          <w:color w:val="595959"/>
          <w:sz w:val="20"/>
          <w:szCs w:val="20"/>
        </w:rPr>
        <w:t xml:space="preserve"> </w:t>
      </w:r>
      <w:r>
        <w:rPr>
          <w:rFonts w:ascii="Arial" w:eastAsia="Arial" w:hAnsi="Arial" w:cs="Arial"/>
          <w:i/>
          <w:iCs/>
          <w:color w:val="595959"/>
          <w:sz w:val="20"/>
          <w:szCs w:val="20"/>
        </w:rPr>
        <w:t>request decisions for every interaction between identities (left) and resources (right). All east-west traffic is inspected, immutable backups satisfy DORA Article 12, and continuous monitoring feeds the NIST CSF Detect and Respond functions [4], [14], [19].</w:t>
      </w:r>
    </w:p>
    <w:p w14:paraId="539B3448" w14:textId="5A685960" w:rsidR="00526B99" w:rsidRDefault="00526B99" w:rsidP="00526B99">
      <w:pPr>
        <w:spacing w:after="140" w:line="300" w:lineRule="auto"/>
        <w:jc w:val="both"/>
      </w:pPr>
      <w:r>
        <w:rPr>
          <w:rFonts w:ascii="Arial" w:eastAsia="Arial" w:hAnsi="Arial" w:cs="Arial"/>
          <w:sz w:val="22"/>
          <w:szCs w:val="22"/>
        </w:rPr>
        <w:t>Five components form the core of the architecture. The Identity Provider with multi</w:t>
      </w:r>
      <w:r w:rsidR="00395D18">
        <w:rPr>
          <w:rFonts w:ascii="Arial" w:eastAsia="Arial" w:hAnsi="Arial" w:cs="Arial"/>
          <w:sz w:val="22"/>
          <w:szCs w:val="22"/>
        </w:rPr>
        <w:t xml:space="preserve"> </w:t>
      </w:r>
      <w:r>
        <w:rPr>
          <w:rFonts w:ascii="Arial" w:eastAsia="Arial" w:hAnsi="Arial" w:cs="Arial"/>
          <w:sz w:val="22"/>
          <w:szCs w:val="22"/>
        </w:rPr>
        <w:t>factor authentication is the entry point for every access decision. The Policy Decision Point evaluates each request against current signals (user, device posture, location, threat intelligence). The ZTNA/SASE gateway enforces those decisions at the network edge. The Cloud Security Posture Management and Cloud Workload Protection Platform components continuously assess the AWS estate and the workloads running on it, addressing the misconfiguration risk identified in the Task 1 research [9]. The Security Information and Event Management platform, with attached Security Orchestration, Automation and Response, ingests telemetry from all of the above and is the primary tool for the SOC.</w:t>
      </w:r>
    </w:p>
    <w:p w14:paraId="04319F27" w14:textId="77777777" w:rsidR="00526B99" w:rsidRDefault="00526B99" w:rsidP="00526B99">
      <w:pPr>
        <w:spacing w:after="140" w:line="300" w:lineRule="auto"/>
        <w:jc w:val="both"/>
      </w:pPr>
      <w:r>
        <w:rPr>
          <w:rFonts w:ascii="Arial" w:eastAsia="Arial" w:hAnsi="Arial" w:cs="Arial"/>
          <w:sz w:val="22"/>
          <w:szCs w:val="22"/>
        </w:rPr>
        <w:t>The architecture deliberately includes no traditional VPN. The Task 1 research showed that legacy remote access is one of the most exploited entry points in fintech breaches [11]. The existing VPN will be decommissioned by the end of Q2.</w:t>
      </w:r>
    </w:p>
    <w:p w14:paraId="7EB34B58" w14:textId="77777777" w:rsidR="00526B99" w:rsidRDefault="00526B99" w:rsidP="00526B99">
      <w:pPr>
        <w:pStyle w:val="Heading1"/>
      </w:pPr>
      <w:bookmarkStart w:id="22" w:name="_Toc232505101"/>
      <w:r>
        <w:rPr>
          <w:rFonts w:ascii="Arial" w:eastAsia="Arial" w:hAnsi="Arial" w:cs="Arial"/>
          <w:b/>
          <w:bCs/>
          <w:color w:val="1F3864"/>
          <w:sz w:val="30"/>
          <w:szCs w:val="30"/>
        </w:rPr>
        <w:t>Task 2.6 – Work-Stream 5: Strategic Risk Assessment</w:t>
      </w:r>
      <w:bookmarkEnd w:id="22"/>
    </w:p>
    <w:p w14:paraId="3F5E674E" w14:textId="4874CF2E" w:rsidR="00526B99" w:rsidRDefault="00526B99" w:rsidP="00526B99">
      <w:pPr>
        <w:spacing w:after="140" w:line="300" w:lineRule="auto"/>
        <w:jc w:val="both"/>
      </w:pPr>
      <w:r>
        <w:rPr>
          <w:rFonts w:ascii="Arial" w:eastAsia="Arial" w:hAnsi="Arial" w:cs="Arial"/>
          <w:sz w:val="22"/>
          <w:szCs w:val="22"/>
        </w:rPr>
        <w:t>Table 2 below lists the top three strategic risks identified during the assessment phase, each linked back to the Task 1 evidence base. Impact ratings follow a five</w:t>
      </w:r>
      <w:r w:rsidR="00B74975">
        <w:rPr>
          <w:rFonts w:ascii="Arial" w:eastAsia="Arial" w:hAnsi="Arial" w:cs="Arial"/>
          <w:sz w:val="22"/>
          <w:szCs w:val="22"/>
        </w:rPr>
        <w:t xml:space="preserve"> </w:t>
      </w:r>
      <w:r>
        <w:rPr>
          <w:rFonts w:ascii="Arial" w:eastAsia="Arial" w:hAnsi="Arial" w:cs="Arial"/>
          <w:sz w:val="22"/>
          <w:szCs w:val="22"/>
        </w:rPr>
        <w:t>point scale (1 = negligible, 5 = catastrophic). Likelihood ratings use the same scale. Inherent score = impact x likelihood; residual score is after the proposed controls.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000"/>
        <w:gridCol w:w="1200"/>
        <w:gridCol w:w="1200"/>
        <w:gridCol w:w="2800"/>
      </w:tblGrid>
      <w:tr w:rsidR="00526B99" w14:paraId="7D855922" w14:textId="77777777" w:rsidTr="00206844">
        <w:trPr>
          <w:tblHeader/>
        </w:trPr>
        <w:tc>
          <w:tcPr>
            <w:tcW w:w="18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3ADEA63" w14:textId="77777777" w:rsidR="00526B99" w:rsidRDefault="00526B99" w:rsidP="00206844">
            <w:r>
              <w:rPr>
                <w:rFonts w:ascii="Arial" w:eastAsia="Arial" w:hAnsi="Arial" w:cs="Arial"/>
                <w:b/>
                <w:bCs/>
                <w:sz w:val="18"/>
                <w:szCs w:val="18"/>
              </w:rPr>
              <w:lastRenderedPageBreak/>
              <w:t>Risk</w:t>
            </w:r>
          </w:p>
        </w:tc>
        <w:tc>
          <w:tcPr>
            <w:tcW w:w="20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6205A3A4" w14:textId="77777777" w:rsidR="00526B99" w:rsidRDefault="00526B99" w:rsidP="00206844">
            <w:r>
              <w:rPr>
                <w:rFonts w:ascii="Arial" w:eastAsia="Arial" w:hAnsi="Arial" w:cs="Arial"/>
                <w:b/>
                <w:bCs/>
                <w:sz w:val="18"/>
                <w:szCs w:val="18"/>
              </w:rPr>
              <w:t>Description</w:t>
            </w:r>
          </w:p>
        </w:tc>
        <w:tc>
          <w:tcPr>
            <w:tcW w:w="12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D63B5F4" w14:textId="77777777" w:rsidR="00526B99" w:rsidRDefault="00526B99" w:rsidP="00206844">
            <w:r>
              <w:rPr>
                <w:rFonts w:ascii="Arial" w:eastAsia="Arial" w:hAnsi="Arial" w:cs="Arial"/>
                <w:b/>
                <w:bCs/>
                <w:sz w:val="18"/>
                <w:szCs w:val="18"/>
              </w:rPr>
              <w:t>Inherent (I×L)</w:t>
            </w:r>
          </w:p>
        </w:tc>
        <w:tc>
          <w:tcPr>
            <w:tcW w:w="12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45481048" w14:textId="77777777" w:rsidR="00526B99" w:rsidRDefault="00526B99" w:rsidP="00206844">
            <w:r>
              <w:rPr>
                <w:rFonts w:ascii="Arial" w:eastAsia="Arial" w:hAnsi="Arial" w:cs="Arial"/>
                <w:b/>
                <w:bCs/>
                <w:sz w:val="18"/>
                <w:szCs w:val="18"/>
              </w:rPr>
              <w:t>Residual (I×L)</w:t>
            </w:r>
          </w:p>
        </w:tc>
        <w:tc>
          <w:tcPr>
            <w:tcW w:w="28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78A56E4C" w14:textId="77777777" w:rsidR="00526B99" w:rsidRDefault="00526B99" w:rsidP="00206844">
            <w:r>
              <w:rPr>
                <w:rFonts w:ascii="Arial" w:eastAsia="Arial" w:hAnsi="Arial" w:cs="Arial"/>
                <w:b/>
                <w:bCs/>
                <w:sz w:val="18"/>
                <w:szCs w:val="18"/>
              </w:rPr>
              <w:t>Mitigation</w:t>
            </w:r>
          </w:p>
        </w:tc>
      </w:tr>
      <w:tr w:rsidR="00526B99" w14:paraId="76E6794A" w14:textId="77777777" w:rsidTr="00206844">
        <w:tc>
          <w:tcPr>
            <w:tcW w:w="1800" w:type="dxa"/>
            <w:tcBorders>
              <w:top w:val="single" w:sz="4" w:space="0" w:color="BFBFBF"/>
              <w:left w:val="single" w:sz="4" w:space="0" w:color="BFBFBF"/>
              <w:bottom w:val="single" w:sz="4" w:space="0" w:color="BFBFBF"/>
              <w:right w:val="single" w:sz="4" w:space="0" w:color="BFBFBF"/>
            </w:tcBorders>
            <w:shd w:val="clear" w:color="auto" w:fill="FFE699"/>
            <w:tcMar>
              <w:top w:w="60" w:type="dxa"/>
              <w:left w:w="100" w:type="dxa"/>
              <w:bottom w:w="60" w:type="dxa"/>
              <w:right w:w="100" w:type="dxa"/>
            </w:tcMar>
          </w:tcPr>
          <w:p w14:paraId="7FB9738B" w14:textId="77777777" w:rsidR="00526B99" w:rsidRDefault="00526B99" w:rsidP="00206844">
            <w:r>
              <w:rPr>
                <w:rFonts w:ascii="Arial" w:eastAsia="Arial" w:hAnsi="Arial" w:cs="Arial"/>
                <w:b/>
                <w:bCs/>
                <w:sz w:val="18"/>
                <w:szCs w:val="18"/>
              </w:rPr>
              <w:t>R1: Cloud misconfiguration</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892A7FE" w14:textId="77777777" w:rsidR="00526B99" w:rsidRDefault="00526B99" w:rsidP="00206844">
            <w:r>
              <w:rPr>
                <w:rFonts w:ascii="Arial" w:eastAsia="Arial" w:hAnsi="Arial" w:cs="Arial"/>
                <w:sz w:val="18"/>
                <w:szCs w:val="18"/>
              </w:rPr>
              <w:t>Misconfigured AWS resources expose customer data; identified by Task 1 as a leading fintech breach cause [9]</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D435E90" w14:textId="77777777" w:rsidR="00526B99" w:rsidRDefault="00526B99" w:rsidP="00206844">
            <w:pPr>
              <w:jc w:val="center"/>
            </w:pPr>
            <w:r>
              <w:rPr>
                <w:rFonts w:ascii="Arial" w:eastAsia="Arial" w:hAnsi="Arial" w:cs="Arial"/>
                <w:sz w:val="18"/>
                <w:szCs w:val="18"/>
              </w:rPr>
              <w:t>5 × 4 = 20</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C8FA95C" w14:textId="77777777" w:rsidR="00526B99" w:rsidRDefault="00526B99" w:rsidP="00206844">
            <w:pPr>
              <w:jc w:val="center"/>
            </w:pPr>
            <w:r>
              <w:rPr>
                <w:rFonts w:ascii="Arial" w:eastAsia="Arial" w:hAnsi="Arial" w:cs="Arial"/>
                <w:sz w:val="18"/>
                <w:szCs w:val="18"/>
              </w:rPr>
              <w:t>5 × 2 = 10</w:t>
            </w:r>
          </w:p>
        </w:tc>
        <w:tc>
          <w:tcPr>
            <w:tcW w:w="28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E60E964" w14:textId="77777777" w:rsidR="00526B99" w:rsidRDefault="00526B99" w:rsidP="00206844">
            <w:r>
              <w:rPr>
                <w:rFonts w:ascii="Arial" w:eastAsia="Arial" w:hAnsi="Arial" w:cs="Arial"/>
                <w:sz w:val="18"/>
                <w:szCs w:val="18"/>
              </w:rPr>
              <w:t>CSPM deployed Q1; infrastructure-as-code review gates; quarterly cloud security review</w:t>
            </w:r>
          </w:p>
        </w:tc>
      </w:tr>
      <w:tr w:rsidR="00526B99" w14:paraId="0DCFCF21" w14:textId="77777777" w:rsidTr="00206844">
        <w:tc>
          <w:tcPr>
            <w:tcW w:w="1800" w:type="dxa"/>
            <w:tcBorders>
              <w:top w:val="single" w:sz="4" w:space="0" w:color="BFBFBF"/>
              <w:left w:val="single" w:sz="4" w:space="0" w:color="BFBFBF"/>
              <w:bottom w:val="single" w:sz="4" w:space="0" w:color="BFBFBF"/>
              <w:right w:val="single" w:sz="4" w:space="0" w:color="BFBFBF"/>
            </w:tcBorders>
            <w:shd w:val="clear" w:color="auto" w:fill="FFE699"/>
            <w:tcMar>
              <w:top w:w="60" w:type="dxa"/>
              <w:left w:w="100" w:type="dxa"/>
              <w:bottom w:w="60" w:type="dxa"/>
              <w:right w:w="100" w:type="dxa"/>
            </w:tcMar>
          </w:tcPr>
          <w:p w14:paraId="02C81588" w14:textId="77777777" w:rsidR="00526B99" w:rsidRDefault="00526B99" w:rsidP="00206844">
            <w:r>
              <w:rPr>
                <w:rFonts w:ascii="Arial" w:eastAsia="Arial" w:hAnsi="Arial" w:cs="Arial"/>
                <w:b/>
                <w:bCs/>
                <w:sz w:val="18"/>
                <w:szCs w:val="18"/>
              </w:rPr>
              <w:t>R2: Ransomware via supply-chain</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0EEA971" w14:textId="77777777" w:rsidR="00526B99" w:rsidRDefault="00526B99" w:rsidP="00206844">
            <w:r>
              <w:rPr>
                <w:rFonts w:ascii="Arial" w:eastAsia="Arial" w:hAnsi="Arial" w:cs="Arial"/>
                <w:sz w:val="18"/>
                <w:szCs w:val="18"/>
              </w:rPr>
              <w:t>Compromise of a SaaS vendor (cf. MOVEit 2023 [13]) leads to data theft and ransomware deployment</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EE7463E" w14:textId="77777777" w:rsidR="00526B99" w:rsidRDefault="00526B99" w:rsidP="00206844">
            <w:pPr>
              <w:jc w:val="center"/>
            </w:pPr>
            <w:r>
              <w:rPr>
                <w:rFonts w:ascii="Arial" w:eastAsia="Arial" w:hAnsi="Arial" w:cs="Arial"/>
                <w:sz w:val="18"/>
                <w:szCs w:val="18"/>
              </w:rPr>
              <w:t>5 × 4 = 20</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97EA279" w14:textId="77777777" w:rsidR="00526B99" w:rsidRDefault="00526B99" w:rsidP="00206844">
            <w:pPr>
              <w:jc w:val="center"/>
            </w:pPr>
            <w:r>
              <w:rPr>
                <w:rFonts w:ascii="Arial" w:eastAsia="Arial" w:hAnsi="Arial" w:cs="Arial"/>
                <w:sz w:val="18"/>
                <w:szCs w:val="18"/>
              </w:rPr>
              <w:t>5 × 2 = 10</w:t>
            </w:r>
          </w:p>
        </w:tc>
        <w:tc>
          <w:tcPr>
            <w:tcW w:w="28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A2BCFCD" w14:textId="77777777" w:rsidR="00526B99" w:rsidRDefault="00526B99" w:rsidP="00206844">
            <w:r>
              <w:rPr>
                <w:rFonts w:ascii="Arial" w:eastAsia="Arial" w:hAnsi="Arial" w:cs="Arial"/>
                <w:sz w:val="18"/>
                <w:szCs w:val="18"/>
              </w:rPr>
              <w:t>Vendor risk policy (§2.3); immutable backups (§2.7); micro-segmentation; ransomware playbook</w:t>
            </w:r>
          </w:p>
        </w:tc>
      </w:tr>
      <w:tr w:rsidR="00526B99" w14:paraId="13A26109" w14:textId="77777777" w:rsidTr="00206844">
        <w:tc>
          <w:tcPr>
            <w:tcW w:w="1800" w:type="dxa"/>
            <w:tcBorders>
              <w:top w:val="single" w:sz="4" w:space="0" w:color="BFBFBF"/>
              <w:left w:val="single" w:sz="4" w:space="0" w:color="BFBFBF"/>
              <w:bottom w:val="single" w:sz="4" w:space="0" w:color="BFBFBF"/>
              <w:right w:val="single" w:sz="4" w:space="0" w:color="BFBFBF"/>
            </w:tcBorders>
            <w:shd w:val="clear" w:color="auto" w:fill="FFE699"/>
            <w:tcMar>
              <w:top w:w="60" w:type="dxa"/>
              <w:left w:w="100" w:type="dxa"/>
              <w:bottom w:w="60" w:type="dxa"/>
              <w:right w:w="100" w:type="dxa"/>
            </w:tcMar>
          </w:tcPr>
          <w:p w14:paraId="7849EECA" w14:textId="77777777" w:rsidR="00526B99" w:rsidRDefault="00526B99" w:rsidP="00206844">
            <w:r>
              <w:rPr>
                <w:rFonts w:ascii="Arial" w:eastAsia="Arial" w:hAnsi="Arial" w:cs="Arial"/>
                <w:b/>
                <w:bCs/>
                <w:sz w:val="18"/>
                <w:szCs w:val="18"/>
              </w:rPr>
              <w:t>R3: AI data poisoning</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75AB85D" w14:textId="77777777" w:rsidR="00526B99" w:rsidRDefault="00526B99" w:rsidP="00206844">
            <w:r>
              <w:rPr>
                <w:rFonts w:ascii="Arial" w:eastAsia="Arial" w:hAnsi="Arial" w:cs="Arial"/>
                <w:sz w:val="18"/>
                <w:szCs w:val="18"/>
              </w:rPr>
              <w:t>Adversarial inputs corrupt training data for the analytics model, degrading outputs at scale [16]</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E5FA0B9" w14:textId="77777777" w:rsidR="00526B99" w:rsidRDefault="00526B99" w:rsidP="00206844">
            <w:pPr>
              <w:jc w:val="center"/>
            </w:pPr>
            <w:r>
              <w:rPr>
                <w:rFonts w:ascii="Arial" w:eastAsia="Arial" w:hAnsi="Arial" w:cs="Arial"/>
                <w:sz w:val="18"/>
                <w:szCs w:val="18"/>
              </w:rPr>
              <w:t>4 × 3 = 12</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5A5CA5A" w14:textId="77777777" w:rsidR="00526B99" w:rsidRDefault="00526B99" w:rsidP="00206844">
            <w:pPr>
              <w:jc w:val="center"/>
            </w:pPr>
            <w:r>
              <w:rPr>
                <w:rFonts w:ascii="Arial" w:eastAsia="Arial" w:hAnsi="Arial" w:cs="Arial"/>
                <w:sz w:val="18"/>
                <w:szCs w:val="18"/>
              </w:rPr>
              <w:t>4 × 1 = 4</w:t>
            </w:r>
          </w:p>
        </w:tc>
        <w:tc>
          <w:tcPr>
            <w:tcW w:w="28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4509CF6" w14:textId="77777777" w:rsidR="00526B99" w:rsidRDefault="00526B99" w:rsidP="00206844">
            <w:r>
              <w:rPr>
                <w:rFonts w:ascii="Arial" w:eastAsia="Arial" w:hAnsi="Arial" w:cs="Arial"/>
                <w:sz w:val="18"/>
                <w:szCs w:val="18"/>
              </w:rPr>
              <w:t>AI Use Case Register; input validation pipelines; model output monitoring; staged rollout</w:t>
            </w:r>
          </w:p>
        </w:tc>
      </w:tr>
    </w:tbl>
    <w:p w14:paraId="57715DAD" w14:textId="77777777" w:rsidR="00526B99" w:rsidRDefault="00526B99" w:rsidP="00526B99">
      <w:pPr>
        <w:spacing w:before="80" w:after="200"/>
        <w:jc w:val="center"/>
      </w:pPr>
      <w:r>
        <w:rPr>
          <w:rFonts w:ascii="Arial" w:eastAsia="Arial" w:hAnsi="Arial" w:cs="Arial"/>
          <w:i/>
          <w:iCs/>
          <w:color w:val="595959"/>
          <w:sz w:val="20"/>
          <w:szCs w:val="20"/>
        </w:rPr>
        <w:t>Table 2. Top three strategic risks with inherent and residual scoring. All three connect directly to findings in the Task 1 research; the mitigations are drawn from the ZTA controls reviewed there.</w:t>
      </w:r>
    </w:p>
    <w:p w14:paraId="332393A9" w14:textId="77777777" w:rsidR="00526B99" w:rsidRDefault="00526B99" w:rsidP="00526B99">
      <w:pPr>
        <w:spacing w:after="140" w:line="300" w:lineRule="auto"/>
        <w:jc w:val="both"/>
      </w:pPr>
      <w:r>
        <w:rPr>
          <w:rFonts w:ascii="Arial" w:eastAsia="Arial" w:hAnsi="Arial" w:cs="Arial"/>
          <w:sz w:val="22"/>
          <w:szCs w:val="22"/>
        </w:rPr>
        <w:t>Risk R1 alone justifies the Cloud Security Architect appointment proposed in Section 2.2. R2 is the principal driver behind the SIEM/SOAR investment in the technical budget. R3 sits behind the AI governance policy in Section 2.3 and the related compliance milestones.</w:t>
      </w:r>
    </w:p>
    <w:p w14:paraId="76E47DC1" w14:textId="77777777" w:rsidR="00526B99" w:rsidRDefault="00526B99" w:rsidP="00526B99">
      <w:pPr>
        <w:pStyle w:val="Heading1"/>
      </w:pPr>
      <w:bookmarkStart w:id="23" w:name="_Toc232505102"/>
      <w:r>
        <w:rPr>
          <w:rFonts w:ascii="Arial" w:eastAsia="Arial" w:hAnsi="Arial" w:cs="Arial"/>
          <w:b/>
          <w:bCs/>
          <w:color w:val="1F3864"/>
          <w:sz w:val="30"/>
          <w:szCs w:val="30"/>
        </w:rPr>
        <w:t>Task 2.7 – Work-Stream 6: Incident Response and Business Continuity</w:t>
      </w:r>
      <w:bookmarkEnd w:id="23"/>
    </w:p>
    <w:p w14:paraId="36B93A44" w14:textId="636D1D1E" w:rsidR="00526B99" w:rsidRDefault="00526B99" w:rsidP="00526B99">
      <w:pPr>
        <w:spacing w:after="140" w:line="300" w:lineRule="auto"/>
        <w:jc w:val="both"/>
      </w:pPr>
      <w:r>
        <w:rPr>
          <w:rFonts w:ascii="Arial" w:eastAsia="Arial" w:hAnsi="Arial" w:cs="Arial"/>
          <w:sz w:val="22"/>
          <w:szCs w:val="22"/>
        </w:rPr>
        <w:t>This section sets out the Ransomware Response Playbook, designed against the typical tactics, techniques and procedures observed in financial</w:t>
      </w:r>
      <w:r w:rsidR="00D100BF">
        <w:rPr>
          <w:rFonts w:ascii="Arial" w:eastAsia="Arial" w:hAnsi="Arial" w:cs="Arial"/>
          <w:sz w:val="22"/>
          <w:szCs w:val="22"/>
        </w:rPr>
        <w:t xml:space="preserve"> </w:t>
      </w:r>
      <w:r>
        <w:rPr>
          <w:rFonts w:ascii="Arial" w:eastAsia="Arial" w:hAnsi="Arial" w:cs="Arial"/>
          <w:sz w:val="22"/>
          <w:szCs w:val="22"/>
        </w:rPr>
        <w:t>sector ransomware campaigns and analysed in Task 1 [10], [13]. The playbook follows the NIST SP 800-61 Rev. 2 lifecycle: Preparation, Detection and Analysis, Containment, Eradication, Recovery, and Post</w:t>
      </w:r>
      <w:r w:rsidR="00D100BF">
        <w:rPr>
          <w:rFonts w:ascii="Arial" w:eastAsia="Arial" w:hAnsi="Arial" w:cs="Arial"/>
          <w:sz w:val="22"/>
          <w:szCs w:val="22"/>
        </w:rPr>
        <w:t xml:space="preserve"> </w:t>
      </w:r>
      <w:r>
        <w:rPr>
          <w:rFonts w:ascii="Arial" w:eastAsia="Arial" w:hAnsi="Arial" w:cs="Arial"/>
          <w:sz w:val="22"/>
          <w:szCs w:val="22"/>
        </w:rPr>
        <w:t>Incident Activity [20]. Six phases are outlined below.</w:t>
      </w:r>
    </w:p>
    <w:p w14:paraId="7AFD24EE" w14:textId="77777777" w:rsidR="00526B99" w:rsidRDefault="00526B99" w:rsidP="00526B99">
      <w:pPr>
        <w:pStyle w:val="Heading2"/>
      </w:pPr>
      <w:bookmarkStart w:id="24" w:name="_Toc232505103"/>
      <w:r>
        <w:rPr>
          <w:rFonts w:ascii="Arial" w:eastAsia="Arial" w:hAnsi="Arial" w:cs="Arial"/>
          <w:b/>
          <w:bCs/>
          <w:color w:val="2F5496"/>
          <w:sz w:val="26"/>
          <w:szCs w:val="26"/>
        </w:rPr>
        <w:t>Phase 1 – Preparation</w:t>
      </w:r>
      <w:bookmarkEnd w:id="24"/>
    </w:p>
    <w:p w14:paraId="5C7EC3AF" w14:textId="3439C568" w:rsidR="00526B99" w:rsidRDefault="00526B99" w:rsidP="00526B99">
      <w:pPr>
        <w:spacing w:after="140" w:line="300" w:lineRule="auto"/>
        <w:jc w:val="both"/>
      </w:pPr>
      <w:r>
        <w:rPr>
          <w:rFonts w:ascii="Arial" w:eastAsia="Arial" w:hAnsi="Arial" w:cs="Arial"/>
          <w:sz w:val="22"/>
          <w:szCs w:val="22"/>
        </w:rPr>
        <w:t>Immutable backups are taken hourly for critical data and daily for the full estate, written to a separate AWS account with object lock and MFA</w:t>
      </w:r>
      <w:r w:rsidR="00E40E7D">
        <w:rPr>
          <w:rFonts w:ascii="Arial" w:eastAsia="Arial" w:hAnsi="Arial" w:cs="Arial"/>
          <w:sz w:val="22"/>
          <w:szCs w:val="22"/>
        </w:rPr>
        <w:t xml:space="preserve"> </w:t>
      </w:r>
      <w:r>
        <w:rPr>
          <w:rFonts w:ascii="Arial" w:eastAsia="Arial" w:hAnsi="Arial" w:cs="Arial"/>
          <w:sz w:val="22"/>
          <w:szCs w:val="22"/>
        </w:rPr>
        <w:t>delete enabled. This directly addresses DORA Article 12 on backup and restoration policies [14]. Tabletop exercises run quarterly with the Steering Committee.</w:t>
      </w:r>
    </w:p>
    <w:p w14:paraId="0625E8EB" w14:textId="77777777" w:rsidR="00526B99" w:rsidRDefault="00526B99" w:rsidP="00526B99">
      <w:pPr>
        <w:pStyle w:val="Heading2"/>
      </w:pPr>
      <w:bookmarkStart w:id="25" w:name="_Toc232505104"/>
      <w:r>
        <w:rPr>
          <w:rFonts w:ascii="Arial" w:eastAsia="Arial" w:hAnsi="Arial" w:cs="Arial"/>
          <w:b/>
          <w:bCs/>
          <w:color w:val="2F5496"/>
          <w:sz w:val="26"/>
          <w:szCs w:val="26"/>
        </w:rPr>
        <w:t>Phase 2 – Detection and Analysis</w:t>
      </w:r>
      <w:bookmarkEnd w:id="25"/>
    </w:p>
    <w:p w14:paraId="776538C3" w14:textId="4E163893" w:rsidR="00526B99" w:rsidRDefault="00526B99" w:rsidP="00526B99">
      <w:pPr>
        <w:spacing w:after="140" w:line="300" w:lineRule="auto"/>
        <w:jc w:val="both"/>
      </w:pPr>
      <w:r>
        <w:rPr>
          <w:rFonts w:ascii="Arial" w:eastAsia="Arial" w:hAnsi="Arial" w:cs="Arial"/>
          <w:sz w:val="22"/>
          <w:szCs w:val="22"/>
        </w:rPr>
        <w:t>The SIEM is tuned to detect the early</w:t>
      </w:r>
      <w:r w:rsidR="00E40E7D">
        <w:rPr>
          <w:rFonts w:ascii="Arial" w:eastAsia="Arial" w:hAnsi="Arial" w:cs="Arial"/>
          <w:sz w:val="22"/>
          <w:szCs w:val="22"/>
        </w:rPr>
        <w:t xml:space="preserve"> </w:t>
      </w:r>
      <w:r>
        <w:rPr>
          <w:rFonts w:ascii="Arial" w:eastAsia="Arial" w:hAnsi="Arial" w:cs="Arial"/>
          <w:sz w:val="22"/>
          <w:szCs w:val="22"/>
        </w:rPr>
        <w:t>stage TTPs identified in Task 1: anomalous credential use, lateral SMB activity, mass file rename operations, and outbound traffic to known Cl0p or LockBit infrastructure [13]. Detection triggers an automated SOAR playbook that opens a P1 incident.</w:t>
      </w:r>
    </w:p>
    <w:p w14:paraId="013F964B" w14:textId="77777777" w:rsidR="00526B99" w:rsidRDefault="00526B99" w:rsidP="00526B99">
      <w:pPr>
        <w:pStyle w:val="Heading2"/>
      </w:pPr>
      <w:bookmarkStart w:id="26" w:name="_Toc232505105"/>
      <w:r>
        <w:rPr>
          <w:rFonts w:ascii="Arial" w:eastAsia="Arial" w:hAnsi="Arial" w:cs="Arial"/>
          <w:b/>
          <w:bCs/>
          <w:color w:val="2F5496"/>
          <w:sz w:val="26"/>
          <w:szCs w:val="26"/>
        </w:rPr>
        <w:lastRenderedPageBreak/>
        <w:t>Phase 3 – Containment</w:t>
      </w:r>
      <w:bookmarkEnd w:id="26"/>
    </w:p>
    <w:p w14:paraId="7F755BB0" w14:textId="452D7FB7" w:rsidR="00526B99" w:rsidRDefault="00526B99" w:rsidP="00526B99">
      <w:pPr>
        <w:spacing w:after="140" w:line="300" w:lineRule="auto"/>
        <w:jc w:val="both"/>
      </w:pPr>
      <w:r>
        <w:rPr>
          <w:rFonts w:ascii="Arial" w:eastAsia="Arial" w:hAnsi="Arial" w:cs="Arial"/>
          <w:sz w:val="22"/>
          <w:szCs w:val="22"/>
        </w:rPr>
        <w:t>Containment uses the Zero Trust architecture: affected identities are revoked at the IdP, affected workloads are isolated through ZTNA policy, and affected accounts are quarantined. Because micro</w:t>
      </w:r>
      <w:r w:rsidR="00BD6684">
        <w:rPr>
          <w:rFonts w:ascii="Arial" w:eastAsia="Arial" w:hAnsi="Arial" w:cs="Arial"/>
          <w:sz w:val="22"/>
          <w:szCs w:val="22"/>
        </w:rPr>
        <w:t xml:space="preserve"> </w:t>
      </w:r>
      <w:r>
        <w:rPr>
          <w:rFonts w:ascii="Arial" w:eastAsia="Arial" w:hAnsi="Arial" w:cs="Arial"/>
          <w:sz w:val="22"/>
          <w:szCs w:val="22"/>
        </w:rPr>
        <w:t>segmentation is in place, lateral movement is constrained at the time of containment rather than several hours later.</w:t>
      </w:r>
    </w:p>
    <w:p w14:paraId="544B61BA" w14:textId="77777777" w:rsidR="00526B99" w:rsidRDefault="00526B99" w:rsidP="00526B99">
      <w:pPr>
        <w:pStyle w:val="Heading2"/>
      </w:pPr>
      <w:bookmarkStart w:id="27" w:name="_Toc232505106"/>
      <w:r>
        <w:rPr>
          <w:rFonts w:ascii="Arial" w:eastAsia="Arial" w:hAnsi="Arial" w:cs="Arial"/>
          <w:b/>
          <w:bCs/>
          <w:color w:val="2F5496"/>
          <w:sz w:val="26"/>
          <w:szCs w:val="26"/>
        </w:rPr>
        <w:t>Phase 4 – Eradication</w:t>
      </w:r>
      <w:bookmarkEnd w:id="27"/>
    </w:p>
    <w:p w14:paraId="6AF10C70" w14:textId="77777777" w:rsidR="00526B99" w:rsidRDefault="00526B99" w:rsidP="00526B99">
      <w:pPr>
        <w:spacing w:after="140" w:line="300" w:lineRule="auto"/>
        <w:jc w:val="both"/>
      </w:pPr>
      <w:r>
        <w:rPr>
          <w:rFonts w:ascii="Arial" w:eastAsia="Arial" w:hAnsi="Arial" w:cs="Arial"/>
          <w:sz w:val="22"/>
          <w:szCs w:val="22"/>
        </w:rPr>
        <w:t>Eradication includes credential rotation, system rebuild from known-good images, and patching of the exploited vulnerability. The DevSecOps team owns the rebuild pipeline.</w:t>
      </w:r>
    </w:p>
    <w:p w14:paraId="3C7705CC" w14:textId="77777777" w:rsidR="00526B99" w:rsidRDefault="00526B99" w:rsidP="00526B99">
      <w:pPr>
        <w:pStyle w:val="Heading2"/>
      </w:pPr>
      <w:bookmarkStart w:id="28" w:name="_Toc232505107"/>
      <w:r>
        <w:rPr>
          <w:rFonts w:ascii="Arial" w:eastAsia="Arial" w:hAnsi="Arial" w:cs="Arial"/>
          <w:b/>
          <w:bCs/>
          <w:color w:val="2F5496"/>
          <w:sz w:val="26"/>
          <w:szCs w:val="26"/>
        </w:rPr>
        <w:t>Phase 5 – Recovery</w:t>
      </w:r>
      <w:bookmarkEnd w:id="28"/>
    </w:p>
    <w:p w14:paraId="3D26262C" w14:textId="77777777" w:rsidR="00526B99" w:rsidRDefault="00526B99" w:rsidP="00526B99">
      <w:pPr>
        <w:spacing w:after="140" w:line="300" w:lineRule="auto"/>
        <w:jc w:val="both"/>
      </w:pPr>
      <w:r>
        <w:rPr>
          <w:rFonts w:ascii="Arial" w:eastAsia="Arial" w:hAnsi="Arial" w:cs="Arial"/>
          <w:sz w:val="22"/>
          <w:szCs w:val="22"/>
        </w:rPr>
        <w:t>Recovery from immutable backups follows the documented restoration runbook. The recovery time objective is 4 hours for tier-1 systems, 24 hours for tier-2.</w:t>
      </w:r>
    </w:p>
    <w:p w14:paraId="7B932F43" w14:textId="77777777" w:rsidR="00526B99" w:rsidRDefault="00526B99" w:rsidP="00526B99">
      <w:pPr>
        <w:pStyle w:val="Heading2"/>
      </w:pPr>
      <w:bookmarkStart w:id="29" w:name="_Toc232505108"/>
      <w:r>
        <w:rPr>
          <w:rFonts w:ascii="Arial" w:eastAsia="Arial" w:hAnsi="Arial" w:cs="Arial"/>
          <w:b/>
          <w:bCs/>
          <w:color w:val="2F5496"/>
          <w:sz w:val="26"/>
          <w:szCs w:val="26"/>
        </w:rPr>
        <w:t>Phase 6 – Communication and Reporting</w:t>
      </w:r>
      <w:bookmarkEnd w:id="29"/>
    </w:p>
    <w:p w14:paraId="58890FE7" w14:textId="77777777" w:rsidR="00526B99" w:rsidRDefault="00526B99" w:rsidP="00526B99">
      <w:pPr>
        <w:spacing w:after="140" w:line="300" w:lineRule="auto"/>
        <w:jc w:val="both"/>
      </w:pPr>
      <w:r>
        <w:rPr>
          <w:rFonts w:ascii="Arial" w:eastAsia="Arial" w:hAnsi="Arial" w:cs="Arial"/>
          <w:sz w:val="22"/>
          <w:szCs w:val="22"/>
        </w:rPr>
        <w:t>Within the first hour, the CISO notifies the CEO and the Steering Committee. Within four hours, an initial DORA Article 19 major incident notification is prepared. Within 72 hours, a GDPR Article 33 notification to the Information Commissioner’s Office is filed if personal data is involved [17]. Customer communications follow a pre-approved template held by Legal.</w:t>
      </w:r>
    </w:p>
    <w:p w14:paraId="1D3406C8" w14:textId="77777777" w:rsidR="00526B99" w:rsidRDefault="00526B99" w:rsidP="00526B99">
      <w:pPr>
        <w:pStyle w:val="Heading1"/>
      </w:pPr>
      <w:bookmarkStart w:id="30" w:name="_Toc232505109"/>
      <w:r>
        <w:rPr>
          <w:rFonts w:ascii="Arial" w:eastAsia="Arial" w:hAnsi="Arial" w:cs="Arial"/>
          <w:b/>
          <w:bCs/>
          <w:color w:val="1F3864"/>
          <w:sz w:val="30"/>
          <w:szCs w:val="30"/>
        </w:rPr>
        <w:t>Task 2.8 – Work-Stream 7: Governance and Strategic Roadmap</w:t>
      </w:r>
      <w:bookmarkEnd w:id="30"/>
    </w:p>
    <w:p w14:paraId="6FF4F5C7" w14:textId="77777777" w:rsidR="00526B99" w:rsidRDefault="00526B99" w:rsidP="00526B99">
      <w:pPr>
        <w:spacing w:after="140" w:line="300" w:lineRule="auto"/>
        <w:jc w:val="both"/>
      </w:pPr>
      <w:r>
        <w:rPr>
          <w:rFonts w:ascii="Arial" w:eastAsia="Arial" w:hAnsi="Arial" w:cs="Arial"/>
          <w:sz w:val="22"/>
          <w:szCs w:val="22"/>
        </w:rPr>
        <w:t>Strategic security decisions are owned by the Cyber Security Steering Committee, which meets monthly. Standing membership is: Chief Executive Officer, Chief Financial Officer, Chief Technology Officer, Head of Legal, Head of Product, and the Chief Information Security Officer (Chair). The Data Protection Officer attends in an advisory capacity for GDPR matters. Decisions outside the Committee’s remit (for example, decisions to accept a residual risk above the Board’s risk appetite) are escalated to the full Board.</w:t>
      </w:r>
    </w:p>
    <w:p w14:paraId="2385CC4E" w14:textId="2968A2B2" w:rsidR="00526B99" w:rsidRDefault="00526B99" w:rsidP="00526B99">
      <w:pPr>
        <w:spacing w:after="140" w:line="300" w:lineRule="auto"/>
        <w:jc w:val="both"/>
      </w:pPr>
      <w:r>
        <w:rPr>
          <w:rFonts w:ascii="Arial" w:eastAsia="Arial" w:hAnsi="Arial" w:cs="Arial"/>
          <w:sz w:val="22"/>
          <w:szCs w:val="22"/>
        </w:rPr>
        <w:t>The twelve</w:t>
      </w:r>
      <w:r w:rsidR="000547A8">
        <w:rPr>
          <w:rFonts w:ascii="Arial" w:eastAsia="Arial" w:hAnsi="Arial" w:cs="Arial"/>
          <w:sz w:val="22"/>
          <w:szCs w:val="22"/>
        </w:rPr>
        <w:t xml:space="preserve"> </w:t>
      </w:r>
      <w:r>
        <w:rPr>
          <w:rFonts w:ascii="Arial" w:eastAsia="Arial" w:hAnsi="Arial" w:cs="Arial"/>
          <w:sz w:val="22"/>
          <w:szCs w:val="22"/>
        </w:rPr>
        <w:t>month strategic roadmap is presented in Figure 3. The sequencing follows directly from the Task 1 research: identity-first (because identity is the new perimeter [12]), then Zero Trust network controls, then resilience controls, then external assurance.</w:t>
      </w:r>
    </w:p>
    <w:p w14:paraId="5EFB8D4C" w14:textId="77777777" w:rsidR="00526B99" w:rsidRDefault="00526B99" w:rsidP="00526B99">
      <w:pPr>
        <w:spacing w:before="200" w:after="80"/>
        <w:jc w:val="center"/>
      </w:pPr>
      <w:r>
        <w:rPr>
          <w:noProof/>
        </w:rPr>
        <w:lastRenderedPageBreak/>
        <w:drawing>
          <wp:inline distT="0" distB="0" distL="0" distR="0" wp14:anchorId="6FE2AC16" wp14:editId="65F0BCBA">
            <wp:extent cx="5524500" cy="2762250"/>
            <wp:effectExtent l="0" t="0" r="0" b="0"/>
            <wp:docPr id="507609118" name="Picture 50760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524500" cy="2762250"/>
                    </a:xfrm>
                    <a:prstGeom prst="rect">
                      <a:avLst/>
                    </a:prstGeom>
                  </pic:spPr>
                </pic:pic>
              </a:graphicData>
            </a:graphic>
          </wp:inline>
        </w:drawing>
      </w:r>
    </w:p>
    <w:p w14:paraId="736888F4" w14:textId="12810709" w:rsidR="00526B99" w:rsidRDefault="00526B99" w:rsidP="00526B99">
      <w:pPr>
        <w:spacing w:before="80" w:after="200"/>
        <w:jc w:val="center"/>
      </w:pPr>
      <w:r>
        <w:rPr>
          <w:rFonts w:ascii="Arial" w:eastAsia="Arial" w:hAnsi="Arial" w:cs="Arial"/>
          <w:i/>
          <w:iCs/>
          <w:color w:val="595959"/>
          <w:sz w:val="20"/>
          <w:szCs w:val="20"/>
        </w:rPr>
        <w:t>Figure 3. Twelve</w:t>
      </w:r>
      <w:r w:rsidR="002B1D23">
        <w:rPr>
          <w:rFonts w:ascii="Arial" w:eastAsia="Arial" w:hAnsi="Arial" w:cs="Arial"/>
          <w:i/>
          <w:iCs/>
          <w:color w:val="595959"/>
          <w:sz w:val="20"/>
          <w:szCs w:val="20"/>
        </w:rPr>
        <w:t xml:space="preserve"> </w:t>
      </w:r>
      <w:r>
        <w:rPr>
          <w:rFonts w:ascii="Arial" w:eastAsia="Arial" w:hAnsi="Arial" w:cs="Arial"/>
          <w:i/>
          <w:iCs/>
          <w:color w:val="595959"/>
          <w:sz w:val="20"/>
          <w:szCs w:val="20"/>
        </w:rPr>
        <w:t>month strategic security roadmap. The four quarterly waves (Foundations, Zero Trust, Resilience, Assurance) prioritise the highest</w:t>
      </w:r>
      <w:r w:rsidR="002B1D23">
        <w:rPr>
          <w:rFonts w:ascii="Arial" w:eastAsia="Arial" w:hAnsi="Arial" w:cs="Arial"/>
          <w:i/>
          <w:iCs/>
          <w:color w:val="595959"/>
          <w:sz w:val="20"/>
          <w:szCs w:val="20"/>
        </w:rPr>
        <w:t xml:space="preserve"> </w:t>
      </w:r>
      <w:r>
        <w:rPr>
          <w:rFonts w:ascii="Arial" w:eastAsia="Arial" w:hAnsi="Arial" w:cs="Arial"/>
          <w:i/>
          <w:iCs/>
          <w:color w:val="595959"/>
          <w:sz w:val="20"/>
          <w:szCs w:val="20"/>
        </w:rPr>
        <w:t>impact controls first, aligning with the residual</w:t>
      </w:r>
      <w:r w:rsidR="002B1D23">
        <w:rPr>
          <w:rFonts w:ascii="Arial" w:eastAsia="Arial" w:hAnsi="Arial" w:cs="Arial"/>
          <w:i/>
          <w:iCs/>
          <w:color w:val="595959"/>
          <w:sz w:val="20"/>
          <w:szCs w:val="20"/>
        </w:rPr>
        <w:t xml:space="preserve"> </w:t>
      </w:r>
      <w:r>
        <w:rPr>
          <w:rFonts w:ascii="Arial" w:eastAsia="Arial" w:hAnsi="Arial" w:cs="Arial"/>
          <w:i/>
          <w:iCs/>
          <w:color w:val="595959"/>
          <w:sz w:val="20"/>
          <w:szCs w:val="20"/>
        </w:rPr>
        <w:t>risk reductions in Table 2.</w:t>
      </w:r>
    </w:p>
    <w:p w14:paraId="0C5AEB82" w14:textId="77777777" w:rsidR="00526B99" w:rsidRDefault="00526B99" w:rsidP="00526B99">
      <w:pPr>
        <w:spacing w:after="140" w:line="300" w:lineRule="auto"/>
        <w:jc w:val="both"/>
      </w:pPr>
      <w:r>
        <w:rPr>
          <w:rFonts w:ascii="Arial" w:eastAsia="Arial" w:hAnsi="Arial" w:cs="Arial"/>
          <w:sz w:val="22"/>
          <w:szCs w:val="22"/>
        </w:rPr>
        <w:t>Key performance indicators that will be reported to the Steering Committee from Month 1 include: percentage of production systems with MFA enabled (target 100% by end of Q1); mean time to detect (target under 30 minutes by end of Q2); mean time to contain (target under 60 minutes by end of Q3); percentage of critical SaaS vendors with completed risk assessment (target 100% by end of Q3); and DORA readiness score against the regulator’s self-assessment template (target green by end of Q4).</w:t>
      </w:r>
    </w:p>
    <w:p w14:paraId="17099F3D" w14:textId="77777777" w:rsidR="00526B99" w:rsidRDefault="00526B99" w:rsidP="00526B99">
      <w:pPr>
        <w:pStyle w:val="Heading1"/>
      </w:pPr>
      <w:bookmarkStart w:id="31" w:name="_Toc232505110"/>
      <w:r>
        <w:rPr>
          <w:rFonts w:ascii="Arial" w:eastAsia="Arial" w:hAnsi="Arial" w:cs="Arial"/>
          <w:b/>
          <w:bCs/>
          <w:color w:val="1F3864"/>
          <w:sz w:val="30"/>
          <w:szCs w:val="30"/>
        </w:rPr>
        <w:t>Task 2.9 – Conclusion</w:t>
      </w:r>
      <w:bookmarkEnd w:id="31"/>
    </w:p>
    <w:p w14:paraId="672EA5CC" w14:textId="77777777" w:rsidR="00526B99" w:rsidRDefault="00526B99" w:rsidP="00526B99">
      <w:pPr>
        <w:spacing w:after="140" w:line="300" w:lineRule="auto"/>
        <w:jc w:val="both"/>
      </w:pPr>
      <w:r>
        <w:rPr>
          <w:rFonts w:ascii="Arial" w:eastAsia="Arial" w:hAnsi="Arial" w:cs="Arial"/>
          <w:sz w:val="22"/>
          <w:szCs w:val="22"/>
        </w:rPr>
        <w:t>The proposal set out in this document is intentionally narrow in scope. The Information Security Unit is sized for the company that Aegis FinTech is today and for the company it intends to be at the end of the Series B round. The strategic model (Zero Trust), the framework (NIST CSF 2.0), the technical architecture (ZTNA/SASE/CSPM/SIEM), the regulatory programme (GDPR plus DORA) and the risk treatment plan are all internally consistent and rooted in the Task 1 evidence base.</w:t>
      </w:r>
    </w:p>
    <w:p w14:paraId="039B7D9F" w14:textId="37188DEA" w:rsidR="00526B99" w:rsidRDefault="00526B99" w:rsidP="00526B99">
      <w:pPr>
        <w:spacing w:after="140" w:line="300" w:lineRule="auto"/>
        <w:jc w:val="both"/>
      </w:pPr>
      <w:r>
        <w:rPr>
          <w:rFonts w:ascii="Arial" w:eastAsia="Arial" w:hAnsi="Arial" w:cs="Arial"/>
          <w:sz w:val="22"/>
          <w:szCs w:val="22"/>
        </w:rPr>
        <w:t>The total Year 1 investment of approximately £1.85 million should be set against the average cost of a financial</w:t>
      </w:r>
      <w:r w:rsidR="00B31764">
        <w:rPr>
          <w:rFonts w:ascii="Arial" w:eastAsia="Arial" w:hAnsi="Arial" w:cs="Arial"/>
          <w:sz w:val="22"/>
          <w:szCs w:val="22"/>
        </w:rPr>
        <w:t xml:space="preserve"> </w:t>
      </w:r>
      <w:r>
        <w:rPr>
          <w:rFonts w:ascii="Arial" w:eastAsia="Arial" w:hAnsi="Arial" w:cs="Arial"/>
          <w:sz w:val="22"/>
          <w:szCs w:val="22"/>
        </w:rPr>
        <w:t>sector data breach, which IBM estimates at US$6.08 million for 2024 [7], and against the regulatory penalty exposure under GDPR (up to 4% of annual global turnover) and DORA (administrative penalties up to 1% of average daily turnover for serious infringements) [14], [17]. The Board is asked to approve the proposal at its next quarterly meeting so that the Q1 initiatives can begin on the planned date.</w:t>
      </w:r>
    </w:p>
    <w:p w14:paraId="7F2EEF8F" w14:textId="77777777" w:rsidR="00526B99" w:rsidRDefault="00526B99" w:rsidP="00526B99">
      <w:r>
        <w:br w:type="page"/>
      </w:r>
    </w:p>
    <w:p w14:paraId="46A946FF" w14:textId="77777777" w:rsidR="00526B99" w:rsidRDefault="00526B99" w:rsidP="00526B99">
      <w:pPr>
        <w:pStyle w:val="Heading1"/>
      </w:pPr>
      <w:bookmarkStart w:id="32" w:name="_Toc232505111"/>
      <w:r>
        <w:rPr>
          <w:rFonts w:ascii="Arial" w:eastAsia="Arial" w:hAnsi="Arial" w:cs="Arial"/>
          <w:b/>
          <w:bCs/>
          <w:color w:val="1F3864"/>
          <w:sz w:val="30"/>
          <w:szCs w:val="30"/>
        </w:rPr>
        <w:lastRenderedPageBreak/>
        <w:t>References</w:t>
      </w:r>
      <w:bookmarkEnd w:id="32"/>
    </w:p>
    <w:p w14:paraId="67157CD3" w14:textId="77777777" w:rsidR="00526B99" w:rsidRDefault="00526B99" w:rsidP="00526B99">
      <w:pPr>
        <w:spacing w:after="80" w:line="260" w:lineRule="auto"/>
        <w:ind w:left="480" w:hanging="480"/>
      </w:pPr>
      <w:r>
        <w:rPr>
          <w:rFonts w:ascii="Arial" w:eastAsia="Arial" w:hAnsi="Arial" w:cs="Arial"/>
          <w:sz w:val="20"/>
          <w:szCs w:val="20"/>
        </w:rPr>
        <w:t>[1] S. Rose, O. Borchert, S. Mitchell, and S. Connelly, “Zero Trust Architecture,” NIST Special Publication 800-207, National Institute of Standards and Technology, Aug. 2020. [Online]. Available: https://doi.org/10.6028/NIST.SP.800-207</w:t>
      </w:r>
    </w:p>
    <w:p w14:paraId="3E62A2D6" w14:textId="77777777" w:rsidR="00526B99" w:rsidRDefault="00526B99" w:rsidP="00526B99">
      <w:pPr>
        <w:spacing w:after="80" w:line="260" w:lineRule="auto"/>
        <w:ind w:left="480" w:hanging="480"/>
      </w:pPr>
      <w:r>
        <w:rPr>
          <w:rFonts w:ascii="Arial" w:eastAsia="Arial" w:hAnsi="Arial" w:cs="Arial"/>
          <w:sz w:val="20"/>
          <w:szCs w:val="20"/>
        </w:rPr>
        <w:t>[2] C. Buck, C. Olenberger, A. Schweizer, F. Völter, and T. Eymann, “Never trust, always verify: A multivocal literature review on current knowledge and research gaps of zero-trust,” Computers &amp; Security, vol. 110, 2021. doi: 10.1016/j.cose.2021.102436</w:t>
      </w:r>
    </w:p>
    <w:p w14:paraId="690DD311" w14:textId="77777777" w:rsidR="00526B99" w:rsidRDefault="00526B99" w:rsidP="00526B99">
      <w:pPr>
        <w:spacing w:after="80" w:line="260" w:lineRule="auto"/>
        <w:ind w:left="480" w:hanging="480"/>
      </w:pPr>
      <w:r>
        <w:rPr>
          <w:rFonts w:ascii="Arial" w:eastAsia="Arial" w:hAnsi="Arial" w:cs="Arial"/>
          <w:sz w:val="20"/>
          <w:szCs w:val="20"/>
        </w:rPr>
        <w:t>[3] International Organization for Standardization, “Information security, cybersecurity and privacy protection – Information security management systems – Requirements,” ISO/IEC 27001:2022, Oct. 2022.</w:t>
      </w:r>
    </w:p>
    <w:p w14:paraId="52671F85" w14:textId="77777777" w:rsidR="00526B99" w:rsidRDefault="00526B99" w:rsidP="00526B99">
      <w:pPr>
        <w:spacing w:after="80" w:line="260" w:lineRule="auto"/>
        <w:ind w:left="480" w:hanging="480"/>
      </w:pPr>
      <w:r>
        <w:rPr>
          <w:rFonts w:ascii="Arial" w:eastAsia="Arial" w:hAnsi="Arial" w:cs="Arial"/>
          <w:sz w:val="20"/>
          <w:szCs w:val="20"/>
        </w:rPr>
        <w:t>[4] Cybersecurity and Infrastructure Security Agency, “Zero Trust Maturity Model,” Version 2.0, CISA, Apr. 2023. [Online]. Available: https://www.cisa.gov/zero-trust-maturity-model</w:t>
      </w:r>
    </w:p>
    <w:p w14:paraId="5931242E" w14:textId="77777777" w:rsidR="00526B99" w:rsidRDefault="00526B99" w:rsidP="00526B99">
      <w:pPr>
        <w:spacing w:after="80" w:line="260" w:lineRule="auto"/>
        <w:ind w:left="480" w:hanging="480"/>
      </w:pPr>
      <w:r>
        <w:rPr>
          <w:rFonts w:ascii="Arial" w:eastAsia="Arial" w:hAnsi="Arial" w:cs="Arial"/>
          <w:sz w:val="20"/>
          <w:szCs w:val="20"/>
        </w:rPr>
        <w:t>[5] Gartner, “Market Guide for Zero Trust Network Access,” Gartner Research, Feb. 2024.</w:t>
      </w:r>
    </w:p>
    <w:p w14:paraId="4D45E402" w14:textId="77777777" w:rsidR="00526B99" w:rsidRDefault="00526B99" w:rsidP="00526B99">
      <w:pPr>
        <w:spacing w:after="80" w:line="260" w:lineRule="auto"/>
        <w:ind w:left="480" w:hanging="480"/>
      </w:pPr>
      <w:r>
        <w:rPr>
          <w:rFonts w:ascii="Arial" w:eastAsia="Arial" w:hAnsi="Arial" w:cs="Arial"/>
          <w:sz w:val="20"/>
          <w:szCs w:val="20"/>
        </w:rPr>
        <w:t>[6] D. Eidle, S. Y. Ni, C. DeCusatis, and A. Sager, “Autonomic security for zero trust networks,” in 2017 IEEE 8th Annual Ubiquitous Computing, Electronics and Mobile Communication Conference (UEMCON), 2017, pp. 288–293. doi: 10.1109/UEMCON.2017.8249053</w:t>
      </w:r>
    </w:p>
    <w:p w14:paraId="0D48FEC4" w14:textId="77777777" w:rsidR="00526B99" w:rsidRDefault="00526B99" w:rsidP="00526B99">
      <w:pPr>
        <w:spacing w:after="80" w:line="260" w:lineRule="auto"/>
        <w:ind w:left="480" w:hanging="480"/>
      </w:pPr>
      <w:r>
        <w:rPr>
          <w:rFonts w:ascii="Arial" w:eastAsia="Arial" w:hAnsi="Arial" w:cs="Arial"/>
          <w:sz w:val="20"/>
          <w:szCs w:val="20"/>
        </w:rPr>
        <w:t>[7] IBM Security, “X-Force Threat Intelligence Index 2024,” IBM Corporation, Feb. 2024. [Online]. Available: https://www.ibm.com/reports/threat-intelligence</w:t>
      </w:r>
    </w:p>
    <w:p w14:paraId="4462571B" w14:textId="77777777" w:rsidR="00526B99" w:rsidRDefault="00526B99" w:rsidP="00526B99">
      <w:pPr>
        <w:spacing w:after="80" w:line="260" w:lineRule="auto"/>
        <w:ind w:left="480" w:hanging="480"/>
      </w:pPr>
      <w:r>
        <w:rPr>
          <w:rFonts w:ascii="Arial" w:eastAsia="Arial" w:hAnsi="Arial" w:cs="Arial"/>
          <w:sz w:val="20"/>
          <w:szCs w:val="20"/>
        </w:rPr>
        <w:t>[8] Forrester Research, “The Zero Trust eXtended Ecosystem,” Forrester, 2022.</w:t>
      </w:r>
    </w:p>
    <w:p w14:paraId="0BB47F9A" w14:textId="77777777" w:rsidR="00526B99" w:rsidRDefault="00526B99" w:rsidP="00526B99">
      <w:pPr>
        <w:spacing w:after="80" w:line="260" w:lineRule="auto"/>
        <w:ind w:left="480" w:hanging="480"/>
      </w:pPr>
      <w:r>
        <w:rPr>
          <w:rFonts w:ascii="Arial" w:eastAsia="Arial" w:hAnsi="Arial" w:cs="Arial"/>
          <w:sz w:val="20"/>
          <w:szCs w:val="20"/>
        </w:rPr>
        <w:t>[9] Gartner, “The Future of Network Security Is in the Cloud,” Gartner Research, ID G00441737, Aug. 2019; updated 2024.</w:t>
      </w:r>
    </w:p>
    <w:p w14:paraId="268FF3CA" w14:textId="77777777" w:rsidR="00526B99" w:rsidRDefault="00526B99" w:rsidP="00526B99">
      <w:pPr>
        <w:spacing w:after="80" w:line="260" w:lineRule="auto"/>
        <w:ind w:left="480" w:hanging="480"/>
      </w:pPr>
      <w:r>
        <w:rPr>
          <w:rFonts w:ascii="Arial" w:eastAsia="Arial" w:hAnsi="Arial" w:cs="Arial"/>
          <w:sz w:val="20"/>
          <w:szCs w:val="20"/>
        </w:rPr>
        <w:t>[10] Cybersecurity and Infrastructure Security Agency, “Advanced Persistent Threat Compromise of Government Agencies, Critical Infrastructure, and Private Sector Organizations,” Alert AA20-352A, Dec. 2020.</w:t>
      </w:r>
    </w:p>
    <w:p w14:paraId="7B8852BD" w14:textId="77777777" w:rsidR="00526B99" w:rsidRDefault="00526B99" w:rsidP="00526B99">
      <w:pPr>
        <w:spacing w:after="80" w:line="260" w:lineRule="auto"/>
        <w:ind w:left="480" w:hanging="480"/>
      </w:pPr>
      <w:r>
        <w:rPr>
          <w:rFonts w:ascii="Arial" w:eastAsia="Arial" w:hAnsi="Arial" w:cs="Arial"/>
          <w:sz w:val="20"/>
          <w:szCs w:val="20"/>
        </w:rPr>
        <w:t>[11] Verizon, “2024 Data Breach Investigations Report,” Verizon Business, May 2024. [Online]. Available: https://www.verizon.com/business/resources/reports/dbir/</w:t>
      </w:r>
    </w:p>
    <w:p w14:paraId="37DB0C01" w14:textId="77777777" w:rsidR="00526B99" w:rsidRDefault="00526B99" w:rsidP="00526B99">
      <w:pPr>
        <w:spacing w:after="80" w:line="260" w:lineRule="auto"/>
        <w:ind w:left="480" w:hanging="480"/>
      </w:pPr>
      <w:r>
        <w:rPr>
          <w:rFonts w:ascii="Arial" w:eastAsia="Arial" w:hAnsi="Arial" w:cs="Arial"/>
          <w:sz w:val="20"/>
          <w:szCs w:val="20"/>
        </w:rPr>
        <w:t>[12] J. Kindervag, “Build Security Into Your Network’s DNA: The Zero Trust Network Architecture,” Forrester Research, Nov. 2010.</w:t>
      </w:r>
    </w:p>
    <w:p w14:paraId="69685934" w14:textId="77777777" w:rsidR="00526B99" w:rsidRDefault="00526B99" w:rsidP="00526B99">
      <w:pPr>
        <w:spacing w:after="80" w:line="260" w:lineRule="auto"/>
        <w:ind w:left="480" w:hanging="480"/>
      </w:pPr>
      <w:r>
        <w:rPr>
          <w:rFonts w:ascii="Arial" w:eastAsia="Arial" w:hAnsi="Arial" w:cs="Arial"/>
          <w:sz w:val="20"/>
          <w:szCs w:val="20"/>
        </w:rPr>
        <w:t>[13] Sophos, “The State of Ransomware 2024,” Sophos Group plc, Apr. 2024. [Online]. Available: https://www.sophos.com/en-us/whitepaper/state-of-ransomware</w:t>
      </w:r>
    </w:p>
    <w:p w14:paraId="63330DBC" w14:textId="77777777" w:rsidR="00526B99" w:rsidRDefault="00526B99" w:rsidP="00526B99">
      <w:pPr>
        <w:spacing w:after="80" w:line="260" w:lineRule="auto"/>
        <w:ind w:left="480" w:hanging="480"/>
      </w:pPr>
      <w:r>
        <w:rPr>
          <w:rFonts w:ascii="Arial" w:eastAsia="Arial" w:hAnsi="Arial" w:cs="Arial"/>
          <w:sz w:val="20"/>
          <w:szCs w:val="20"/>
        </w:rPr>
        <w:t>[14] European Parliament and Council, “Regulation (EU) 2022/2554 on digital operational resilience for the financial sector (DORA),” Official Journal of the European Union, L 333, Dec. 2022. [Online]. Available: https://eur-lex.europa.eu/eli/reg/2022/2554</w:t>
      </w:r>
    </w:p>
    <w:p w14:paraId="38A2CA14" w14:textId="77777777" w:rsidR="00526B99" w:rsidRDefault="00526B99" w:rsidP="00526B99">
      <w:pPr>
        <w:spacing w:after="80" w:line="260" w:lineRule="auto"/>
        <w:ind w:left="480" w:hanging="480"/>
      </w:pPr>
      <w:r>
        <w:rPr>
          <w:rFonts w:ascii="Arial" w:eastAsia="Arial" w:hAnsi="Arial" w:cs="Arial"/>
          <w:sz w:val="20"/>
          <w:szCs w:val="20"/>
        </w:rPr>
        <w:t>[15] European Union Agency for Cybersecurity (ENISA), “Threat Landscape 2024,” ENISA, Oct. 2024.</w:t>
      </w:r>
    </w:p>
    <w:p w14:paraId="582F2081" w14:textId="77777777" w:rsidR="00526B99" w:rsidRDefault="00526B99" w:rsidP="00526B99">
      <w:pPr>
        <w:spacing w:after="80" w:line="260" w:lineRule="auto"/>
        <w:ind w:left="480" w:hanging="480"/>
      </w:pPr>
      <w:r>
        <w:rPr>
          <w:rFonts w:ascii="Arial" w:eastAsia="Arial" w:hAnsi="Arial" w:cs="Arial"/>
          <w:sz w:val="20"/>
          <w:szCs w:val="20"/>
        </w:rPr>
        <w:t>[16] Microsoft, “Microsoft Digital Defense Report 2024,” Microsoft Corporation, Oct. 2024. [Online]. Available: https://www.microsoft.com/en-us/security/security-insider</w:t>
      </w:r>
    </w:p>
    <w:p w14:paraId="22FEDA65" w14:textId="77777777" w:rsidR="00526B99" w:rsidRDefault="00526B99" w:rsidP="00526B99">
      <w:pPr>
        <w:spacing w:after="80" w:line="260" w:lineRule="auto"/>
        <w:ind w:left="480" w:hanging="480"/>
      </w:pPr>
      <w:r>
        <w:rPr>
          <w:rFonts w:ascii="Arial" w:eastAsia="Arial" w:hAnsi="Arial" w:cs="Arial"/>
          <w:sz w:val="20"/>
          <w:szCs w:val="20"/>
        </w:rPr>
        <w:t>[17] European Parliament and Council, “Regulation (EU) 2016/679 on the protection of natural persons with regard to the processing of personal data (GDPR),” Official Journal of the European Union, L 119, Apr. 2016.</w:t>
      </w:r>
    </w:p>
    <w:p w14:paraId="260D0CE4" w14:textId="77777777" w:rsidR="00526B99" w:rsidRDefault="00526B99" w:rsidP="00526B99">
      <w:pPr>
        <w:spacing w:after="80" w:line="260" w:lineRule="auto"/>
        <w:ind w:left="480" w:hanging="480"/>
      </w:pPr>
      <w:r>
        <w:rPr>
          <w:rFonts w:ascii="Arial" w:eastAsia="Arial" w:hAnsi="Arial" w:cs="Arial"/>
          <w:sz w:val="20"/>
          <w:szCs w:val="20"/>
        </w:rPr>
        <w:t>[18] J. T. Force, “Security and Privacy Controls for Information Systems and Organizations,” NIST Special Publication 800-53 Rev. 5, National Institute of Standards and Technology, Sep. 2020.</w:t>
      </w:r>
    </w:p>
    <w:p w14:paraId="5DB44325" w14:textId="77777777" w:rsidR="00526B99" w:rsidRDefault="00526B99" w:rsidP="00526B99">
      <w:pPr>
        <w:spacing w:after="80" w:line="260" w:lineRule="auto"/>
        <w:ind w:left="480" w:hanging="480"/>
      </w:pPr>
      <w:r>
        <w:rPr>
          <w:rFonts w:ascii="Arial" w:eastAsia="Arial" w:hAnsi="Arial" w:cs="Arial"/>
          <w:sz w:val="20"/>
          <w:szCs w:val="20"/>
        </w:rPr>
        <w:t>[19] National Institute of Standards and Technology, “The NIST Cybersecurity Framework (CSF) 2.0,” NIST Cybersecurity White Paper, Feb. 2024. [Online]. Available: https://doi.org/10.6028/NIST.CSWP.29</w:t>
      </w:r>
    </w:p>
    <w:p w14:paraId="7F66D2CF" w14:textId="7270872C" w:rsidR="00246D63" w:rsidRPr="00526B99" w:rsidRDefault="00526B99" w:rsidP="00526B99">
      <w:pPr>
        <w:spacing w:after="80" w:line="260" w:lineRule="auto"/>
        <w:ind w:left="480" w:hanging="480"/>
      </w:pPr>
      <w:r>
        <w:rPr>
          <w:rFonts w:ascii="Arial" w:eastAsia="Arial" w:hAnsi="Arial" w:cs="Arial"/>
          <w:sz w:val="20"/>
          <w:szCs w:val="20"/>
        </w:rPr>
        <w:t>[20] P. Cichonski, T. Millar, T. Grance, and K. Scarfone, “Computer Security Incident Handling Guide,” NIST Special Publication 800-61 Rev. 2, National Institute of Standards and Technology, Aug. 2012.</w:t>
      </w:r>
    </w:p>
    <w:sectPr w:rsidR="00246D63" w:rsidRPr="00526B99" w:rsidSect="00526B99">
      <w:headerReference w:type="default" r:id="rId19"/>
      <w:footerReference w:type="default" r:id="rId2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12765" w14:textId="77777777" w:rsidR="00BA78BA" w:rsidRDefault="00BA78BA" w:rsidP="00221662">
      <w:pPr>
        <w:spacing w:after="0" w:line="240" w:lineRule="auto"/>
      </w:pPr>
      <w:r>
        <w:separator/>
      </w:r>
    </w:p>
  </w:endnote>
  <w:endnote w:type="continuationSeparator" w:id="0">
    <w:p w14:paraId="62CAACEF" w14:textId="77777777" w:rsidR="00BA78BA" w:rsidRDefault="00BA78BA" w:rsidP="00221662">
      <w:pPr>
        <w:spacing w:after="0" w:line="240" w:lineRule="auto"/>
      </w:pPr>
      <w:r>
        <w:continuationSeparator/>
      </w:r>
    </w:p>
  </w:endnote>
  <w:endnote w:type="continuationNotice" w:id="1">
    <w:p w14:paraId="3C244E4F" w14:textId="77777777" w:rsidR="00BA78BA" w:rsidRDefault="00BA78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40AE" w14:textId="77777777" w:rsidR="00E02B46" w:rsidRDefault="00E02B46">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Pr>
        <w:noProof/>
        <w:sz w:val="18"/>
        <w:szCs w:val="18"/>
      </w:rPr>
      <w:t>2</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23BA" w14:textId="77777777" w:rsidR="002C244E" w:rsidRDefault="002C244E">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3</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37575" w14:textId="19F2B960" w:rsidR="00630652" w:rsidRDefault="00630652">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3</w:t>
    </w:r>
    <w:r>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F1956" w14:textId="77777777" w:rsidR="00526B99" w:rsidRDefault="00526B99">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Pr>
        <w:noProof/>
        <w:sz w:val="18"/>
        <w:szCs w:val="18"/>
      </w:rPr>
      <w:t>10</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B7200" w14:textId="77777777" w:rsidR="00BA78BA" w:rsidRDefault="00BA78BA" w:rsidP="00221662">
      <w:pPr>
        <w:spacing w:after="0" w:line="240" w:lineRule="auto"/>
      </w:pPr>
      <w:r>
        <w:separator/>
      </w:r>
    </w:p>
  </w:footnote>
  <w:footnote w:type="continuationSeparator" w:id="0">
    <w:p w14:paraId="0778F1DA" w14:textId="77777777" w:rsidR="00BA78BA" w:rsidRDefault="00BA78BA" w:rsidP="00221662">
      <w:pPr>
        <w:spacing w:after="0" w:line="240" w:lineRule="auto"/>
      </w:pPr>
      <w:r>
        <w:continuationSeparator/>
      </w:r>
    </w:p>
  </w:footnote>
  <w:footnote w:type="continuationNotice" w:id="1">
    <w:p w14:paraId="2E6F2C09" w14:textId="77777777" w:rsidR="00BA78BA" w:rsidRDefault="00BA78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1E1C9" w14:textId="77777777" w:rsidR="00E02B46" w:rsidRDefault="00E02B46" w:rsidP="00253B5F">
    <w:pPr>
      <w:jc w:val="right"/>
    </w:pPr>
    <w:r>
      <w:rPr>
        <w:i/>
        <w:iCs/>
        <w:color w:val="808080"/>
        <w:sz w:val="18"/>
        <w:szCs w:val="18"/>
      </w:rPr>
      <w:t>Data Security and Compliance – ACCA5034</w:t>
    </w:r>
  </w:p>
  <w:p w14:paraId="019FC78C" w14:textId="77777777" w:rsidR="00E02B46" w:rsidRPr="00253B5F" w:rsidRDefault="00E02B46" w:rsidP="00253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A86C6" w14:textId="77777777" w:rsidR="002C244E" w:rsidRDefault="002C244E">
    <w:pPr>
      <w:jc w:val="right"/>
    </w:pPr>
    <w:r>
      <w:rPr>
        <w:i/>
        <w:iCs/>
        <w:color w:val="808080"/>
        <w:sz w:val="18"/>
        <w:szCs w:val="18"/>
      </w:rPr>
      <w:t>Data Security and Compliance – ACCA5034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346C" w14:textId="5A3A6F86" w:rsidR="00253B5F" w:rsidRDefault="00253B5F" w:rsidP="00253B5F">
    <w:pPr>
      <w:jc w:val="right"/>
    </w:pPr>
    <w:r>
      <w:rPr>
        <w:i/>
        <w:iCs/>
        <w:color w:val="808080"/>
        <w:sz w:val="18"/>
        <w:szCs w:val="18"/>
      </w:rPr>
      <w:t>Data Security and Compliance – ACCA5034</w:t>
    </w:r>
  </w:p>
  <w:p w14:paraId="464EE02F" w14:textId="09EC040E" w:rsidR="00630652" w:rsidRPr="00253B5F" w:rsidRDefault="00630652" w:rsidP="00253B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52BC5" w14:textId="77777777" w:rsidR="00526B99" w:rsidRDefault="00526B99">
    <w:pPr>
      <w:jc w:val="right"/>
    </w:pPr>
    <w:r>
      <w:rPr>
        <w:i/>
        <w:iCs/>
        <w:color w:val="808080"/>
        <w:sz w:val="18"/>
        <w:szCs w:val="18"/>
      </w:rPr>
      <w:t>Data Security and Compliance – ACCA5034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A44"/>
    <w:multiLevelType w:val="hybridMultilevel"/>
    <w:tmpl w:val="6190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97F9C"/>
    <w:multiLevelType w:val="hybridMultilevel"/>
    <w:tmpl w:val="A3E885CC"/>
    <w:lvl w:ilvl="0" w:tplc="424CE4F6">
      <w:start w:val="1"/>
      <w:numFmt w:val="bullet"/>
      <w:lvlText w:val="•"/>
      <w:lvlJc w:val="left"/>
      <w:pPr>
        <w:ind w:left="520" w:hanging="260"/>
      </w:pPr>
    </w:lvl>
    <w:lvl w:ilvl="1" w:tplc="3FBECDA2">
      <w:numFmt w:val="decimal"/>
      <w:lvlText w:val=""/>
      <w:lvlJc w:val="left"/>
    </w:lvl>
    <w:lvl w:ilvl="2" w:tplc="5FB6650C">
      <w:numFmt w:val="decimal"/>
      <w:lvlText w:val=""/>
      <w:lvlJc w:val="left"/>
    </w:lvl>
    <w:lvl w:ilvl="3" w:tplc="0B925046">
      <w:numFmt w:val="decimal"/>
      <w:lvlText w:val=""/>
      <w:lvlJc w:val="left"/>
    </w:lvl>
    <w:lvl w:ilvl="4" w:tplc="08F4CEF6">
      <w:numFmt w:val="decimal"/>
      <w:lvlText w:val=""/>
      <w:lvlJc w:val="left"/>
    </w:lvl>
    <w:lvl w:ilvl="5" w:tplc="28465DB2">
      <w:numFmt w:val="decimal"/>
      <w:lvlText w:val=""/>
      <w:lvlJc w:val="left"/>
    </w:lvl>
    <w:lvl w:ilvl="6" w:tplc="CDBE7A48">
      <w:numFmt w:val="decimal"/>
      <w:lvlText w:val=""/>
      <w:lvlJc w:val="left"/>
    </w:lvl>
    <w:lvl w:ilvl="7" w:tplc="A1BC2CBE">
      <w:numFmt w:val="decimal"/>
      <w:lvlText w:val=""/>
      <w:lvlJc w:val="left"/>
    </w:lvl>
    <w:lvl w:ilvl="8" w:tplc="E0A25448">
      <w:numFmt w:val="decimal"/>
      <w:lvlText w:val=""/>
      <w:lvlJc w:val="left"/>
    </w:lvl>
  </w:abstractNum>
  <w:abstractNum w:abstractNumId="2" w15:restartNumberingAfterBreak="0">
    <w:nsid w:val="068301A1"/>
    <w:multiLevelType w:val="multilevel"/>
    <w:tmpl w:val="4F8AC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8428F"/>
    <w:multiLevelType w:val="hybridMultilevel"/>
    <w:tmpl w:val="3E20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643C4"/>
    <w:multiLevelType w:val="hybridMultilevel"/>
    <w:tmpl w:val="26B419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A90D10"/>
    <w:multiLevelType w:val="hybridMultilevel"/>
    <w:tmpl w:val="7E3093B4"/>
    <w:lvl w:ilvl="0" w:tplc="FCA87360">
      <w:start w:val="1"/>
      <w:numFmt w:val="bullet"/>
      <w:lvlText w:val="•"/>
      <w:lvlJc w:val="left"/>
      <w:pPr>
        <w:ind w:left="720" w:hanging="360"/>
      </w:pPr>
    </w:lvl>
    <w:lvl w:ilvl="1" w:tplc="938AC0A4">
      <w:numFmt w:val="decimal"/>
      <w:lvlText w:val=""/>
      <w:lvlJc w:val="left"/>
    </w:lvl>
    <w:lvl w:ilvl="2" w:tplc="CEECB09C">
      <w:numFmt w:val="decimal"/>
      <w:lvlText w:val=""/>
      <w:lvlJc w:val="left"/>
    </w:lvl>
    <w:lvl w:ilvl="3" w:tplc="C22A63B4">
      <w:numFmt w:val="decimal"/>
      <w:lvlText w:val=""/>
      <w:lvlJc w:val="left"/>
    </w:lvl>
    <w:lvl w:ilvl="4" w:tplc="865262B8">
      <w:numFmt w:val="decimal"/>
      <w:lvlText w:val=""/>
      <w:lvlJc w:val="left"/>
    </w:lvl>
    <w:lvl w:ilvl="5" w:tplc="B88C4C9C">
      <w:numFmt w:val="decimal"/>
      <w:lvlText w:val=""/>
      <w:lvlJc w:val="left"/>
    </w:lvl>
    <w:lvl w:ilvl="6" w:tplc="74C647FA">
      <w:numFmt w:val="decimal"/>
      <w:lvlText w:val=""/>
      <w:lvlJc w:val="left"/>
    </w:lvl>
    <w:lvl w:ilvl="7" w:tplc="D1BE02FC">
      <w:numFmt w:val="decimal"/>
      <w:lvlText w:val=""/>
      <w:lvlJc w:val="left"/>
    </w:lvl>
    <w:lvl w:ilvl="8" w:tplc="DC5E7ACC">
      <w:numFmt w:val="decimal"/>
      <w:lvlText w:val=""/>
      <w:lvlJc w:val="left"/>
    </w:lvl>
  </w:abstractNum>
  <w:abstractNum w:abstractNumId="6" w15:restartNumberingAfterBreak="0">
    <w:nsid w:val="10391BFE"/>
    <w:multiLevelType w:val="hybridMultilevel"/>
    <w:tmpl w:val="4AD8A706"/>
    <w:lvl w:ilvl="0" w:tplc="2686469C">
      <w:start w:val="1"/>
      <w:numFmt w:val="decimal"/>
      <w:lvlText w:val="%1."/>
      <w:lvlJc w:val="left"/>
      <w:pPr>
        <w:tabs>
          <w:tab w:val="num" w:pos="720"/>
        </w:tabs>
        <w:ind w:left="720" w:hanging="360"/>
      </w:pPr>
    </w:lvl>
    <w:lvl w:ilvl="1" w:tplc="1F78B3E2">
      <w:start w:val="1"/>
      <w:numFmt w:val="decimal"/>
      <w:lvlText w:val="%2."/>
      <w:lvlJc w:val="left"/>
      <w:pPr>
        <w:tabs>
          <w:tab w:val="num" w:pos="1440"/>
        </w:tabs>
        <w:ind w:left="1440" w:hanging="360"/>
      </w:pPr>
    </w:lvl>
    <w:lvl w:ilvl="2" w:tplc="95348348" w:tentative="1">
      <w:start w:val="1"/>
      <w:numFmt w:val="decimal"/>
      <w:lvlText w:val="%3."/>
      <w:lvlJc w:val="left"/>
      <w:pPr>
        <w:tabs>
          <w:tab w:val="num" w:pos="2160"/>
        </w:tabs>
        <w:ind w:left="2160" w:hanging="360"/>
      </w:pPr>
    </w:lvl>
    <w:lvl w:ilvl="3" w:tplc="EFF67060" w:tentative="1">
      <w:start w:val="1"/>
      <w:numFmt w:val="decimal"/>
      <w:lvlText w:val="%4."/>
      <w:lvlJc w:val="left"/>
      <w:pPr>
        <w:tabs>
          <w:tab w:val="num" w:pos="2880"/>
        </w:tabs>
        <w:ind w:left="2880" w:hanging="360"/>
      </w:pPr>
    </w:lvl>
    <w:lvl w:ilvl="4" w:tplc="A3DCB584" w:tentative="1">
      <w:start w:val="1"/>
      <w:numFmt w:val="decimal"/>
      <w:lvlText w:val="%5."/>
      <w:lvlJc w:val="left"/>
      <w:pPr>
        <w:tabs>
          <w:tab w:val="num" w:pos="3600"/>
        </w:tabs>
        <w:ind w:left="3600" w:hanging="360"/>
      </w:pPr>
    </w:lvl>
    <w:lvl w:ilvl="5" w:tplc="35DA663E" w:tentative="1">
      <w:start w:val="1"/>
      <w:numFmt w:val="decimal"/>
      <w:lvlText w:val="%6."/>
      <w:lvlJc w:val="left"/>
      <w:pPr>
        <w:tabs>
          <w:tab w:val="num" w:pos="4320"/>
        </w:tabs>
        <w:ind w:left="4320" w:hanging="360"/>
      </w:pPr>
    </w:lvl>
    <w:lvl w:ilvl="6" w:tplc="BC9E8D3C" w:tentative="1">
      <w:start w:val="1"/>
      <w:numFmt w:val="decimal"/>
      <w:lvlText w:val="%7."/>
      <w:lvlJc w:val="left"/>
      <w:pPr>
        <w:tabs>
          <w:tab w:val="num" w:pos="5040"/>
        </w:tabs>
        <w:ind w:left="5040" w:hanging="360"/>
      </w:pPr>
    </w:lvl>
    <w:lvl w:ilvl="7" w:tplc="D22442A8" w:tentative="1">
      <w:start w:val="1"/>
      <w:numFmt w:val="decimal"/>
      <w:lvlText w:val="%8."/>
      <w:lvlJc w:val="left"/>
      <w:pPr>
        <w:tabs>
          <w:tab w:val="num" w:pos="5760"/>
        </w:tabs>
        <w:ind w:left="5760" w:hanging="360"/>
      </w:pPr>
    </w:lvl>
    <w:lvl w:ilvl="8" w:tplc="9D52C330" w:tentative="1">
      <w:start w:val="1"/>
      <w:numFmt w:val="decimal"/>
      <w:lvlText w:val="%9."/>
      <w:lvlJc w:val="left"/>
      <w:pPr>
        <w:tabs>
          <w:tab w:val="num" w:pos="6480"/>
        </w:tabs>
        <w:ind w:left="6480" w:hanging="360"/>
      </w:pPr>
    </w:lvl>
  </w:abstractNum>
  <w:abstractNum w:abstractNumId="7" w15:restartNumberingAfterBreak="0">
    <w:nsid w:val="116F77E5"/>
    <w:multiLevelType w:val="multilevel"/>
    <w:tmpl w:val="C5FA9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148F2"/>
    <w:multiLevelType w:val="hybridMultilevel"/>
    <w:tmpl w:val="D9DEB7D6"/>
    <w:lvl w:ilvl="0" w:tplc="A118C28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9" w15:restartNumberingAfterBreak="0">
    <w:nsid w:val="12D63E38"/>
    <w:multiLevelType w:val="hybridMultilevel"/>
    <w:tmpl w:val="4C3C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92FFA"/>
    <w:multiLevelType w:val="hybridMultilevel"/>
    <w:tmpl w:val="4238ABD8"/>
    <w:lvl w:ilvl="0" w:tplc="0598EDE6">
      <w:start w:val="1"/>
      <w:numFmt w:val="upperLetter"/>
      <w:lvlText w:val="%1."/>
      <w:lvlJc w:val="left"/>
      <w:pPr>
        <w:ind w:left="720" w:hanging="360"/>
      </w:pPr>
    </w:lvl>
    <w:lvl w:ilvl="1" w:tplc="2A9623D4">
      <w:start w:val="1"/>
      <w:numFmt w:val="lowerLetter"/>
      <w:lvlText w:val="%2."/>
      <w:lvlJc w:val="left"/>
      <w:pPr>
        <w:ind w:left="1440" w:hanging="360"/>
      </w:pPr>
    </w:lvl>
    <w:lvl w:ilvl="2" w:tplc="ECC00A0A">
      <w:start w:val="1"/>
      <w:numFmt w:val="lowerRoman"/>
      <w:lvlText w:val="%3."/>
      <w:lvlJc w:val="right"/>
      <w:pPr>
        <w:ind w:left="2160" w:hanging="180"/>
      </w:pPr>
    </w:lvl>
    <w:lvl w:ilvl="3" w:tplc="94A64F2C">
      <w:start w:val="1"/>
      <w:numFmt w:val="decimal"/>
      <w:lvlText w:val="%4."/>
      <w:lvlJc w:val="left"/>
      <w:pPr>
        <w:ind w:left="2880" w:hanging="360"/>
      </w:pPr>
    </w:lvl>
    <w:lvl w:ilvl="4" w:tplc="B2FE6E1E">
      <w:start w:val="1"/>
      <w:numFmt w:val="lowerLetter"/>
      <w:lvlText w:val="%5."/>
      <w:lvlJc w:val="left"/>
      <w:pPr>
        <w:ind w:left="3600" w:hanging="360"/>
      </w:pPr>
    </w:lvl>
    <w:lvl w:ilvl="5" w:tplc="0164AE18">
      <w:start w:val="1"/>
      <w:numFmt w:val="lowerRoman"/>
      <w:lvlText w:val="%6."/>
      <w:lvlJc w:val="right"/>
      <w:pPr>
        <w:ind w:left="4320" w:hanging="180"/>
      </w:pPr>
    </w:lvl>
    <w:lvl w:ilvl="6" w:tplc="80DA9464">
      <w:start w:val="1"/>
      <w:numFmt w:val="decimal"/>
      <w:lvlText w:val="%7."/>
      <w:lvlJc w:val="left"/>
      <w:pPr>
        <w:ind w:left="5040" w:hanging="360"/>
      </w:pPr>
    </w:lvl>
    <w:lvl w:ilvl="7" w:tplc="4B52F41C">
      <w:start w:val="1"/>
      <w:numFmt w:val="lowerLetter"/>
      <w:lvlText w:val="%8."/>
      <w:lvlJc w:val="left"/>
      <w:pPr>
        <w:ind w:left="5760" w:hanging="360"/>
      </w:pPr>
    </w:lvl>
    <w:lvl w:ilvl="8" w:tplc="75CC7040">
      <w:start w:val="1"/>
      <w:numFmt w:val="lowerRoman"/>
      <w:lvlText w:val="%9."/>
      <w:lvlJc w:val="right"/>
      <w:pPr>
        <w:ind w:left="6480" w:hanging="180"/>
      </w:pPr>
    </w:lvl>
  </w:abstractNum>
  <w:abstractNum w:abstractNumId="11" w15:restartNumberingAfterBreak="0">
    <w:nsid w:val="20755F6B"/>
    <w:multiLevelType w:val="hybridMultilevel"/>
    <w:tmpl w:val="B0681B78"/>
    <w:lvl w:ilvl="0" w:tplc="3E802792">
      <w:start w:val="1"/>
      <w:numFmt w:val="decimal"/>
      <w:lvlText w:val="%1."/>
      <w:lvlJc w:val="left"/>
      <w:pPr>
        <w:ind w:left="520" w:hanging="260"/>
      </w:pPr>
    </w:lvl>
    <w:lvl w:ilvl="1" w:tplc="99C6B828">
      <w:numFmt w:val="decimal"/>
      <w:lvlText w:val=""/>
      <w:lvlJc w:val="left"/>
    </w:lvl>
    <w:lvl w:ilvl="2" w:tplc="8BD8850A">
      <w:numFmt w:val="decimal"/>
      <w:lvlText w:val=""/>
      <w:lvlJc w:val="left"/>
    </w:lvl>
    <w:lvl w:ilvl="3" w:tplc="7452FD62">
      <w:numFmt w:val="decimal"/>
      <w:lvlText w:val=""/>
      <w:lvlJc w:val="left"/>
    </w:lvl>
    <w:lvl w:ilvl="4" w:tplc="46A22588">
      <w:numFmt w:val="decimal"/>
      <w:lvlText w:val=""/>
      <w:lvlJc w:val="left"/>
    </w:lvl>
    <w:lvl w:ilvl="5" w:tplc="453683E0">
      <w:numFmt w:val="decimal"/>
      <w:lvlText w:val=""/>
      <w:lvlJc w:val="left"/>
    </w:lvl>
    <w:lvl w:ilvl="6" w:tplc="B81A546E">
      <w:numFmt w:val="decimal"/>
      <w:lvlText w:val=""/>
      <w:lvlJc w:val="left"/>
    </w:lvl>
    <w:lvl w:ilvl="7" w:tplc="7E2E3AC4">
      <w:numFmt w:val="decimal"/>
      <w:lvlText w:val=""/>
      <w:lvlJc w:val="left"/>
    </w:lvl>
    <w:lvl w:ilvl="8" w:tplc="E4CAA560">
      <w:numFmt w:val="decimal"/>
      <w:lvlText w:val=""/>
      <w:lvlJc w:val="left"/>
    </w:lvl>
  </w:abstractNum>
  <w:abstractNum w:abstractNumId="12" w15:restartNumberingAfterBreak="0">
    <w:nsid w:val="21451089"/>
    <w:multiLevelType w:val="hybridMultilevel"/>
    <w:tmpl w:val="FE70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A1645A"/>
    <w:multiLevelType w:val="multilevel"/>
    <w:tmpl w:val="5796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A594C"/>
    <w:multiLevelType w:val="multilevel"/>
    <w:tmpl w:val="12E41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453A5"/>
    <w:multiLevelType w:val="hybridMultilevel"/>
    <w:tmpl w:val="5AEC74EA"/>
    <w:lvl w:ilvl="0" w:tplc="D85A8F1A">
      <w:start w:val="1"/>
      <w:numFmt w:val="bullet"/>
      <w:lvlText w:val="•"/>
      <w:lvlJc w:val="left"/>
      <w:pPr>
        <w:tabs>
          <w:tab w:val="num" w:pos="720"/>
        </w:tabs>
        <w:ind w:left="720" w:hanging="360"/>
      </w:pPr>
      <w:rPr>
        <w:rFonts w:ascii="Arial" w:hAnsi="Arial" w:hint="default"/>
      </w:rPr>
    </w:lvl>
    <w:lvl w:ilvl="1" w:tplc="791809D2" w:tentative="1">
      <w:start w:val="1"/>
      <w:numFmt w:val="bullet"/>
      <w:lvlText w:val="•"/>
      <w:lvlJc w:val="left"/>
      <w:pPr>
        <w:tabs>
          <w:tab w:val="num" w:pos="1440"/>
        </w:tabs>
        <w:ind w:left="1440" w:hanging="360"/>
      </w:pPr>
      <w:rPr>
        <w:rFonts w:ascii="Arial" w:hAnsi="Arial" w:hint="default"/>
      </w:rPr>
    </w:lvl>
    <w:lvl w:ilvl="2" w:tplc="FFF865EA" w:tentative="1">
      <w:start w:val="1"/>
      <w:numFmt w:val="bullet"/>
      <w:lvlText w:val="•"/>
      <w:lvlJc w:val="left"/>
      <w:pPr>
        <w:tabs>
          <w:tab w:val="num" w:pos="2160"/>
        </w:tabs>
        <w:ind w:left="2160" w:hanging="360"/>
      </w:pPr>
      <w:rPr>
        <w:rFonts w:ascii="Arial" w:hAnsi="Arial" w:hint="default"/>
      </w:rPr>
    </w:lvl>
    <w:lvl w:ilvl="3" w:tplc="2182DEAE" w:tentative="1">
      <w:start w:val="1"/>
      <w:numFmt w:val="bullet"/>
      <w:lvlText w:val="•"/>
      <w:lvlJc w:val="left"/>
      <w:pPr>
        <w:tabs>
          <w:tab w:val="num" w:pos="2880"/>
        </w:tabs>
        <w:ind w:left="2880" w:hanging="360"/>
      </w:pPr>
      <w:rPr>
        <w:rFonts w:ascii="Arial" w:hAnsi="Arial" w:hint="default"/>
      </w:rPr>
    </w:lvl>
    <w:lvl w:ilvl="4" w:tplc="3A2E6F72" w:tentative="1">
      <w:start w:val="1"/>
      <w:numFmt w:val="bullet"/>
      <w:lvlText w:val="•"/>
      <w:lvlJc w:val="left"/>
      <w:pPr>
        <w:tabs>
          <w:tab w:val="num" w:pos="3600"/>
        </w:tabs>
        <w:ind w:left="3600" w:hanging="360"/>
      </w:pPr>
      <w:rPr>
        <w:rFonts w:ascii="Arial" w:hAnsi="Arial" w:hint="default"/>
      </w:rPr>
    </w:lvl>
    <w:lvl w:ilvl="5" w:tplc="F6D02830" w:tentative="1">
      <w:start w:val="1"/>
      <w:numFmt w:val="bullet"/>
      <w:lvlText w:val="•"/>
      <w:lvlJc w:val="left"/>
      <w:pPr>
        <w:tabs>
          <w:tab w:val="num" w:pos="4320"/>
        </w:tabs>
        <w:ind w:left="4320" w:hanging="360"/>
      </w:pPr>
      <w:rPr>
        <w:rFonts w:ascii="Arial" w:hAnsi="Arial" w:hint="default"/>
      </w:rPr>
    </w:lvl>
    <w:lvl w:ilvl="6" w:tplc="111A5D02" w:tentative="1">
      <w:start w:val="1"/>
      <w:numFmt w:val="bullet"/>
      <w:lvlText w:val="•"/>
      <w:lvlJc w:val="left"/>
      <w:pPr>
        <w:tabs>
          <w:tab w:val="num" w:pos="5040"/>
        </w:tabs>
        <w:ind w:left="5040" w:hanging="360"/>
      </w:pPr>
      <w:rPr>
        <w:rFonts w:ascii="Arial" w:hAnsi="Arial" w:hint="default"/>
      </w:rPr>
    </w:lvl>
    <w:lvl w:ilvl="7" w:tplc="ADC2A064" w:tentative="1">
      <w:start w:val="1"/>
      <w:numFmt w:val="bullet"/>
      <w:lvlText w:val="•"/>
      <w:lvlJc w:val="left"/>
      <w:pPr>
        <w:tabs>
          <w:tab w:val="num" w:pos="5760"/>
        </w:tabs>
        <w:ind w:left="5760" w:hanging="360"/>
      </w:pPr>
      <w:rPr>
        <w:rFonts w:ascii="Arial" w:hAnsi="Arial" w:hint="default"/>
      </w:rPr>
    </w:lvl>
    <w:lvl w:ilvl="8" w:tplc="AB521C1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A2E6819"/>
    <w:multiLevelType w:val="hybridMultilevel"/>
    <w:tmpl w:val="98744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D66BF"/>
    <w:multiLevelType w:val="hybridMultilevel"/>
    <w:tmpl w:val="FB34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230D75"/>
    <w:multiLevelType w:val="hybridMultilevel"/>
    <w:tmpl w:val="F1AC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B33FF3"/>
    <w:multiLevelType w:val="multilevel"/>
    <w:tmpl w:val="25A0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17545A"/>
    <w:multiLevelType w:val="multilevel"/>
    <w:tmpl w:val="AD785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801C3D"/>
    <w:multiLevelType w:val="multilevel"/>
    <w:tmpl w:val="FC92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5A44AF"/>
    <w:multiLevelType w:val="hybridMultilevel"/>
    <w:tmpl w:val="4B5C72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BD808A2"/>
    <w:multiLevelType w:val="hybridMultilevel"/>
    <w:tmpl w:val="B2DC2542"/>
    <w:lvl w:ilvl="0" w:tplc="980A57B8">
      <w:start w:val="1"/>
      <w:numFmt w:val="decimal"/>
      <w:lvlText w:val="%1."/>
      <w:lvlJc w:val="left"/>
      <w:pPr>
        <w:ind w:left="720" w:hanging="360"/>
      </w:pPr>
    </w:lvl>
    <w:lvl w:ilvl="1" w:tplc="97E84F78">
      <w:numFmt w:val="decimal"/>
      <w:lvlText w:val=""/>
      <w:lvlJc w:val="left"/>
    </w:lvl>
    <w:lvl w:ilvl="2" w:tplc="297A981A">
      <w:numFmt w:val="decimal"/>
      <w:lvlText w:val=""/>
      <w:lvlJc w:val="left"/>
    </w:lvl>
    <w:lvl w:ilvl="3" w:tplc="AB008F56">
      <w:numFmt w:val="decimal"/>
      <w:lvlText w:val=""/>
      <w:lvlJc w:val="left"/>
    </w:lvl>
    <w:lvl w:ilvl="4" w:tplc="3D266CA4">
      <w:numFmt w:val="decimal"/>
      <w:lvlText w:val=""/>
      <w:lvlJc w:val="left"/>
    </w:lvl>
    <w:lvl w:ilvl="5" w:tplc="5C7A38EC">
      <w:numFmt w:val="decimal"/>
      <w:lvlText w:val=""/>
      <w:lvlJc w:val="left"/>
    </w:lvl>
    <w:lvl w:ilvl="6" w:tplc="1EC6E7F0">
      <w:numFmt w:val="decimal"/>
      <w:lvlText w:val=""/>
      <w:lvlJc w:val="left"/>
    </w:lvl>
    <w:lvl w:ilvl="7" w:tplc="A0E286B0">
      <w:numFmt w:val="decimal"/>
      <w:lvlText w:val=""/>
      <w:lvlJc w:val="left"/>
    </w:lvl>
    <w:lvl w:ilvl="8" w:tplc="7098D7AA">
      <w:numFmt w:val="decimal"/>
      <w:lvlText w:val=""/>
      <w:lvlJc w:val="left"/>
    </w:lvl>
  </w:abstractNum>
  <w:abstractNum w:abstractNumId="24" w15:restartNumberingAfterBreak="0">
    <w:nsid w:val="3C4E400C"/>
    <w:multiLevelType w:val="multilevel"/>
    <w:tmpl w:val="A246FEB2"/>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15:restartNumberingAfterBreak="0">
    <w:nsid w:val="42655C37"/>
    <w:multiLevelType w:val="hybridMultilevel"/>
    <w:tmpl w:val="2B6AD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5420AC"/>
    <w:multiLevelType w:val="multilevel"/>
    <w:tmpl w:val="3CE0C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7B10A6"/>
    <w:multiLevelType w:val="hybridMultilevel"/>
    <w:tmpl w:val="E8F0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62D16"/>
    <w:multiLevelType w:val="hybridMultilevel"/>
    <w:tmpl w:val="DFE4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832CF"/>
    <w:multiLevelType w:val="multilevel"/>
    <w:tmpl w:val="D874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44650C"/>
    <w:multiLevelType w:val="hybridMultilevel"/>
    <w:tmpl w:val="76089CEC"/>
    <w:lvl w:ilvl="0" w:tplc="A672059C">
      <w:start w:val="1"/>
      <w:numFmt w:val="decimal"/>
      <w:lvlText w:val="%1."/>
      <w:lvlJc w:val="left"/>
      <w:pPr>
        <w:ind w:left="520" w:hanging="260"/>
      </w:pPr>
    </w:lvl>
    <w:lvl w:ilvl="1" w:tplc="B1520386">
      <w:numFmt w:val="decimal"/>
      <w:lvlText w:val=""/>
      <w:lvlJc w:val="left"/>
    </w:lvl>
    <w:lvl w:ilvl="2" w:tplc="90E06E66">
      <w:numFmt w:val="decimal"/>
      <w:lvlText w:val=""/>
      <w:lvlJc w:val="left"/>
    </w:lvl>
    <w:lvl w:ilvl="3" w:tplc="9A308EEA">
      <w:numFmt w:val="decimal"/>
      <w:lvlText w:val=""/>
      <w:lvlJc w:val="left"/>
    </w:lvl>
    <w:lvl w:ilvl="4" w:tplc="12604C5E">
      <w:numFmt w:val="decimal"/>
      <w:lvlText w:val=""/>
      <w:lvlJc w:val="left"/>
    </w:lvl>
    <w:lvl w:ilvl="5" w:tplc="3C4EC770">
      <w:numFmt w:val="decimal"/>
      <w:lvlText w:val=""/>
      <w:lvlJc w:val="left"/>
    </w:lvl>
    <w:lvl w:ilvl="6" w:tplc="A288AC46">
      <w:numFmt w:val="decimal"/>
      <w:lvlText w:val=""/>
      <w:lvlJc w:val="left"/>
    </w:lvl>
    <w:lvl w:ilvl="7" w:tplc="9F88CFFE">
      <w:numFmt w:val="decimal"/>
      <w:lvlText w:val=""/>
      <w:lvlJc w:val="left"/>
    </w:lvl>
    <w:lvl w:ilvl="8" w:tplc="F432C810">
      <w:numFmt w:val="decimal"/>
      <w:lvlText w:val=""/>
      <w:lvlJc w:val="left"/>
    </w:lvl>
  </w:abstractNum>
  <w:abstractNum w:abstractNumId="31" w15:restartNumberingAfterBreak="0">
    <w:nsid w:val="52110B14"/>
    <w:multiLevelType w:val="hybridMultilevel"/>
    <w:tmpl w:val="3F9E17B8"/>
    <w:lvl w:ilvl="0" w:tplc="583A34AA">
      <w:start w:val="1"/>
      <w:numFmt w:val="decimal"/>
      <w:lvlText w:val="%1."/>
      <w:lvlJc w:val="left"/>
      <w:pPr>
        <w:ind w:left="520" w:hanging="260"/>
      </w:pPr>
    </w:lvl>
    <w:lvl w:ilvl="1" w:tplc="C046BA42">
      <w:numFmt w:val="decimal"/>
      <w:lvlText w:val=""/>
      <w:lvlJc w:val="left"/>
    </w:lvl>
    <w:lvl w:ilvl="2" w:tplc="E4B8122C">
      <w:numFmt w:val="decimal"/>
      <w:lvlText w:val=""/>
      <w:lvlJc w:val="left"/>
    </w:lvl>
    <w:lvl w:ilvl="3" w:tplc="6C020A02">
      <w:numFmt w:val="decimal"/>
      <w:lvlText w:val=""/>
      <w:lvlJc w:val="left"/>
    </w:lvl>
    <w:lvl w:ilvl="4" w:tplc="2F145BE0">
      <w:numFmt w:val="decimal"/>
      <w:lvlText w:val=""/>
      <w:lvlJc w:val="left"/>
    </w:lvl>
    <w:lvl w:ilvl="5" w:tplc="1CE87A3E">
      <w:numFmt w:val="decimal"/>
      <w:lvlText w:val=""/>
      <w:lvlJc w:val="left"/>
    </w:lvl>
    <w:lvl w:ilvl="6" w:tplc="16065E66">
      <w:numFmt w:val="decimal"/>
      <w:lvlText w:val=""/>
      <w:lvlJc w:val="left"/>
    </w:lvl>
    <w:lvl w:ilvl="7" w:tplc="D878ED3A">
      <w:numFmt w:val="decimal"/>
      <w:lvlText w:val=""/>
      <w:lvlJc w:val="left"/>
    </w:lvl>
    <w:lvl w:ilvl="8" w:tplc="608EAF84">
      <w:numFmt w:val="decimal"/>
      <w:lvlText w:val=""/>
      <w:lvlJc w:val="left"/>
    </w:lvl>
  </w:abstractNum>
  <w:abstractNum w:abstractNumId="32" w15:restartNumberingAfterBreak="0">
    <w:nsid w:val="580C16D6"/>
    <w:multiLevelType w:val="hybridMultilevel"/>
    <w:tmpl w:val="B4800CB8"/>
    <w:lvl w:ilvl="0" w:tplc="4B149EB2">
      <w:start w:val="1"/>
      <w:numFmt w:val="bullet"/>
      <w:lvlText w:val="●"/>
      <w:lvlJc w:val="left"/>
      <w:pPr>
        <w:ind w:left="720" w:hanging="360"/>
      </w:pPr>
    </w:lvl>
    <w:lvl w:ilvl="1" w:tplc="B83098CE">
      <w:start w:val="1"/>
      <w:numFmt w:val="bullet"/>
      <w:lvlText w:val="○"/>
      <w:lvlJc w:val="left"/>
      <w:pPr>
        <w:ind w:left="1440" w:hanging="360"/>
      </w:pPr>
    </w:lvl>
    <w:lvl w:ilvl="2" w:tplc="C67E4B5E">
      <w:start w:val="1"/>
      <w:numFmt w:val="bullet"/>
      <w:lvlText w:val="■"/>
      <w:lvlJc w:val="left"/>
      <w:pPr>
        <w:ind w:left="2160" w:hanging="360"/>
      </w:pPr>
    </w:lvl>
    <w:lvl w:ilvl="3" w:tplc="E47E7BDC">
      <w:start w:val="1"/>
      <w:numFmt w:val="bullet"/>
      <w:lvlText w:val="●"/>
      <w:lvlJc w:val="left"/>
      <w:pPr>
        <w:ind w:left="2880" w:hanging="360"/>
      </w:pPr>
    </w:lvl>
    <w:lvl w:ilvl="4" w:tplc="263C31A8">
      <w:start w:val="1"/>
      <w:numFmt w:val="bullet"/>
      <w:lvlText w:val="○"/>
      <w:lvlJc w:val="left"/>
      <w:pPr>
        <w:ind w:left="3600" w:hanging="360"/>
      </w:pPr>
    </w:lvl>
    <w:lvl w:ilvl="5" w:tplc="55725D8A">
      <w:start w:val="1"/>
      <w:numFmt w:val="bullet"/>
      <w:lvlText w:val="■"/>
      <w:lvlJc w:val="left"/>
      <w:pPr>
        <w:ind w:left="4320" w:hanging="360"/>
      </w:pPr>
    </w:lvl>
    <w:lvl w:ilvl="6" w:tplc="05F27AB4">
      <w:start w:val="1"/>
      <w:numFmt w:val="bullet"/>
      <w:lvlText w:val="●"/>
      <w:lvlJc w:val="left"/>
      <w:pPr>
        <w:ind w:left="5040" w:hanging="360"/>
      </w:pPr>
    </w:lvl>
    <w:lvl w:ilvl="7" w:tplc="B088F710">
      <w:start w:val="1"/>
      <w:numFmt w:val="bullet"/>
      <w:lvlText w:val="●"/>
      <w:lvlJc w:val="left"/>
      <w:pPr>
        <w:ind w:left="5760" w:hanging="360"/>
      </w:pPr>
    </w:lvl>
    <w:lvl w:ilvl="8" w:tplc="C818DCD2">
      <w:start w:val="1"/>
      <w:numFmt w:val="bullet"/>
      <w:lvlText w:val="●"/>
      <w:lvlJc w:val="left"/>
      <w:pPr>
        <w:ind w:left="6480" w:hanging="360"/>
      </w:pPr>
    </w:lvl>
  </w:abstractNum>
  <w:abstractNum w:abstractNumId="33" w15:restartNumberingAfterBreak="0">
    <w:nsid w:val="5AB22875"/>
    <w:multiLevelType w:val="hybridMultilevel"/>
    <w:tmpl w:val="8C2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710A46"/>
    <w:multiLevelType w:val="multilevel"/>
    <w:tmpl w:val="C0145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131592"/>
    <w:multiLevelType w:val="hybridMultilevel"/>
    <w:tmpl w:val="7536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952D18"/>
    <w:multiLevelType w:val="hybridMultilevel"/>
    <w:tmpl w:val="177E7A54"/>
    <w:lvl w:ilvl="0" w:tplc="24FC6242">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F86052"/>
    <w:multiLevelType w:val="hybridMultilevel"/>
    <w:tmpl w:val="F7A8A9D8"/>
    <w:lvl w:ilvl="0" w:tplc="3D600DCA">
      <w:start w:val="1"/>
      <w:numFmt w:val="decimal"/>
      <w:lvlText w:val="%1."/>
      <w:lvlJc w:val="left"/>
      <w:pPr>
        <w:ind w:left="720" w:hanging="360"/>
      </w:pPr>
    </w:lvl>
    <w:lvl w:ilvl="1" w:tplc="80BC52B4">
      <w:numFmt w:val="decimal"/>
      <w:lvlText w:val=""/>
      <w:lvlJc w:val="left"/>
    </w:lvl>
    <w:lvl w:ilvl="2" w:tplc="4F945980">
      <w:numFmt w:val="decimal"/>
      <w:lvlText w:val=""/>
      <w:lvlJc w:val="left"/>
    </w:lvl>
    <w:lvl w:ilvl="3" w:tplc="FC7481D2">
      <w:numFmt w:val="decimal"/>
      <w:lvlText w:val=""/>
      <w:lvlJc w:val="left"/>
    </w:lvl>
    <w:lvl w:ilvl="4" w:tplc="F800A064">
      <w:numFmt w:val="decimal"/>
      <w:lvlText w:val=""/>
      <w:lvlJc w:val="left"/>
    </w:lvl>
    <w:lvl w:ilvl="5" w:tplc="9D368864">
      <w:numFmt w:val="decimal"/>
      <w:lvlText w:val=""/>
      <w:lvlJc w:val="left"/>
    </w:lvl>
    <w:lvl w:ilvl="6" w:tplc="D55CD632">
      <w:numFmt w:val="decimal"/>
      <w:lvlText w:val=""/>
      <w:lvlJc w:val="left"/>
    </w:lvl>
    <w:lvl w:ilvl="7" w:tplc="C18455A2">
      <w:numFmt w:val="decimal"/>
      <w:lvlText w:val=""/>
      <w:lvlJc w:val="left"/>
    </w:lvl>
    <w:lvl w:ilvl="8" w:tplc="9B3CE098">
      <w:numFmt w:val="decimal"/>
      <w:lvlText w:val=""/>
      <w:lvlJc w:val="left"/>
    </w:lvl>
  </w:abstractNum>
  <w:abstractNum w:abstractNumId="38" w15:restartNumberingAfterBreak="0">
    <w:nsid w:val="654E3BE5"/>
    <w:multiLevelType w:val="hybridMultilevel"/>
    <w:tmpl w:val="13A88FF2"/>
    <w:lvl w:ilvl="0" w:tplc="98E8A5F0">
      <w:start w:val="1"/>
      <w:numFmt w:val="decimal"/>
      <w:lvlText w:val="%1."/>
      <w:lvlJc w:val="left"/>
      <w:pPr>
        <w:ind w:left="520" w:hanging="260"/>
      </w:pPr>
    </w:lvl>
    <w:lvl w:ilvl="1" w:tplc="6128C12C">
      <w:numFmt w:val="decimal"/>
      <w:lvlText w:val=""/>
      <w:lvlJc w:val="left"/>
    </w:lvl>
    <w:lvl w:ilvl="2" w:tplc="4D400D06">
      <w:numFmt w:val="decimal"/>
      <w:lvlText w:val=""/>
      <w:lvlJc w:val="left"/>
    </w:lvl>
    <w:lvl w:ilvl="3" w:tplc="19B45EF6">
      <w:numFmt w:val="decimal"/>
      <w:lvlText w:val=""/>
      <w:lvlJc w:val="left"/>
    </w:lvl>
    <w:lvl w:ilvl="4" w:tplc="5FDCD3B2">
      <w:numFmt w:val="decimal"/>
      <w:lvlText w:val=""/>
      <w:lvlJc w:val="left"/>
    </w:lvl>
    <w:lvl w:ilvl="5" w:tplc="133A0236">
      <w:numFmt w:val="decimal"/>
      <w:lvlText w:val=""/>
      <w:lvlJc w:val="left"/>
    </w:lvl>
    <w:lvl w:ilvl="6" w:tplc="45706F44">
      <w:numFmt w:val="decimal"/>
      <w:lvlText w:val=""/>
      <w:lvlJc w:val="left"/>
    </w:lvl>
    <w:lvl w:ilvl="7" w:tplc="0E58C830">
      <w:numFmt w:val="decimal"/>
      <w:lvlText w:val=""/>
      <w:lvlJc w:val="left"/>
    </w:lvl>
    <w:lvl w:ilvl="8" w:tplc="59CAF2A2">
      <w:numFmt w:val="decimal"/>
      <w:lvlText w:val=""/>
      <w:lvlJc w:val="left"/>
    </w:lvl>
  </w:abstractNum>
  <w:abstractNum w:abstractNumId="39" w15:restartNumberingAfterBreak="0">
    <w:nsid w:val="6FAB333C"/>
    <w:multiLevelType w:val="hybridMultilevel"/>
    <w:tmpl w:val="A0601E3E"/>
    <w:lvl w:ilvl="0" w:tplc="7194A1F8">
      <w:start w:val="1"/>
      <w:numFmt w:val="bullet"/>
      <w:lvlText w:val="•"/>
      <w:lvlJc w:val="left"/>
      <w:pPr>
        <w:ind w:left="520" w:hanging="260"/>
      </w:pPr>
    </w:lvl>
    <w:lvl w:ilvl="1" w:tplc="49941C34">
      <w:numFmt w:val="decimal"/>
      <w:lvlText w:val=""/>
      <w:lvlJc w:val="left"/>
    </w:lvl>
    <w:lvl w:ilvl="2" w:tplc="3E40935C">
      <w:numFmt w:val="decimal"/>
      <w:lvlText w:val=""/>
      <w:lvlJc w:val="left"/>
    </w:lvl>
    <w:lvl w:ilvl="3" w:tplc="9C2A8988">
      <w:numFmt w:val="decimal"/>
      <w:lvlText w:val=""/>
      <w:lvlJc w:val="left"/>
    </w:lvl>
    <w:lvl w:ilvl="4" w:tplc="9E222522">
      <w:numFmt w:val="decimal"/>
      <w:lvlText w:val=""/>
      <w:lvlJc w:val="left"/>
    </w:lvl>
    <w:lvl w:ilvl="5" w:tplc="E34EB5B8">
      <w:numFmt w:val="decimal"/>
      <w:lvlText w:val=""/>
      <w:lvlJc w:val="left"/>
    </w:lvl>
    <w:lvl w:ilvl="6" w:tplc="FFA6207A">
      <w:numFmt w:val="decimal"/>
      <w:lvlText w:val=""/>
      <w:lvlJc w:val="left"/>
    </w:lvl>
    <w:lvl w:ilvl="7" w:tplc="40DA4092">
      <w:numFmt w:val="decimal"/>
      <w:lvlText w:val=""/>
      <w:lvlJc w:val="left"/>
    </w:lvl>
    <w:lvl w:ilvl="8" w:tplc="9FDC3958">
      <w:numFmt w:val="decimal"/>
      <w:lvlText w:val=""/>
      <w:lvlJc w:val="left"/>
    </w:lvl>
  </w:abstractNum>
  <w:abstractNum w:abstractNumId="40" w15:restartNumberingAfterBreak="0">
    <w:nsid w:val="712C000D"/>
    <w:multiLevelType w:val="hybridMultilevel"/>
    <w:tmpl w:val="3062A4F4"/>
    <w:lvl w:ilvl="0" w:tplc="D586FAFE">
      <w:start w:val="1"/>
      <w:numFmt w:val="decimal"/>
      <w:lvlText w:val="%1."/>
      <w:lvlJc w:val="left"/>
      <w:pPr>
        <w:ind w:left="720" w:hanging="360"/>
      </w:pPr>
    </w:lvl>
    <w:lvl w:ilvl="1" w:tplc="A3022384">
      <w:numFmt w:val="decimal"/>
      <w:lvlText w:val=""/>
      <w:lvlJc w:val="left"/>
    </w:lvl>
    <w:lvl w:ilvl="2" w:tplc="F438ABEE">
      <w:numFmt w:val="decimal"/>
      <w:lvlText w:val=""/>
      <w:lvlJc w:val="left"/>
    </w:lvl>
    <w:lvl w:ilvl="3" w:tplc="7A849CAE">
      <w:numFmt w:val="decimal"/>
      <w:lvlText w:val=""/>
      <w:lvlJc w:val="left"/>
    </w:lvl>
    <w:lvl w:ilvl="4" w:tplc="3C4225BC">
      <w:numFmt w:val="decimal"/>
      <w:lvlText w:val=""/>
      <w:lvlJc w:val="left"/>
    </w:lvl>
    <w:lvl w:ilvl="5" w:tplc="19C6302C">
      <w:numFmt w:val="decimal"/>
      <w:lvlText w:val=""/>
      <w:lvlJc w:val="left"/>
    </w:lvl>
    <w:lvl w:ilvl="6" w:tplc="7C58CADE">
      <w:numFmt w:val="decimal"/>
      <w:lvlText w:val=""/>
      <w:lvlJc w:val="left"/>
    </w:lvl>
    <w:lvl w:ilvl="7" w:tplc="35A2EA1A">
      <w:numFmt w:val="decimal"/>
      <w:lvlText w:val=""/>
      <w:lvlJc w:val="left"/>
    </w:lvl>
    <w:lvl w:ilvl="8" w:tplc="A190B43C">
      <w:numFmt w:val="decimal"/>
      <w:lvlText w:val=""/>
      <w:lvlJc w:val="left"/>
    </w:lvl>
  </w:abstractNum>
  <w:abstractNum w:abstractNumId="41" w15:restartNumberingAfterBreak="0">
    <w:nsid w:val="726E38F3"/>
    <w:multiLevelType w:val="hybridMultilevel"/>
    <w:tmpl w:val="F198D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DF15E9"/>
    <w:multiLevelType w:val="multilevel"/>
    <w:tmpl w:val="9E56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256CA5"/>
    <w:multiLevelType w:val="multilevel"/>
    <w:tmpl w:val="6CA22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9A0BAC"/>
    <w:multiLevelType w:val="hybridMultilevel"/>
    <w:tmpl w:val="FA80C454"/>
    <w:lvl w:ilvl="0" w:tplc="6AB6637E">
      <w:start w:val="1"/>
      <w:numFmt w:val="decimal"/>
      <w:lvlText w:val="%1."/>
      <w:lvlJc w:val="left"/>
      <w:pPr>
        <w:ind w:left="720" w:hanging="360"/>
      </w:pPr>
    </w:lvl>
    <w:lvl w:ilvl="1" w:tplc="4DA42276">
      <w:numFmt w:val="decimal"/>
      <w:lvlText w:val=""/>
      <w:lvlJc w:val="left"/>
    </w:lvl>
    <w:lvl w:ilvl="2" w:tplc="906CFE6E">
      <w:numFmt w:val="decimal"/>
      <w:lvlText w:val=""/>
      <w:lvlJc w:val="left"/>
    </w:lvl>
    <w:lvl w:ilvl="3" w:tplc="7DA6BE5A">
      <w:numFmt w:val="decimal"/>
      <w:lvlText w:val=""/>
      <w:lvlJc w:val="left"/>
    </w:lvl>
    <w:lvl w:ilvl="4" w:tplc="1144BC56">
      <w:numFmt w:val="decimal"/>
      <w:lvlText w:val=""/>
      <w:lvlJc w:val="left"/>
    </w:lvl>
    <w:lvl w:ilvl="5" w:tplc="D1207304">
      <w:numFmt w:val="decimal"/>
      <w:lvlText w:val=""/>
      <w:lvlJc w:val="left"/>
    </w:lvl>
    <w:lvl w:ilvl="6" w:tplc="044C3CEC">
      <w:numFmt w:val="decimal"/>
      <w:lvlText w:val=""/>
      <w:lvlJc w:val="left"/>
    </w:lvl>
    <w:lvl w:ilvl="7" w:tplc="A28A2B5E">
      <w:numFmt w:val="decimal"/>
      <w:lvlText w:val=""/>
      <w:lvlJc w:val="left"/>
    </w:lvl>
    <w:lvl w:ilvl="8" w:tplc="2A8470D8">
      <w:numFmt w:val="decimal"/>
      <w:lvlText w:val=""/>
      <w:lvlJc w:val="left"/>
    </w:lvl>
  </w:abstractNum>
  <w:abstractNum w:abstractNumId="45" w15:restartNumberingAfterBreak="0">
    <w:nsid w:val="79D76EEA"/>
    <w:multiLevelType w:val="hybridMultilevel"/>
    <w:tmpl w:val="CF58DE8A"/>
    <w:lvl w:ilvl="0" w:tplc="F0DCD162">
      <w:start w:val="1"/>
      <w:numFmt w:val="bullet"/>
      <w:lvlText w:val="•"/>
      <w:lvlJc w:val="left"/>
      <w:pPr>
        <w:tabs>
          <w:tab w:val="num" w:pos="720"/>
        </w:tabs>
        <w:ind w:left="720" w:hanging="360"/>
      </w:pPr>
      <w:rPr>
        <w:rFonts w:ascii="Arial" w:hAnsi="Arial" w:hint="default"/>
      </w:rPr>
    </w:lvl>
    <w:lvl w:ilvl="1" w:tplc="56849086" w:tentative="1">
      <w:start w:val="1"/>
      <w:numFmt w:val="bullet"/>
      <w:lvlText w:val="•"/>
      <w:lvlJc w:val="left"/>
      <w:pPr>
        <w:tabs>
          <w:tab w:val="num" w:pos="1440"/>
        </w:tabs>
        <w:ind w:left="1440" w:hanging="360"/>
      </w:pPr>
      <w:rPr>
        <w:rFonts w:ascii="Arial" w:hAnsi="Arial" w:hint="default"/>
      </w:rPr>
    </w:lvl>
    <w:lvl w:ilvl="2" w:tplc="D1FC5C60" w:tentative="1">
      <w:start w:val="1"/>
      <w:numFmt w:val="bullet"/>
      <w:lvlText w:val="•"/>
      <w:lvlJc w:val="left"/>
      <w:pPr>
        <w:tabs>
          <w:tab w:val="num" w:pos="2160"/>
        </w:tabs>
        <w:ind w:left="2160" w:hanging="360"/>
      </w:pPr>
      <w:rPr>
        <w:rFonts w:ascii="Arial" w:hAnsi="Arial" w:hint="default"/>
      </w:rPr>
    </w:lvl>
    <w:lvl w:ilvl="3" w:tplc="44C6BEA0" w:tentative="1">
      <w:start w:val="1"/>
      <w:numFmt w:val="bullet"/>
      <w:lvlText w:val="•"/>
      <w:lvlJc w:val="left"/>
      <w:pPr>
        <w:tabs>
          <w:tab w:val="num" w:pos="2880"/>
        </w:tabs>
        <w:ind w:left="2880" w:hanging="360"/>
      </w:pPr>
      <w:rPr>
        <w:rFonts w:ascii="Arial" w:hAnsi="Arial" w:hint="default"/>
      </w:rPr>
    </w:lvl>
    <w:lvl w:ilvl="4" w:tplc="BA5037D6" w:tentative="1">
      <w:start w:val="1"/>
      <w:numFmt w:val="bullet"/>
      <w:lvlText w:val="•"/>
      <w:lvlJc w:val="left"/>
      <w:pPr>
        <w:tabs>
          <w:tab w:val="num" w:pos="3600"/>
        </w:tabs>
        <w:ind w:left="3600" w:hanging="360"/>
      </w:pPr>
      <w:rPr>
        <w:rFonts w:ascii="Arial" w:hAnsi="Arial" w:hint="default"/>
      </w:rPr>
    </w:lvl>
    <w:lvl w:ilvl="5" w:tplc="8662D1C8" w:tentative="1">
      <w:start w:val="1"/>
      <w:numFmt w:val="bullet"/>
      <w:lvlText w:val="•"/>
      <w:lvlJc w:val="left"/>
      <w:pPr>
        <w:tabs>
          <w:tab w:val="num" w:pos="4320"/>
        </w:tabs>
        <w:ind w:left="4320" w:hanging="360"/>
      </w:pPr>
      <w:rPr>
        <w:rFonts w:ascii="Arial" w:hAnsi="Arial" w:hint="default"/>
      </w:rPr>
    </w:lvl>
    <w:lvl w:ilvl="6" w:tplc="67768B80" w:tentative="1">
      <w:start w:val="1"/>
      <w:numFmt w:val="bullet"/>
      <w:lvlText w:val="•"/>
      <w:lvlJc w:val="left"/>
      <w:pPr>
        <w:tabs>
          <w:tab w:val="num" w:pos="5040"/>
        </w:tabs>
        <w:ind w:left="5040" w:hanging="360"/>
      </w:pPr>
      <w:rPr>
        <w:rFonts w:ascii="Arial" w:hAnsi="Arial" w:hint="default"/>
      </w:rPr>
    </w:lvl>
    <w:lvl w:ilvl="7" w:tplc="3A36A8FE" w:tentative="1">
      <w:start w:val="1"/>
      <w:numFmt w:val="bullet"/>
      <w:lvlText w:val="•"/>
      <w:lvlJc w:val="left"/>
      <w:pPr>
        <w:tabs>
          <w:tab w:val="num" w:pos="5760"/>
        </w:tabs>
        <w:ind w:left="5760" w:hanging="360"/>
      </w:pPr>
      <w:rPr>
        <w:rFonts w:ascii="Arial" w:hAnsi="Arial" w:hint="default"/>
      </w:rPr>
    </w:lvl>
    <w:lvl w:ilvl="8" w:tplc="A142D1A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BD03FA4"/>
    <w:multiLevelType w:val="hybridMultilevel"/>
    <w:tmpl w:val="702EF4A8"/>
    <w:lvl w:ilvl="0" w:tplc="5582BC0C">
      <w:start w:val="1"/>
      <w:numFmt w:val="decimal"/>
      <w:lvlText w:val="%1."/>
      <w:lvlJc w:val="left"/>
      <w:pPr>
        <w:tabs>
          <w:tab w:val="num" w:pos="720"/>
        </w:tabs>
        <w:ind w:left="720" w:hanging="360"/>
      </w:pPr>
    </w:lvl>
    <w:lvl w:ilvl="1" w:tplc="873220D0" w:tentative="1">
      <w:start w:val="1"/>
      <w:numFmt w:val="decimal"/>
      <w:lvlText w:val="%2."/>
      <w:lvlJc w:val="left"/>
      <w:pPr>
        <w:tabs>
          <w:tab w:val="num" w:pos="1440"/>
        </w:tabs>
        <w:ind w:left="1440" w:hanging="360"/>
      </w:pPr>
    </w:lvl>
    <w:lvl w:ilvl="2" w:tplc="30E29926" w:tentative="1">
      <w:start w:val="1"/>
      <w:numFmt w:val="decimal"/>
      <w:lvlText w:val="%3."/>
      <w:lvlJc w:val="left"/>
      <w:pPr>
        <w:tabs>
          <w:tab w:val="num" w:pos="2160"/>
        </w:tabs>
        <w:ind w:left="2160" w:hanging="360"/>
      </w:pPr>
    </w:lvl>
    <w:lvl w:ilvl="3" w:tplc="E48A0F8C" w:tentative="1">
      <w:start w:val="1"/>
      <w:numFmt w:val="decimal"/>
      <w:lvlText w:val="%4."/>
      <w:lvlJc w:val="left"/>
      <w:pPr>
        <w:tabs>
          <w:tab w:val="num" w:pos="2880"/>
        </w:tabs>
        <w:ind w:left="2880" w:hanging="360"/>
      </w:pPr>
    </w:lvl>
    <w:lvl w:ilvl="4" w:tplc="B2FACDF4" w:tentative="1">
      <w:start w:val="1"/>
      <w:numFmt w:val="decimal"/>
      <w:lvlText w:val="%5."/>
      <w:lvlJc w:val="left"/>
      <w:pPr>
        <w:tabs>
          <w:tab w:val="num" w:pos="3600"/>
        </w:tabs>
        <w:ind w:left="3600" w:hanging="360"/>
      </w:pPr>
    </w:lvl>
    <w:lvl w:ilvl="5" w:tplc="91FE232A" w:tentative="1">
      <w:start w:val="1"/>
      <w:numFmt w:val="decimal"/>
      <w:lvlText w:val="%6."/>
      <w:lvlJc w:val="left"/>
      <w:pPr>
        <w:tabs>
          <w:tab w:val="num" w:pos="4320"/>
        </w:tabs>
        <w:ind w:left="4320" w:hanging="360"/>
      </w:pPr>
    </w:lvl>
    <w:lvl w:ilvl="6" w:tplc="5F6AD0FE" w:tentative="1">
      <w:start w:val="1"/>
      <w:numFmt w:val="decimal"/>
      <w:lvlText w:val="%7."/>
      <w:lvlJc w:val="left"/>
      <w:pPr>
        <w:tabs>
          <w:tab w:val="num" w:pos="5040"/>
        </w:tabs>
        <w:ind w:left="5040" w:hanging="360"/>
      </w:pPr>
    </w:lvl>
    <w:lvl w:ilvl="7" w:tplc="2F786BA2" w:tentative="1">
      <w:start w:val="1"/>
      <w:numFmt w:val="decimal"/>
      <w:lvlText w:val="%8."/>
      <w:lvlJc w:val="left"/>
      <w:pPr>
        <w:tabs>
          <w:tab w:val="num" w:pos="5760"/>
        </w:tabs>
        <w:ind w:left="5760" w:hanging="360"/>
      </w:pPr>
    </w:lvl>
    <w:lvl w:ilvl="8" w:tplc="BACA8014" w:tentative="1">
      <w:start w:val="1"/>
      <w:numFmt w:val="decimal"/>
      <w:lvlText w:val="%9."/>
      <w:lvlJc w:val="left"/>
      <w:pPr>
        <w:tabs>
          <w:tab w:val="num" w:pos="6480"/>
        </w:tabs>
        <w:ind w:left="6480" w:hanging="360"/>
      </w:pPr>
    </w:lvl>
  </w:abstractNum>
  <w:num w:numId="1" w16cid:durableId="645548239">
    <w:abstractNumId w:val="10"/>
  </w:num>
  <w:num w:numId="2" w16cid:durableId="1648259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8438046">
    <w:abstractNumId w:val="20"/>
  </w:num>
  <w:num w:numId="4" w16cid:durableId="2032417390">
    <w:abstractNumId w:val="42"/>
  </w:num>
  <w:num w:numId="5" w16cid:durableId="668286996">
    <w:abstractNumId w:val="36"/>
  </w:num>
  <w:num w:numId="6" w16cid:durableId="265891389">
    <w:abstractNumId w:val="4"/>
  </w:num>
  <w:num w:numId="7" w16cid:durableId="1465274413">
    <w:abstractNumId w:val="3"/>
  </w:num>
  <w:num w:numId="8" w16cid:durableId="1185635640">
    <w:abstractNumId w:val="45"/>
  </w:num>
  <w:num w:numId="9" w16cid:durableId="1193180354">
    <w:abstractNumId w:val="15"/>
  </w:num>
  <w:num w:numId="10" w16cid:durableId="1957564999">
    <w:abstractNumId w:val="46"/>
  </w:num>
  <w:num w:numId="11" w16cid:durableId="2082487075">
    <w:abstractNumId w:val="33"/>
  </w:num>
  <w:num w:numId="12" w16cid:durableId="1087653821">
    <w:abstractNumId w:val="28"/>
  </w:num>
  <w:num w:numId="13" w16cid:durableId="369959802">
    <w:abstractNumId w:val="16"/>
  </w:num>
  <w:num w:numId="14" w16cid:durableId="702945025">
    <w:abstractNumId w:val="18"/>
  </w:num>
  <w:num w:numId="15" w16cid:durableId="438068484">
    <w:abstractNumId w:val="9"/>
  </w:num>
  <w:num w:numId="16" w16cid:durableId="1319765226">
    <w:abstractNumId w:val="17"/>
  </w:num>
  <w:num w:numId="17" w16cid:durableId="999622218">
    <w:abstractNumId w:val="0"/>
  </w:num>
  <w:num w:numId="18" w16cid:durableId="266546889">
    <w:abstractNumId w:val="12"/>
  </w:num>
  <w:num w:numId="19" w16cid:durableId="1909219279">
    <w:abstractNumId w:val="27"/>
  </w:num>
  <w:num w:numId="20" w16cid:durableId="1990016690">
    <w:abstractNumId w:val="41"/>
  </w:num>
  <w:num w:numId="21" w16cid:durableId="1837763881">
    <w:abstractNumId w:val="25"/>
  </w:num>
  <w:num w:numId="22" w16cid:durableId="470094431">
    <w:abstractNumId w:val="2"/>
  </w:num>
  <w:num w:numId="23" w16cid:durableId="1741832157">
    <w:abstractNumId w:val="22"/>
  </w:num>
  <w:num w:numId="24" w16cid:durableId="1022629230">
    <w:abstractNumId w:val="6"/>
  </w:num>
  <w:num w:numId="25" w16cid:durableId="760296523">
    <w:abstractNumId w:val="35"/>
  </w:num>
  <w:num w:numId="26" w16cid:durableId="1863321551">
    <w:abstractNumId w:val="24"/>
  </w:num>
  <w:num w:numId="27" w16cid:durableId="389042948">
    <w:abstractNumId w:val="26"/>
  </w:num>
  <w:num w:numId="28" w16cid:durableId="1637029204">
    <w:abstractNumId w:val="34"/>
  </w:num>
  <w:num w:numId="29" w16cid:durableId="941257502">
    <w:abstractNumId w:val="14"/>
  </w:num>
  <w:num w:numId="30" w16cid:durableId="1157382755">
    <w:abstractNumId w:val="21"/>
  </w:num>
  <w:num w:numId="31" w16cid:durableId="2004815257">
    <w:abstractNumId w:val="29"/>
  </w:num>
  <w:num w:numId="32" w16cid:durableId="986056871">
    <w:abstractNumId w:val="7"/>
  </w:num>
  <w:num w:numId="33" w16cid:durableId="1048917787">
    <w:abstractNumId w:val="19"/>
  </w:num>
  <w:num w:numId="34" w16cid:durableId="189415741">
    <w:abstractNumId w:val="43"/>
  </w:num>
  <w:num w:numId="35" w16cid:durableId="304237565">
    <w:abstractNumId w:val="13"/>
  </w:num>
  <w:num w:numId="36" w16cid:durableId="2069837840">
    <w:abstractNumId w:val="40"/>
    <w:lvlOverride w:ilvl="0">
      <w:startOverride w:val="1"/>
    </w:lvlOverride>
  </w:num>
  <w:num w:numId="37" w16cid:durableId="1575162222">
    <w:abstractNumId w:val="5"/>
    <w:lvlOverride w:ilvl="0">
      <w:startOverride w:val="1"/>
    </w:lvlOverride>
  </w:num>
  <w:num w:numId="38" w16cid:durableId="124086500">
    <w:abstractNumId w:val="44"/>
    <w:lvlOverride w:ilvl="0">
      <w:startOverride w:val="1"/>
    </w:lvlOverride>
  </w:num>
  <w:num w:numId="39" w16cid:durableId="2137749099">
    <w:abstractNumId w:val="23"/>
    <w:lvlOverride w:ilvl="0">
      <w:startOverride w:val="1"/>
    </w:lvlOverride>
  </w:num>
  <w:num w:numId="40" w16cid:durableId="129711962">
    <w:abstractNumId w:val="37"/>
    <w:lvlOverride w:ilvl="0">
      <w:startOverride w:val="1"/>
    </w:lvlOverride>
  </w:num>
  <w:num w:numId="41" w16cid:durableId="1609775995">
    <w:abstractNumId w:val="32"/>
    <w:lvlOverride w:ilvl="0">
      <w:startOverride w:val="1"/>
    </w:lvlOverride>
  </w:num>
  <w:num w:numId="42" w16cid:durableId="245965395">
    <w:abstractNumId w:val="39"/>
    <w:lvlOverride w:ilvl="0">
      <w:startOverride w:val="1"/>
    </w:lvlOverride>
  </w:num>
  <w:num w:numId="43" w16cid:durableId="294528863">
    <w:abstractNumId w:val="11"/>
    <w:lvlOverride w:ilvl="0">
      <w:startOverride w:val="1"/>
    </w:lvlOverride>
  </w:num>
  <w:num w:numId="44" w16cid:durableId="1498766779">
    <w:abstractNumId w:val="38"/>
    <w:lvlOverride w:ilvl="0">
      <w:startOverride w:val="1"/>
    </w:lvlOverride>
  </w:num>
  <w:num w:numId="45" w16cid:durableId="166556006">
    <w:abstractNumId w:val="1"/>
    <w:lvlOverride w:ilvl="0">
      <w:startOverride w:val="1"/>
    </w:lvlOverride>
  </w:num>
  <w:num w:numId="46" w16cid:durableId="2117745371">
    <w:abstractNumId w:val="30"/>
    <w:lvlOverride w:ilvl="0">
      <w:startOverride w:val="1"/>
    </w:lvlOverride>
  </w:num>
  <w:num w:numId="47" w16cid:durableId="817381132">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196"/>
    <w:rsid w:val="0000305F"/>
    <w:rsid w:val="00024372"/>
    <w:rsid w:val="000256A0"/>
    <w:rsid w:val="000264E5"/>
    <w:rsid w:val="00033F68"/>
    <w:rsid w:val="00051235"/>
    <w:rsid w:val="00051420"/>
    <w:rsid w:val="000517E6"/>
    <w:rsid w:val="000547A8"/>
    <w:rsid w:val="00066289"/>
    <w:rsid w:val="00067976"/>
    <w:rsid w:val="00072C9C"/>
    <w:rsid w:val="000834A9"/>
    <w:rsid w:val="0008543F"/>
    <w:rsid w:val="0009604C"/>
    <w:rsid w:val="00096F4F"/>
    <w:rsid w:val="00097434"/>
    <w:rsid w:val="00097D61"/>
    <w:rsid w:val="000B1791"/>
    <w:rsid w:val="000B5722"/>
    <w:rsid w:val="000B77D4"/>
    <w:rsid w:val="000C04E5"/>
    <w:rsid w:val="000C107B"/>
    <w:rsid w:val="000D0083"/>
    <w:rsid w:val="000E7026"/>
    <w:rsid w:val="000F563F"/>
    <w:rsid w:val="000F70F7"/>
    <w:rsid w:val="001016B4"/>
    <w:rsid w:val="00111A53"/>
    <w:rsid w:val="00111C26"/>
    <w:rsid w:val="00112FE2"/>
    <w:rsid w:val="00113770"/>
    <w:rsid w:val="00117EA7"/>
    <w:rsid w:val="00126428"/>
    <w:rsid w:val="00130ABB"/>
    <w:rsid w:val="0014633A"/>
    <w:rsid w:val="00156F09"/>
    <w:rsid w:val="00160A28"/>
    <w:rsid w:val="001617D8"/>
    <w:rsid w:val="00167FE1"/>
    <w:rsid w:val="00173D38"/>
    <w:rsid w:val="00184E11"/>
    <w:rsid w:val="00194238"/>
    <w:rsid w:val="00197955"/>
    <w:rsid w:val="001A04C6"/>
    <w:rsid w:val="001A0626"/>
    <w:rsid w:val="001A142C"/>
    <w:rsid w:val="001B1474"/>
    <w:rsid w:val="001B320E"/>
    <w:rsid w:val="001B681C"/>
    <w:rsid w:val="001C273B"/>
    <w:rsid w:val="001C6BBF"/>
    <w:rsid w:val="001C6ECB"/>
    <w:rsid w:val="001D7B14"/>
    <w:rsid w:val="001E475D"/>
    <w:rsid w:val="001E569D"/>
    <w:rsid w:val="001F00B0"/>
    <w:rsid w:val="001F3479"/>
    <w:rsid w:val="001F5774"/>
    <w:rsid w:val="00203843"/>
    <w:rsid w:val="0020757D"/>
    <w:rsid w:val="00211294"/>
    <w:rsid w:val="00212A17"/>
    <w:rsid w:val="00221662"/>
    <w:rsid w:val="0022436C"/>
    <w:rsid w:val="002364D9"/>
    <w:rsid w:val="00243293"/>
    <w:rsid w:val="00244099"/>
    <w:rsid w:val="0024452A"/>
    <w:rsid w:val="0024503D"/>
    <w:rsid w:val="002466CB"/>
    <w:rsid w:val="00246D63"/>
    <w:rsid w:val="00251660"/>
    <w:rsid w:val="00253B5F"/>
    <w:rsid w:val="00274B0C"/>
    <w:rsid w:val="002776A3"/>
    <w:rsid w:val="002B1D23"/>
    <w:rsid w:val="002C244E"/>
    <w:rsid w:val="002D0ED4"/>
    <w:rsid w:val="002F085D"/>
    <w:rsid w:val="002F15F4"/>
    <w:rsid w:val="002F1F14"/>
    <w:rsid w:val="002F4652"/>
    <w:rsid w:val="002F46BF"/>
    <w:rsid w:val="00303624"/>
    <w:rsid w:val="00303A38"/>
    <w:rsid w:val="0030550B"/>
    <w:rsid w:val="003112CA"/>
    <w:rsid w:val="00312C96"/>
    <w:rsid w:val="00322470"/>
    <w:rsid w:val="003249C7"/>
    <w:rsid w:val="00325234"/>
    <w:rsid w:val="00331C59"/>
    <w:rsid w:val="003321B2"/>
    <w:rsid w:val="003358F3"/>
    <w:rsid w:val="00354F34"/>
    <w:rsid w:val="00357FFB"/>
    <w:rsid w:val="00370061"/>
    <w:rsid w:val="00371795"/>
    <w:rsid w:val="003717BC"/>
    <w:rsid w:val="0038561F"/>
    <w:rsid w:val="00385E6B"/>
    <w:rsid w:val="00387E73"/>
    <w:rsid w:val="00392674"/>
    <w:rsid w:val="00395D18"/>
    <w:rsid w:val="003B58AB"/>
    <w:rsid w:val="003D0376"/>
    <w:rsid w:val="003E6FFB"/>
    <w:rsid w:val="003F5058"/>
    <w:rsid w:val="003F5BD7"/>
    <w:rsid w:val="00402B37"/>
    <w:rsid w:val="004063DC"/>
    <w:rsid w:val="00416C5E"/>
    <w:rsid w:val="00416CB0"/>
    <w:rsid w:val="004203D6"/>
    <w:rsid w:val="00425CE8"/>
    <w:rsid w:val="00431CFE"/>
    <w:rsid w:val="00435AA4"/>
    <w:rsid w:val="00435FD5"/>
    <w:rsid w:val="00437465"/>
    <w:rsid w:val="00460313"/>
    <w:rsid w:val="004656E1"/>
    <w:rsid w:val="0046632D"/>
    <w:rsid w:val="00483ABB"/>
    <w:rsid w:val="00484C41"/>
    <w:rsid w:val="004866B2"/>
    <w:rsid w:val="00495390"/>
    <w:rsid w:val="00496A7A"/>
    <w:rsid w:val="004A4349"/>
    <w:rsid w:val="004B0CB9"/>
    <w:rsid w:val="004B42E5"/>
    <w:rsid w:val="004C1995"/>
    <w:rsid w:val="004C4CC3"/>
    <w:rsid w:val="004D0DD9"/>
    <w:rsid w:val="004D0E1C"/>
    <w:rsid w:val="004E08B9"/>
    <w:rsid w:val="004E0F3F"/>
    <w:rsid w:val="004E37EF"/>
    <w:rsid w:val="004E3AF8"/>
    <w:rsid w:val="004E3B50"/>
    <w:rsid w:val="004E67E3"/>
    <w:rsid w:val="004E7C74"/>
    <w:rsid w:val="004F1BA8"/>
    <w:rsid w:val="005010A3"/>
    <w:rsid w:val="00503F58"/>
    <w:rsid w:val="00526B99"/>
    <w:rsid w:val="0053773F"/>
    <w:rsid w:val="005448EF"/>
    <w:rsid w:val="00546B49"/>
    <w:rsid w:val="00550066"/>
    <w:rsid w:val="00550EC9"/>
    <w:rsid w:val="005538F9"/>
    <w:rsid w:val="0055566A"/>
    <w:rsid w:val="0056639B"/>
    <w:rsid w:val="00567194"/>
    <w:rsid w:val="00577E2E"/>
    <w:rsid w:val="00584C1A"/>
    <w:rsid w:val="00591754"/>
    <w:rsid w:val="00594DB5"/>
    <w:rsid w:val="005B0750"/>
    <w:rsid w:val="005B3E57"/>
    <w:rsid w:val="005C055E"/>
    <w:rsid w:val="005C51E3"/>
    <w:rsid w:val="005D0D14"/>
    <w:rsid w:val="005D7C2E"/>
    <w:rsid w:val="005E261E"/>
    <w:rsid w:val="005E46E7"/>
    <w:rsid w:val="005F21F8"/>
    <w:rsid w:val="005F24C1"/>
    <w:rsid w:val="00603477"/>
    <w:rsid w:val="006120EC"/>
    <w:rsid w:val="006163CF"/>
    <w:rsid w:val="00627196"/>
    <w:rsid w:val="006271C6"/>
    <w:rsid w:val="00630652"/>
    <w:rsid w:val="00636BBA"/>
    <w:rsid w:val="00637686"/>
    <w:rsid w:val="00641E3D"/>
    <w:rsid w:val="00646BE7"/>
    <w:rsid w:val="00647ECD"/>
    <w:rsid w:val="00655A5D"/>
    <w:rsid w:val="00663E11"/>
    <w:rsid w:val="00674EE5"/>
    <w:rsid w:val="006A1E3E"/>
    <w:rsid w:val="006B2057"/>
    <w:rsid w:val="006C11CD"/>
    <w:rsid w:val="006C31AD"/>
    <w:rsid w:val="006C5AE1"/>
    <w:rsid w:val="006C78A5"/>
    <w:rsid w:val="006D3CD0"/>
    <w:rsid w:val="006E7749"/>
    <w:rsid w:val="006F3E50"/>
    <w:rsid w:val="00702C07"/>
    <w:rsid w:val="00711F5B"/>
    <w:rsid w:val="007148AB"/>
    <w:rsid w:val="007226E8"/>
    <w:rsid w:val="007319A6"/>
    <w:rsid w:val="00731D20"/>
    <w:rsid w:val="00737458"/>
    <w:rsid w:val="00740AB2"/>
    <w:rsid w:val="00741A18"/>
    <w:rsid w:val="00776E94"/>
    <w:rsid w:val="00784C06"/>
    <w:rsid w:val="0079203F"/>
    <w:rsid w:val="007929B8"/>
    <w:rsid w:val="00794120"/>
    <w:rsid w:val="00794E14"/>
    <w:rsid w:val="00796F01"/>
    <w:rsid w:val="007A62E3"/>
    <w:rsid w:val="007A6E27"/>
    <w:rsid w:val="007B1910"/>
    <w:rsid w:val="007B3407"/>
    <w:rsid w:val="007C6D8D"/>
    <w:rsid w:val="007C6E55"/>
    <w:rsid w:val="007D3915"/>
    <w:rsid w:val="007D3B4C"/>
    <w:rsid w:val="007D45EA"/>
    <w:rsid w:val="007D53A0"/>
    <w:rsid w:val="007D676A"/>
    <w:rsid w:val="007D757C"/>
    <w:rsid w:val="007F0DB7"/>
    <w:rsid w:val="007F333A"/>
    <w:rsid w:val="007F5F02"/>
    <w:rsid w:val="00817341"/>
    <w:rsid w:val="00817CB3"/>
    <w:rsid w:val="00823F4F"/>
    <w:rsid w:val="0082595B"/>
    <w:rsid w:val="0082665A"/>
    <w:rsid w:val="0083152A"/>
    <w:rsid w:val="00833CEC"/>
    <w:rsid w:val="00841AFC"/>
    <w:rsid w:val="00841FF6"/>
    <w:rsid w:val="00842B8A"/>
    <w:rsid w:val="00845BCE"/>
    <w:rsid w:val="008462C3"/>
    <w:rsid w:val="00861C18"/>
    <w:rsid w:val="008636B6"/>
    <w:rsid w:val="00863E32"/>
    <w:rsid w:val="00864A86"/>
    <w:rsid w:val="00865F83"/>
    <w:rsid w:val="00872859"/>
    <w:rsid w:val="008929EF"/>
    <w:rsid w:val="008931D4"/>
    <w:rsid w:val="00896040"/>
    <w:rsid w:val="008A51BB"/>
    <w:rsid w:val="008B3524"/>
    <w:rsid w:val="008B725C"/>
    <w:rsid w:val="008C378B"/>
    <w:rsid w:val="008D204D"/>
    <w:rsid w:val="008D56C2"/>
    <w:rsid w:val="008E1ABC"/>
    <w:rsid w:val="008F06BC"/>
    <w:rsid w:val="008F6688"/>
    <w:rsid w:val="008F68EC"/>
    <w:rsid w:val="009000CC"/>
    <w:rsid w:val="00900282"/>
    <w:rsid w:val="009028A4"/>
    <w:rsid w:val="009067A8"/>
    <w:rsid w:val="0091770E"/>
    <w:rsid w:val="00925167"/>
    <w:rsid w:val="0093269D"/>
    <w:rsid w:val="0094512C"/>
    <w:rsid w:val="00945675"/>
    <w:rsid w:val="009567D7"/>
    <w:rsid w:val="00957A28"/>
    <w:rsid w:val="00960762"/>
    <w:rsid w:val="00962FBB"/>
    <w:rsid w:val="009759AD"/>
    <w:rsid w:val="00977170"/>
    <w:rsid w:val="00980B1A"/>
    <w:rsid w:val="00983EC3"/>
    <w:rsid w:val="009842F6"/>
    <w:rsid w:val="00994303"/>
    <w:rsid w:val="009A18FD"/>
    <w:rsid w:val="009A2AE9"/>
    <w:rsid w:val="009A536C"/>
    <w:rsid w:val="009A7527"/>
    <w:rsid w:val="009B5AA7"/>
    <w:rsid w:val="009C6DBA"/>
    <w:rsid w:val="009E428B"/>
    <w:rsid w:val="009E7562"/>
    <w:rsid w:val="009F1AC6"/>
    <w:rsid w:val="00A12D6F"/>
    <w:rsid w:val="00A2573E"/>
    <w:rsid w:val="00A339C6"/>
    <w:rsid w:val="00A33A61"/>
    <w:rsid w:val="00A37925"/>
    <w:rsid w:val="00A65734"/>
    <w:rsid w:val="00A70D20"/>
    <w:rsid w:val="00A9018A"/>
    <w:rsid w:val="00A90CC5"/>
    <w:rsid w:val="00A94983"/>
    <w:rsid w:val="00AA213E"/>
    <w:rsid w:val="00AA2153"/>
    <w:rsid w:val="00AA32AE"/>
    <w:rsid w:val="00AA3F20"/>
    <w:rsid w:val="00AB0596"/>
    <w:rsid w:val="00AB1C46"/>
    <w:rsid w:val="00AB20E7"/>
    <w:rsid w:val="00AB470F"/>
    <w:rsid w:val="00AD36BD"/>
    <w:rsid w:val="00AD4343"/>
    <w:rsid w:val="00AE347D"/>
    <w:rsid w:val="00AE3EC3"/>
    <w:rsid w:val="00AE4EA0"/>
    <w:rsid w:val="00AF05E1"/>
    <w:rsid w:val="00AF3AC2"/>
    <w:rsid w:val="00B22CD9"/>
    <w:rsid w:val="00B23F37"/>
    <w:rsid w:val="00B31265"/>
    <w:rsid w:val="00B31764"/>
    <w:rsid w:val="00B3590D"/>
    <w:rsid w:val="00B42EC9"/>
    <w:rsid w:val="00B50D08"/>
    <w:rsid w:val="00B64838"/>
    <w:rsid w:val="00B717F6"/>
    <w:rsid w:val="00B73FE1"/>
    <w:rsid w:val="00B74975"/>
    <w:rsid w:val="00B80685"/>
    <w:rsid w:val="00B82892"/>
    <w:rsid w:val="00B8656D"/>
    <w:rsid w:val="00B93C1A"/>
    <w:rsid w:val="00B960BF"/>
    <w:rsid w:val="00B966CD"/>
    <w:rsid w:val="00B96A3A"/>
    <w:rsid w:val="00BA78BA"/>
    <w:rsid w:val="00BB6771"/>
    <w:rsid w:val="00BD6684"/>
    <w:rsid w:val="00BD7991"/>
    <w:rsid w:val="00BE2C42"/>
    <w:rsid w:val="00BE4DFD"/>
    <w:rsid w:val="00BF3928"/>
    <w:rsid w:val="00C00241"/>
    <w:rsid w:val="00C02E1C"/>
    <w:rsid w:val="00C14082"/>
    <w:rsid w:val="00C170F5"/>
    <w:rsid w:val="00C209DE"/>
    <w:rsid w:val="00C2141A"/>
    <w:rsid w:val="00C21471"/>
    <w:rsid w:val="00C279D4"/>
    <w:rsid w:val="00C32DB4"/>
    <w:rsid w:val="00C34330"/>
    <w:rsid w:val="00C40953"/>
    <w:rsid w:val="00C44C16"/>
    <w:rsid w:val="00C52C45"/>
    <w:rsid w:val="00C54483"/>
    <w:rsid w:val="00C637B1"/>
    <w:rsid w:val="00C640B4"/>
    <w:rsid w:val="00C67B54"/>
    <w:rsid w:val="00C7643C"/>
    <w:rsid w:val="00C76672"/>
    <w:rsid w:val="00C775F5"/>
    <w:rsid w:val="00CA34BC"/>
    <w:rsid w:val="00CB016A"/>
    <w:rsid w:val="00CE2988"/>
    <w:rsid w:val="00CE2EA6"/>
    <w:rsid w:val="00CF0D6D"/>
    <w:rsid w:val="00CF2130"/>
    <w:rsid w:val="00CF34DA"/>
    <w:rsid w:val="00CF594A"/>
    <w:rsid w:val="00D05DDB"/>
    <w:rsid w:val="00D06FB5"/>
    <w:rsid w:val="00D07352"/>
    <w:rsid w:val="00D100BF"/>
    <w:rsid w:val="00D151D7"/>
    <w:rsid w:val="00D15D01"/>
    <w:rsid w:val="00D24510"/>
    <w:rsid w:val="00D251ED"/>
    <w:rsid w:val="00D3093C"/>
    <w:rsid w:val="00D30EAA"/>
    <w:rsid w:val="00D41096"/>
    <w:rsid w:val="00D46594"/>
    <w:rsid w:val="00D567B5"/>
    <w:rsid w:val="00D60361"/>
    <w:rsid w:val="00D6468F"/>
    <w:rsid w:val="00D8193E"/>
    <w:rsid w:val="00D9454F"/>
    <w:rsid w:val="00DA231C"/>
    <w:rsid w:val="00DA6856"/>
    <w:rsid w:val="00DB7DA0"/>
    <w:rsid w:val="00DC01D0"/>
    <w:rsid w:val="00DC0F78"/>
    <w:rsid w:val="00DD7568"/>
    <w:rsid w:val="00DE1A05"/>
    <w:rsid w:val="00DE4E33"/>
    <w:rsid w:val="00DF2FBC"/>
    <w:rsid w:val="00E02B46"/>
    <w:rsid w:val="00E043E4"/>
    <w:rsid w:val="00E1354E"/>
    <w:rsid w:val="00E16640"/>
    <w:rsid w:val="00E1669A"/>
    <w:rsid w:val="00E2266F"/>
    <w:rsid w:val="00E342BD"/>
    <w:rsid w:val="00E34746"/>
    <w:rsid w:val="00E40E7D"/>
    <w:rsid w:val="00E51431"/>
    <w:rsid w:val="00E51B93"/>
    <w:rsid w:val="00E53337"/>
    <w:rsid w:val="00E606BC"/>
    <w:rsid w:val="00E60BA3"/>
    <w:rsid w:val="00E70AD1"/>
    <w:rsid w:val="00E87ABF"/>
    <w:rsid w:val="00E955AE"/>
    <w:rsid w:val="00E95B39"/>
    <w:rsid w:val="00EA0BDB"/>
    <w:rsid w:val="00EA5DC2"/>
    <w:rsid w:val="00EA764F"/>
    <w:rsid w:val="00EB0F88"/>
    <w:rsid w:val="00EB3D3A"/>
    <w:rsid w:val="00EB3E98"/>
    <w:rsid w:val="00EC1828"/>
    <w:rsid w:val="00EC6A29"/>
    <w:rsid w:val="00EF4D43"/>
    <w:rsid w:val="00F03126"/>
    <w:rsid w:val="00F17C08"/>
    <w:rsid w:val="00F30D2F"/>
    <w:rsid w:val="00F3162E"/>
    <w:rsid w:val="00F461A8"/>
    <w:rsid w:val="00F51C47"/>
    <w:rsid w:val="00F52D2B"/>
    <w:rsid w:val="00F5403E"/>
    <w:rsid w:val="00F608D9"/>
    <w:rsid w:val="00F624AF"/>
    <w:rsid w:val="00F7697F"/>
    <w:rsid w:val="00F810C7"/>
    <w:rsid w:val="00F82B7E"/>
    <w:rsid w:val="00F83DCC"/>
    <w:rsid w:val="00F87537"/>
    <w:rsid w:val="00F90580"/>
    <w:rsid w:val="00F91119"/>
    <w:rsid w:val="00FA3445"/>
    <w:rsid w:val="00FB5D6E"/>
    <w:rsid w:val="00FC0757"/>
    <w:rsid w:val="00FC2C91"/>
    <w:rsid w:val="00FC5D4F"/>
    <w:rsid w:val="00FD6782"/>
    <w:rsid w:val="00FE24AE"/>
    <w:rsid w:val="00FE75D8"/>
    <w:rsid w:val="00FF3D8E"/>
    <w:rsid w:val="41EE93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5E47C"/>
  <w15:chartTrackingRefBased/>
  <w15:docId w15:val="{C1008FDE-CF0E-4C04-9E9C-3E55C7D71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7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196"/>
    <w:rPr>
      <w:rFonts w:eastAsiaTheme="majorEastAsia" w:cstheme="majorBidi"/>
      <w:color w:val="272727" w:themeColor="text1" w:themeTint="D8"/>
    </w:rPr>
  </w:style>
  <w:style w:type="paragraph" w:styleId="Title">
    <w:name w:val="Title"/>
    <w:basedOn w:val="Normal"/>
    <w:next w:val="Normal"/>
    <w:link w:val="TitleChar"/>
    <w:uiPriority w:val="10"/>
    <w:qFormat/>
    <w:rsid w:val="00627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196"/>
    <w:pPr>
      <w:spacing w:before="160"/>
      <w:jc w:val="center"/>
    </w:pPr>
    <w:rPr>
      <w:i/>
      <w:iCs/>
      <w:color w:val="404040" w:themeColor="text1" w:themeTint="BF"/>
    </w:rPr>
  </w:style>
  <w:style w:type="character" w:customStyle="1" w:styleId="QuoteChar">
    <w:name w:val="Quote Char"/>
    <w:basedOn w:val="DefaultParagraphFont"/>
    <w:link w:val="Quote"/>
    <w:uiPriority w:val="29"/>
    <w:rsid w:val="00627196"/>
    <w:rPr>
      <w:i/>
      <w:iCs/>
      <w:color w:val="404040" w:themeColor="text1" w:themeTint="BF"/>
    </w:rPr>
  </w:style>
  <w:style w:type="paragraph" w:styleId="ListParagraph">
    <w:name w:val="List Paragraph"/>
    <w:basedOn w:val="Normal"/>
    <w:qFormat/>
    <w:rsid w:val="00627196"/>
    <w:pPr>
      <w:ind w:left="720"/>
      <w:contextualSpacing/>
    </w:pPr>
  </w:style>
  <w:style w:type="character" w:styleId="IntenseEmphasis">
    <w:name w:val="Intense Emphasis"/>
    <w:basedOn w:val="DefaultParagraphFont"/>
    <w:uiPriority w:val="21"/>
    <w:qFormat/>
    <w:rsid w:val="00627196"/>
    <w:rPr>
      <w:i/>
      <w:iCs/>
      <w:color w:val="0F4761" w:themeColor="accent1" w:themeShade="BF"/>
    </w:rPr>
  </w:style>
  <w:style w:type="paragraph" w:styleId="IntenseQuote">
    <w:name w:val="Intense Quote"/>
    <w:basedOn w:val="Normal"/>
    <w:next w:val="Normal"/>
    <w:link w:val="IntenseQuoteChar"/>
    <w:uiPriority w:val="30"/>
    <w:qFormat/>
    <w:rsid w:val="00627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196"/>
    <w:rPr>
      <w:i/>
      <w:iCs/>
      <w:color w:val="0F4761" w:themeColor="accent1" w:themeShade="BF"/>
    </w:rPr>
  </w:style>
  <w:style w:type="character" w:styleId="IntenseReference">
    <w:name w:val="Intense Reference"/>
    <w:basedOn w:val="DefaultParagraphFont"/>
    <w:uiPriority w:val="32"/>
    <w:qFormat/>
    <w:rsid w:val="00627196"/>
    <w:rPr>
      <w:b/>
      <w:bCs/>
      <w:smallCaps/>
      <w:color w:val="0F4761" w:themeColor="accent1" w:themeShade="BF"/>
      <w:spacing w:val="5"/>
    </w:rPr>
  </w:style>
  <w:style w:type="paragraph" w:styleId="NoSpacing">
    <w:name w:val="No Spacing"/>
    <w:link w:val="NoSpacingChar"/>
    <w:uiPriority w:val="1"/>
    <w:qFormat/>
    <w:rsid w:val="0062719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627196"/>
    <w:rPr>
      <w:kern w:val="0"/>
      <w:sz w:val="22"/>
      <w:szCs w:val="22"/>
      <w14:ligatures w14:val="none"/>
    </w:rPr>
  </w:style>
  <w:style w:type="character" w:styleId="Hyperlink">
    <w:name w:val="Hyperlink"/>
    <w:uiPriority w:val="99"/>
    <w:unhideWhenUsed/>
    <w:rsid w:val="00627196"/>
    <w:rPr>
      <w:color w:val="0000FF"/>
      <w:u w:val="single"/>
    </w:rPr>
  </w:style>
  <w:style w:type="character" w:styleId="UnresolvedMention">
    <w:name w:val="Unresolved Mention"/>
    <w:basedOn w:val="DefaultParagraphFont"/>
    <w:uiPriority w:val="99"/>
    <w:semiHidden/>
    <w:unhideWhenUsed/>
    <w:rsid w:val="00AB1C46"/>
    <w:rPr>
      <w:color w:val="605E5C"/>
      <w:shd w:val="clear" w:color="auto" w:fill="E1DFDD"/>
    </w:rPr>
  </w:style>
  <w:style w:type="paragraph" w:styleId="TOCHeading">
    <w:name w:val="TOC Heading"/>
    <w:basedOn w:val="Heading1"/>
    <w:next w:val="Normal"/>
    <w:uiPriority w:val="39"/>
    <w:unhideWhenUsed/>
    <w:qFormat/>
    <w:rsid w:val="000B179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B1791"/>
    <w:pPr>
      <w:spacing w:after="100"/>
    </w:pPr>
  </w:style>
  <w:style w:type="character" w:styleId="FollowedHyperlink">
    <w:name w:val="FollowedHyperlink"/>
    <w:basedOn w:val="DefaultParagraphFont"/>
    <w:uiPriority w:val="99"/>
    <w:semiHidden/>
    <w:unhideWhenUsed/>
    <w:rsid w:val="00CB016A"/>
    <w:rPr>
      <w:color w:val="96607D" w:themeColor="followedHyperlink"/>
      <w:u w:val="single"/>
    </w:rPr>
  </w:style>
  <w:style w:type="paragraph" w:styleId="NormalWeb">
    <w:name w:val="Normal (Web)"/>
    <w:basedOn w:val="Normal"/>
    <w:uiPriority w:val="99"/>
    <w:semiHidden/>
    <w:unhideWhenUsed/>
    <w:rsid w:val="007C6E55"/>
    <w:rPr>
      <w:rFonts w:ascii="Times New Roman" w:hAnsi="Times New Roman" w:cs="Times New Roman"/>
    </w:rPr>
  </w:style>
  <w:style w:type="paragraph" w:styleId="TOC2">
    <w:name w:val="toc 2"/>
    <w:basedOn w:val="Normal"/>
    <w:next w:val="Normal"/>
    <w:autoRedefine/>
    <w:uiPriority w:val="39"/>
    <w:unhideWhenUsed/>
    <w:rsid w:val="00F90580"/>
    <w:pPr>
      <w:spacing w:after="100"/>
      <w:ind w:left="240"/>
    </w:pPr>
  </w:style>
  <w:style w:type="paragraph" w:styleId="Header">
    <w:name w:val="header"/>
    <w:basedOn w:val="Normal"/>
    <w:link w:val="HeaderChar"/>
    <w:uiPriority w:val="99"/>
    <w:unhideWhenUsed/>
    <w:rsid w:val="00221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662"/>
  </w:style>
  <w:style w:type="paragraph" w:styleId="Footer">
    <w:name w:val="footer"/>
    <w:basedOn w:val="Normal"/>
    <w:link w:val="FooterChar"/>
    <w:uiPriority w:val="99"/>
    <w:unhideWhenUsed/>
    <w:rsid w:val="00221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662"/>
  </w:style>
  <w:style w:type="paragraph" w:customStyle="1" w:styleId="Strong1">
    <w:name w:val="Strong1"/>
    <w:qFormat/>
    <w:rsid w:val="009000CC"/>
    <w:pPr>
      <w:spacing w:after="0" w:line="240" w:lineRule="auto"/>
    </w:pPr>
    <w:rPr>
      <w:rFonts w:ascii="Arial" w:eastAsia="Arial" w:hAnsi="Arial" w:cs="Arial"/>
      <w:b/>
      <w:bCs/>
      <w:kern w:val="0"/>
      <w:sz w:val="22"/>
      <w:szCs w:val="22"/>
      <w:lang w:eastAsia="en-GB"/>
      <w14:ligatures w14:val="none"/>
    </w:rPr>
  </w:style>
  <w:style w:type="character" w:styleId="FootnoteReference">
    <w:name w:val="footnote reference"/>
    <w:uiPriority w:val="99"/>
    <w:semiHidden/>
    <w:unhideWhenUsed/>
    <w:rsid w:val="009000CC"/>
    <w:rPr>
      <w:vertAlign w:val="superscript"/>
    </w:rPr>
  </w:style>
  <w:style w:type="paragraph" w:styleId="FootnoteText">
    <w:name w:val="footnote text"/>
    <w:link w:val="FootnoteTextChar"/>
    <w:uiPriority w:val="99"/>
    <w:semiHidden/>
    <w:unhideWhenUsed/>
    <w:rsid w:val="009000CC"/>
    <w:pPr>
      <w:spacing w:after="0" w:line="240" w:lineRule="auto"/>
    </w:pPr>
    <w:rPr>
      <w:rFonts w:ascii="Arial" w:eastAsia="Arial" w:hAnsi="Arial" w:cs="Arial"/>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9000CC"/>
    <w:rPr>
      <w:rFonts w:ascii="Arial" w:eastAsia="Arial" w:hAnsi="Arial" w:cs="Arial"/>
      <w:kern w:val="0"/>
      <w:sz w:val="20"/>
      <w:szCs w:val="20"/>
      <w:lang w:eastAsia="en-GB"/>
      <w14:ligatures w14:val="none"/>
    </w:rPr>
  </w:style>
  <w:style w:type="character" w:styleId="EndnoteReference">
    <w:name w:val="endnote reference"/>
    <w:uiPriority w:val="99"/>
    <w:semiHidden/>
    <w:unhideWhenUsed/>
    <w:rsid w:val="009000CC"/>
    <w:rPr>
      <w:vertAlign w:val="superscript"/>
    </w:rPr>
  </w:style>
  <w:style w:type="paragraph" w:styleId="EndnoteText">
    <w:name w:val="endnote text"/>
    <w:link w:val="EndnoteTextChar"/>
    <w:uiPriority w:val="99"/>
    <w:semiHidden/>
    <w:unhideWhenUsed/>
    <w:rsid w:val="009000CC"/>
    <w:pPr>
      <w:spacing w:after="0" w:line="240" w:lineRule="auto"/>
    </w:pPr>
    <w:rPr>
      <w:rFonts w:ascii="Arial" w:eastAsia="Arial" w:hAnsi="Arial" w:cs="Arial"/>
      <w:kern w:val="0"/>
      <w:sz w:val="20"/>
      <w:szCs w:val="20"/>
      <w:lang w:eastAsia="en-GB"/>
      <w14:ligatures w14:val="none"/>
    </w:rPr>
  </w:style>
  <w:style w:type="character" w:customStyle="1" w:styleId="EndnoteTextChar">
    <w:name w:val="Endnote Text Char"/>
    <w:basedOn w:val="DefaultParagraphFont"/>
    <w:link w:val="EndnoteText"/>
    <w:uiPriority w:val="99"/>
    <w:semiHidden/>
    <w:rsid w:val="009000CC"/>
    <w:rPr>
      <w:rFonts w:ascii="Arial" w:eastAsia="Arial" w:hAnsi="Arial" w:cs="Arial"/>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203">
      <w:bodyDiv w:val="1"/>
      <w:marLeft w:val="0"/>
      <w:marRight w:val="0"/>
      <w:marTop w:val="0"/>
      <w:marBottom w:val="0"/>
      <w:divBdr>
        <w:top w:val="none" w:sz="0" w:space="0" w:color="auto"/>
        <w:left w:val="none" w:sz="0" w:space="0" w:color="auto"/>
        <w:bottom w:val="none" w:sz="0" w:space="0" w:color="auto"/>
        <w:right w:val="none" w:sz="0" w:space="0" w:color="auto"/>
      </w:divBdr>
    </w:div>
    <w:div w:id="117340420">
      <w:bodyDiv w:val="1"/>
      <w:marLeft w:val="0"/>
      <w:marRight w:val="0"/>
      <w:marTop w:val="0"/>
      <w:marBottom w:val="0"/>
      <w:divBdr>
        <w:top w:val="none" w:sz="0" w:space="0" w:color="auto"/>
        <w:left w:val="none" w:sz="0" w:space="0" w:color="auto"/>
        <w:bottom w:val="none" w:sz="0" w:space="0" w:color="auto"/>
        <w:right w:val="none" w:sz="0" w:space="0" w:color="auto"/>
      </w:divBdr>
    </w:div>
    <w:div w:id="226302361">
      <w:bodyDiv w:val="1"/>
      <w:marLeft w:val="0"/>
      <w:marRight w:val="0"/>
      <w:marTop w:val="0"/>
      <w:marBottom w:val="0"/>
      <w:divBdr>
        <w:top w:val="none" w:sz="0" w:space="0" w:color="auto"/>
        <w:left w:val="none" w:sz="0" w:space="0" w:color="auto"/>
        <w:bottom w:val="none" w:sz="0" w:space="0" w:color="auto"/>
        <w:right w:val="none" w:sz="0" w:space="0" w:color="auto"/>
      </w:divBdr>
    </w:div>
    <w:div w:id="549271361">
      <w:bodyDiv w:val="1"/>
      <w:marLeft w:val="0"/>
      <w:marRight w:val="0"/>
      <w:marTop w:val="0"/>
      <w:marBottom w:val="0"/>
      <w:divBdr>
        <w:top w:val="none" w:sz="0" w:space="0" w:color="auto"/>
        <w:left w:val="none" w:sz="0" w:space="0" w:color="auto"/>
        <w:bottom w:val="none" w:sz="0" w:space="0" w:color="auto"/>
        <w:right w:val="none" w:sz="0" w:space="0" w:color="auto"/>
      </w:divBdr>
    </w:div>
    <w:div w:id="876698837">
      <w:bodyDiv w:val="1"/>
      <w:marLeft w:val="0"/>
      <w:marRight w:val="0"/>
      <w:marTop w:val="0"/>
      <w:marBottom w:val="0"/>
      <w:divBdr>
        <w:top w:val="none" w:sz="0" w:space="0" w:color="auto"/>
        <w:left w:val="none" w:sz="0" w:space="0" w:color="auto"/>
        <w:bottom w:val="none" w:sz="0" w:space="0" w:color="auto"/>
        <w:right w:val="none" w:sz="0" w:space="0" w:color="auto"/>
      </w:divBdr>
    </w:div>
    <w:div w:id="885140144">
      <w:bodyDiv w:val="1"/>
      <w:marLeft w:val="0"/>
      <w:marRight w:val="0"/>
      <w:marTop w:val="0"/>
      <w:marBottom w:val="0"/>
      <w:divBdr>
        <w:top w:val="none" w:sz="0" w:space="0" w:color="auto"/>
        <w:left w:val="none" w:sz="0" w:space="0" w:color="auto"/>
        <w:bottom w:val="none" w:sz="0" w:space="0" w:color="auto"/>
        <w:right w:val="none" w:sz="0" w:space="0" w:color="auto"/>
      </w:divBdr>
    </w:div>
    <w:div w:id="1232934531">
      <w:bodyDiv w:val="1"/>
      <w:marLeft w:val="0"/>
      <w:marRight w:val="0"/>
      <w:marTop w:val="0"/>
      <w:marBottom w:val="0"/>
      <w:divBdr>
        <w:top w:val="none" w:sz="0" w:space="0" w:color="auto"/>
        <w:left w:val="none" w:sz="0" w:space="0" w:color="auto"/>
        <w:bottom w:val="none" w:sz="0" w:space="0" w:color="auto"/>
        <w:right w:val="none" w:sz="0" w:space="0" w:color="auto"/>
      </w:divBdr>
    </w:div>
    <w:div w:id="1579946287">
      <w:bodyDiv w:val="1"/>
      <w:marLeft w:val="0"/>
      <w:marRight w:val="0"/>
      <w:marTop w:val="0"/>
      <w:marBottom w:val="0"/>
      <w:divBdr>
        <w:top w:val="none" w:sz="0" w:space="0" w:color="auto"/>
        <w:left w:val="none" w:sz="0" w:space="0" w:color="auto"/>
        <w:bottom w:val="none" w:sz="0" w:space="0" w:color="auto"/>
        <w:right w:val="none" w:sz="0" w:space="0" w:color="auto"/>
      </w:divBdr>
    </w:div>
    <w:div w:id="1796024574">
      <w:bodyDiv w:val="1"/>
      <w:marLeft w:val="0"/>
      <w:marRight w:val="0"/>
      <w:marTop w:val="0"/>
      <w:marBottom w:val="0"/>
      <w:divBdr>
        <w:top w:val="none" w:sz="0" w:space="0" w:color="auto"/>
        <w:left w:val="none" w:sz="0" w:space="0" w:color="auto"/>
        <w:bottom w:val="none" w:sz="0" w:space="0" w:color="auto"/>
        <w:right w:val="none" w:sz="0" w:space="0" w:color="auto"/>
      </w:divBdr>
    </w:div>
    <w:div w:id="212607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156B7E-44F3-4E08-B832-4833CAB20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18</Pages>
  <Words>6058</Words>
  <Characters>34774</Characters>
  <Application>Microsoft Office Word</Application>
  <DocSecurity>0</DocSecurity>
  <Lines>939</Lines>
  <Paragraphs>329</Paragraphs>
  <ScaleCrop>false</ScaleCrop>
  <HeadingPairs>
    <vt:vector size="2" baseType="variant">
      <vt:variant>
        <vt:lpstr>Title</vt:lpstr>
      </vt:variant>
      <vt:variant>
        <vt:i4>1</vt:i4>
      </vt:variant>
    </vt:vector>
  </HeadingPairs>
  <TitlesOfParts>
    <vt:vector size="1" baseType="lpstr">
      <vt:lpstr>L4 - Learning in the Digital Era (ACCA4025</vt:lpstr>
    </vt:vector>
  </TitlesOfParts>
  <Manager>2417221@student.uwtsd.ac.uk</Manager>
  <Company>Computer networks &amp; Cyber security</Company>
  <LinksUpToDate>false</LinksUpToDate>
  <CharactersWithSpaces>40503</CharactersWithSpaces>
  <SharedDoc>false</SharedDoc>
  <HLinks>
    <vt:vector size="54" baseType="variant">
      <vt:variant>
        <vt:i4>1310780</vt:i4>
      </vt:variant>
      <vt:variant>
        <vt:i4>38</vt:i4>
      </vt:variant>
      <vt:variant>
        <vt:i4>0</vt:i4>
      </vt:variant>
      <vt:variant>
        <vt:i4>5</vt:i4>
      </vt:variant>
      <vt:variant>
        <vt:lpwstr/>
      </vt:variant>
      <vt:variant>
        <vt:lpwstr>_Toc194910834</vt:lpwstr>
      </vt:variant>
      <vt:variant>
        <vt:i4>1310780</vt:i4>
      </vt:variant>
      <vt:variant>
        <vt:i4>32</vt:i4>
      </vt:variant>
      <vt:variant>
        <vt:i4>0</vt:i4>
      </vt:variant>
      <vt:variant>
        <vt:i4>5</vt:i4>
      </vt:variant>
      <vt:variant>
        <vt:lpwstr/>
      </vt:variant>
      <vt:variant>
        <vt:lpwstr>_Toc194910833</vt:lpwstr>
      </vt:variant>
      <vt:variant>
        <vt:i4>1310780</vt:i4>
      </vt:variant>
      <vt:variant>
        <vt:i4>26</vt:i4>
      </vt:variant>
      <vt:variant>
        <vt:i4>0</vt:i4>
      </vt:variant>
      <vt:variant>
        <vt:i4>5</vt:i4>
      </vt:variant>
      <vt:variant>
        <vt:lpwstr/>
      </vt:variant>
      <vt:variant>
        <vt:lpwstr>_Toc194910832</vt:lpwstr>
      </vt:variant>
      <vt:variant>
        <vt:i4>1310780</vt:i4>
      </vt:variant>
      <vt:variant>
        <vt:i4>20</vt:i4>
      </vt:variant>
      <vt:variant>
        <vt:i4>0</vt:i4>
      </vt:variant>
      <vt:variant>
        <vt:i4>5</vt:i4>
      </vt:variant>
      <vt:variant>
        <vt:lpwstr/>
      </vt:variant>
      <vt:variant>
        <vt:lpwstr>_Toc194910831</vt:lpwstr>
      </vt:variant>
      <vt:variant>
        <vt:i4>1310780</vt:i4>
      </vt:variant>
      <vt:variant>
        <vt:i4>14</vt:i4>
      </vt:variant>
      <vt:variant>
        <vt:i4>0</vt:i4>
      </vt:variant>
      <vt:variant>
        <vt:i4>5</vt:i4>
      </vt:variant>
      <vt:variant>
        <vt:lpwstr/>
      </vt:variant>
      <vt:variant>
        <vt:lpwstr>_Toc194910830</vt:lpwstr>
      </vt:variant>
      <vt:variant>
        <vt:i4>1376316</vt:i4>
      </vt:variant>
      <vt:variant>
        <vt:i4>8</vt:i4>
      </vt:variant>
      <vt:variant>
        <vt:i4>0</vt:i4>
      </vt:variant>
      <vt:variant>
        <vt:i4>5</vt:i4>
      </vt:variant>
      <vt:variant>
        <vt:lpwstr/>
      </vt:variant>
      <vt:variant>
        <vt:lpwstr>_Toc194910829</vt:lpwstr>
      </vt:variant>
      <vt:variant>
        <vt:i4>1376316</vt:i4>
      </vt:variant>
      <vt:variant>
        <vt:i4>2</vt:i4>
      </vt:variant>
      <vt:variant>
        <vt:i4>0</vt:i4>
      </vt:variant>
      <vt:variant>
        <vt:i4>5</vt:i4>
      </vt:variant>
      <vt:variant>
        <vt:lpwstr/>
      </vt:variant>
      <vt:variant>
        <vt:lpwstr>_Toc194910828</vt:lpwstr>
      </vt:variant>
      <vt:variant>
        <vt:i4>3145854</vt:i4>
      </vt:variant>
      <vt:variant>
        <vt:i4>3</vt:i4>
      </vt:variant>
      <vt:variant>
        <vt:i4>0</vt:i4>
      </vt:variant>
      <vt:variant>
        <vt:i4>5</vt:i4>
      </vt:variant>
      <vt:variant>
        <vt:lpwstr>https://creativecommons.org/licenses/by-sa/3.0/</vt:lpwstr>
      </vt:variant>
      <vt:variant>
        <vt:lpwstr/>
      </vt:variant>
      <vt:variant>
        <vt:i4>3211363</vt:i4>
      </vt:variant>
      <vt:variant>
        <vt:i4>0</vt:i4>
      </vt:variant>
      <vt:variant>
        <vt:i4>0</vt:i4>
      </vt:variant>
      <vt:variant>
        <vt:i4>5</vt:i4>
      </vt:variant>
      <vt:variant>
        <vt:lpwstr>https://en.wikipedia.org/wiki/Distributed_operating_system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Data Security and Compliance (ACCA5034)</dc:title>
  <dc:subject>DATA SECURITY AND COMPLIANCE                                                                                               Research and Case Scenario in Data Security and Compliance</dc:subject>
  <dc:creator>Pawel Waszak (2417221)</dc:creator>
  <cp:keywords>Pawel Waszak</cp:keywords>
  <dc:description/>
  <cp:lastModifiedBy>Pawel 1983</cp:lastModifiedBy>
  <cp:revision>390</cp:revision>
  <dcterms:created xsi:type="dcterms:W3CDTF">2024-10-28T16:16:00Z</dcterms:created>
  <dcterms:modified xsi:type="dcterms:W3CDTF">2026-06-16T11:36:00Z</dcterms:modified>
</cp:coreProperties>
</file>