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9DDA0" w14:textId="1813EF0C" w:rsidR="00263EBC" w:rsidRPr="00263EBC" w:rsidRDefault="00B70B5C" w:rsidP="00263EBC">
      <w:pPr>
        <w:rPr>
          <w:b/>
          <w:bCs/>
          <w:sz w:val="52"/>
          <w:szCs w:val="52"/>
        </w:rPr>
      </w:pPr>
      <w:r w:rsidRPr="002F7E7A">
        <w:rPr>
          <w:b/>
          <w:bCs/>
          <w:sz w:val="52"/>
          <w:szCs w:val="52"/>
        </w:rPr>
        <w:t xml:space="preserve">The Hilton 100th Anniversary </w:t>
      </w:r>
    </w:p>
    <w:p w14:paraId="16083BEA" w14:textId="77777777" w:rsidR="00263EBC" w:rsidRPr="00263EBC" w:rsidRDefault="00263EBC" w:rsidP="00263EBC">
      <w:pPr>
        <w:rPr>
          <w:b/>
          <w:bCs/>
        </w:rPr>
      </w:pPr>
    </w:p>
    <w:p w14:paraId="54EF3787" w14:textId="77777777" w:rsidR="00263EBC" w:rsidRPr="00263EBC" w:rsidRDefault="00263EBC" w:rsidP="00263EBC">
      <w:pPr>
        <w:rPr>
          <w:b/>
          <w:bCs/>
        </w:rPr>
      </w:pPr>
    </w:p>
    <w:p w14:paraId="783226BB" w14:textId="77777777" w:rsidR="00263EBC" w:rsidRPr="00263EBC" w:rsidRDefault="00263EBC" w:rsidP="00263EBC">
      <w:pPr>
        <w:rPr>
          <w:b/>
          <w:bCs/>
        </w:rPr>
      </w:pPr>
    </w:p>
    <w:p w14:paraId="3704DB54" w14:textId="77777777" w:rsidR="00263EBC" w:rsidRPr="00263EBC" w:rsidRDefault="00263EBC" w:rsidP="00263EBC">
      <w:pPr>
        <w:rPr>
          <w:b/>
          <w:bCs/>
        </w:rPr>
      </w:pPr>
    </w:p>
    <w:p w14:paraId="505F080C" w14:textId="77777777" w:rsidR="00263EBC" w:rsidRPr="00263EBC" w:rsidRDefault="00263EBC" w:rsidP="00263EBC">
      <w:pPr>
        <w:rPr>
          <w:b/>
          <w:bCs/>
        </w:rPr>
      </w:pPr>
    </w:p>
    <w:p w14:paraId="68C488BA" w14:textId="77777777" w:rsidR="00263EBC" w:rsidRPr="00263EBC" w:rsidRDefault="00263EBC" w:rsidP="00263EBC">
      <w:pPr>
        <w:rPr>
          <w:b/>
          <w:bCs/>
        </w:rPr>
      </w:pPr>
    </w:p>
    <w:p w14:paraId="56BE35A4" w14:textId="77777777" w:rsidR="00263EBC" w:rsidRPr="00263EBC" w:rsidRDefault="00263EBC" w:rsidP="00263EBC">
      <w:pPr>
        <w:rPr>
          <w:b/>
          <w:bCs/>
        </w:rPr>
      </w:pPr>
    </w:p>
    <w:p w14:paraId="4F8189A5" w14:textId="77777777" w:rsidR="002F7E7A" w:rsidRDefault="00263EBC" w:rsidP="00832496">
      <w:pPr>
        <w:jc w:val="right"/>
        <w:rPr>
          <w:b/>
          <w:bCs/>
          <w:sz w:val="28"/>
          <w:szCs w:val="28"/>
        </w:rPr>
      </w:pPr>
      <w:r w:rsidRPr="00263EBC">
        <w:rPr>
          <w:b/>
          <w:bCs/>
          <w:sz w:val="28"/>
          <w:szCs w:val="28"/>
        </w:rPr>
        <w:t>International Meetings Management for the Hotel Industry</w:t>
      </w:r>
    </w:p>
    <w:p w14:paraId="02058167" w14:textId="201C781A" w:rsidR="00263EBC" w:rsidRDefault="00263EBC" w:rsidP="00832496">
      <w:pPr>
        <w:jc w:val="right"/>
        <w:rPr>
          <w:b/>
          <w:bCs/>
          <w:sz w:val="28"/>
          <w:szCs w:val="28"/>
        </w:rPr>
      </w:pPr>
      <w:r w:rsidRPr="00263EBC">
        <w:rPr>
          <w:b/>
          <w:bCs/>
          <w:sz w:val="28"/>
          <w:szCs w:val="28"/>
        </w:rPr>
        <w:t>BMIH6007</w:t>
      </w:r>
      <w:r w:rsidR="00832496">
        <w:rPr>
          <w:b/>
          <w:bCs/>
          <w:sz w:val="28"/>
          <w:szCs w:val="28"/>
        </w:rPr>
        <w:t xml:space="preserve">, </w:t>
      </w:r>
      <w:r w:rsidRPr="00263EBC">
        <w:rPr>
          <w:b/>
          <w:bCs/>
          <w:sz w:val="28"/>
          <w:szCs w:val="28"/>
        </w:rPr>
        <w:t>Kathryn Flynn</w:t>
      </w:r>
      <w:r w:rsidR="008F7B15">
        <w:rPr>
          <w:b/>
          <w:bCs/>
          <w:sz w:val="28"/>
          <w:szCs w:val="28"/>
        </w:rPr>
        <w:t xml:space="preserve">  </w:t>
      </w:r>
    </w:p>
    <w:p w14:paraId="14F49BFC" w14:textId="77777777" w:rsidR="008F7B15" w:rsidRDefault="008F7B15" w:rsidP="00832496">
      <w:pPr>
        <w:jc w:val="right"/>
        <w:rPr>
          <w:b/>
          <w:bCs/>
          <w:sz w:val="28"/>
          <w:szCs w:val="28"/>
        </w:rPr>
      </w:pPr>
      <w:r>
        <w:rPr>
          <w:b/>
          <w:bCs/>
          <w:sz w:val="28"/>
          <w:szCs w:val="28"/>
        </w:rPr>
        <w:t>Student Name: Dumitru Nicolae Silviu</w:t>
      </w:r>
    </w:p>
    <w:p w14:paraId="103834AF" w14:textId="3F7C83B1" w:rsidR="008F7B15" w:rsidRPr="00263EBC" w:rsidRDefault="008F7B15" w:rsidP="00832496">
      <w:pPr>
        <w:jc w:val="right"/>
        <w:rPr>
          <w:b/>
          <w:bCs/>
          <w:sz w:val="28"/>
          <w:szCs w:val="28"/>
        </w:rPr>
      </w:pPr>
      <w:r>
        <w:rPr>
          <w:b/>
          <w:bCs/>
          <w:sz w:val="28"/>
          <w:szCs w:val="28"/>
        </w:rPr>
        <w:t xml:space="preserve">Student ID:2235616  </w:t>
      </w:r>
    </w:p>
    <w:p w14:paraId="2841FA0D" w14:textId="77777777" w:rsidR="00263EBC" w:rsidRPr="00263EBC" w:rsidRDefault="00263EBC" w:rsidP="00263EBC">
      <w:pPr>
        <w:rPr>
          <w:b/>
          <w:bCs/>
        </w:rPr>
      </w:pPr>
    </w:p>
    <w:p w14:paraId="06228FF5" w14:textId="77777777" w:rsidR="00263EBC" w:rsidRPr="00263EBC" w:rsidRDefault="00263EBC" w:rsidP="00263EBC">
      <w:pPr>
        <w:rPr>
          <w:b/>
          <w:bCs/>
        </w:rPr>
      </w:pPr>
    </w:p>
    <w:p w14:paraId="76F95C34" w14:textId="77777777" w:rsidR="00263EBC" w:rsidRPr="00263EBC" w:rsidRDefault="00263EBC" w:rsidP="00263EBC">
      <w:pPr>
        <w:rPr>
          <w:b/>
          <w:bCs/>
        </w:rPr>
      </w:pPr>
    </w:p>
    <w:p w14:paraId="57532B8E" w14:textId="77777777" w:rsidR="00263EBC" w:rsidRPr="00263EBC" w:rsidRDefault="00263EBC" w:rsidP="00263EBC">
      <w:pPr>
        <w:rPr>
          <w:b/>
          <w:bCs/>
        </w:rPr>
      </w:pPr>
    </w:p>
    <w:p w14:paraId="2CBAB962" w14:textId="77777777" w:rsidR="00263EBC" w:rsidRPr="00263EBC" w:rsidRDefault="00263EBC" w:rsidP="00263EBC">
      <w:pPr>
        <w:rPr>
          <w:b/>
          <w:bCs/>
        </w:rPr>
      </w:pPr>
    </w:p>
    <w:p w14:paraId="1266B36E" w14:textId="77777777" w:rsidR="00263EBC" w:rsidRPr="00263EBC" w:rsidRDefault="00263EBC" w:rsidP="00263EBC">
      <w:pPr>
        <w:rPr>
          <w:b/>
          <w:bCs/>
        </w:rPr>
      </w:pPr>
    </w:p>
    <w:p w14:paraId="08FE39BD" w14:textId="77777777" w:rsidR="00263EBC" w:rsidRPr="00263EBC" w:rsidRDefault="00263EBC" w:rsidP="00832496">
      <w:pPr>
        <w:jc w:val="right"/>
        <w:rPr>
          <w:b/>
          <w:bCs/>
        </w:rPr>
      </w:pPr>
    </w:p>
    <w:p w14:paraId="55482E00" w14:textId="606AABBC" w:rsidR="00263EBC" w:rsidRPr="00263EBC" w:rsidRDefault="00263EBC" w:rsidP="00B42DFE">
      <w:pPr>
        <w:jc w:val="right"/>
        <w:rPr>
          <w:b/>
          <w:bCs/>
        </w:rPr>
      </w:pPr>
    </w:p>
    <w:p w14:paraId="4D1994B5" w14:textId="77777777" w:rsidR="00263EBC" w:rsidRPr="00263EBC" w:rsidRDefault="00263EBC" w:rsidP="00263EBC">
      <w:pPr>
        <w:rPr>
          <w:b/>
          <w:bCs/>
        </w:rPr>
      </w:pPr>
    </w:p>
    <w:p w14:paraId="696AD45E" w14:textId="77777777" w:rsidR="00263EBC" w:rsidRPr="00263EBC" w:rsidRDefault="00263EBC" w:rsidP="00263EBC">
      <w:pPr>
        <w:rPr>
          <w:b/>
          <w:bCs/>
        </w:rPr>
      </w:pPr>
    </w:p>
    <w:p w14:paraId="42621A93" w14:textId="77777777" w:rsidR="00263EBC" w:rsidRPr="00263EBC" w:rsidRDefault="00263EBC" w:rsidP="00263EBC">
      <w:pPr>
        <w:rPr>
          <w:b/>
          <w:bCs/>
        </w:rPr>
      </w:pPr>
    </w:p>
    <w:p w14:paraId="48A25FFB" w14:textId="77777777" w:rsidR="00263EBC" w:rsidRPr="00263EBC" w:rsidRDefault="00263EBC" w:rsidP="00263EBC">
      <w:pPr>
        <w:rPr>
          <w:b/>
          <w:bCs/>
        </w:rPr>
      </w:pPr>
    </w:p>
    <w:p w14:paraId="1848ED36" w14:textId="77777777" w:rsidR="00263EBC" w:rsidRPr="00263EBC" w:rsidRDefault="00263EBC" w:rsidP="00263EBC">
      <w:pPr>
        <w:rPr>
          <w:b/>
          <w:bCs/>
        </w:rPr>
      </w:pPr>
    </w:p>
    <w:p w14:paraId="40C0FFF7" w14:textId="77777777" w:rsidR="00263EBC" w:rsidRPr="00263EBC" w:rsidRDefault="00263EBC" w:rsidP="00263EBC">
      <w:pPr>
        <w:rPr>
          <w:b/>
          <w:bCs/>
        </w:rPr>
      </w:pPr>
    </w:p>
    <w:p w14:paraId="47288E48" w14:textId="77777777" w:rsidR="00263EBC" w:rsidRPr="00263EBC" w:rsidRDefault="00263EBC" w:rsidP="00263EBC">
      <w:pPr>
        <w:rPr>
          <w:b/>
          <w:bCs/>
        </w:rPr>
      </w:pPr>
    </w:p>
    <w:p w14:paraId="79E73B0B" w14:textId="77777777" w:rsidR="00263EBC" w:rsidRPr="00263EBC" w:rsidRDefault="00263EBC" w:rsidP="00263EBC">
      <w:pPr>
        <w:rPr>
          <w:b/>
          <w:bCs/>
        </w:rPr>
      </w:pPr>
    </w:p>
    <w:p w14:paraId="36D0FB80" w14:textId="77777777" w:rsidR="00263EBC" w:rsidRPr="00263EBC" w:rsidRDefault="00263EBC" w:rsidP="00263EBC">
      <w:pPr>
        <w:rPr>
          <w:b/>
          <w:bCs/>
        </w:rPr>
      </w:pPr>
    </w:p>
    <w:p w14:paraId="0A4D2390" w14:textId="77777777" w:rsidR="00263EBC" w:rsidRPr="00263EBC" w:rsidRDefault="00263EBC" w:rsidP="00263EBC">
      <w:pPr>
        <w:rPr>
          <w:b/>
          <w:bCs/>
        </w:rPr>
      </w:pPr>
    </w:p>
    <w:p w14:paraId="4C59F86B" w14:textId="77777777" w:rsidR="00263EBC" w:rsidRPr="00263EBC" w:rsidRDefault="00263EBC" w:rsidP="00263EBC">
      <w:pPr>
        <w:rPr>
          <w:b/>
          <w:bCs/>
        </w:rPr>
      </w:pPr>
    </w:p>
    <w:p w14:paraId="329C080C" w14:textId="77777777" w:rsidR="00263EBC" w:rsidRPr="00263EBC" w:rsidRDefault="00263EBC" w:rsidP="00263EBC">
      <w:pPr>
        <w:rPr>
          <w:b/>
          <w:bCs/>
        </w:rPr>
      </w:pPr>
    </w:p>
    <w:p w14:paraId="26ED92C5" w14:textId="77777777" w:rsidR="00263EBC" w:rsidRPr="00263EBC" w:rsidRDefault="00263EBC" w:rsidP="00263EBC">
      <w:pPr>
        <w:rPr>
          <w:b/>
          <w:bCs/>
        </w:rPr>
      </w:pPr>
    </w:p>
    <w:p w14:paraId="03246450" w14:textId="77777777" w:rsidR="00263EBC" w:rsidRPr="00263EBC" w:rsidRDefault="00263EBC" w:rsidP="00263EBC">
      <w:pPr>
        <w:rPr>
          <w:b/>
          <w:bCs/>
        </w:rPr>
      </w:pPr>
    </w:p>
    <w:p w14:paraId="26291540" w14:textId="77777777" w:rsidR="00263EBC" w:rsidRPr="00263EBC" w:rsidRDefault="00263EBC" w:rsidP="00263EBC">
      <w:pPr>
        <w:rPr>
          <w:b/>
          <w:bCs/>
        </w:rPr>
      </w:pPr>
    </w:p>
    <w:p w14:paraId="1120F6F8" w14:textId="77777777" w:rsidR="00263EBC" w:rsidRPr="00263EBC" w:rsidRDefault="00263EBC" w:rsidP="00263EBC">
      <w:pPr>
        <w:rPr>
          <w:b/>
          <w:bCs/>
        </w:rPr>
      </w:pPr>
    </w:p>
    <w:p w14:paraId="52431967" w14:textId="77777777" w:rsidR="002F7E7A" w:rsidRDefault="002F7E7A" w:rsidP="00263EBC">
      <w:pPr>
        <w:rPr>
          <w:b/>
          <w:bCs/>
        </w:rPr>
      </w:pPr>
    </w:p>
    <w:p w14:paraId="71A6D57F" w14:textId="77777777" w:rsidR="002F7E7A" w:rsidRDefault="002F7E7A" w:rsidP="00263EBC">
      <w:pPr>
        <w:rPr>
          <w:b/>
          <w:bCs/>
        </w:rPr>
      </w:pPr>
    </w:p>
    <w:p w14:paraId="0525EEA8" w14:textId="77777777" w:rsidR="002F7E7A" w:rsidRDefault="002F7E7A" w:rsidP="00263EBC">
      <w:pPr>
        <w:rPr>
          <w:b/>
          <w:bCs/>
        </w:rPr>
      </w:pPr>
    </w:p>
    <w:p w14:paraId="327B839A" w14:textId="77777777" w:rsidR="002F7E7A" w:rsidRDefault="002F7E7A" w:rsidP="00263EBC">
      <w:pPr>
        <w:rPr>
          <w:b/>
          <w:bCs/>
        </w:rPr>
      </w:pPr>
    </w:p>
    <w:p w14:paraId="593FA569" w14:textId="77777777" w:rsidR="002F7E7A" w:rsidRDefault="002F7E7A" w:rsidP="00263EBC">
      <w:pPr>
        <w:rPr>
          <w:b/>
          <w:bCs/>
        </w:rPr>
      </w:pPr>
    </w:p>
    <w:p w14:paraId="5E709839" w14:textId="77777777" w:rsidR="002F7E7A" w:rsidRDefault="002F7E7A" w:rsidP="00263EBC">
      <w:pPr>
        <w:rPr>
          <w:b/>
          <w:bCs/>
        </w:rPr>
      </w:pPr>
    </w:p>
    <w:p w14:paraId="524F3FA1" w14:textId="77777777" w:rsidR="002F7E7A" w:rsidRDefault="002F7E7A" w:rsidP="00263EBC">
      <w:pPr>
        <w:rPr>
          <w:b/>
          <w:bCs/>
        </w:rPr>
      </w:pPr>
    </w:p>
    <w:p w14:paraId="15C7838E" w14:textId="77777777" w:rsidR="002F7E7A" w:rsidRDefault="002F7E7A" w:rsidP="00263EBC">
      <w:pPr>
        <w:rPr>
          <w:b/>
          <w:bCs/>
        </w:rPr>
      </w:pPr>
    </w:p>
    <w:p w14:paraId="256AB173" w14:textId="77777777" w:rsidR="002F7E7A" w:rsidRDefault="002F7E7A" w:rsidP="00263EBC">
      <w:pPr>
        <w:rPr>
          <w:b/>
          <w:bCs/>
        </w:rPr>
      </w:pPr>
    </w:p>
    <w:p w14:paraId="1EB96F0F" w14:textId="77777777" w:rsidR="002F7E7A" w:rsidRDefault="002F7E7A" w:rsidP="00263EBC">
      <w:pPr>
        <w:rPr>
          <w:b/>
          <w:bCs/>
        </w:rPr>
      </w:pPr>
    </w:p>
    <w:p w14:paraId="00855638" w14:textId="77777777" w:rsidR="002F7E7A" w:rsidRDefault="002F7E7A" w:rsidP="00263EBC">
      <w:pPr>
        <w:rPr>
          <w:b/>
          <w:bCs/>
        </w:rPr>
      </w:pPr>
    </w:p>
    <w:p w14:paraId="17CCDB30" w14:textId="77777777" w:rsidR="002F7E7A" w:rsidRDefault="002F7E7A" w:rsidP="00263EBC">
      <w:pPr>
        <w:rPr>
          <w:b/>
          <w:bCs/>
        </w:rPr>
      </w:pPr>
    </w:p>
    <w:p w14:paraId="38D56D97" w14:textId="77777777" w:rsidR="002F7E7A" w:rsidRDefault="002F7E7A" w:rsidP="00263EBC">
      <w:pPr>
        <w:rPr>
          <w:b/>
          <w:bCs/>
        </w:rPr>
      </w:pPr>
    </w:p>
    <w:p w14:paraId="38AF53D9" w14:textId="76EF1FE5" w:rsidR="00263EBC" w:rsidRDefault="00263EBC" w:rsidP="00263EBC">
      <w:pPr>
        <w:rPr>
          <w:b/>
          <w:bCs/>
        </w:rPr>
      </w:pPr>
      <w:r w:rsidRPr="00263EBC">
        <w:rPr>
          <w:b/>
          <w:bCs/>
        </w:rPr>
        <w:t xml:space="preserve">I acknowledge using the Grammarly </w:t>
      </w:r>
      <w:r w:rsidR="002E1596">
        <w:rPr>
          <w:b/>
          <w:bCs/>
        </w:rPr>
        <w:t>and Office Editor (embedded option)</w:t>
      </w:r>
      <w:r w:rsidRPr="00263EBC">
        <w:rPr>
          <w:b/>
          <w:bCs/>
        </w:rPr>
        <w:t xml:space="preserve"> on 22.02.2025 to check my document for grammatical and syntactical </w:t>
      </w:r>
      <w:r w:rsidR="0058542B">
        <w:rPr>
          <w:b/>
          <w:bCs/>
        </w:rPr>
        <w:t>mistakes</w:t>
      </w:r>
      <w:r w:rsidRPr="00263EBC">
        <w:rPr>
          <w:b/>
          <w:bCs/>
        </w:rPr>
        <w:t>.</w:t>
      </w:r>
    </w:p>
    <w:p w14:paraId="393077CF" w14:textId="77777777" w:rsidR="00263EBC" w:rsidRPr="00263EBC" w:rsidRDefault="00263EBC" w:rsidP="00263EBC">
      <w:pPr>
        <w:rPr>
          <w:b/>
          <w:bCs/>
        </w:rPr>
      </w:pPr>
    </w:p>
    <w:p w14:paraId="13712116" w14:textId="77777777" w:rsidR="00263EBC" w:rsidRPr="00263EBC" w:rsidRDefault="00263EBC" w:rsidP="00263EBC">
      <w:pPr>
        <w:rPr>
          <w:b/>
          <w:bCs/>
        </w:rPr>
      </w:pPr>
    </w:p>
    <w:p w14:paraId="7D20A9DC" w14:textId="7E272FAB" w:rsidR="008267B3" w:rsidRDefault="008267B3">
      <w:pPr>
        <w:rPr>
          <w:b/>
          <w:bCs/>
        </w:rPr>
      </w:pPr>
    </w:p>
    <w:p w14:paraId="52F7734D" w14:textId="77777777" w:rsidR="008F7B15" w:rsidRDefault="008F7B15" w:rsidP="000F456D">
      <w:pPr>
        <w:spacing w:line="360" w:lineRule="auto"/>
        <w:rPr>
          <w:b/>
          <w:bCs/>
        </w:rPr>
      </w:pPr>
    </w:p>
    <w:p w14:paraId="34826CDF" w14:textId="77777777" w:rsidR="008F7B15" w:rsidRDefault="008F7B15" w:rsidP="000F456D">
      <w:pPr>
        <w:spacing w:line="360" w:lineRule="auto"/>
        <w:rPr>
          <w:rFonts w:ascii="Arial" w:hAnsi="Arial" w:cs="Arial"/>
          <w:b/>
          <w:bCs/>
          <w:u w:val="single"/>
        </w:rPr>
      </w:pPr>
    </w:p>
    <w:p w14:paraId="776D7D4B" w14:textId="7A0F3573" w:rsidR="00757134" w:rsidRPr="00757134" w:rsidRDefault="00757134" w:rsidP="000F456D">
      <w:pPr>
        <w:spacing w:line="360" w:lineRule="auto"/>
        <w:rPr>
          <w:rFonts w:ascii="Arial" w:hAnsi="Arial" w:cs="Arial"/>
          <w:b/>
          <w:bCs/>
          <w:u w:val="single"/>
        </w:rPr>
      </w:pPr>
      <w:r w:rsidRPr="00757134">
        <w:rPr>
          <w:rFonts w:ascii="Arial" w:hAnsi="Arial" w:cs="Arial"/>
          <w:b/>
          <w:bCs/>
          <w:u w:val="single"/>
        </w:rPr>
        <w:lastRenderedPageBreak/>
        <w:t>Executive Summary</w:t>
      </w:r>
    </w:p>
    <w:p w14:paraId="53F9ACDC" w14:textId="601F505C" w:rsidR="000F7A15" w:rsidRPr="000F7A15" w:rsidRDefault="000F7A15" w:rsidP="00E73875">
      <w:pPr>
        <w:spacing w:line="360" w:lineRule="auto"/>
        <w:jc w:val="both"/>
        <w:rPr>
          <w:rFonts w:ascii="Arial" w:hAnsi="Arial" w:cs="Arial"/>
        </w:rPr>
      </w:pPr>
      <w:r w:rsidRPr="000F7A15">
        <w:rPr>
          <w:rFonts w:ascii="Arial" w:hAnsi="Arial" w:cs="Arial"/>
        </w:rPr>
        <w:t>The Hilton 100th Anniversary Event is a global celebration that aims to honour Hilton's legacy of Equality, Diversity, and Inclusion (</w:t>
      </w:r>
      <w:r w:rsidR="00480909">
        <w:rPr>
          <w:rFonts w:ascii="Arial" w:hAnsi="Arial" w:cs="Arial"/>
        </w:rPr>
        <w:t>DEI</w:t>
      </w:r>
      <w:r w:rsidRPr="000F7A15">
        <w:rPr>
          <w:rFonts w:ascii="Arial" w:hAnsi="Arial" w:cs="Arial"/>
        </w:rPr>
        <w:t>) and promote conversation about future industry advancements. The Event Planning Cycle and the Event Management Body of Knowledge (EMBOK) framework are employed to strategically structure this large-scale event, which ensures its efficient execution in multiple locations.</w:t>
      </w:r>
    </w:p>
    <w:p w14:paraId="66BC383B" w14:textId="77777777" w:rsidR="00757134" w:rsidRPr="00757134" w:rsidRDefault="00757134" w:rsidP="00E73875">
      <w:pPr>
        <w:spacing w:line="360" w:lineRule="auto"/>
        <w:jc w:val="both"/>
        <w:rPr>
          <w:rFonts w:ascii="Arial" w:hAnsi="Arial" w:cs="Arial"/>
        </w:rPr>
      </w:pPr>
      <w:r w:rsidRPr="00757134">
        <w:rPr>
          <w:rFonts w:ascii="Arial" w:hAnsi="Arial" w:cs="Arial"/>
        </w:rPr>
        <w:t>The event is divided into three key phases:</w:t>
      </w:r>
    </w:p>
    <w:p w14:paraId="5DC6304F" w14:textId="39BE44ED" w:rsidR="00757134" w:rsidRPr="00757134" w:rsidRDefault="00757134" w:rsidP="000506C8">
      <w:pPr>
        <w:numPr>
          <w:ilvl w:val="0"/>
          <w:numId w:val="23"/>
        </w:numPr>
        <w:spacing w:line="360" w:lineRule="auto"/>
        <w:jc w:val="both"/>
        <w:rPr>
          <w:rFonts w:ascii="Arial" w:hAnsi="Arial" w:cs="Arial"/>
        </w:rPr>
      </w:pPr>
      <w:r w:rsidRPr="00757134">
        <w:rPr>
          <w:rFonts w:ascii="Arial" w:hAnsi="Arial" w:cs="Arial"/>
          <w:b/>
          <w:bCs/>
        </w:rPr>
        <w:t>Pre-Event Phase</w:t>
      </w:r>
      <w:r w:rsidR="00086BDA" w:rsidRPr="000F456D">
        <w:rPr>
          <w:rFonts w:ascii="Arial" w:hAnsi="Arial" w:cs="Arial"/>
          <w:b/>
          <w:bCs/>
        </w:rPr>
        <w:t xml:space="preserve"> →</w:t>
      </w:r>
      <w:r w:rsidRPr="00757134">
        <w:rPr>
          <w:rFonts w:ascii="Arial" w:hAnsi="Arial" w:cs="Arial"/>
        </w:rPr>
        <w:t xml:space="preserve"> Focuses on planning, stakeholder engagement, marketing, logistics, and securing sponsorships.</w:t>
      </w:r>
    </w:p>
    <w:p w14:paraId="173830BA" w14:textId="4F53B418" w:rsidR="00757134" w:rsidRPr="00757134" w:rsidRDefault="00757134" w:rsidP="000506C8">
      <w:pPr>
        <w:numPr>
          <w:ilvl w:val="0"/>
          <w:numId w:val="23"/>
        </w:numPr>
        <w:spacing w:line="360" w:lineRule="auto"/>
        <w:jc w:val="both"/>
        <w:rPr>
          <w:rFonts w:ascii="Arial" w:hAnsi="Arial" w:cs="Arial"/>
        </w:rPr>
      </w:pPr>
      <w:r w:rsidRPr="00757134">
        <w:rPr>
          <w:rFonts w:ascii="Arial" w:hAnsi="Arial" w:cs="Arial"/>
          <w:b/>
          <w:bCs/>
        </w:rPr>
        <w:t>Event Phase</w:t>
      </w:r>
      <w:r w:rsidR="00086BDA" w:rsidRPr="000F456D">
        <w:rPr>
          <w:rFonts w:ascii="Arial" w:hAnsi="Arial" w:cs="Arial"/>
          <w:b/>
          <w:bCs/>
        </w:rPr>
        <w:t xml:space="preserve"> →</w:t>
      </w:r>
      <w:r w:rsidRPr="00757134">
        <w:rPr>
          <w:rFonts w:ascii="Arial" w:hAnsi="Arial" w:cs="Arial"/>
        </w:rPr>
        <w:t xml:space="preserve"> Features keynote speeches, panel discussions, cultural performances, and hybrid participation.</w:t>
      </w:r>
    </w:p>
    <w:p w14:paraId="61B203DE" w14:textId="0A36F8AD" w:rsidR="00757134" w:rsidRPr="00757134" w:rsidRDefault="00757134" w:rsidP="000506C8">
      <w:pPr>
        <w:numPr>
          <w:ilvl w:val="0"/>
          <w:numId w:val="23"/>
        </w:numPr>
        <w:spacing w:line="360" w:lineRule="auto"/>
        <w:jc w:val="both"/>
        <w:rPr>
          <w:rFonts w:ascii="Arial" w:hAnsi="Arial" w:cs="Arial"/>
        </w:rPr>
      </w:pPr>
      <w:r w:rsidRPr="00757134">
        <w:rPr>
          <w:rFonts w:ascii="Arial" w:hAnsi="Arial" w:cs="Arial"/>
          <w:b/>
          <w:bCs/>
        </w:rPr>
        <w:t>Post-Event Phase</w:t>
      </w:r>
      <w:r w:rsidR="00086BDA" w:rsidRPr="000F456D">
        <w:rPr>
          <w:rFonts w:ascii="Arial" w:hAnsi="Arial" w:cs="Arial"/>
          <w:b/>
          <w:bCs/>
        </w:rPr>
        <w:t xml:space="preserve"> →</w:t>
      </w:r>
      <w:r w:rsidRPr="00757134">
        <w:rPr>
          <w:rFonts w:ascii="Arial" w:hAnsi="Arial" w:cs="Arial"/>
        </w:rPr>
        <w:t xml:space="preserve"> Measures impact, fosters long-term partnerships and sustains Hilton’s </w:t>
      </w:r>
      <w:r w:rsidR="00480909">
        <w:rPr>
          <w:rFonts w:ascii="Arial" w:hAnsi="Arial" w:cs="Arial"/>
        </w:rPr>
        <w:t>DEI</w:t>
      </w:r>
      <w:r w:rsidRPr="00757134">
        <w:rPr>
          <w:rFonts w:ascii="Arial" w:hAnsi="Arial" w:cs="Arial"/>
        </w:rPr>
        <w:t xml:space="preserve"> initiatives beyond the event.</w:t>
      </w:r>
    </w:p>
    <w:p w14:paraId="50891BDF" w14:textId="645F801C" w:rsidR="002B70C6" w:rsidRPr="000F456D" w:rsidRDefault="002B70C6" w:rsidP="00E73875">
      <w:pPr>
        <w:spacing w:line="360" w:lineRule="auto"/>
        <w:jc w:val="both"/>
        <w:rPr>
          <w:rFonts w:ascii="Arial" w:hAnsi="Arial" w:cs="Arial"/>
        </w:rPr>
      </w:pPr>
      <w:r w:rsidRPr="000F456D">
        <w:rPr>
          <w:rFonts w:ascii="Arial" w:hAnsi="Arial" w:cs="Arial"/>
        </w:rPr>
        <w:t xml:space="preserve">A well-curated attendee experience includes an itinerary </w:t>
      </w:r>
      <w:r w:rsidR="00E81B8C">
        <w:rPr>
          <w:rFonts w:ascii="Arial" w:hAnsi="Arial" w:cs="Arial"/>
        </w:rPr>
        <w:t>of keynote addresses, interactive exhibits, panel discussions, artistic performances,</w:t>
      </w:r>
      <w:r w:rsidRPr="000F456D">
        <w:rPr>
          <w:rFonts w:ascii="Arial" w:hAnsi="Arial" w:cs="Arial"/>
        </w:rPr>
        <w:t xml:space="preserve"> education, networking, and cultural appreciation. The event's financial strategy reinforces sustainability, with sponsorships, ticket sales, and merchandise as </w:t>
      </w:r>
      <w:r w:rsidR="00E81B8C">
        <w:rPr>
          <w:rFonts w:ascii="Arial" w:hAnsi="Arial" w:cs="Arial"/>
        </w:rPr>
        <w:t>funding sources</w:t>
      </w:r>
      <w:r w:rsidRPr="000F456D">
        <w:rPr>
          <w:rFonts w:ascii="Arial" w:hAnsi="Arial" w:cs="Arial"/>
        </w:rPr>
        <w:t>.</w:t>
      </w:r>
    </w:p>
    <w:p w14:paraId="36FF2469" w14:textId="54C084B8" w:rsidR="002B70C6" w:rsidRPr="000F456D" w:rsidRDefault="002B70C6" w:rsidP="00E73875">
      <w:pPr>
        <w:spacing w:line="360" w:lineRule="auto"/>
        <w:jc w:val="both"/>
        <w:rPr>
          <w:rFonts w:ascii="Arial" w:hAnsi="Arial" w:cs="Arial"/>
        </w:rPr>
      </w:pPr>
      <w:r w:rsidRPr="000F456D">
        <w:rPr>
          <w:rFonts w:ascii="Arial" w:hAnsi="Arial" w:cs="Arial"/>
        </w:rPr>
        <w:t xml:space="preserve">The event's execution is influenced by industry trends, including AI-driven networking, sustainable practices, and hybrid event models, which guarantee </w:t>
      </w:r>
      <w:r w:rsidR="00576A56">
        <w:rPr>
          <w:rFonts w:ascii="Arial" w:hAnsi="Arial" w:cs="Arial"/>
        </w:rPr>
        <w:t xml:space="preserve">that </w:t>
      </w:r>
      <w:r w:rsidRPr="000F456D">
        <w:rPr>
          <w:rFonts w:ascii="Arial" w:hAnsi="Arial" w:cs="Arial"/>
        </w:rPr>
        <w:t>modern engagement strategies are implemented. A situational analysis (SWOT, PESTEL, and SOAR) underlines Hilton's strengths, risks, and opportunities in staging a globally inclusive and impactful event.</w:t>
      </w:r>
    </w:p>
    <w:p w14:paraId="3F5A8DD2" w14:textId="1E385CA5" w:rsidR="008267B3" w:rsidRPr="000F456D" w:rsidRDefault="002B70C6" w:rsidP="00E73875">
      <w:pPr>
        <w:spacing w:line="360" w:lineRule="auto"/>
        <w:jc w:val="both"/>
        <w:rPr>
          <w:rFonts w:ascii="Arial" w:hAnsi="Arial" w:cs="Arial"/>
        </w:rPr>
      </w:pPr>
      <w:r w:rsidRPr="000F456D">
        <w:rPr>
          <w:rFonts w:ascii="Arial" w:hAnsi="Arial" w:cs="Arial"/>
        </w:rPr>
        <w:t xml:space="preserve">Hilton's centenary celebration </w:t>
      </w:r>
      <w:r w:rsidR="00E81B8C">
        <w:rPr>
          <w:rFonts w:ascii="Arial" w:hAnsi="Arial" w:cs="Arial"/>
        </w:rPr>
        <w:t>is</w:t>
      </w:r>
      <w:r w:rsidRPr="000F456D">
        <w:rPr>
          <w:rFonts w:ascii="Arial" w:hAnsi="Arial" w:cs="Arial"/>
        </w:rPr>
        <w:t xml:space="preserve"> a commemorative milestone and a launchpad for future </w:t>
      </w:r>
      <w:r w:rsidR="00480909">
        <w:rPr>
          <w:rFonts w:ascii="Arial" w:hAnsi="Arial" w:cs="Arial"/>
        </w:rPr>
        <w:t>DEI</w:t>
      </w:r>
      <w:r w:rsidRPr="000F456D">
        <w:rPr>
          <w:rFonts w:ascii="Arial" w:hAnsi="Arial" w:cs="Arial"/>
        </w:rPr>
        <w:t xml:space="preserve"> initiatives by utilising innovative event management practices, strategic marketing, and digital interactivity, reinforcing the company's leadership in inclusive hospitality.</w:t>
      </w:r>
    </w:p>
    <w:p w14:paraId="56840573" w14:textId="7A3B6BE8" w:rsidR="008267B3" w:rsidRPr="005357F3" w:rsidRDefault="008267B3" w:rsidP="00BC1A82">
      <w:pPr>
        <w:pStyle w:val="ListParagraph"/>
        <w:ind w:left="3600"/>
        <w:rPr>
          <w:b/>
          <w:bCs/>
          <w:u w:val="single"/>
        </w:rPr>
      </w:pPr>
      <w:r w:rsidRPr="005357F3">
        <w:rPr>
          <w:b/>
          <w:bCs/>
          <w:u w:val="single"/>
        </w:rPr>
        <w:br w:type="page"/>
      </w:r>
    </w:p>
    <w:p w14:paraId="3E6938C1" w14:textId="77777777" w:rsidR="008267B3" w:rsidRPr="008267B3" w:rsidRDefault="008267B3" w:rsidP="008267B3">
      <w:pPr>
        <w:rPr>
          <w:rFonts w:ascii="Arial" w:hAnsi="Arial" w:cs="Arial"/>
          <w:b/>
          <w:bCs/>
          <w:u w:val="single"/>
        </w:rPr>
      </w:pPr>
      <w:r w:rsidRPr="008267B3">
        <w:rPr>
          <w:rFonts w:ascii="Arial" w:hAnsi="Arial" w:cs="Arial"/>
          <w:b/>
          <w:bCs/>
          <w:u w:val="single"/>
        </w:rPr>
        <w:lastRenderedPageBreak/>
        <w:t>Table of Contents</w:t>
      </w:r>
    </w:p>
    <w:p w14:paraId="65B30C31" w14:textId="77777777" w:rsidR="008267B3" w:rsidRPr="008267B3" w:rsidRDefault="008267B3" w:rsidP="000506C8">
      <w:pPr>
        <w:numPr>
          <w:ilvl w:val="0"/>
          <w:numId w:val="21"/>
        </w:numPr>
        <w:rPr>
          <w:rFonts w:ascii="Arial" w:hAnsi="Arial" w:cs="Arial"/>
        </w:rPr>
      </w:pPr>
      <w:r w:rsidRPr="008267B3">
        <w:rPr>
          <w:rFonts w:ascii="Arial" w:hAnsi="Arial" w:cs="Arial"/>
        </w:rPr>
        <w:t>Executive Summary</w:t>
      </w:r>
    </w:p>
    <w:p w14:paraId="20E7A9F7" w14:textId="77777777" w:rsidR="008267B3" w:rsidRPr="008267B3" w:rsidRDefault="008267B3" w:rsidP="000506C8">
      <w:pPr>
        <w:numPr>
          <w:ilvl w:val="0"/>
          <w:numId w:val="21"/>
        </w:numPr>
        <w:rPr>
          <w:rFonts w:ascii="Arial" w:hAnsi="Arial" w:cs="Arial"/>
        </w:rPr>
      </w:pPr>
      <w:r w:rsidRPr="008267B3">
        <w:rPr>
          <w:rFonts w:ascii="Arial" w:hAnsi="Arial" w:cs="Arial"/>
        </w:rPr>
        <w:t>Introduction</w:t>
      </w:r>
    </w:p>
    <w:p w14:paraId="72702D5D" w14:textId="1236C3CC" w:rsidR="008267B3" w:rsidRPr="008267B3" w:rsidRDefault="008267B3" w:rsidP="000506C8">
      <w:pPr>
        <w:numPr>
          <w:ilvl w:val="0"/>
          <w:numId w:val="21"/>
        </w:numPr>
        <w:rPr>
          <w:rFonts w:ascii="Arial" w:hAnsi="Arial" w:cs="Arial"/>
        </w:rPr>
      </w:pPr>
      <w:r w:rsidRPr="008267B3">
        <w:rPr>
          <w:rFonts w:ascii="Arial" w:hAnsi="Arial" w:cs="Arial"/>
        </w:rPr>
        <w:t xml:space="preserve">The Event Cycle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EMBOK</w:t>
      </w:r>
      <w:proofErr w:type="gramEnd"/>
      <w:r w:rsidRPr="008267B3">
        <w:rPr>
          <w:rFonts w:ascii="Arial" w:hAnsi="Arial" w:cs="Arial"/>
        </w:rPr>
        <w:t xml:space="preserve"> Framework Application</w:t>
      </w:r>
    </w:p>
    <w:p w14:paraId="5489314F" w14:textId="5418D476" w:rsidR="008267B3" w:rsidRPr="008267B3" w:rsidRDefault="008267B3" w:rsidP="000506C8">
      <w:pPr>
        <w:numPr>
          <w:ilvl w:val="1"/>
          <w:numId w:val="21"/>
        </w:numPr>
        <w:rPr>
          <w:rFonts w:ascii="Arial" w:hAnsi="Arial" w:cs="Arial"/>
        </w:rPr>
      </w:pPr>
      <w:r w:rsidRPr="008267B3">
        <w:rPr>
          <w:rFonts w:ascii="Arial" w:hAnsi="Arial" w:cs="Arial"/>
        </w:rPr>
        <w:t xml:space="preserve">Pre-Event Phase – Planning </w:t>
      </w:r>
      <w:r w:rsidR="00BC36EF" w:rsidRPr="00E73875">
        <w:rPr>
          <w:rFonts w:ascii="Arial" w:hAnsi="Arial" w:cs="Arial"/>
        </w:rPr>
        <w:t>and</w:t>
      </w:r>
      <w:r w:rsidRPr="008267B3">
        <w:rPr>
          <w:rFonts w:ascii="Arial" w:hAnsi="Arial" w:cs="Arial"/>
        </w:rPr>
        <w:t xml:space="preserve"> Coordination</w:t>
      </w:r>
    </w:p>
    <w:p w14:paraId="2E358C86" w14:textId="25A26CDF" w:rsidR="008267B3" w:rsidRPr="008267B3" w:rsidRDefault="008267B3" w:rsidP="000506C8">
      <w:pPr>
        <w:numPr>
          <w:ilvl w:val="1"/>
          <w:numId w:val="21"/>
        </w:numPr>
        <w:rPr>
          <w:rFonts w:ascii="Arial" w:hAnsi="Arial" w:cs="Arial"/>
        </w:rPr>
      </w:pPr>
      <w:r w:rsidRPr="008267B3">
        <w:rPr>
          <w:rFonts w:ascii="Arial" w:hAnsi="Arial" w:cs="Arial"/>
        </w:rPr>
        <w:t xml:space="preserve">Event Phase – Execution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Engagement</w:t>
      </w:r>
      <w:proofErr w:type="gramEnd"/>
    </w:p>
    <w:p w14:paraId="575CCEF0" w14:textId="3E78DBB2" w:rsidR="008267B3" w:rsidRPr="008267B3" w:rsidRDefault="008267B3" w:rsidP="000506C8">
      <w:pPr>
        <w:numPr>
          <w:ilvl w:val="1"/>
          <w:numId w:val="21"/>
        </w:numPr>
        <w:rPr>
          <w:rFonts w:ascii="Arial" w:hAnsi="Arial" w:cs="Arial"/>
        </w:rPr>
      </w:pPr>
      <w:r w:rsidRPr="008267B3">
        <w:rPr>
          <w:rFonts w:ascii="Arial" w:hAnsi="Arial" w:cs="Arial"/>
        </w:rPr>
        <w:t xml:space="preserve">Post-Event Phase – Evaluation </w:t>
      </w:r>
      <w:r w:rsidR="00554CC2">
        <w:rPr>
          <w:rFonts w:ascii="Arial" w:hAnsi="Arial" w:cs="Arial"/>
        </w:rPr>
        <w:t>and</w:t>
      </w:r>
      <w:r w:rsidRPr="008267B3">
        <w:rPr>
          <w:rFonts w:ascii="Arial" w:hAnsi="Arial" w:cs="Arial"/>
        </w:rPr>
        <w:t xml:space="preserve"> Legacy</w:t>
      </w:r>
    </w:p>
    <w:p w14:paraId="1E7BBA5C" w14:textId="77777777" w:rsidR="008267B3" w:rsidRPr="008267B3" w:rsidRDefault="008267B3" w:rsidP="000506C8">
      <w:pPr>
        <w:numPr>
          <w:ilvl w:val="0"/>
          <w:numId w:val="21"/>
        </w:numPr>
        <w:rPr>
          <w:rFonts w:ascii="Arial" w:hAnsi="Arial" w:cs="Arial"/>
        </w:rPr>
      </w:pPr>
      <w:r w:rsidRPr="008267B3">
        <w:rPr>
          <w:rFonts w:ascii="Arial" w:hAnsi="Arial" w:cs="Arial"/>
        </w:rPr>
        <w:t>Event Concept – Attendee Experience</w:t>
      </w:r>
    </w:p>
    <w:p w14:paraId="0BA927DA" w14:textId="77777777" w:rsidR="008267B3" w:rsidRPr="008267B3" w:rsidRDefault="008267B3" w:rsidP="000506C8">
      <w:pPr>
        <w:numPr>
          <w:ilvl w:val="1"/>
          <w:numId w:val="21"/>
        </w:numPr>
        <w:rPr>
          <w:rFonts w:ascii="Arial" w:hAnsi="Arial" w:cs="Arial"/>
        </w:rPr>
      </w:pPr>
      <w:r w:rsidRPr="008267B3">
        <w:rPr>
          <w:rFonts w:ascii="Arial" w:hAnsi="Arial" w:cs="Arial"/>
        </w:rPr>
        <w:t>Full Itinerary</w:t>
      </w:r>
    </w:p>
    <w:p w14:paraId="736A9428" w14:textId="77777777" w:rsidR="008267B3" w:rsidRPr="008267B3" w:rsidRDefault="008267B3" w:rsidP="000506C8">
      <w:pPr>
        <w:numPr>
          <w:ilvl w:val="0"/>
          <w:numId w:val="21"/>
        </w:numPr>
        <w:rPr>
          <w:rFonts w:ascii="Arial" w:hAnsi="Arial" w:cs="Arial"/>
        </w:rPr>
      </w:pPr>
      <w:r w:rsidRPr="008267B3">
        <w:rPr>
          <w:rFonts w:ascii="Arial" w:hAnsi="Arial" w:cs="Arial"/>
        </w:rPr>
        <w:t>Aim and Objectives</w:t>
      </w:r>
    </w:p>
    <w:p w14:paraId="5AC2CB0D" w14:textId="783C5F15" w:rsidR="008267B3" w:rsidRPr="008267B3" w:rsidRDefault="008267B3" w:rsidP="000506C8">
      <w:pPr>
        <w:numPr>
          <w:ilvl w:val="0"/>
          <w:numId w:val="21"/>
        </w:numPr>
        <w:rPr>
          <w:rFonts w:ascii="Arial" w:hAnsi="Arial" w:cs="Arial"/>
        </w:rPr>
      </w:pPr>
      <w:r w:rsidRPr="008267B3">
        <w:rPr>
          <w:rFonts w:ascii="Arial" w:hAnsi="Arial" w:cs="Arial"/>
        </w:rPr>
        <w:t xml:space="preserve">Event Management – Skills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Resources</w:t>
      </w:r>
      <w:proofErr w:type="gramEnd"/>
    </w:p>
    <w:p w14:paraId="7DF489C3" w14:textId="77777777" w:rsidR="008267B3" w:rsidRPr="008267B3" w:rsidRDefault="008267B3" w:rsidP="000506C8">
      <w:pPr>
        <w:numPr>
          <w:ilvl w:val="1"/>
          <w:numId w:val="21"/>
        </w:numPr>
        <w:rPr>
          <w:rFonts w:ascii="Arial" w:hAnsi="Arial" w:cs="Arial"/>
        </w:rPr>
      </w:pPr>
      <w:r w:rsidRPr="008267B3">
        <w:rPr>
          <w:rFonts w:ascii="Arial" w:hAnsi="Arial" w:cs="Arial"/>
        </w:rPr>
        <w:t>Operational Management</w:t>
      </w:r>
    </w:p>
    <w:p w14:paraId="2955E817" w14:textId="60079E50" w:rsidR="008267B3" w:rsidRPr="008267B3" w:rsidRDefault="008267B3" w:rsidP="000506C8">
      <w:pPr>
        <w:numPr>
          <w:ilvl w:val="1"/>
          <w:numId w:val="21"/>
        </w:numPr>
        <w:rPr>
          <w:rFonts w:ascii="Arial" w:hAnsi="Arial" w:cs="Arial"/>
        </w:rPr>
      </w:pPr>
      <w:r w:rsidRPr="008267B3">
        <w:rPr>
          <w:rFonts w:ascii="Arial" w:hAnsi="Arial" w:cs="Arial"/>
        </w:rPr>
        <w:t xml:space="preserve">Planning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Strategy</w:t>
      </w:r>
      <w:proofErr w:type="gramEnd"/>
    </w:p>
    <w:p w14:paraId="5FB583B5" w14:textId="58911DC6" w:rsidR="008267B3" w:rsidRPr="008267B3" w:rsidRDefault="008267B3" w:rsidP="000506C8">
      <w:pPr>
        <w:numPr>
          <w:ilvl w:val="1"/>
          <w:numId w:val="21"/>
        </w:numPr>
        <w:rPr>
          <w:rFonts w:ascii="Arial" w:hAnsi="Arial" w:cs="Arial"/>
        </w:rPr>
      </w:pPr>
      <w:r w:rsidRPr="008267B3">
        <w:rPr>
          <w:rFonts w:ascii="Arial" w:hAnsi="Arial" w:cs="Arial"/>
        </w:rPr>
        <w:t xml:space="preserve">Marketing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Outreach</w:t>
      </w:r>
      <w:proofErr w:type="gramEnd"/>
    </w:p>
    <w:p w14:paraId="518AB049" w14:textId="7D0B8BB5" w:rsidR="008267B3" w:rsidRPr="008267B3" w:rsidRDefault="008267B3" w:rsidP="000506C8">
      <w:pPr>
        <w:numPr>
          <w:ilvl w:val="1"/>
          <w:numId w:val="21"/>
        </w:numPr>
        <w:rPr>
          <w:rFonts w:ascii="Arial" w:hAnsi="Arial" w:cs="Arial"/>
        </w:rPr>
      </w:pPr>
      <w:r w:rsidRPr="008267B3">
        <w:rPr>
          <w:rFonts w:ascii="Arial" w:hAnsi="Arial" w:cs="Arial"/>
        </w:rPr>
        <w:t xml:space="preserve">Technology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Digital</w:t>
      </w:r>
      <w:proofErr w:type="gramEnd"/>
      <w:r w:rsidRPr="008267B3">
        <w:rPr>
          <w:rFonts w:ascii="Arial" w:hAnsi="Arial" w:cs="Arial"/>
        </w:rPr>
        <w:t xml:space="preserve"> Infrastructure</w:t>
      </w:r>
    </w:p>
    <w:p w14:paraId="5099D22F" w14:textId="77777777" w:rsidR="008267B3" w:rsidRPr="008267B3" w:rsidRDefault="008267B3" w:rsidP="000506C8">
      <w:pPr>
        <w:numPr>
          <w:ilvl w:val="0"/>
          <w:numId w:val="21"/>
        </w:numPr>
        <w:rPr>
          <w:rFonts w:ascii="Arial" w:hAnsi="Arial" w:cs="Arial"/>
        </w:rPr>
      </w:pPr>
      <w:r w:rsidRPr="008267B3">
        <w:rPr>
          <w:rFonts w:ascii="Arial" w:hAnsi="Arial" w:cs="Arial"/>
        </w:rPr>
        <w:t>Event Budget – Financial Analysis</w:t>
      </w:r>
    </w:p>
    <w:p w14:paraId="382143F8" w14:textId="64A79E31" w:rsidR="008267B3" w:rsidRPr="008267B3" w:rsidRDefault="008267B3" w:rsidP="000506C8">
      <w:pPr>
        <w:numPr>
          <w:ilvl w:val="0"/>
          <w:numId w:val="21"/>
        </w:numPr>
        <w:rPr>
          <w:rFonts w:ascii="Arial" w:hAnsi="Arial" w:cs="Arial"/>
        </w:rPr>
      </w:pPr>
      <w:r w:rsidRPr="008267B3">
        <w:rPr>
          <w:rFonts w:ascii="Arial" w:hAnsi="Arial" w:cs="Arial"/>
        </w:rPr>
        <w:t xml:space="preserve">Industry Trends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Impacts</w:t>
      </w:r>
      <w:proofErr w:type="gramEnd"/>
    </w:p>
    <w:p w14:paraId="6F395456" w14:textId="145A236E" w:rsidR="008267B3" w:rsidRPr="008267B3" w:rsidRDefault="008267B3" w:rsidP="000506C8">
      <w:pPr>
        <w:numPr>
          <w:ilvl w:val="0"/>
          <w:numId w:val="21"/>
        </w:numPr>
        <w:rPr>
          <w:rFonts w:ascii="Arial" w:hAnsi="Arial" w:cs="Arial"/>
        </w:rPr>
      </w:pPr>
      <w:r w:rsidRPr="008267B3">
        <w:rPr>
          <w:rFonts w:ascii="Arial" w:hAnsi="Arial" w:cs="Arial"/>
        </w:rPr>
        <w:t xml:space="preserve">Situational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Cultural</w:t>
      </w:r>
      <w:proofErr w:type="gramEnd"/>
      <w:r w:rsidRPr="008267B3">
        <w:rPr>
          <w:rFonts w:ascii="Arial" w:hAnsi="Arial" w:cs="Arial"/>
        </w:rPr>
        <w:t xml:space="preserve"> Considerations</w:t>
      </w:r>
    </w:p>
    <w:p w14:paraId="05655FE1" w14:textId="77777777" w:rsidR="008267B3" w:rsidRPr="008267B3" w:rsidRDefault="008267B3" w:rsidP="000506C8">
      <w:pPr>
        <w:numPr>
          <w:ilvl w:val="1"/>
          <w:numId w:val="21"/>
        </w:numPr>
        <w:rPr>
          <w:rFonts w:ascii="Arial" w:hAnsi="Arial" w:cs="Arial"/>
        </w:rPr>
      </w:pPr>
      <w:r w:rsidRPr="008267B3">
        <w:rPr>
          <w:rFonts w:ascii="Arial" w:hAnsi="Arial" w:cs="Arial"/>
        </w:rPr>
        <w:t>SWOT Analysis</w:t>
      </w:r>
    </w:p>
    <w:p w14:paraId="1D1BFF4D" w14:textId="77777777" w:rsidR="008267B3" w:rsidRPr="008267B3" w:rsidRDefault="008267B3" w:rsidP="000506C8">
      <w:pPr>
        <w:numPr>
          <w:ilvl w:val="0"/>
          <w:numId w:val="21"/>
        </w:numPr>
        <w:rPr>
          <w:rFonts w:ascii="Arial" w:hAnsi="Arial" w:cs="Arial"/>
        </w:rPr>
      </w:pPr>
      <w:r w:rsidRPr="008267B3">
        <w:rPr>
          <w:rFonts w:ascii="Arial" w:hAnsi="Arial" w:cs="Arial"/>
        </w:rPr>
        <w:t>Conclusion</w:t>
      </w:r>
    </w:p>
    <w:p w14:paraId="561DE82A" w14:textId="77777777" w:rsidR="008267B3" w:rsidRPr="008267B3" w:rsidRDefault="008267B3" w:rsidP="000506C8">
      <w:pPr>
        <w:numPr>
          <w:ilvl w:val="0"/>
          <w:numId w:val="21"/>
        </w:numPr>
        <w:rPr>
          <w:rFonts w:ascii="Arial" w:hAnsi="Arial" w:cs="Arial"/>
        </w:rPr>
      </w:pPr>
      <w:r w:rsidRPr="008267B3">
        <w:rPr>
          <w:rFonts w:ascii="Arial" w:hAnsi="Arial" w:cs="Arial"/>
        </w:rPr>
        <w:t>References</w:t>
      </w:r>
    </w:p>
    <w:p w14:paraId="54608021" w14:textId="77777777" w:rsidR="008267B3" w:rsidRPr="008267B3" w:rsidRDefault="008267B3" w:rsidP="000506C8">
      <w:pPr>
        <w:numPr>
          <w:ilvl w:val="0"/>
          <w:numId w:val="21"/>
        </w:numPr>
        <w:rPr>
          <w:rFonts w:ascii="Arial" w:hAnsi="Arial" w:cs="Arial"/>
        </w:rPr>
      </w:pPr>
      <w:r w:rsidRPr="008267B3">
        <w:rPr>
          <w:rFonts w:ascii="Arial" w:hAnsi="Arial" w:cs="Arial"/>
        </w:rPr>
        <w:t>Appendices</w:t>
      </w:r>
    </w:p>
    <w:p w14:paraId="152048E8" w14:textId="519D7EC7" w:rsidR="008267B3" w:rsidRPr="008267B3" w:rsidRDefault="008267B3" w:rsidP="000506C8">
      <w:pPr>
        <w:numPr>
          <w:ilvl w:val="0"/>
          <w:numId w:val="22"/>
        </w:numPr>
        <w:rPr>
          <w:rFonts w:ascii="Arial" w:hAnsi="Arial" w:cs="Arial"/>
        </w:rPr>
      </w:pPr>
      <w:r w:rsidRPr="008267B3">
        <w:rPr>
          <w:rFonts w:ascii="Arial" w:hAnsi="Arial" w:cs="Arial"/>
        </w:rPr>
        <w:t>PESTEL Analysis</w:t>
      </w:r>
      <w:r w:rsidR="00605897">
        <w:rPr>
          <w:rFonts w:ascii="Arial" w:hAnsi="Arial" w:cs="Arial"/>
        </w:rPr>
        <w:t xml:space="preserve"> </w:t>
      </w:r>
    </w:p>
    <w:p w14:paraId="1299BABC" w14:textId="77777777" w:rsidR="008267B3" w:rsidRPr="008267B3" w:rsidRDefault="008267B3" w:rsidP="000506C8">
      <w:pPr>
        <w:numPr>
          <w:ilvl w:val="0"/>
          <w:numId w:val="22"/>
        </w:numPr>
        <w:rPr>
          <w:rFonts w:ascii="Arial" w:hAnsi="Arial" w:cs="Arial"/>
        </w:rPr>
      </w:pPr>
      <w:r w:rsidRPr="008267B3">
        <w:rPr>
          <w:rFonts w:ascii="Arial" w:hAnsi="Arial" w:cs="Arial"/>
        </w:rPr>
        <w:t>SOAR Analysis</w:t>
      </w:r>
    </w:p>
    <w:p w14:paraId="2E9D7898" w14:textId="22B82D9C" w:rsidR="008267B3" w:rsidRPr="008267B3" w:rsidRDefault="008267B3" w:rsidP="000506C8">
      <w:pPr>
        <w:numPr>
          <w:ilvl w:val="0"/>
          <w:numId w:val="22"/>
        </w:numPr>
        <w:rPr>
          <w:rFonts w:ascii="Arial" w:hAnsi="Arial" w:cs="Arial"/>
        </w:rPr>
      </w:pPr>
      <w:r w:rsidRPr="008267B3">
        <w:rPr>
          <w:rFonts w:ascii="Arial" w:hAnsi="Arial" w:cs="Arial"/>
        </w:rPr>
        <w:t xml:space="preserve">Cultural Sensitivity </w:t>
      </w:r>
      <w:proofErr w:type="gramStart"/>
      <w:r w:rsidR="00BC36EF" w:rsidRPr="00E73875">
        <w:rPr>
          <w:rFonts w:ascii="Arial" w:hAnsi="Arial" w:cs="Arial"/>
        </w:rPr>
        <w:t>and</w:t>
      </w:r>
      <w:r w:rsidR="00BC36EF" w:rsidRPr="008267B3">
        <w:rPr>
          <w:rFonts w:ascii="Arial" w:hAnsi="Arial" w:cs="Arial"/>
        </w:rPr>
        <w:t xml:space="preserve"> </w:t>
      </w:r>
      <w:r w:rsidRPr="008267B3">
        <w:rPr>
          <w:rFonts w:ascii="Arial" w:hAnsi="Arial" w:cs="Arial"/>
        </w:rPr>
        <w:t xml:space="preserve"> Multiculturalism</w:t>
      </w:r>
      <w:proofErr w:type="gramEnd"/>
    </w:p>
    <w:p w14:paraId="6A281ED5" w14:textId="47BD2284" w:rsidR="008267B3" w:rsidRPr="008267B3" w:rsidRDefault="008267B3" w:rsidP="000506C8">
      <w:pPr>
        <w:numPr>
          <w:ilvl w:val="0"/>
          <w:numId w:val="22"/>
        </w:numPr>
        <w:rPr>
          <w:rFonts w:ascii="Arial" w:hAnsi="Arial" w:cs="Arial"/>
        </w:rPr>
      </w:pPr>
      <w:r w:rsidRPr="008267B3">
        <w:rPr>
          <w:rFonts w:ascii="Arial" w:hAnsi="Arial" w:cs="Arial"/>
        </w:rPr>
        <w:t>Experience Economy</w:t>
      </w:r>
      <w:r w:rsidR="00BC36EF" w:rsidRPr="00E73875">
        <w:rPr>
          <w:rFonts w:ascii="Arial" w:hAnsi="Arial" w:cs="Arial"/>
        </w:rPr>
        <w:t xml:space="preserve"> and</w:t>
      </w:r>
      <w:r w:rsidR="00BC36EF" w:rsidRPr="008267B3">
        <w:rPr>
          <w:rFonts w:ascii="Arial" w:hAnsi="Arial" w:cs="Arial"/>
        </w:rPr>
        <w:t xml:space="preserve"> </w:t>
      </w:r>
      <w:r w:rsidRPr="008267B3">
        <w:rPr>
          <w:rFonts w:ascii="Arial" w:hAnsi="Arial" w:cs="Arial"/>
        </w:rPr>
        <w:t>Engagement Models</w:t>
      </w:r>
    </w:p>
    <w:p w14:paraId="0BDF74B4" w14:textId="77777777" w:rsidR="008267B3" w:rsidRDefault="008267B3" w:rsidP="005D0FE3">
      <w:pPr>
        <w:rPr>
          <w:b/>
          <w:bCs/>
          <w:u w:val="single"/>
        </w:rPr>
      </w:pPr>
    </w:p>
    <w:p w14:paraId="3515B0B9" w14:textId="77777777" w:rsidR="008267B3" w:rsidRDefault="008267B3">
      <w:pPr>
        <w:rPr>
          <w:b/>
          <w:bCs/>
          <w:u w:val="single"/>
        </w:rPr>
      </w:pPr>
      <w:r>
        <w:rPr>
          <w:b/>
          <w:bCs/>
          <w:u w:val="single"/>
        </w:rPr>
        <w:br w:type="page"/>
      </w:r>
    </w:p>
    <w:p w14:paraId="675AC7C0" w14:textId="28E6589B" w:rsidR="008E54A9" w:rsidRPr="001B2B8B" w:rsidRDefault="001B2B8B" w:rsidP="008E54A9">
      <w:pPr>
        <w:spacing w:line="360" w:lineRule="auto"/>
        <w:jc w:val="both"/>
        <w:rPr>
          <w:rFonts w:ascii="Arial" w:hAnsi="Arial" w:cs="Arial"/>
          <w:b/>
          <w:bCs/>
          <w:u w:val="single"/>
        </w:rPr>
      </w:pPr>
      <w:r w:rsidRPr="001B2B8B">
        <w:rPr>
          <w:rFonts w:ascii="Arial" w:hAnsi="Arial" w:cs="Arial"/>
          <w:b/>
          <w:bCs/>
          <w:u w:val="single"/>
        </w:rPr>
        <w:lastRenderedPageBreak/>
        <w:t>Introduction</w:t>
      </w:r>
    </w:p>
    <w:p w14:paraId="25C51D32" w14:textId="4A8B6B36" w:rsidR="001B2B8B" w:rsidRDefault="008E54A9" w:rsidP="00E73875">
      <w:pPr>
        <w:spacing w:line="360" w:lineRule="auto"/>
        <w:jc w:val="both"/>
        <w:rPr>
          <w:rFonts w:ascii="Arial" w:hAnsi="Arial" w:cs="Arial"/>
        </w:rPr>
      </w:pPr>
      <w:r w:rsidRPr="008E54A9">
        <w:rPr>
          <w:rFonts w:ascii="Arial" w:hAnsi="Arial" w:cs="Arial"/>
        </w:rPr>
        <w:t>The 100th Anniversary Event of Hilton is a celebration of the company's legacy of Equality, Diversity, and Inclusion (</w:t>
      </w:r>
      <w:r w:rsidR="00480909">
        <w:rPr>
          <w:rFonts w:ascii="Arial" w:hAnsi="Arial" w:cs="Arial"/>
        </w:rPr>
        <w:t>DEI</w:t>
      </w:r>
      <w:r w:rsidRPr="008E54A9">
        <w:rPr>
          <w:rFonts w:ascii="Arial" w:hAnsi="Arial" w:cs="Arial"/>
        </w:rPr>
        <w:t xml:space="preserve">) and a platform for discussing the future of inclusive hospitality. The event is a platform for meaningful dialogue and long-term </w:t>
      </w:r>
      <w:r w:rsidR="00480909">
        <w:rPr>
          <w:rFonts w:ascii="Arial" w:hAnsi="Arial" w:cs="Arial"/>
        </w:rPr>
        <w:t>DEI</w:t>
      </w:r>
      <w:r w:rsidRPr="008E54A9">
        <w:rPr>
          <w:rFonts w:ascii="Arial" w:hAnsi="Arial" w:cs="Arial"/>
        </w:rPr>
        <w:t xml:space="preserve"> initiatives, bringing together industry leaders, activists, and the public.</w:t>
      </w:r>
    </w:p>
    <w:p w14:paraId="143ACFB1" w14:textId="7B66F2A9" w:rsidR="001B2B8B" w:rsidRDefault="008E54A9" w:rsidP="00E73875">
      <w:pPr>
        <w:spacing w:line="360" w:lineRule="auto"/>
        <w:jc w:val="both"/>
        <w:rPr>
          <w:rFonts w:ascii="Arial" w:hAnsi="Arial" w:cs="Arial"/>
        </w:rPr>
      </w:pPr>
      <w:r w:rsidRPr="008E54A9">
        <w:rPr>
          <w:rFonts w:ascii="Arial" w:hAnsi="Arial" w:cs="Arial"/>
        </w:rPr>
        <w:t xml:space="preserve">The event conforms to the Event Planning Cycle and EMBOK framework to guarantee efficient execution, which includes strategic planning, stakeholder engagement, and risk management. The event is divided into three phases: Pre-Event (planning and promotion), Event (keynotes, discussions, and cultural performances), and </w:t>
      </w:r>
      <w:proofErr w:type="gramStart"/>
      <w:r w:rsidRPr="008E54A9">
        <w:rPr>
          <w:rFonts w:ascii="Arial" w:hAnsi="Arial" w:cs="Arial"/>
        </w:rPr>
        <w:t>Post-Event</w:t>
      </w:r>
      <w:proofErr w:type="gramEnd"/>
      <w:r w:rsidRPr="008E54A9">
        <w:rPr>
          <w:rFonts w:ascii="Arial" w:hAnsi="Arial" w:cs="Arial"/>
        </w:rPr>
        <w:t xml:space="preserve"> (impact assessment and future partnerships).</w:t>
      </w:r>
      <w:r w:rsidRPr="008E54A9">
        <w:rPr>
          <w:rFonts w:ascii="Arial" w:hAnsi="Arial" w:cs="Arial"/>
        </w:rPr>
        <w:br/>
        <w:t xml:space="preserve">Global accessibility and engagement are guaranteed by a hybrid model </w:t>
      </w:r>
      <w:r w:rsidR="00C250E0">
        <w:rPr>
          <w:rFonts w:ascii="Arial" w:hAnsi="Arial" w:cs="Arial"/>
        </w:rPr>
        <w:t>integrating</w:t>
      </w:r>
      <w:r w:rsidRPr="008E54A9">
        <w:rPr>
          <w:rFonts w:ascii="Arial" w:hAnsi="Arial" w:cs="Arial"/>
        </w:rPr>
        <w:t xml:space="preserve"> live streaming, virtual reality exhibits, and AI-driven networking. Sponsorships, merchandise, and ticket sales are implemented to guarantee financial sustainability, </w:t>
      </w:r>
      <w:r w:rsidR="00C250E0">
        <w:rPr>
          <w:rFonts w:ascii="Arial" w:hAnsi="Arial" w:cs="Arial"/>
        </w:rPr>
        <w:t>corresponding</w:t>
      </w:r>
      <w:r w:rsidRPr="008E54A9">
        <w:rPr>
          <w:rFonts w:ascii="Arial" w:hAnsi="Arial" w:cs="Arial"/>
        </w:rPr>
        <w:t xml:space="preserve"> with industry developments in digital innovation and sustainability.</w:t>
      </w:r>
    </w:p>
    <w:p w14:paraId="604D3246" w14:textId="6448FD68" w:rsidR="008E54A9" w:rsidRPr="008E54A9" w:rsidRDefault="008E54A9" w:rsidP="00E73875">
      <w:pPr>
        <w:spacing w:line="360" w:lineRule="auto"/>
        <w:jc w:val="both"/>
        <w:rPr>
          <w:rFonts w:ascii="Arial" w:hAnsi="Arial" w:cs="Arial"/>
        </w:rPr>
      </w:pPr>
      <w:r w:rsidRPr="008E54A9">
        <w:rPr>
          <w:rFonts w:ascii="Arial" w:hAnsi="Arial" w:cs="Arial"/>
        </w:rPr>
        <w:t xml:space="preserve">The event's planning, execution, and impact are detailed in this report, </w:t>
      </w:r>
      <w:r w:rsidR="00C250E0">
        <w:rPr>
          <w:rFonts w:ascii="Arial" w:hAnsi="Arial" w:cs="Arial"/>
        </w:rPr>
        <w:t>reinforcing</w:t>
      </w:r>
      <w:r w:rsidRPr="008E54A9">
        <w:rPr>
          <w:rFonts w:ascii="Arial" w:hAnsi="Arial" w:cs="Arial"/>
        </w:rPr>
        <w:t xml:space="preserve"> Hilton's status as a pioneer in inclusive hospitality.</w:t>
      </w:r>
    </w:p>
    <w:p w14:paraId="53EAAFC1" w14:textId="77777777" w:rsidR="008E54A9" w:rsidRDefault="008E54A9" w:rsidP="00E73875">
      <w:pPr>
        <w:spacing w:line="360" w:lineRule="auto"/>
        <w:jc w:val="both"/>
        <w:rPr>
          <w:rFonts w:ascii="Arial" w:hAnsi="Arial" w:cs="Arial"/>
          <w:b/>
          <w:bCs/>
          <w:u w:val="single"/>
        </w:rPr>
      </w:pPr>
    </w:p>
    <w:p w14:paraId="0F43C4E8" w14:textId="0C8E8E03" w:rsidR="005D0FE3" w:rsidRPr="00E73875" w:rsidRDefault="005D0FE3" w:rsidP="00E73875">
      <w:pPr>
        <w:spacing w:line="360" w:lineRule="auto"/>
        <w:jc w:val="both"/>
        <w:rPr>
          <w:rFonts w:ascii="Arial" w:hAnsi="Arial" w:cs="Arial"/>
          <w:b/>
          <w:bCs/>
          <w:u w:val="single"/>
        </w:rPr>
      </w:pPr>
      <w:r w:rsidRPr="00E73875">
        <w:rPr>
          <w:rFonts w:ascii="Arial" w:hAnsi="Arial" w:cs="Arial"/>
          <w:b/>
          <w:bCs/>
          <w:u w:val="single"/>
        </w:rPr>
        <w:t xml:space="preserve">The Event Cycle </w:t>
      </w:r>
      <w:r w:rsidR="0038734E" w:rsidRPr="00E73875">
        <w:rPr>
          <w:rFonts w:ascii="Arial" w:hAnsi="Arial" w:cs="Arial"/>
          <w:b/>
          <w:bCs/>
          <w:u w:val="single"/>
        </w:rPr>
        <w:t>and</w:t>
      </w:r>
      <w:r w:rsidRPr="00E73875">
        <w:rPr>
          <w:rFonts w:ascii="Arial" w:hAnsi="Arial" w:cs="Arial"/>
          <w:b/>
          <w:bCs/>
          <w:u w:val="single"/>
        </w:rPr>
        <w:t xml:space="preserve"> EMBOK Framework Application</w:t>
      </w:r>
    </w:p>
    <w:p w14:paraId="2EBAE9B5" w14:textId="273BEAB5" w:rsidR="00035CF1" w:rsidRPr="00035CF1" w:rsidRDefault="000941D5" w:rsidP="00E73875">
      <w:pPr>
        <w:spacing w:line="360" w:lineRule="auto"/>
        <w:jc w:val="both"/>
        <w:rPr>
          <w:rFonts w:ascii="Arial" w:hAnsi="Arial" w:cs="Arial"/>
        </w:rPr>
      </w:pPr>
      <w:r w:rsidRPr="00E73875">
        <w:rPr>
          <w:rFonts w:ascii="Arial" w:hAnsi="Arial" w:cs="Arial"/>
          <w:noProof/>
        </w:rPr>
        <w:drawing>
          <wp:anchor distT="0" distB="0" distL="114300" distR="114300" simplePos="0" relativeHeight="251658240" behindDoc="0" locked="0" layoutInCell="1" allowOverlap="1" wp14:anchorId="005C33CC" wp14:editId="7C6B5712">
            <wp:simplePos x="0" y="0"/>
            <wp:positionH relativeFrom="margin">
              <wp:posOffset>-635</wp:posOffset>
            </wp:positionH>
            <wp:positionV relativeFrom="paragraph">
              <wp:posOffset>17145</wp:posOffset>
            </wp:positionV>
            <wp:extent cx="2889250" cy="2564765"/>
            <wp:effectExtent l="0" t="0" r="6350" b="6985"/>
            <wp:wrapSquare wrapText="bothSides"/>
            <wp:docPr id="7" name="Picture 6">
              <a:extLst xmlns:a="http://schemas.openxmlformats.org/drawingml/2006/main">
                <a:ext uri="{FF2B5EF4-FFF2-40B4-BE49-F238E27FC236}">
                  <a16:creationId xmlns:a16="http://schemas.microsoft.com/office/drawing/2014/main" id="{52FA1324-8B1F-B8F4-AC43-B35279B22A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2FA1324-8B1F-B8F4-AC43-B35279B22AD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9250" cy="2564765"/>
                    </a:xfrm>
                    <a:prstGeom prst="rect">
                      <a:avLst/>
                    </a:prstGeom>
                  </pic:spPr>
                </pic:pic>
              </a:graphicData>
            </a:graphic>
            <wp14:sizeRelH relativeFrom="margin">
              <wp14:pctWidth>0</wp14:pctWidth>
            </wp14:sizeRelH>
            <wp14:sizeRelV relativeFrom="margin">
              <wp14:pctHeight>0</wp14:pctHeight>
            </wp14:sizeRelV>
          </wp:anchor>
        </w:drawing>
      </w:r>
      <w:r w:rsidR="00035CF1" w:rsidRPr="00035CF1">
        <w:rPr>
          <w:rFonts w:ascii="Arial" w:hAnsi="Arial" w:cs="Arial"/>
        </w:rPr>
        <w:t xml:space="preserve">Strategic event planning necessitates a structured approach to guarantee audience engagement, long-term impact, and seamless execution. The Event Planning Cycle, </w:t>
      </w:r>
      <w:r w:rsidR="00A64E9A">
        <w:rPr>
          <w:rFonts w:ascii="Arial" w:hAnsi="Arial" w:cs="Arial"/>
        </w:rPr>
        <w:t>following</w:t>
      </w:r>
      <w:r w:rsidR="00C250E0">
        <w:rPr>
          <w:rFonts w:ascii="Arial" w:hAnsi="Arial" w:cs="Arial"/>
        </w:rPr>
        <w:t xml:space="preserve"> the EMBOK (Event Management Body of Knowledge) framework, offers a methodical approach to coordinating</w:t>
      </w:r>
      <w:r w:rsidR="00035CF1" w:rsidRPr="00035CF1">
        <w:rPr>
          <w:rFonts w:ascii="Arial" w:hAnsi="Arial" w:cs="Arial"/>
        </w:rPr>
        <w:t xml:space="preserve"> Hilton's 100th-anniversary event at various locations. The three phases—Pre-Event, Event, and Post-Event—encompass administration, design, marketing, operations, and risk management considerations, guaranteeing a well-executed and coordinated event (Van Antwerpen, 2023).</w:t>
      </w:r>
    </w:p>
    <w:p w14:paraId="1EF006C2" w14:textId="77777777" w:rsidR="00A64E9A" w:rsidRDefault="00A64E9A" w:rsidP="00E73875">
      <w:pPr>
        <w:spacing w:line="360" w:lineRule="auto"/>
        <w:jc w:val="both"/>
        <w:rPr>
          <w:rFonts w:ascii="Arial" w:hAnsi="Arial" w:cs="Arial"/>
          <w:b/>
          <w:bCs/>
        </w:rPr>
      </w:pPr>
    </w:p>
    <w:p w14:paraId="456B7520" w14:textId="7B2393F5" w:rsidR="005D0FE3" w:rsidRPr="00E73875" w:rsidRDefault="005D0FE3" w:rsidP="00E73875">
      <w:pPr>
        <w:spacing w:line="360" w:lineRule="auto"/>
        <w:jc w:val="both"/>
        <w:rPr>
          <w:rFonts w:ascii="Arial" w:hAnsi="Arial" w:cs="Arial"/>
          <w:b/>
          <w:bCs/>
        </w:rPr>
      </w:pPr>
      <w:r w:rsidRPr="00E73875">
        <w:rPr>
          <w:rFonts w:ascii="Arial" w:hAnsi="Arial" w:cs="Arial"/>
          <w:b/>
          <w:bCs/>
        </w:rPr>
        <w:lastRenderedPageBreak/>
        <w:t xml:space="preserve">Pre-Event Phase – Planning </w:t>
      </w:r>
      <w:r w:rsidR="007F3DC7" w:rsidRPr="00E73875">
        <w:rPr>
          <w:rFonts w:ascii="Arial" w:hAnsi="Arial" w:cs="Arial"/>
          <w:b/>
          <w:bCs/>
        </w:rPr>
        <w:t>and</w:t>
      </w:r>
      <w:r w:rsidRPr="00E73875">
        <w:rPr>
          <w:rFonts w:ascii="Arial" w:hAnsi="Arial" w:cs="Arial"/>
          <w:b/>
          <w:bCs/>
        </w:rPr>
        <w:t xml:space="preserve"> Coordination</w:t>
      </w:r>
    </w:p>
    <w:p w14:paraId="50FFCC20" w14:textId="793FF18D" w:rsidR="00BA4B5F" w:rsidRPr="00E73875" w:rsidRDefault="00840DD8" w:rsidP="00E73875">
      <w:pPr>
        <w:spacing w:line="360" w:lineRule="auto"/>
        <w:jc w:val="both"/>
        <w:rPr>
          <w:rFonts w:ascii="Arial" w:hAnsi="Arial" w:cs="Arial"/>
        </w:rPr>
      </w:pPr>
      <w:r w:rsidRPr="00E73875">
        <w:rPr>
          <w:rFonts w:ascii="Arial" w:hAnsi="Arial" w:cs="Arial"/>
          <w:noProof/>
        </w:rPr>
        <w:drawing>
          <wp:anchor distT="0" distB="0" distL="114300" distR="114300" simplePos="0" relativeHeight="251659264" behindDoc="0" locked="0" layoutInCell="1" allowOverlap="1" wp14:anchorId="4610C2A5" wp14:editId="37A37BA6">
            <wp:simplePos x="0" y="0"/>
            <wp:positionH relativeFrom="column">
              <wp:posOffset>2309495</wp:posOffset>
            </wp:positionH>
            <wp:positionV relativeFrom="paragraph">
              <wp:posOffset>381635</wp:posOffset>
            </wp:positionV>
            <wp:extent cx="4317365" cy="3241675"/>
            <wp:effectExtent l="0" t="0" r="6985" b="0"/>
            <wp:wrapSquare wrapText="bothSides"/>
            <wp:docPr id="15517362" name="Picture 1" descr="EMBOK - Event Management Body of Knowledge - Afterburner2 — Free, GP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MBOK - Event Management Body of Knowledge - Afterburner2 — Free, GPL  Templ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7365" cy="324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0E0">
        <w:rPr>
          <w:rFonts w:ascii="Arial" w:hAnsi="Arial" w:cs="Arial"/>
          <w:noProof/>
        </w:rPr>
        <w:t>The pre-event phase establishes the groundwork for success through meticulous venue selection, stakeholder engagement, and logistical planning</w:t>
      </w:r>
      <w:r w:rsidR="00BA4B5F" w:rsidRPr="00E73875">
        <w:rPr>
          <w:rFonts w:ascii="Arial" w:hAnsi="Arial" w:cs="Arial"/>
        </w:rPr>
        <w:t xml:space="preserve"> (Talib et al., 2024).</w:t>
      </w:r>
    </w:p>
    <w:p w14:paraId="5DA9449E" w14:textId="543F8C21" w:rsidR="00A46B76" w:rsidRPr="00E73875" w:rsidRDefault="005D0FE3" w:rsidP="000506C8">
      <w:pPr>
        <w:pStyle w:val="ListParagraph"/>
        <w:numPr>
          <w:ilvl w:val="0"/>
          <w:numId w:val="24"/>
        </w:numPr>
        <w:spacing w:line="360" w:lineRule="auto"/>
        <w:jc w:val="both"/>
        <w:rPr>
          <w:rFonts w:ascii="Arial" w:hAnsi="Arial" w:cs="Arial"/>
          <w:i/>
          <w:iCs/>
        </w:rPr>
      </w:pPr>
      <w:r w:rsidRPr="00E73875">
        <w:rPr>
          <w:rFonts w:ascii="Arial" w:hAnsi="Arial" w:cs="Arial"/>
          <w:b/>
          <w:bCs/>
          <w:i/>
          <w:iCs/>
        </w:rPr>
        <w:t>Administration (EMBOK</w:t>
      </w:r>
      <w:r w:rsidR="00FA7502" w:rsidRPr="00E73875">
        <w:rPr>
          <w:rFonts w:ascii="Arial" w:hAnsi="Arial" w:cs="Arial"/>
          <w:b/>
          <w:bCs/>
        </w:rPr>
        <w:t>→</w:t>
      </w:r>
      <w:r w:rsidRPr="00E73875">
        <w:rPr>
          <w:rFonts w:ascii="Arial" w:hAnsi="Arial" w:cs="Arial"/>
          <w:b/>
          <w:bCs/>
          <w:i/>
          <w:iCs/>
        </w:rPr>
        <w:t xml:space="preserve"> Administration)</w:t>
      </w:r>
    </w:p>
    <w:p w14:paraId="6CC6DD12" w14:textId="5A4E84B8" w:rsidR="00E16DC2" w:rsidRPr="00E73875" w:rsidRDefault="00B33830" w:rsidP="00E73875">
      <w:pPr>
        <w:spacing w:line="360" w:lineRule="auto"/>
        <w:jc w:val="both"/>
        <w:rPr>
          <w:rFonts w:ascii="Arial" w:hAnsi="Arial" w:cs="Arial"/>
        </w:rPr>
      </w:pPr>
      <w:r w:rsidRPr="00E73875">
        <w:rPr>
          <w:rFonts w:ascii="Arial" w:hAnsi="Arial" w:cs="Arial"/>
        </w:rPr>
        <w:t xml:space="preserve">Hilton </w:t>
      </w:r>
      <w:r w:rsidR="00795423" w:rsidRPr="00E73875">
        <w:rPr>
          <w:rFonts w:ascii="Arial" w:hAnsi="Arial" w:cs="Arial"/>
        </w:rPr>
        <w:t>must</w:t>
      </w:r>
      <w:r w:rsidRPr="00E73875">
        <w:rPr>
          <w:rFonts w:ascii="Arial" w:hAnsi="Arial" w:cs="Arial"/>
        </w:rPr>
        <w:t xml:space="preserve"> </w:t>
      </w:r>
      <w:r w:rsidR="00C250E0">
        <w:rPr>
          <w:rFonts w:ascii="Arial" w:hAnsi="Arial" w:cs="Arial"/>
        </w:rPr>
        <w:t xml:space="preserve">ensure that venues are coordinated across multiple capital cities, </w:t>
      </w:r>
      <w:r w:rsidRPr="00E73875">
        <w:rPr>
          <w:rFonts w:ascii="Arial" w:hAnsi="Arial" w:cs="Arial"/>
        </w:rPr>
        <w:t xml:space="preserve">that they are </w:t>
      </w:r>
      <w:r w:rsidR="00795423" w:rsidRPr="00E73875">
        <w:rPr>
          <w:rFonts w:ascii="Arial" w:hAnsi="Arial" w:cs="Arial"/>
        </w:rPr>
        <w:t>accessible,</w:t>
      </w:r>
      <w:r w:rsidRPr="00E73875">
        <w:rPr>
          <w:rFonts w:ascii="Arial" w:hAnsi="Arial" w:cs="Arial"/>
        </w:rPr>
        <w:t xml:space="preserve"> and that the infrastructure is sufficient. It is imperative to prioritise financial planning, </w:t>
      </w:r>
      <w:r w:rsidR="00576A56">
        <w:rPr>
          <w:rFonts w:ascii="Arial" w:hAnsi="Arial" w:cs="Arial"/>
        </w:rPr>
        <w:t>focusing on obtaining</w:t>
      </w:r>
      <w:r w:rsidRPr="00E73875">
        <w:rPr>
          <w:rFonts w:ascii="Arial" w:hAnsi="Arial" w:cs="Arial"/>
        </w:rPr>
        <w:t xml:space="preserve"> corporate sponsorships and ticket sales as revenue sources. Broad support is guaranteed through effective stakeholder engagement, which includes partnerships with NGOs and corporate sponsors (Kariuki et al., 2020).</w:t>
      </w:r>
    </w:p>
    <w:p w14:paraId="6E3119DD" w14:textId="11EF397E" w:rsidR="00A46B76" w:rsidRPr="00E73875" w:rsidRDefault="005D0FE3" w:rsidP="000506C8">
      <w:pPr>
        <w:numPr>
          <w:ilvl w:val="0"/>
          <w:numId w:val="1"/>
        </w:numPr>
        <w:spacing w:line="360" w:lineRule="auto"/>
        <w:jc w:val="both"/>
        <w:rPr>
          <w:rFonts w:ascii="Arial" w:hAnsi="Arial" w:cs="Arial"/>
          <w:i/>
          <w:iCs/>
        </w:rPr>
      </w:pPr>
      <w:r w:rsidRPr="00E73875">
        <w:rPr>
          <w:rFonts w:ascii="Arial" w:hAnsi="Arial" w:cs="Arial"/>
          <w:b/>
          <w:bCs/>
          <w:i/>
          <w:iCs/>
        </w:rPr>
        <w:t xml:space="preserve">Marketing </w:t>
      </w:r>
      <w:r w:rsidR="00806657" w:rsidRPr="00E73875">
        <w:rPr>
          <w:rFonts w:ascii="Arial" w:hAnsi="Arial" w:cs="Arial"/>
          <w:b/>
          <w:bCs/>
          <w:i/>
          <w:iCs/>
        </w:rPr>
        <w:t>and</w:t>
      </w:r>
      <w:r w:rsidRPr="00E73875">
        <w:rPr>
          <w:rFonts w:ascii="Arial" w:hAnsi="Arial" w:cs="Arial"/>
          <w:b/>
          <w:bCs/>
          <w:i/>
          <w:iCs/>
        </w:rPr>
        <w:t xml:space="preserve"> Outreach (EMBOK</w:t>
      </w:r>
      <w:r w:rsidR="00FA7502" w:rsidRPr="00E73875">
        <w:rPr>
          <w:rFonts w:ascii="Arial" w:hAnsi="Arial" w:cs="Arial"/>
          <w:b/>
          <w:bCs/>
        </w:rPr>
        <w:t>→</w:t>
      </w:r>
      <w:r w:rsidRPr="00E73875">
        <w:rPr>
          <w:rFonts w:ascii="Arial" w:hAnsi="Arial" w:cs="Arial"/>
          <w:b/>
          <w:bCs/>
          <w:i/>
          <w:iCs/>
        </w:rPr>
        <w:t xml:space="preserve"> Marketing)</w:t>
      </w:r>
    </w:p>
    <w:p w14:paraId="5602644C" w14:textId="21C4EBF9" w:rsidR="00DD2EE3" w:rsidRPr="00A64E9A" w:rsidRDefault="00DD2EE3" w:rsidP="00E73875">
      <w:pPr>
        <w:spacing w:line="360" w:lineRule="auto"/>
        <w:jc w:val="both"/>
        <w:rPr>
          <w:rFonts w:ascii="Arial" w:hAnsi="Arial" w:cs="Arial"/>
        </w:rPr>
      </w:pPr>
      <w:r w:rsidRPr="00DD2EE3">
        <w:rPr>
          <w:rFonts w:ascii="Arial" w:hAnsi="Arial" w:cs="Arial"/>
        </w:rPr>
        <w:t xml:space="preserve">Hilton’s global centennial celebration demands a </w:t>
      </w:r>
      <w:r w:rsidRPr="00DD2EE3">
        <w:rPr>
          <w:rFonts w:ascii="Arial" w:hAnsi="Arial" w:cs="Arial"/>
          <w:b/>
          <w:bCs/>
        </w:rPr>
        <w:t>multichannel marketing approach</w:t>
      </w:r>
      <w:r w:rsidRPr="00DD2EE3">
        <w:rPr>
          <w:rFonts w:ascii="Arial" w:hAnsi="Arial" w:cs="Arial"/>
        </w:rPr>
        <w:t xml:space="preserve"> tailored </w:t>
      </w:r>
      <w:r w:rsidR="00F452C6">
        <w:rPr>
          <w:rFonts w:ascii="Arial" w:hAnsi="Arial" w:cs="Arial"/>
        </w:rPr>
        <w:t>to</w:t>
      </w:r>
      <w:r w:rsidRPr="00DD2EE3">
        <w:rPr>
          <w:rFonts w:ascii="Arial" w:hAnsi="Arial" w:cs="Arial"/>
        </w:rPr>
        <w:t xml:space="preserve"> diverse cultural and economic landscapes. </w:t>
      </w:r>
      <w:r w:rsidR="00F452C6">
        <w:rPr>
          <w:rFonts w:ascii="Arial" w:hAnsi="Arial" w:cs="Arial"/>
        </w:rPr>
        <w:t xml:space="preserve">To ensure high visibility, digital campaigns will </w:t>
      </w:r>
      <w:proofErr w:type="gramStart"/>
      <w:r w:rsidR="00F452C6">
        <w:rPr>
          <w:rFonts w:ascii="Arial" w:hAnsi="Arial" w:cs="Arial"/>
        </w:rPr>
        <w:t xml:space="preserve">use  </w:t>
      </w:r>
      <w:r w:rsidR="00F452C6" w:rsidRPr="00A64E9A">
        <w:rPr>
          <w:rFonts w:ascii="Arial" w:hAnsi="Arial" w:cs="Arial"/>
        </w:rPr>
        <w:t>#</w:t>
      </w:r>
      <w:proofErr w:type="gramEnd"/>
      <w:r w:rsidR="00F452C6" w:rsidRPr="00A64E9A">
        <w:rPr>
          <w:rFonts w:ascii="Arial" w:hAnsi="Arial" w:cs="Arial"/>
        </w:rPr>
        <w:t>Hilton100Inclusion, influencer partnerships, and geo-targeted social media ads</w:t>
      </w:r>
      <w:r w:rsidRPr="00DD2EE3">
        <w:rPr>
          <w:rFonts w:ascii="Arial" w:hAnsi="Arial" w:cs="Arial"/>
        </w:rPr>
        <w:t xml:space="preserve">. In cities like Paris and New York, elite networking events will create media buzz, while in emerging markets like Jakarta or Nairobi, radio and </w:t>
      </w:r>
      <w:r w:rsidR="000C5510" w:rsidRPr="00A64E9A">
        <w:rPr>
          <w:rFonts w:ascii="Arial" w:hAnsi="Arial" w:cs="Arial"/>
        </w:rPr>
        <w:t>localised</w:t>
      </w:r>
      <w:r w:rsidRPr="00DD2EE3">
        <w:rPr>
          <w:rFonts w:ascii="Arial" w:hAnsi="Arial" w:cs="Arial"/>
        </w:rPr>
        <w:t xml:space="preserve"> community outreach will </w:t>
      </w:r>
      <w:r w:rsidR="000C5510" w:rsidRPr="00A64E9A">
        <w:rPr>
          <w:rFonts w:ascii="Arial" w:hAnsi="Arial" w:cs="Arial"/>
        </w:rPr>
        <w:t>increase</w:t>
      </w:r>
      <w:r w:rsidRPr="00DD2EE3">
        <w:rPr>
          <w:rFonts w:ascii="Arial" w:hAnsi="Arial" w:cs="Arial"/>
        </w:rPr>
        <w:t xml:space="preserve"> engagement. Public relations campaigns will </w:t>
      </w:r>
      <w:r w:rsidR="00A64E9A" w:rsidRPr="00A64E9A">
        <w:rPr>
          <w:rFonts w:ascii="Arial" w:hAnsi="Arial" w:cs="Arial"/>
        </w:rPr>
        <w:t>accentuate</w:t>
      </w:r>
      <w:r w:rsidRPr="00DD2EE3">
        <w:rPr>
          <w:rFonts w:ascii="Arial" w:hAnsi="Arial" w:cs="Arial"/>
        </w:rPr>
        <w:t xml:space="preserve"> Hilton’s DEI initiatives, </w:t>
      </w:r>
      <w:r w:rsidR="000C5510" w:rsidRPr="00DD2EE3">
        <w:rPr>
          <w:rFonts w:ascii="Arial" w:hAnsi="Arial" w:cs="Arial"/>
        </w:rPr>
        <w:t>promoting</w:t>
      </w:r>
      <w:r w:rsidRPr="00DD2EE3">
        <w:rPr>
          <w:rFonts w:ascii="Arial" w:hAnsi="Arial" w:cs="Arial"/>
        </w:rPr>
        <w:t xml:space="preserve"> corporate sponsorships and NGO collaborations to align with ethical branding strategies (Namratha et al., 2019).</w:t>
      </w:r>
    </w:p>
    <w:p w14:paraId="78ED5C25" w14:textId="410BFCBE" w:rsidR="00A46B76" w:rsidRPr="00E73875" w:rsidRDefault="005D0FE3" w:rsidP="000506C8">
      <w:pPr>
        <w:numPr>
          <w:ilvl w:val="0"/>
          <w:numId w:val="1"/>
        </w:numPr>
        <w:spacing w:line="360" w:lineRule="auto"/>
        <w:jc w:val="both"/>
        <w:rPr>
          <w:rFonts w:ascii="Arial" w:hAnsi="Arial" w:cs="Arial"/>
          <w:i/>
          <w:iCs/>
        </w:rPr>
      </w:pPr>
      <w:r w:rsidRPr="00E73875">
        <w:rPr>
          <w:rFonts w:ascii="Arial" w:hAnsi="Arial" w:cs="Arial"/>
          <w:b/>
          <w:bCs/>
          <w:i/>
          <w:iCs/>
        </w:rPr>
        <w:t xml:space="preserve">Logistics </w:t>
      </w:r>
      <w:r w:rsidR="00806657" w:rsidRPr="00E73875">
        <w:rPr>
          <w:rFonts w:ascii="Arial" w:hAnsi="Arial" w:cs="Arial"/>
          <w:b/>
          <w:bCs/>
          <w:i/>
          <w:iCs/>
        </w:rPr>
        <w:t>and</w:t>
      </w:r>
      <w:r w:rsidRPr="00E73875">
        <w:rPr>
          <w:rFonts w:ascii="Arial" w:hAnsi="Arial" w:cs="Arial"/>
          <w:b/>
          <w:bCs/>
          <w:i/>
          <w:iCs/>
        </w:rPr>
        <w:t xml:space="preserve"> Technology (EMBOK</w:t>
      </w:r>
      <w:r w:rsidR="00FA7502" w:rsidRPr="00E73875">
        <w:rPr>
          <w:rFonts w:ascii="Arial" w:hAnsi="Arial" w:cs="Arial"/>
          <w:b/>
          <w:bCs/>
        </w:rPr>
        <w:t>→</w:t>
      </w:r>
      <w:r w:rsidRPr="00E73875">
        <w:rPr>
          <w:rFonts w:ascii="Arial" w:hAnsi="Arial" w:cs="Arial"/>
          <w:b/>
          <w:bCs/>
          <w:i/>
          <w:iCs/>
        </w:rPr>
        <w:t xml:space="preserve"> Operations)</w:t>
      </w:r>
    </w:p>
    <w:p w14:paraId="3F7EA67D" w14:textId="4BB16E0E" w:rsidR="00795423" w:rsidRPr="00E73875" w:rsidRDefault="00795423" w:rsidP="00E73875">
      <w:pPr>
        <w:spacing w:line="360" w:lineRule="auto"/>
        <w:jc w:val="both"/>
        <w:rPr>
          <w:rFonts w:ascii="Arial" w:hAnsi="Arial" w:cs="Arial"/>
        </w:rPr>
      </w:pPr>
      <w:r w:rsidRPr="00E73875">
        <w:rPr>
          <w:rFonts w:ascii="Arial" w:hAnsi="Arial" w:cs="Arial"/>
        </w:rPr>
        <w:t>Interactive digital engagement, seamless live transmission, and accessibility for hybrid attendees are guaranteed by a robust technical setup. To mitigate disruptions, AV equipment and real-time digital platforms will undergo pre-testing (Silvers et al., 2005).</w:t>
      </w:r>
    </w:p>
    <w:p w14:paraId="75C587FF" w14:textId="77777777" w:rsidR="00A64E9A" w:rsidRDefault="00A64E9A" w:rsidP="00E73875">
      <w:pPr>
        <w:spacing w:line="360" w:lineRule="auto"/>
        <w:jc w:val="both"/>
        <w:rPr>
          <w:rFonts w:ascii="Arial" w:hAnsi="Arial" w:cs="Arial"/>
          <w:b/>
          <w:bCs/>
        </w:rPr>
      </w:pPr>
    </w:p>
    <w:p w14:paraId="0A5418CD" w14:textId="23A46BBA" w:rsidR="005D0FE3" w:rsidRPr="00E73875" w:rsidRDefault="005D0FE3" w:rsidP="00E73875">
      <w:pPr>
        <w:spacing w:line="360" w:lineRule="auto"/>
        <w:jc w:val="both"/>
        <w:rPr>
          <w:rFonts w:ascii="Arial" w:hAnsi="Arial" w:cs="Arial"/>
          <w:b/>
          <w:bCs/>
        </w:rPr>
      </w:pPr>
      <w:r w:rsidRPr="00E73875">
        <w:rPr>
          <w:rFonts w:ascii="Arial" w:hAnsi="Arial" w:cs="Arial"/>
          <w:b/>
          <w:bCs/>
        </w:rPr>
        <w:lastRenderedPageBreak/>
        <w:t xml:space="preserve">Event Phase – Execution </w:t>
      </w:r>
      <w:r w:rsidR="00FA7502" w:rsidRPr="00E73875">
        <w:rPr>
          <w:rFonts w:ascii="Arial" w:hAnsi="Arial" w:cs="Arial"/>
          <w:b/>
          <w:bCs/>
        </w:rPr>
        <w:t>and</w:t>
      </w:r>
      <w:r w:rsidRPr="00E73875">
        <w:rPr>
          <w:rFonts w:ascii="Arial" w:hAnsi="Arial" w:cs="Arial"/>
          <w:b/>
          <w:bCs/>
        </w:rPr>
        <w:t xml:space="preserve"> Engagement</w:t>
      </w:r>
    </w:p>
    <w:p w14:paraId="458BDD78" w14:textId="68C2262A" w:rsidR="00F20060" w:rsidRPr="00E73875" w:rsidRDefault="005D0FE3" w:rsidP="00E73875">
      <w:pPr>
        <w:spacing w:line="360" w:lineRule="auto"/>
        <w:jc w:val="both"/>
        <w:rPr>
          <w:rFonts w:ascii="Arial" w:hAnsi="Arial" w:cs="Arial"/>
        </w:rPr>
      </w:pPr>
      <w:r w:rsidRPr="00E73875">
        <w:rPr>
          <w:rFonts w:ascii="Arial" w:hAnsi="Arial" w:cs="Arial"/>
        </w:rPr>
        <w:t>The event day is designed to provide a meaningful experience, combining education, culture, and networking.</w:t>
      </w:r>
    </w:p>
    <w:p w14:paraId="67A4AF9F" w14:textId="5F7BBE2F" w:rsidR="00C22281" w:rsidRPr="00E73875" w:rsidRDefault="005D0FE3" w:rsidP="000506C8">
      <w:pPr>
        <w:numPr>
          <w:ilvl w:val="0"/>
          <w:numId w:val="2"/>
        </w:numPr>
        <w:spacing w:line="360" w:lineRule="auto"/>
        <w:jc w:val="both"/>
        <w:rPr>
          <w:rFonts w:ascii="Arial" w:hAnsi="Arial" w:cs="Arial"/>
          <w:i/>
          <w:iCs/>
        </w:rPr>
      </w:pPr>
      <w:r w:rsidRPr="00E73875">
        <w:rPr>
          <w:rFonts w:ascii="Arial" w:hAnsi="Arial" w:cs="Arial"/>
          <w:b/>
          <w:bCs/>
          <w:i/>
          <w:iCs/>
        </w:rPr>
        <w:t xml:space="preserve">Launch </w:t>
      </w:r>
      <w:r w:rsidR="0038734E" w:rsidRPr="00E73875">
        <w:rPr>
          <w:rFonts w:ascii="Arial" w:hAnsi="Arial" w:cs="Arial"/>
          <w:b/>
          <w:bCs/>
          <w:i/>
          <w:iCs/>
        </w:rPr>
        <w:t>and</w:t>
      </w:r>
      <w:r w:rsidRPr="00E73875">
        <w:rPr>
          <w:rFonts w:ascii="Arial" w:hAnsi="Arial" w:cs="Arial"/>
          <w:b/>
          <w:bCs/>
          <w:i/>
          <w:iCs/>
        </w:rPr>
        <w:t xml:space="preserve"> Keynotes (EMBOK</w:t>
      </w:r>
      <w:r w:rsidR="006C1EE6" w:rsidRPr="00E73875">
        <w:rPr>
          <w:rFonts w:ascii="Arial" w:hAnsi="Arial" w:cs="Arial"/>
          <w:b/>
          <w:bCs/>
        </w:rPr>
        <w:t>→</w:t>
      </w:r>
      <w:r w:rsidRPr="00E73875">
        <w:rPr>
          <w:rFonts w:ascii="Arial" w:hAnsi="Arial" w:cs="Arial"/>
          <w:b/>
          <w:bCs/>
          <w:i/>
          <w:iCs/>
        </w:rPr>
        <w:t xml:space="preserve"> Design)</w:t>
      </w:r>
    </w:p>
    <w:p w14:paraId="3E44C648" w14:textId="4A510204" w:rsidR="00DA2103" w:rsidRPr="00E73875" w:rsidRDefault="00DA2103" w:rsidP="00E73875">
      <w:pPr>
        <w:spacing w:line="360" w:lineRule="auto"/>
        <w:jc w:val="both"/>
        <w:rPr>
          <w:rFonts w:ascii="Arial" w:hAnsi="Arial" w:cs="Arial"/>
          <w:i/>
          <w:iCs/>
        </w:rPr>
      </w:pPr>
      <w:r w:rsidRPr="00E73875">
        <w:rPr>
          <w:rFonts w:ascii="Arial" w:hAnsi="Arial" w:cs="Arial"/>
        </w:rPr>
        <w:t xml:space="preserve">The event begins with a discussion of the progress and challenges of </w:t>
      </w:r>
      <w:r w:rsidR="00480909">
        <w:rPr>
          <w:rFonts w:ascii="Arial" w:hAnsi="Arial" w:cs="Arial"/>
        </w:rPr>
        <w:t>DEI</w:t>
      </w:r>
      <w:r w:rsidRPr="00E73875">
        <w:rPr>
          <w:rFonts w:ascii="Arial" w:hAnsi="Arial" w:cs="Arial"/>
        </w:rPr>
        <w:t>, featuring Hilton's CEO and industry experts. Hilton's local inclusion history will be displayed on large screens, resulting in an engaging narrative experience (Hilton, 2024).</w:t>
      </w:r>
    </w:p>
    <w:p w14:paraId="30322FF0" w14:textId="589500C7" w:rsidR="00C22281" w:rsidRPr="00E73875" w:rsidRDefault="005D0FE3" w:rsidP="000506C8">
      <w:pPr>
        <w:numPr>
          <w:ilvl w:val="0"/>
          <w:numId w:val="2"/>
        </w:numPr>
        <w:spacing w:line="360" w:lineRule="auto"/>
        <w:jc w:val="both"/>
        <w:rPr>
          <w:rFonts w:ascii="Arial" w:hAnsi="Arial" w:cs="Arial"/>
          <w:i/>
          <w:iCs/>
        </w:rPr>
      </w:pPr>
      <w:r w:rsidRPr="00E73875">
        <w:rPr>
          <w:rFonts w:ascii="Arial" w:hAnsi="Arial" w:cs="Arial"/>
          <w:b/>
          <w:bCs/>
          <w:i/>
          <w:iCs/>
        </w:rPr>
        <w:t>Cultural Engagement (EMBOK</w:t>
      </w:r>
      <w:r w:rsidR="006C1EE6" w:rsidRPr="00E73875">
        <w:rPr>
          <w:rFonts w:ascii="Arial" w:hAnsi="Arial" w:cs="Arial"/>
          <w:b/>
          <w:bCs/>
        </w:rPr>
        <w:t xml:space="preserve">→ </w:t>
      </w:r>
      <w:r w:rsidRPr="00E73875">
        <w:rPr>
          <w:rFonts w:ascii="Arial" w:hAnsi="Arial" w:cs="Arial"/>
          <w:b/>
          <w:bCs/>
          <w:i/>
          <w:iCs/>
        </w:rPr>
        <w:t>Design)</w:t>
      </w:r>
    </w:p>
    <w:p w14:paraId="3B27A5BC" w14:textId="11FF407E" w:rsidR="00C92EE6" w:rsidRPr="00E73875" w:rsidRDefault="00C92EE6" w:rsidP="00E73875">
      <w:pPr>
        <w:spacing w:line="360" w:lineRule="auto"/>
        <w:jc w:val="both"/>
        <w:rPr>
          <w:rFonts w:ascii="Arial" w:hAnsi="Arial" w:cs="Arial"/>
          <w:i/>
          <w:iCs/>
        </w:rPr>
      </w:pPr>
      <w:r w:rsidRPr="00E73875">
        <w:rPr>
          <w:rFonts w:ascii="Arial" w:hAnsi="Arial" w:cs="Arial"/>
        </w:rPr>
        <w:t xml:space="preserve">The theme of diversity and inclusion will be reinforced through dance, art, and narrative performances that honour local cultures. Collaborations between activists, business leaders, and </w:t>
      </w:r>
      <w:r w:rsidR="00480909">
        <w:rPr>
          <w:rFonts w:ascii="Arial" w:hAnsi="Arial" w:cs="Arial"/>
        </w:rPr>
        <w:t>DEI</w:t>
      </w:r>
      <w:r w:rsidRPr="00E73875">
        <w:rPr>
          <w:rFonts w:ascii="Arial" w:hAnsi="Arial" w:cs="Arial"/>
        </w:rPr>
        <w:t xml:space="preserve"> professionals will be facilitated by networking sessions (Patnaik, 2024).</w:t>
      </w:r>
    </w:p>
    <w:p w14:paraId="726A9ECB" w14:textId="6110F83E" w:rsidR="00C22281" w:rsidRPr="00E73875" w:rsidRDefault="005D0FE3" w:rsidP="000506C8">
      <w:pPr>
        <w:numPr>
          <w:ilvl w:val="0"/>
          <w:numId w:val="2"/>
        </w:numPr>
        <w:spacing w:line="360" w:lineRule="auto"/>
        <w:jc w:val="both"/>
        <w:rPr>
          <w:rFonts w:ascii="Arial" w:hAnsi="Arial" w:cs="Arial"/>
          <w:i/>
          <w:iCs/>
        </w:rPr>
      </w:pPr>
      <w:r w:rsidRPr="00E73875">
        <w:rPr>
          <w:rFonts w:ascii="Arial" w:hAnsi="Arial" w:cs="Arial"/>
          <w:b/>
          <w:bCs/>
          <w:i/>
          <w:iCs/>
        </w:rPr>
        <w:t>Hybrid Participation (EMBOK</w:t>
      </w:r>
      <w:r w:rsidR="006C1EE6" w:rsidRPr="00E73875">
        <w:rPr>
          <w:rFonts w:ascii="Arial" w:hAnsi="Arial" w:cs="Arial"/>
          <w:b/>
          <w:bCs/>
        </w:rPr>
        <w:t>→</w:t>
      </w:r>
      <w:r w:rsidRPr="00E73875">
        <w:rPr>
          <w:rFonts w:ascii="Arial" w:hAnsi="Arial" w:cs="Arial"/>
          <w:b/>
          <w:bCs/>
          <w:i/>
          <w:iCs/>
        </w:rPr>
        <w:t xml:space="preserve"> Operations)</w:t>
      </w:r>
    </w:p>
    <w:p w14:paraId="108B88DF" w14:textId="7DF9CFD6" w:rsidR="0038734E" w:rsidRPr="00E73875" w:rsidRDefault="00785B93" w:rsidP="00E73875">
      <w:pPr>
        <w:spacing w:line="360" w:lineRule="auto"/>
        <w:jc w:val="both"/>
        <w:rPr>
          <w:rFonts w:ascii="Arial" w:hAnsi="Arial" w:cs="Arial"/>
        </w:rPr>
      </w:pPr>
      <w:r w:rsidRPr="00E73875">
        <w:rPr>
          <w:rFonts w:ascii="Arial" w:hAnsi="Arial" w:cs="Arial"/>
        </w:rPr>
        <w:t xml:space="preserve">Global inclusivity will be guaranteed through </w:t>
      </w:r>
      <w:r w:rsidR="00933EE0">
        <w:rPr>
          <w:rFonts w:ascii="Arial" w:hAnsi="Arial" w:cs="Arial"/>
        </w:rPr>
        <w:t>interactive digital tools and live-streamed discussions, allowing</w:t>
      </w:r>
      <w:r w:rsidRPr="00E73875">
        <w:rPr>
          <w:rFonts w:ascii="Arial" w:hAnsi="Arial" w:cs="Arial"/>
        </w:rPr>
        <w:t xml:space="preserve"> remote participants to engage in real-time Q&amp;A sessions and breakout discussions (Seid and Ali, 2024).</w:t>
      </w:r>
    </w:p>
    <w:p w14:paraId="0FAC4833" w14:textId="2800F5CC" w:rsidR="005D0FE3" w:rsidRPr="00E73875" w:rsidRDefault="005D0FE3" w:rsidP="00E73875">
      <w:pPr>
        <w:spacing w:line="360" w:lineRule="auto"/>
        <w:jc w:val="both"/>
        <w:rPr>
          <w:rFonts w:ascii="Arial" w:hAnsi="Arial" w:cs="Arial"/>
          <w:b/>
          <w:bCs/>
        </w:rPr>
      </w:pPr>
      <w:r w:rsidRPr="00E73875">
        <w:rPr>
          <w:rFonts w:ascii="Arial" w:hAnsi="Arial" w:cs="Arial"/>
          <w:b/>
          <w:bCs/>
        </w:rPr>
        <w:t xml:space="preserve">Post-Event Phase – Evaluation </w:t>
      </w:r>
      <w:r w:rsidR="0038734E" w:rsidRPr="00E73875">
        <w:rPr>
          <w:rFonts w:ascii="Arial" w:hAnsi="Arial" w:cs="Arial"/>
          <w:b/>
          <w:bCs/>
        </w:rPr>
        <w:t>and</w:t>
      </w:r>
      <w:r w:rsidRPr="00E73875">
        <w:rPr>
          <w:rFonts w:ascii="Arial" w:hAnsi="Arial" w:cs="Arial"/>
          <w:b/>
          <w:bCs/>
        </w:rPr>
        <w:t xml:space="preserve"> Legacy</w:t>
      </w:r>
    </w:p>
    <w:p w14:paraId="5F5A858C" w14:textId="3B1A503F" w:rsidR="005D0FE3" w:rsidRPr="00E73875" w:rsidRDefault="005D0FE3" w:rsidP="00E73875">
      <w:pPr>
        <w:spacing w:line="360" w:lineRule="auto"/>
        <w:jc w:val="both"/>
        <w:rPr>
          <w:rFonts w:ascii="Arial" w:hAnsi="Arial" w:cs="Arial"/>
        </w:rPr>
      </w:pPr>
      <w:r w:rsidRPr="00E73875">
        <w:rPr>
          <w:rFonts w:ascii="Arial" w:hAnsi="Arial" w:cs="Arial"/>
        </w:rPr>
        <w:t>The post-event phase ensures that insights gained translate into long-term impact (Arnott, 2020)</w:t>
      </w:r>
      <w:r w:rsidR="000C6160" w:rsidRPr="00E73875">
        <w:rPr>
          <w:rFonts w:ascii="Arial" w:hAnsi="Arial" w:cs="Arial"/>
        </w:rPr>
        <w:t xml:space="preserve">. </w:t>
      </w:r>
      <w:r w:rsidR="00D13D64" w:rsidRPr="00E73875">
        <w:rPr>
          <w:rFonts w:ascii="Arial" w:hAnsi="Arial" w:cs="Arial"/>
        </w:rPr>
        <w:t xml:space="preserve">By integrating the Event Planning Cycle and EMBOK framework, Hilton </w:t>
      </w:r>
      <w:r w:rsidR="00576A56">
        <w:rPr>
          <w:rFonts w:ascii="Arial" w:hAnsi="Arial" w:cs="Arial"/>
        </w:rPr>
        <w:t>provides</w:t>
      </w:r>
      <w:r w:rsidR="00D13D64" w:rsidRPr="00E73875">
        <w:rPr>
          <w:rFonts w:ascii="Arial" w:hAnsi="Arial" w:cs="Arial"/>
        </w:rPr>
        <w:t xml:space="preserve"> a structured, impactful, and globally engaging event that aligns with its long-term </w:t>
      </w:r>
      <w:r w:rsidR="00480909">
        <w:rPr>
          <w:rFonts w:ascii="Arial" w:hAnsi="Arial" w:cs="Arial"/>
        </w:rPr>
        <w:t>DEI</w:t>
      </w:r>
      <w:r w:rsidR="00D13D64" w:rsidRPr="00E73875">
        <w:rPr>
          <w:rFonts w:ascii="Arial" w:hAnsi="Arial" w:cs="Arial"/>
        </w:rPr>
        <w:t xml:space="preserve"> objectives (Van Antwerpen, 2023).</w:t>
      </w:r>
    </w:p>
    <w:p w14:paraId="35A4D54F" w14:textId="24971612" w:rsidR="00C22281" w:rsidRPr="00E73875" w:rsidRDefault="005D0FE3" w:rsidP="000506C8">
      <w:pPr>
        <w:numPr>
          <w:ilvl w:val="0"/>
          <w:numId w:val="3"/>
        </w:numPr>
        <w:spacing w:line="360" w:lineRule="auto"/>
        <w:jc w:val="both"/>
        <w:rPr>
          <w:rFonts w:ascii="Arial" w:hAnsi="Arial" w:cs="Arial"/>
          <w:i/>
          <w:iCs/>
        </w:rPr>
      </w:pPr>
      <w:r w:rsidRPr="00E73875">
        <w:rPr>
          <w:rFonts w:ascii="Arial" w:hAnsi="Arial" w:cs="Arial"/>
          <w:b/>
          <w:bCs/>
          <w:i/>
          <w:iCs/>
        </w:rPr>
        <w:t>Impact Assessment (EMBOK</w:t>
      </w:r>
      <w:r w:rsidR="006C1EE6" w:rsidRPr="00E73875">
        <w:rPr>
          <w:rFonts w:ascii="Arial" w:hAnsi="Arial" w:cs="Arial"/>
          <w:b/>
          <w:bCs/>
        </w:rPr>
        <w:t>→</w:t>
      </w:r>
      <w:r w:rsidRPr="00E73875">
        <w:rPr>
          <w:rFonts w:ascii="Arial" w:hAnsi="Arial" w:cs="Arial"/>
          <w:b/>
          <w:bCs/>
          <w:i/>
          <w:iCs/>
        </w:rPr>
        <w:t xml:space="preserve"> Administration)</w:t>
      </w:r>
    </w:p>
    <w:p w14:paraId="427621A8" w14:textId="402D7749" w:rsidR="00FA7502" w:rsidRPr="00E73875" w:rsidRDefault="00BB1FDC" w:rsidP="00E73875">
      <w:pPr>
        <w:spacing w:line="360" w:lineRule="auto"/>
        <w:jc w:val="both"/>
        <w:rPr>
          <w:rFonts w:ascii="Arial" w:hAnsi="Arial" w:cs="Arial"/>
          <w:i/>
          <w:iCs/>
        </w:rPr>
      </w:pPr>
      <w:r w:rsidRPr="00E73875">
        <w:rPr>
          <w:rFonts w:ascii="Arial" w:hAnsi="Arial" w:cs="Arial"/>
        </w:rPr>
        <w:t xml:space="preserve">Surveys, social media analytics, and engagement data will be implemented to gather </w:t>
      </w:r>
      <w:r w:rsidR="00933EE0">
        <w:rPr>
          <w:rFonts w:ascii="Arial" w:hAnsi="Arial" w:cs="Arial"/>
        </w:rPr>
        <w:t>participant feedback</w:t>
      </w:r>
      <w:r w:rsidRPr="00E73875">
        <w:rPr>
          <w:rFonts w:ascii="Arial" w:hAnsi="Arial" w:cs="Arial"/>
        </w:rPr>
        <w:t>. Media coverage, social media trends, and partner collaborations will be used to evaluate the event's success (Hilton, 2024).</w:t>
      </w:r>
    </w:p>
    <w:p w14:paraId="1748EEA7" w14:textId="48FB690C" w:rsidR="00C22281" w:rsidRPr="00E73875" w:rsidRDefault="00480909" w:rsidP="000506C8">
      <w:pPr>
        <w:numPr>
          <w:ilvl w:val="0"/>
          <w:numId w:val="3"/>
        </w:numPr>
        <w:spacing w:line="360" w:lineRule="auto"/>
        <w:jc w:val="both"/>
        <w:rPr>
          <w:rFonts w:ascii="Arial" w:hAnsi="Arial" w:cs="Arial"/>
          <w:i/>
          <w:iCs/>
        </w:rPr>
      </w:pPr>
      <w:r>
        <w:rPr>
          <w:rFonts w:ascii="Arial" w:hAnsi="Arial" w:cs="Arial"/>
          <w:b/>
          <w:bCs/>
          <w:i/>
          <w:iCs/>
        </w:rPr>
        <w:t>DEI</w:t>
      </w:r>
      <w:r w:rsidR="005D0FE3" w:rsidRPr="00E73875">
        <w:rPr>
          <w:rFonts w:ascii="Arial" w:hAnsi="Arial" w:cs="Arial"/>
          <w:b/>
          <w:bCs/>
          <w:i/>
          <w:iCs/>
        </w:rPr>
        <w:t xml:space="preserve"> Initiatives (EMBOK</w:t>
      </w:r>
      <w:r w:rsidR="006C1EE6" w:rsidRPr="00E73875">
        <w:rPr>
          <w:rFonts w:ascii="Arial" w:hAnsi="Arial" w:cs="Arial"/>
          <w:b/>
          <w:bCs/>
        </w:rPr>
        <w:t>→</w:t>
      </w:r>
      <w:r w:rsidR="005D0FE3" w:rsidRPr="00E73875">
        <w:rPr>
          <w:rFonts w:ascii="Arial" w:hAnsi="Arial" w:cs="Arial"/>
          <w:b/>
          <w:bCs/>
          <w:i/>
          <w:iCs/>
        </w:rPr>
        <w:t xml:space="preserve"> Risk Management)</w:t>
      </w:r>
    </w:p>
    <w:p w14:paraId="3B092059" w14:textId="1EFD8AFE" w:rsidR="00F20060" w:rsidRDefault="00EB19E4" w:rsidP="00E73875">
      <w:pPr>
        <w:spacing w:line="360" w:lineRule="auto"/>
        <w:jc w:val="both"/>
        <w:rPr>
          <w:rFonts w:ascii="Arial" w:hAnsi="Arial" w:cs="Arial"/>
        </w:rPr>
      </w:pPr>
      <w:r w:rsidRPr="00E73875">
        <w:rPr>
          <w:rFonts w:ascii="Arial" w:hAnsi="Arial" w:cs="Arial"/>
        </w:rPr>
        <w:t xml:space="preserve">Assuring long-term partnerships with organisations that prioritise workplace diversity, the event will serve as the foundation for future collaborations. Beyond the event, Hilton's </w:t>
      </w:r>
      <w:r w:rsidR="00480909">
        <w:rPr>
          <w:rFonts w:ascii="Arial" w:hAnsi="Arial" w:cs="Arial"/>
        </w:rPr>
        <w:t>DEI</w:t>
      </w:r>
      <w:r w:rsidRPr="00E73875">
        <w:rPr>
          <w:rFonts w:ascii="Arial" w:hAnsi="Arial" w:cs="Arial"/>
        </w:rPr>
        <w:t xml:space="preserve"> leadership will be further solidified through the widespread distribution of digital content.</w:t>
      </w:r>
    </w:p>
    <w:p w14:paraId="4AE617A9" w14:textId="77777777" w:rsidR="00F20060" w:rsidRPr="00E73875" w:rsidRDefault="00F20060" w:rsidP="00E73875">
      <w:pPr>
        <w:spacing w:line="360" w:lineRule="auto"/>
        <w:jc w:val="both"/>
        <w:rPr>
          <w:rFonts w:ascii="Arial" w:hAnsi="Arial" w:cs="Arial"/>
        </w:rPr>
      </w:pPr>
    </w:p>
    <w:p w14:paraId="6955937A" w14:textId="41936E19" w:rsidR="00F27D49" w:rsidRPr="00E73875" w:rsidRDefault="00F20060" w:rsidP="00E73875">
      <w:pPr>
        <w:spacing w:line="360" w:lineRule="auto"/>
        <w:jc w:val="both"/>
        <w:rPr>
          <w:rFonts w:ascii="Arial" w:hAnsi="Arial" w:cs="Arial"/>
          <w:b/>
          <w:bCs/>
          <w:u w:val="single"/>
        </w:rPr>
      </w:pPr>
      <w:r w:rsidRPr="00E73875">
        <w:rPr>
          <w:rFonts w:ascii="Arial" w:hAnsi="Arial" w:cs="Arial"/>
          <w:noProof/>
        </w:rPr>
        <w:drawing>
          <wp:anchor distT="0" distB="0" distL="114300" distR="114300" simplePos="0" relativeHeight="251660288" behindDoc="0" locked="0" layoutInCell="1" allowOverlap="1" wp14:anchorId="2D97768D" wp14:editId="73B5BD1D">
            <wp:simplePos x="0" y="0"/>
            <wp:positionH relativeFrom="margin">
              <wp:align>left</wp:align>
            </wp:positionH>
            <wp:positionV relativeFrom="paragraph">
              <wp:posOffset>174</wp:posOffset>
            </wp:positionV>
            <wp:extent cx="5901690" cy="3455670"/>
            <wp:effectExtent l="0" t="0" r="3810" b="0"/>
            <wp:wrapSquare wrapText="bothSides"/>
            <wp:docPr id="2092926035" name="Picture 1" descr="A room with large screen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26035" name="Picture 1" descr="A room with large screens on the wall&#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01690" cy="3455670"/>
                    </a:xfrm>
                    <a:prstGeom prst="rect">
                      <a:avLst/>
                    </a:prstGeom>
                  </pic:spPr>
                </pic:pic>
              </a:graphicData>
            </a:graphic>
            <wp14:sizeRelH relativeFrom="margin">
              <wp14:pctWidth>0</wp14:pctWidth>
            </wp14:sizeRelH>
            <wp14:sizeRelV relativeFrom="margin">
              <wp14:pctHeight>0</wp14:pctHeight>
            </wp14:sizeRelV>
          </wp:anchor>
        </w:drawing>
      </w:r>
      <w:r w:rsidR="005D0FE3" w:rsidRPr="00E73875">
        <w:rPr>
          <w:rFonts w:ascii="Arial" w:hAnsi="Arial" w:cs="Arial"/>
          <w:b/>
          <w:bCs/>
          <w:u w:val="single"/>
        </w:rPr>
        <w:t>Event Concept – Attendee Experience</w:t>
      </w:r>
    </w:p>
    <w:p w14:paraId="2CE78F42" w14:textId="2E0ED87B" w:rsidR="00F4017A" w:rsidRPr="00E73875" w:rsidRDefault="00F4017A" w:rsidP="00E73875">
      <w:pPr>
        <w:spacing w:line="360" w:lineRule="auto"/>
        <w:jc w:val="both"/>
        <w:rPr>
          <w:rFonts w:ascii="Arial" w:hAnsi="Arial" w:cs="Arial"/>
          <w:b/>
          <w:bCs/>
          <w:u w:val="single"/>
        </w:rPr>
      </w:pPr>
      <w:r w:rsidRPr="00E73875">
        <w:rPr>
          <w:rFonts w:ascii="Arial" w:hAnsi="Arial" w:cs="Arial"/>
        </w:rPr>
        <w:t xml:space="preserve">The Hilton 100th Anniversary event </w:t>
      </w:r>
      <w:r w:rsidR="00933EE0">
        <w:rPr>
          <w:rFonts w:ascii="Arial" w:hAnsi="Arial" w:cs="Arial"/>
        </w:rPr>
        <w:t>will</w:t>
      </w:r>
      <w:r w:rsidRPr="00E73875">
        <w:rPr>
          <w:rFonts w:ascii="Arial" w:hAnsi="Arial" w:cs="Arial"/>
        </w:rPr>
        <w:t xml:space="preserve"> be an immersive experience </w:t>
      </w:r>
      <w:r w:rsidR="00933EE0">
        <w:rPr>
          <w:rFonts w:ascii="Arial" w:hAnsi="Arial" w:cs="Arial"/>
        </w:rPr>
        <w:t>integrating</w:t>
      </w:r>
      <w:r w:rsidRPr="00E73875">
        <w:rPr>
          <w:rFonts w:ascii="Arial" w:hAnsi="Arial" w:cs="Arial"/>
        </w:rPr>
        <w:t xml:space="preserve"> education, cultural engagement, and networking. It promotes meaningful conversations and connections between industry leaders, activists, and the public while </w:t>
      </w:r>
      <w:r w:rsidR="005B0B53">
        <w:rPr>
          <w:rFonts w:ascii="Arial" w:hAnsi="Arial" w:cs="Arial"/>
        </w:rPr>
        <w:t>giving attendees</w:t>
      </w:r>
      <w:r w:rsidRPr="00E73875">
        <w:rPr>
          <w:rFonts w:ascii="Arial" w:hAnsi="Arial" w:cs="Arial"/>
        </w:rPr>
        <w:t xml:space="preserve"> a historical perspective on Hilton's contributions to Equality, Diversity, and Inclusion (</w:t>
      </w:r>
      <w:r w:rsidR="00480909">
        <w:rPr>
          <w:rFonts w:ascii="Arial" w:hAnsi="Arial" w:cs="Arial"/>
        </w:rPr>
        <w:t>DEI</w:t>
      </w:r>
      <w:r w:rsidRPr="00E73875">
        <w:rPr>
          <w:rFonts w:ascii="Arial" w:hAnsi="Arial" w:cs="Arial"/>
        </w:rPr>
        <w:t>). Events of this nature have been demonstrated to improve public perception of cultural initiatives and encourage social unity, giving them an effective instrument for community impact and brand engagement (Arnott, 2020).</w:t>
      </w:r>
    </w:p>
    <w:p w14:paraId="62781FA6" w14:textId="0D2E0534" w:rsidR="005B0B53" w:rsidRPr="00BF67E5" w:rsidRDefault="00F4017A" w:rsidP="00E73875">
      <w:pPr>
        <w:spacing w:line="360" w:lineRule="auto"/>
        <w:jc w:val="both"/>
        <w:rPr>
          <w:rFonts w:ascii="Arial" w:hAnsi="Arial" w:cs="Arial"/>
        </w:rPr>
      </w:pPr>
      <w:r w:rsidRPr="00E73875">
        <w:rPr>
          <w:rFonts w:ascii="Arial" w:hAnsi="Arial" w:cs="Arial"/>
        </w:rPr>
        <w:t xml:space="preserve">The event is designed to optimise engagement and guarantee that attendees have a dynamic and impactful experience. </w:t>
      </w:r>
      <w:r w:rsidR="00933EE0">
        <w:rPr>
          <w:rFonts w:ascii="Arial" w:hAnsi="Arial" w:cs="Arial"/>
        </w:rPr>
        <w:t>To</w:t>
      </w:r>
      <w:r w:rsidRPr="00E73875">
        <w:rPr>
          <w:rFonts w:ascii="Arial" w:hAnsi="Arial" w:cs="Arial"/>
        </w:rPr>
        <w:t xml:space="preserve"> maintain a harmonious balance between cultural appreciation, networking opportunities, and informative discussions, each phase of the day is thoroughly organised.</w:t>
      </w:r>
    </w:p>
    <w:p w14:paraId="10A3886C" w14:textId="62A4AC70" w:rsidR="005D0FE3" w:rsidRPr="00E73875" w:rsidRDefault="005D0FE3" w:rsidP="00E73875">
      <w:pPr>
        <w:spacing w:line="360" w:lineRule="auto"/>
        <w:jc w:val="both"/>
        <w:rPr>
          <w:rFonts w:ascii="Arial" w:hAnsi="Arial" w:cs="Arial"/>
          <w:b/>
          <w:bCs/>
        </w:rPr>
      </w:pPr>
      <w:r w:rsidRPr="00E73875">
        <w:rPr>
          <w:rFonts w:ascii="Arial" w:hAnsi="Arial" w:cs="Arial"/>
          <w:b/>
          <w:bCs/>
        </w:rPr>
        <w:t>Full Itinerary</w:t>
      </w:r>
    </w:p>
    <w:p w14:paraId="6CB558A5" w14:textId="661D3BFC"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 xml:space="preserve">Morning: Inform </w:t>
      </w:r>
      <w:r w:rsidR="00480B0B" w:rsidRPr="00E73875">
        <w:rPr>
          <w:rFonts w:ascii="Arial" w:hAnsi="Arial" w:cs="Arial"/>
          <w:b/>
          <w:bCs/>
          <w:i/>
          <w:iCs/>
        </w:rPr>
        <w:t>and</w:t>
      </w:r>
      <w:r w:rsidRPr="00E73875">
        <w:rPr>
          <w:rFonts w:ascii="Arial" w:hAnsi="Arial" w:cs="Arial"/>
          <w:b/>
          <w:bCs/>
          <w:i/>
          <w:iCs/>
        </w:rPr>
        <w:t xml:space="preserve"> Inspire</w:t>
      </w:r>
    </w:p>
    <w:p w14:paraId="2A0B378B" w14:textId="77777777" w:rsidR="003F425B" w:rsidRPr="00E73875" w:rsidRDefault="005D0FE3" w:rsidP="000506C8">
      <w:pPr>
        <w:numPr>
          <w:ilvl w:val="0"/>
          <w:numId w:val="4"/>
        </w:numPr>
        <w:spacing w:line="360" w:lineRule="auto"/>
        <w:jc w:val="both"/>
        <w:rPr>
          <w:rFonts w:ascii="Arial" w:hAnsi="Arial" w:cs="Arial"/>
        </w:rPr>
      </w:pPr>
      <w:r w:rsidRPr="00E73875">
        <w:rPr>
          <w:rFonts w:ascii="Arial" w:hAnsi="Arial" w:cs="Arial"/>
          <w:u w:val="single"/>
        </w:rPr>
        <w:t xml:space="preserve">Registration </w:t>
      </w:r>
      <w:r w:rsidR="00523CDA" w:rsidRPr="00E73875">
        <w:rPr>
          <w:rFonts w:ascii="Arial" w:hAnsi="Arial" w:cs="Arial"/>
          <w:u w:val="single"/>
        </w:rPr>
        <w:t>and</w:t>
      </w:r>
      <w:r w:rsidRPr="00E73875">
        <w:rPr>
          <w:rFonts w:ascii="Arial" w:hAnsi="Arial" w:cs="Arial"/>
          <w:u w:val="single"/>
        </w:rPr>
        <w:t xml:space="preserve"> Welcome Networking</w:t>
      </w:r>
      <w:r w:rsidR="00736F9C" w:rsidRPr="00E73875">
        <w:rPr>
          <w:rFonts w:ascii="Arial" w:hAnsi="Arial" w:cs="Arial"/>
          <w:b/>
          <w:bCs/>
        </w:rPr>
        <w:t xml:space="preserve"> </w:t>
      </w:r>
      <w:r w:rsidR="009A57C2" w:rsidRPr="00E73875">
        <w:rPr>
          <w:rFonts w:ascii="Arial" w:hAnsi="Arial" w:cs="Arial"/>
          <w:b/>
          <w:bCs/>
        </w:rPr>
        <w:t>→</w:t>
      </w:r>
    </w:p>
    <w:p w14:paraId="0416A1BD" w14:textId="37F47D99" w:rsidR="005D0FE3" w:rsidRPr="00E73875" w:rsidRDefault="005D0FE3" w:rsidP="00E73875">
      <w:pPr>
        <w:spacing w:line="360" w:lineRule="auto"/>
        <w:jc w:val="both"/>
        <w:rPr>
          <w:rFonts w:ascii="Arial" w:hAnsi="Arial" w:cs="Arial"/>
        </w:rPr>
      </w:pPr>
      <w:r w:rsidRPr="00E73875">
        <w:rPr>
          <w:rFonts w:ascii="Arial" w:hAnsi="Arial" w:cs="Arial"/>
        </w:rPr>
        <w:t xml:space="preserve">Guests arrive, </w:t>
      </w:r>
      <w:r w:rsidR="00933EE0">
        <w:rPr>
          <w:rFonts w:ascii="Arial" w:hAnsi="Arial" w:cs="Arial"/>
        </w:rPr>
        <w:t>check-in</w:t>
      </w:r>
      <w:r w:rsidRPr="00E73875">
        <w:rPr>
          <w:rFonts w:ascii="Arial" w:hAnsi="Arial" w:cs="Arial"/>
        </w:rPr>
        <w:t>, and interact with peers.</w:t>
      </w:r>
    </w:p>
    <w:p w14:paraId="44CA9102" w14:textId="444ED51E" w:rsidR="003F425B" w:rsidRPr="00E73875" w:rsidRDefault="005D0FE3" w:rsidP="000506C8">
      <w:pPr>
        <w:numPr>
          <w:ilvl w:val="0"/>
          <w:numId w:val="4"/>
        </w:numPr>
        <w:spacing w:line="360" w:lineRule="auto"/>
        <w:jc w:val="both"/>
        <w:rPr>
          <w:rFonts w:ascii="Arial" w:hAnsi="Arial" w:cs="Arial"/>
        </w:rPr>
      </w:pPr>
      <w:r w:rsidRPr="00E73875">
        <w:rPr>
          <w:rFonts w:ascii="Arial" w:hAnsi="Arial" w:cs="Arial"/>
          <w:u w:val="single"/>
        </w:rPr>
        <w:lastRenderedPageBreak/>
        <w:t xml:space="preserve">Opening Keynote – Hilton’s 100-Year Journey in </w:t>
      </w:r>
      <w:r w:rsidR="00480909">
        <w:rPr>
          <w:rFonts w:ascii="Arial" w:hAnsi="Arial" w:cs="Arial"/>
          <w:u w:val="single"/>
        </w:rPr>
        <w:t>DEI</w:t>
      </w:r>
      <w:r w:rsidR="00736F9C" w:rsidRPr="00E73875">
        <w:rPr>
          <w:rFonts w:ascii="Arial" w:hAnsi="Arial" w:cs="Arial"/>
          <w:b/>
          <w:bCs/>
        </w:rPr>
        <w:t xml:space="preserve"> </w:t>
      </w:r>
      <w:r w:rsidR="009A57C2" w:rsidRPr="00E73875">
        <w:rPr>
          <w:rFonts w:ascii="Arial" w:hAnsi="Arial" w:cs="Arial"/>
          <w:b/>
          <w:bCs/>
        </w:rPr>
        <w:t>→</w:t>
      </w:r>
      <w:r w:rsidRPr="00E73875">
        <w:rPr>
          <w:rFonts w:ascii="Arial" w:hAnsi="Arial" w:cs="Arial"/>
        </w:rPr>
        <w:t xml:space="preserve"> </w:t>
      </w:r>
    </w:p>
    <w:p w14:paraId="7347836F" w14:textId="0B5E896B" w:rsidR="005D0FE3" w:rsidRPr="00E73875" w:rsidRDefault="005D0FE3" w:rsidP="00E73875">
      <w:pPr>
        <w:spacing w:line="360" w:lineRule="auto"/>
        <w:jc w:val="both"/>
        <w:rPr>
          <w:rFonts w:ascii="Arial" w:hAnsi="Arial" w:cs="Arial"/>
        </w:rPr>
      </w:pPr>
      <w:r w:rsidRPr="00E73875">
        <w:rPr>
          <w:rFonts w:ascii="Arial" w:hAnsi="Arial" w:cs="Arial"/>
        </w:rPr>
        <w:t>Hilton executives and historians will discuss the company’s</w:t>
      </w:r>
      <w:r w:rsidRPr="00E73875">
        <w:rPr>
          <w:rFonts w:ascii="Arial" w:hAnsi="Arial" w:cs="Arial"/>
          <w:b/>
          <w:bCs/>
        </w:rPr>
        <w:t xml:space="preserve"> </w:t>
      </w:r>
      <w:r w:rsidRPr="00E73875">
        <w:rPr>
          <w:rFonts w:ascii="Arial" w:hAnsi="Arial" w:cs="Arial"/>
        </w:rPr>
        <w:t>evolution in workplace inclusion,</w:t>
      </w:r>
      <w:r w:rsidRPr="00E73875">
        <w:rPr>
          <w:rFonts w:ascii="Arial" w:hAnsi="Arial" w:cs="Arial"/>
          <w:b/>
          <w:bCs/>
        </w:rPr>
        <w:t xml:space="preserve"> </w:t>
      </w:r>
      <w:r w:rsidRPr="00E73875">
        <w:rPr>
          <w:rFonts w:ascii="Arial" w:hAnsi="Arial" w:cs="Arial"/>
        </w:rPr>
        <w:t>showcasing key milestones and challenges faced over the years (Hilton, 2024).</w:t>
      </w:r>
    </w:p>
    <w:p w14:paraId="4B178D25" w14:textId="0756BBDD" w:rsidR="002076FB" w:rsidRPr="00E73875" w:rsidRDefault="00F20060" w:rsidP="00E73875">
      <w:pPr>
        <w:spacing w:line="360" w:lineRule="auto"/>
        <w:jc w:val="both"/>
        <w:rPr>
          <w:rFonts w:ascii="Arial" w:hAnsi="Arial" w:cs="Arial"/>
          <w:b/>
          <w:bCs/>
          <w:i/>
          <w:iCs/>
        </w:rPr>
      </w:pPr>
      <w:r w:rsidRPr="00E73875">
        <w:rPr>
          <w:rFonts w:ascii="Arial" w:hAnsi="Arial" w:cs="Arial"/>
          <w:noProof/>
        </w:rPr>
        <w:drawing>
          <wp:anchor distT="0" distB="0" distL="114300" distR="114300" simplePos="0" relativeHeight="251661312" behindDoc="0" locked="0" layoutInCell="1" allowOverlap="1" wp14:anchorId="4B276A8A" wp14:editId="7D9043CB">
            <wp:simplePos x="0" y="0"/>
            <wp:positionH relativeFrom="margin">
              <wp:align>left</wp:align>
            </wp:positionH>
            <wp:positionV relativeFrom="paragraph">
              <wp:posOffset>9971</wp:posOffset>
            </wp:positionV>
            <wp:extent cx="3007360" cy="2256155"/>
            <wp:effectExtent l="0" t="0" r="2540" b="0"/>
            <wp:wrapSquare wrapText="bothSides"/>
            <wp:docPr id="266110271" name="Picture 6" descr="Dayu's Presentation at ASCE Geo-Risk Conference – Soga Researc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ayu's Presentation at ASCE Geo-Risk Conference – Soga Research Grou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7360" cy="2256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FE3" w:rsidRPr="00E73875">
        <w:rPr>
          <w:rFonts w:ascii="Arial" w:hAnsi="Arial" w:cs="Arial"/>
          <w:b/>
          <w:bCs/>
          <w:i/>
          <w:iCs/>
        </w:rPr>
        <w:t>Midday</w:t>
      </w:r>
      <w:r w:rsidR="00221692">
        <w:rPr>
          <w:rFonts w:ascii="Arial" w:hAnsi="Arial" w:cs="Arial"/>
          <w:b/>
          <w:bCs/>
          <w:i/>
          <w:iCs/>
        </w:rPr>
        <w:t xml:space="preserve"> </w:t>
      </w:r>
      <w:r w:rsidR="00221692" w:rsidRPr="00E73875">
        <w:rPr>
          <w:rFonts w:ascii="Arial" w:hAnsi="Arial" w:cs="Arial"/>
          <w:b/>
          <w:bCs/>
        </w:rPr>
        <w:t>→</w:t>
      </w:r>
      <w:r w:rsidR="005D0FE3" w:rsidRPr="00E73875">
        <w:rPr>
          <w:rFonts w:ascii="Arial" w:hAnsi="Arial" w:cs="Arial"/>
          <w:b/>
          <w:bCs/>
          <w:i/>
          <w:iCs/>
        </w:rPr>
        <w:t xml:space="preserve"> Discussion </w:t>
      </w:r>
      <w:r w:rsidR="00480B0B" w:rsidRPr="00E73875">
        <w:rPr>
          <w:rFonts w:ascii="Arial" w:hAnsi="Arial" w:cs="Arial"/>
          <w:b/>
          <w:bCs/>
          <w:i/>
          <w:iCs/>
        </w:rPr>
        <w:t>and</w:t>
      </w:r>
      <w:r w:rsidR="005D0FE3" w:rsidRPr="00E73875">
        <w:rPr>
          <w:rFonts w:ascii="Arial" w:hAnsi="Arial" w:cs="Arial"/>
          <w:b/>
          <w:bCs/>
          <w:i/>
          <w:iCs/>
        </w:rPr>
        <w:t xml:space="preserve"> Immersion</w:t>
      </w:r>
    </w:p>
    <w:p w14:paraId="52A86A55" w14:textId="77777777" w:rsidR="003F425B" w:rsidRPr="00E73875" w:rsidRDefault="005D0FE3" w:rsidP="000506C8">
      <w:pPr>
        <w:numPr>
          <w:ilvl w:val="0"/>
          <w:numId w:val="5"/>
        </w:numPr>
        <w:spacing w:line="360" w:lineRule="auto"/>
        <w:jc w:val="both"/>
        <w:rPr>
          <w:rFonts w:ascii="Arial" w:hAnsi="Arial" w:cs="Arial"/>
        </w:rPr>
      </w:pPr>
      <w:r w:rsidRPr="00E73875">
        <w:rPr>
          <w:rFonts w:ascii="Arial" w:hAnsi="Arial" w:cs="Arial"/>
          <w:u w:val="single"/>
        </w:rPr>
        <w:t xml:space="preserve">Panel Discussions – Inclusive Leadership </w:t>
      </w:r>
      <w:r w:rsidR="009A57C2" w:rsidRPr="00E73875">
        <w:rPr>
          <w:rFonts w:ascii="Arial" w:hAnsi="Arial" w:cs="Arial"/>
          <w:u w:val="single"/>
        </w:rPr>
        <w:t>and</w:t>
      </w:r>
      <w:r w:rsidRPr="00E73875">
        <w:rPr>
          <w:rFonts w:ascii="Arial" w:hAnsi="Arial" w:cs="Arial"/>
          <w:u w:val="single"/>
        </w:rPr>
        <w:t xml:space="preserve"> Workplace Diversity</w:t>
      </w:r>
      <w:r w:rsidR="00A55569" w:rsidRPr="00E73875">
        <w:rPr>
          <w:rFonts w:ascii="Arial" w:hAnsi="Arial" w:cs="Arial"/>
        </w:rPr>
        <w:t xml:space="preserve"> </w:t>
      </w:r>
      <w:r w:rsidR="009A57C2" w:rsidRPr="00E73875">
        <w:rPr>
          <w:rFonts w:ascii="Arial" w:hAnsi="Arial" w:cs="Arial"/>
          <w:b/>
          <w:bCs/>
        </w:rPr>
        <w:t>→</w:t>
      </w:r>
      <w:r w:rsidRPr="00E73875">
        <w:rPr>
          <w:rFonts w:ascii="Arial" w:hAnsi="Arial" w:cs="Arial"/>
        </w:rPr>
        <w:t xml:space="preserve"> </w:t>
      </w:r>
    </w:p>
    <w:p w14:paraId="64020211" w14:textId="6CBB7286" w:rsidR="005D0FE3" w:rsidRPr="00E73875" w:rsidRDefault="005D0FE3" w:rsidP="00E73875">
      <w:pPr>
        <w:spacing w:line="360" w:lineRule="auto"/>
        <w:jc w:val="both"/>
        <w:rPr>
          <w:rFonts w:ascii="Arial" w:hAnsi="Arial" w:cs="Arial"/>
        </w:rPr>
      </w:pPr>
      <w:r w:rsidRPr="00E73875">
        <w:rPr>
          <w:rFonts w:ascii="Arial" w:hAnsi="Arial" w:cs="Arial"/>
        </w:rPr>
        <w:t xml:space="preserve">Industry experts and thought leaders </w:t>
      </w:r>
      <w:r w:rsidR="00840DD8" w:rsidRPr="00E73875">
        <w:rPr>
          <w:rFonts w:ascii="Arial" w:hAnsi="Arial" w:cs="Arial"/>
        </w:rPr>
        <w:t>analyse</w:t>
      </w:r>
      <w:r w:rsidRPr="00E73875">
        <w:rPr>
          <w:rFonts w:ascii="Arial" w:hAnsi="Arial" w:cs="Arial"/>
        </w:rPr>
        <w:t xml:space="preserve"> trends and challenges in leadership equity. These discussions will highlight how </w:t>
      </w:r>
      <w:r w:rsidR="004539EA">
        <w:rPr>
          <w:rFonts w:ascii="Arial" w:hAnsi="Arial" w:cs="Arial"/>
        </w:rPr>
        <w:t>organisations</w:t>
      </w:r>
      <w:r w:rsidRPr="00E73875">
        <w:rPr>
          <w:rFonts w:ascii="Arial" w:hAnsi="Arial" w:cs="Arial"/>
        </w:rPr>
        <w:t xml:space="preserve"> can integrate diversity into corporate strategies (Patnaik, 2024).</w:t>
      </w:r>
    </w:p>
    <w:p w14:paraId="7E665200" w14:textId="77777777" w:rsidR="003F425B" w:rsidRPr="00E73875" w:rsidRDefault="005D0FE3" w:rsidP="000506C8">
      <w:pPr>
        <w:numPr>
          <w:ilvl w:val="0"/>
          <w:numId w:val="5"/>
        </w:numPr>
        <w:spacing w:line="360" w:lineRule="auto"/>
        <w:jc w:val="both"/>
        <w:rPr>
          <w:rFonts w:ascii="Arial" w:hAnsi="Arial" w:cs="Arial"/>
        </w:rPr>
      </w:pPr>
      <w:r w:rsidRPr="00E73875">
        <w:rPr>
          <w:rFonts w:ascii="Arial" w:hAnsi="Arial" w:cs="Arial"/>
          <w:u w:val="single"/>
        </w:rPr>
        <w:t xml:space="preserve">Interactive Displays </w:t>
      </w:r>
      <w:r w:rsidR="000F0A8B" w:rsidRPr="00E73875">
        <w:rPr>
          <w:rFonts w:ascii="Arial" w:hAnsi="Arial" w:cs="Arial"/>
          <w:u w:val="single"/>
        </w:rPr>
        <w:t>and</w:t>
      </w:r>
      <w:r w:rsidRPr="00E73875">
        <w:rPr>
          <w:rFonts w:ascii="Arial" w:hAnsi="Arial" w:cs="Arial"/>
          <w:u w:val="single"/>
        </w:rPr>
        <w:t xml:space="preserve"> VR Exhibits</w:t>
      </w:r>
      <w:r w:rsidR="00A55569" w:rsidRPr="00E73875">
        <w:rPr>
          <w:rFonts w:ascii="Arial" w:hAnsi="Arial" w:cs="Arial"/>
        </w:rPr>
        <w:t xml:space="preserve"> </w:t>
      </w:r>
      <w:r w:rsidR="000F0A8B" w:rsidRPr="00E73875">
        <w:rPr>
          <w:rFonts w:ascii="Arial" w:hAnsi="Arial" w:cs="Arial"/>
          <w:b/>
          <w:bCs/>
        </w:rPr>
        <w:t>→</w:t>
      </w:r>
      <w:r w:rsidRPr="00E73875">
        <w:rPr>
          <w:rFonts w:ascii="Arial" w:hAnsi="Arial" w:cs="Arial"/>
        </w:rPr>
        <w:t xml:space="preserve"> </w:t>
      </w:r>
    </w:p>
    <w:p w14:paraId="3C1623D6" w14:textId="14030298" w:rsidR="005D0FE3" w:rsidRPr="00E73875" w:rsidRDefault="005D0FE3" w:rsidP="00E73875">
      <w:pPr>
        <w:spacing w:line="360" w:lineRule="auto"/>
        <w:jc w:val="both"/>
        <w:rPr>
          <w:rFonts w:ascii="Arial" w:hAnsi="Arial" w:cs="Arial"/>
        </w:rPr>
      </w:pPr>
      <w:r w:rsidRPr="00E73875">
        <w:rPr>
          <w:rFonts w:ascii="Arial" w:hAnsi="Arial" w:cs="Arial"/>
        </w:rPr>
        <w:t xml:space="preserve">Guests can explore immersive exhibits showcasing Hilton’s local and global </w:t>
      </w:r>
      <w:r w:rsidR="00480909">
        <w:rPr>
          <w:rFonts w:ascii="Arial" w:hAnsi="Arial" w:cs="Arial"/>
        </w:rPr>
        <w:t>DEI</w:t>
      </w:r>
      <w:r w:rsidRPr="00E73875">
        <w:rPr>
          <w:rFonts w:ascii="Arial" w:hAnsi="Arial" w:cs="Arial"/>
        </w:rPr>
        <w:t xml:space="preserve"> efforts. Studies suggest that interactive elements enhance attendee engagement and create lasting impressions, making such exhibits a powerful storytelling tool (Silvers et al., 2005).</w:t>
      </w:r>
    </w:p>
    <w:p w14:paraId="7B4BC092" w14:textId="1A026644" w:rsidR="003F425B" w:rsidRPr="00E73875" w:rsidRDefault="005D0FE3" w:rsidP="000506C8">
      <w:pPr>
        <w:numPr>
          <w:ilvl w:val="0"/>
          <w:numId w:val="5"/>
        </w:numPr>
        <w:spacing w:line="360" w:lineRule="auto"/>
        <w:jc w:val="both"/>
        <w:rPr>
          <w:rFonts w:ascii="Arial" w:hAnsi="Arial" w:cs="Arial"/>
        </w:rPr>
      </w:pPr>
      <w:r w:rsidRPr="00E73875">
        <w:rPr>
          <w:rFonts w:ascii="Arial" w:hAnsi="Arial" w:cs="Arial"/>
          <w:u w:val="single"/>
        </w:rPr>
        <w:t xml:space="preserve">Lunch </w:t>
      </w:r>
      <w:r w:rsidR="000F0A8B" w:rsidRPr="00E73875">
        <w:rPr>
          <w:rFonts w:ascii="Arial" w:hAnsi="Arial" w:cs="Arial"/>
          <w:u w:val="single"/>
        </w:rPr>
        <w:t>and</w:t>
      </w:r>
      <w:r w:rsidRPr="00E73875">
        <w:rPr>
          <w:rFonts w:ascii="Arial" w:hAnsi="Arial" w:cs="Arial"/>
          <w:u w:val="single"/>
        </w:rPr>
        <w:t xml:space="preserve"> Networking with </w:t>
      </w:r>
      <w:r w:rsidR="00480909">
        <w:rPr>
          <w:rFonts w:ascii="Arial" w:hAnsi="Arial" w:cs="Arial"/>
          <w:u w:val="single"/>
        </w:rPr>
        <w:t>DEI</w:t>
      </w:r>
      <w:r w:rsidRPr="00E73875">
        <w:rPr>
          <w:rFonts w:ascii="Arial" w:hAnsi="Arial" w:cs="Arial"/>
          <w:u w:val="single"/>
        </w:rPr>
        <w:t xml:space="preserve"> Advocates</w:t>
      </w:r>
      <w:r w:rsidR="00A55569" w:rsidRPr="00E73875">
        <w:rPr>
          <w:rFonts w:ascii="Arial" w:hAnsi="Arial" w:cs="Arial"/>
        </w:rPr>
        <w:t xml:space="preserve"> </w:t>
      </w:r>
      <w:r w:rsidR="000F0A8B" w:rsidRPr="00E73875">
        <w:rPr>
          <w:rFonts w:ascii="Arial" w:hAnsi="Arial" w:cs="Arial"/>
          <w:b/>
          <w:bCs/>
        </w:rPr>
        <w:t>→</w:t>
      </w:r>
    </w:p>
    <w:p w14:paraId="3869A488" w14:textId="50F2974C" w:rsidR="005D0FE3" w:rsidRPr="00E73875" w:rsidRDefault="005D0FE3" w:rsidP="00E73875">
      <w:pPr>
        <w:spacing w:line="360" w:lineRule="auto"/>
        <w:jc w:val="both"/>
        <w:rPr>
          <w:rFonts w:ascii="Arial" w:hAnsi="Arial" w:cs="Arial"/>
        </w:rPr>
      </w:pPr>
      <w:r w:rsidRPr="00E73875">
        <w:rPr>
          <w:rFonts w:ascii="Arial" w:hAnsi="Arial" w:cs="Arial"/>
        </w:rPr>
        <w:t xml:space="preserve">An informal setting where guests can connect with business leaders, policymakers, and non-profit </w:t>
      </w:r>
      <w:r w:rsidR="004539EA">
        <w:rPr>
          <w:rFonts w:ascii="Arial" w:hAnsi="Arial" w:cs="Arial"/>
        </w:rPr>
        <w:t>organisations</w:t>
      </w:r>
      <w:r w:rsidRPr="00E73875">
        <w:rPr>
          <w:rFonts w:ascii="Arial" w:hAnsi="Arial" w:cs="Arial"/>
        </w:rPr>
        <w:t>, fostering meaningful dialogue on inclusion initiatives. Research highlights that networking during cultural events strengthens professional relationships and facilitates long-term collaborations (Getz and Page, 2024).</w:t>
      </w:r>
    </w:p>
    <w:p w14:paraId="47D9BC70" w14:textId="2BB7BB97"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Afternoon</w:t>
      </w:r>
      <w:r w:rsidR="00221692">
        <w:rPr>
          <w:rFonts w:ascii="Arial" w:hAnsi="Arial" w:cs="Arial"/>
          <w:b/>
          <w:bCs/>
          <w:i/>
          <w:iCs/>
        </w:rPr>
        <w:t xml:space="preserve"> </w:t>
      </w:r>
      <w:r w:rsidR="00221692" w:rsidRPr="00E73875">
        <w:rPr>
          <w:rFonts w:ascii="Arial" w:hAnsi="Arial" w:cs="Arial"/>
          <w:b/>
          <w:bCs/>
        </w:rPr>
        <w:t>→</w:t>
      </w:r>
      <w:r w:rsidRPr="00E73875">
        <w:rPr>
          <w:rFonts w:ascii="Arial" w:hAnsi="Arial" w:cs="Arial"/>
          <w:b/>
          <w:bCs/>
          <w:i/>
          <w:iCs/>
        </w:rPr>
        <w:t xml:space="preserve"> Cultural Celebration </w:t>
      </w:r>
      <w:r w:rsidR="00307906" w:rsidRPr="00E73875">
        <w:rPr>
          <w:rFonts w:ascii="Arial" w:hAnsi="Arial" w:cs="Arial"/>
          <w:b/>
          <w:bCs/>
          <w:i/>
          <w:iCs/>
        </w:rPr>
        <w:t>and</w:t>
      </w:r>
      <w:r w:rsidRPr="00E73875">
        <w:rPr>
          <w:rFonts w:ascii="Arial" w:hAnsi="Arial" w:cs="Arial"/>
          <w:b/>
          <w:bCs/>
          <w:i/>
          <w:iCs/>
        </w:rPr>
        <w:t xml:space="preserve"> Commitment</w:t>
      </w:r>
    </w:p>
    <w:p w14:paraId="46A08410" w14:textId="77777777" w:rsidR="00A919F3" w:rsidRPr="00E73875" w:rsidRDefault="005D0FE3" w:rsidP="000506C8">
      <w:pPr>
        <w:numPr>
          <w:ilvl w:val="0"/>
          <w:numId w:val="6"/>
        </w:numPr>
        <w:spacing w:line="360" w:lineRule="auto"/>
        <w:jc w:val="both"/>
        <w:rPr>
          <w:rFonts w:ascii="Arial" w:hAnsi="Arial" w:cs="Arial"/>
        </w:rPr>
      </w:pPr>
      <w:r w:rsidRPr="00E73875">
        <w:rPr>
          <w:rFonts w:ascii="Arial" w:hAnsi="Arial" w:cs="Arial"/>
          <w:u w:val="single"/>
        </w:rPr>
        <w:t>Cultural Performances (Storytelling, Art, Music)</w:t>
      </w:r>
      <w:r w:rsidR="00A919F3" w:rsidRPr="00E73875">
        <w:rPr>
          <w:rFonts w:ascii="Arial" w:hAnsi="Arial" w:cs="Arial"/>
          <w:b/>
          <w:bCs/>
        </w:rPr>
        <w:t xml:space="preserve"> </w:t>
      </w:r>
      <w:r w:rsidR="00480B0B" w:rsidRPr="00E73875">
        <w:rPr>
          <w:rFonts w:ascii="Arial" w:hAnsi="Arial" w:cs="Arial"/>
          <w:b/>
          <w:bCs/>
        </w:rPr>
        <w:t>→</w:t>
      </w:r>
      <w:r w:rsidRPr="00E73875">
        <w:rPr>
          <w:rFonts w:ascii="Arial" w:hAnsi="Arial" w:cs="Arial"/>
        </w:rPr>
        <w:t xml:space="preserve"> </w:t>
      </w:r>
    </w:p>
    <w:p w14:paraId="738457A6" w14:textId="77777777" w:rsidR="004538B9" w:rsidRPr="00E73875" w:rsidRDefault="004538B9" w:rsidP="00E73875">
      <w:pPr>
        <w:spacing w:line="360" w:lineRule="auto"/>
        <w:jc w:val="both"/>
        <w:rPr>
          <w:rFonts w:ascii="Arial" w:hAnsi="Arial" w:cs="Arial"/>
        </w:rPr>
      </w:pPr>
      <w:r w:rsidRPr="00E73875">
        <w:rPr>
          <w:rFonts w:ascii="Arial" w:hAnsi="Arial" w:cs="Arial"/>
        </w:rPr>
        <w:t>Hilton will partner with cultural organisations and local performers to present performances that reflect the diverse traditions and histories of the region. Arnott (2020) has conducted research that indicates that cultural elements in events can increase affective engagement and social inclusion.</w:t>
      </w:r>
    </w:p>
    <w:p w14:paraId="05EFFE65" w14:textId="786D8D99" w:rsidR="00A919F3" w:rsidRPr="00E73875" w:rsidRDefault="005D0FE3" w:rsidP="000506C8">
      <w:pPr>
        <w:pStyle w:val="ListParagraph"/>
        <w:numPr>
          <w:ilvl w:val="0"/>
          <w:numId w:val="25"/>
        </w:numPr>
        <w:spacing w:line="360" w:lineRule="auto"/>
        <w:jc w:val="both"/>
        <w:rPr>
          <w:rFonts w:ascii="Arial" w:hAnsi="Arial" w:cs="Arial"/>
          <w:b/>
          <w:bCs/>
        </w:rPr>
      </w:pPr>
      <w:r w:rsidRPr="00E73875">
        <w:rPr>
          <w:rFonts w:ascii="Arial" w:hAnsi="Arial" w:cs="Arial"/>
          <w:u w:val="single"/>
        </w:rPr>
        <w:t>Hilton’s Future Commitment to Inclusion – CEO Address</w:t>
      </w:r>
      <w:r w:rsidR="00A919F3" w:rsidRPr="00E73875">
        <w:rPr>
          <w:rFonts w:ascii="Arial" w:hAnsi="Arial" w:cs="Arial"/>
          <w:b/>
          <w:bCs/>
        </w:rPr>
        <w:t xml:space="preserve"> </w:t>
      </w:r>
      <w:r w:rsidR="00480B0B" w:rsidRPr="00E73875">
        <w:rPr>
          <w:rFonts w:ascii="Arial" w:hAnsi="Arial" w:cs="Arial"/>
          <w:b/>
          <w:bCs/>
        </w:rPr>
        <w:t>→</w:t>
      </w:r>
      <w:r w:rsidRPr="00E73875">
        <w:rPr>
          <w:rFonts w:ascii="Arial" w:hAnsi="Arial" w:cs="Arial"/>
          <w:b/>
          <w:bCs/>
        </w:rPr>
        <w:t xml:space="preserve"> </w:t>
      </w:r>
    </w:p>
    <w:p w14:paraId="0ADAD13B" w14:textId="07FF45C9" w:rsidR="00221692" w:rsidRPr="00E73875" w:rsidRDefault="005D0FE3" w:rsidP="00E73875">
      <w:pPr>
        <w:spacing w:line="360" w:lineRule="auto"/>
        <w:jc w:val="both"/>
        <w:rPr>
          <w:rFonts w:ascii="Arial" w:hAnsi="Arial" w:cs="Arial"/>
        </w:rPr>
      </w:pPr>
      <w:r w:rsidRPr="00E73875">
        <w:rPr>
          <w:rFonts w:ascii="Arial" w:hAnsi="Arial" w:cs="Arial"/>
        </w:rPr>
        <w:t xml:space="preserve">The Hilton leadership team will present future strategies for </w:t>
      </w:r>
      <w:r w:rsidR="00480909">
        <w:rPr>
          <w:rFonts w:ascii="Arial" w:hAnsi="Arial" w:cs="Arial"/>
        </w:rPr>
        <w:t>DEI</w:t>
      </w:r>
      <w:r w:rsidRPr="00E73875">
        <w:rPr>
          <w:rFonts w:ascii="Arial" w:hAnsi="Arial" w:cs="Arial"/>
        </w:rPr>
        <w:t xml:space="preserve"> in the hospitality industry, demonstrating their continued commitment beyond this celebration.</w:t>
      </w:r>
    </w:p>
    <w:p w14:paraId="7071DCEF" w14:textId="433DEE8D"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lastRenderedPageBreak/>
        <w:t>Evening</w:t>
      </w:r>
      <w:r w:rsidR="00221692">
        <w:rPr>
          <w:rFonts w:ascii="Arial" w:hAnsi="Arial" w:cs="Arial"/>
          <w:b/>
          <w:bCs/>
          <w:i/>
          <w:iCs/>
        </w:rPr>
        <w:t xml:space="preserve"> </w:t>
      </w:r>
      <w:r w:rsidR="00221692" w:rsidRPr="00E73875">
        <w:rPr>
          <w:rFonts w:ascii="Arial" w:hAnsi="Arial" w:cs="Arial"/>
          <w:b/>
          <w:bCs/>
        </w:rPr>
        <w:t>→</w:t>
      </w:r>
      <w:r w:rsidRPr="00E73875">
        <w:rPr>
          <w:rFonts w:ascii="Arial" w:hAnsi="Arial" w:cs="Arial"/>
          <w:b/>
          <w:bCs/>
          <w:i/>
          <w:iCs/>
        </w:rPr>
        <w:t xml:space="preserve"> Reflection </w:t>
      </w:r>
      <w:r w:rsidR="004F55AB" w:rsidRPr="00E73875">
        <w:rPr>
          <w:rFonts w:ascii="Arial" w:hAnsi="Arial" w:cs="Arial"/>
          <w:b/>
          <w:bCs/>
          <w:i/>
          <w:iCs/>
        </w:rPr>
        <w:t>and</w:t>
      </w:r>
      <w:r w:rsidRPr="00E73875">
        <w:rPr>
          <w:rFonts w:ascii="Arial" w:hAnsi="Arial" w:cs="Arial"/>
          <w:b/>
          <w:bCs/>
          <w:i/>
          <w:iCs/>
        </w:rPr>
        <w:t xml:space="preserve"> Connection</w:t>
      </w:r>
    </w:p>
    <w:p w14:paraId="7A1E4C13" w14:textId="2D124940" w:rsidR="00307906" w:rsidRPr="00E73875" w:rsidRDefault="005D0FE3" w:rsidP="000506C8">
      <w:pPr>
        <w:numPr>
          <w:ilvl w:val="0"/>
          <w:numId w:val="7"/>
        </w:numPr>
        <w:spacing w:line="360" w:lineRule="auto"/>
        <w:jc w:val="both"/>
        <w:rPr>
          <w:rFonts w:ascii="Arial" w:hAnsi="Arial" w:cs="Arial"/>
        </w:rPr>
      </w:pPr>
      <w:r w:rsidRPr="00E73875">
        <w:rPr>
          <w:rFonts w:ascii="Arial" w:hAnsi="Arial" w:cs="Arial"/>
          <w:u w:val="single"/>
        </w:rPr>
        <w:t xml:space="preserve">Gala Dinner </w:t>
      </w:r>
      <w:r w:rsidR="00AF4853" w:rsidRPr="00E73875">
        <w:rPr>
          <w:rFonts w:ascii="Arial" w:hAnsi="Arial" w:cs="Arial"/>
          <w:u w:val="single"/>
        </w:rPr>
        <w:t>and</w:t>
      </w:r>
      <w:r w:rsidRPr="00E73875">
        <w:rPr>
          <w:rFonts w:ascii="Arial" w:hAnsi="Arial" w:cs="Arial"/>
          <w:u w:val="single"/>
        </w:rPr>
        <w:t xml:space="preserve"> Closing Remarks</w:t>
      </w:r>
      <w:r w:rsidR="00307906" w:rsidRPr="00E73875">
        <w:rPr>
          <w:rFonts w:ascii="Arial" w:hAnsi="Arial" w:cs="Arial"/>
          <w:b/>
          <w:bCs/>
        </w:rPr>
        <w:t xml:space="preserve"> </w:t>
      </w:r>
      <w:r w:rsidR="00480B0B" w:rsidRPr="00E73875">
        <w:rPr>
          <w:rFonts w:ascii="Arial" w:hAnsi="Arial" w:cs="Arial"/>
          <w:b/>
          <w:bCs/>
        </w:rPr>
        <w:t>→</w:t>
      </w:r>
    </w:p>
    <w:p w14:paraId="3443E9DE" w14:textId="0AF0B792" w:rsidR="00FB0193" w:rsidRPr="00E73875" w:rsidRDefault="00FB0193" w:rsidP="00E73875">
      <w:pPr>
        <w:spacing w:line="360" w:lineRule="auto"/>
        <w:jc w:val="both"/>
        <w:rPr>
          <w:rFonts w:ascii="Arial" w:hAnsi="Arial" w:cs="Arial"/>
        </w:rPr>
      </w:pPr>
      <w:r w:rsidRPr="00E73875">
        <w:rPr>
          <w:rFonts w:ascii="Arial" w:hAnsi="Arial" w:cs="Arial"/>
        </w:rPr>
        <w:t xml:space="preserve">A formal dining experience that includes the recognition of key contributors to </w:t>
      </w:r>
      <w:r w:rsidR="00480909">
        <w:rPr>
          <w:rFonts w:ascii="Arial" w:hAnsi="Arial" w:cs="Arial"/>
        </w:rPr>
        <w:t>DEI</w:t>
      </w:r>
      <w:r w:rsidRPr="00E73875">
        <w:rPr>
          <w:rFonts w:ascii="Arial" w:hAnsi="Arial" w:cs="Arial"/>
        </w:rPr>
        <w:t xml:space="preserve"> efforts and the presence of guest speakers. Research indicates that well-executed concluding ceremonies help to reinforce event themes and leave lasting effects (Li, 2013).</w:t>
      </w:r>
    </w:p>
    <w:p w14:paraId="3C61B067" w14:textId="66ADCAA4" w:rsidR="00307906" w:rsidRPr="00E73875" w:rsidRDefault="005D0FE3" w:rsidP="000506C8">
      <w:pPr>
        <w:numPr>
          <w:ilvl w:val="0"/>
          <w:numId w:val="7"/>
        </w:numPr>
        <w:spacing w:line="360" w:lineRule="auto"/>
        <w:jc w:val="both"/>
        <w:rPr>
          <w:rFonts w:ascii="Arial" w:hAnsi="Arial" w:cs="Arial"/>
        </w:rPr>
      </w:pPr>
      <w:r w:rsidRPr="00E73875">
        <w:rPr>
          <w:rFonts w:ascii="Arial" w:hAnsi="Arial" w:cs="Arial"/>
          <w:u w:val="single"/>
        </w:rPr>
        <w:t>Virtual Networking for Hybrid Attendees</w:t>
      </w:r>
      <w:r w:rsidR="00307906" w:rsidRPr="00E73875">
        <w:rPr>
          <w:rFonts w:ascii="Arial" w:hAnsi="Arial" w:cs="Arial"/>
          <w:b/>
          <w:bCs/>
        </w:rPr>
        <w:t xml:space="preserve"> </w:t>
      </w:r>
      <w:r w:rsidR="00480B0B" w:rsidRPr="00E73875">
        <w:rPr>
          <w:rFonts w:ascii="Arial" w:hAnsi="Arial" w:cs="Arial"/>
          <w:b/>
          <w:bCs/>
        </w:rPr>
        <w:t>→</w:t>
      </w:r>
      <w:r w:rsidRPr="00E73875">
        <w:rPr>
          <w:rFonts w:ascii="Arial" w:hAnsi="Arial" w:cs="Arial"/>
          <w:b/>
          <w:bCs/>
        </w:rPr>
        <w:t xml:space="preserve"> </w:t>
      </w:r>
    </w:p>
    <w:p w14:paraId="33D3CC64" w14:textId="25196C10" w:rsidR="00186E9E" w:rsidRPr="00E73875" w:rsidRDefault="00186E9E" w:rsidP="00E73875">
      <w:pPr>
        <w:spacing w:line="360" w:lineRule="auto"/>
        <w:jc w:val="both"/>
        <w:rPr>
          <w:rFonts w:ascii="Arial" w:hAnsi="Arial" w:cs="Arial"/>
        </w:rPr>
      </w:pPr>
      <w:r w:rsidRPr="00E73875">
        <w:rPr>
          <w:rFonts w:ascii="Arial" w:hAnsi="Arial" w:cs="Arial"/>
        </w:rPr>
        <w:t>Remote attendees can engage in live-streamed discussions and breakout sessions</w:t>
      </w:r>
      <w:r w:rsidR="004539EA">
        <w:rPr>
          <w:rFonts w:ascii="Arial" w:hAnsi="Arial" w:cs="Arial"/>
        </w:rPr>
        <w:t>,</w:t>
      </w:r>
      <w:r w:rsidRPr="00E73875">
        <w:rPr>
          <w:rFonts w:ascii="Arial" w:hAnsi="Arial" w:cs="Arial"/>
        </w:rPr>
        <w:t xml:space="preserve"> achieving global accessibility </w:t>
      </w:r>
      <w:r w:rsidR="004539EA">
        <w:rPr>
          <w:rFonts w:ascii="Arial" w:hAnsi="Arial" w:cs="Arial"/>
        </w:rPr>
        <w:t xml:space="preserve">and expanding engagement outside </w:t>
      </w:r>
      <w:r w:rsidRPr="00E73875">
        <w:rPr>
          <w:rFonts w:ascii="Arial" w:hAnsi="Arial" w:cs="Arial"/>
        </w:rPr>
        <w:t>the physical venue (Seid and Ali, 2024).</w:t>
      </w:r>
    </w:p>
    <w:p w14:paraId="4FE58736" w14:textId="6DD39C73" w:rsidR="00A8058D" w:rsidRPr="00A8058D" w:rsidRDefault="00186E9E" w:rsidP="00DD116F">
      <w:pPr>
        <w:spacing w:line="360" w:lineRule="auto"/>
        <w:jc w:val="both"/>
        <w:rPr>
          <w:rFonts w:ascii="Arial" w:hAnsi="Arial" w:cs="Arial"/>
        </w:rPr>
      </w:pPr>
      <w:r w:rsidRPr="00E73875">
        <w:rPr>
          <w:rFonts w:ascii="Arial" w:hAnsi="Arial" w:cs="Arial"/>
        </w:rPr>
        <w:t xml:space="preserve">This event is </w:t>
      </w:r>
      <w:r w:rsidR="004539EA">
        <w:rPr>
          <w:rFonts w:ascii="Arial" w:hAnsi="Arial" w:cs="Arial"/>
        </w:rPr>
        <w:t>informative, emotionally engaging,</w:t>
      </w:r>
      <w:r w:rsidRPr="00E73875">
        <w:rPr>
          <w:rFonts w:ascii="Arial" w:hAnsi="Arial" w:cs="Arial"/>
        </w:rPr>
        <w:t xml:space="preserve"> and action-oriented, as it is a structured combination of education, networking, and cultural celebration.</w:t>
      </w:r>
    </w:p>
    <w:p w14:paraId="2735FC12" w14:textId="058C055E" w:rsidR="00DD116F" w:rsidRPr="00DD116F" w:rsidRDefault="00D977D4" w:rsidP="00DD116F">
      <w:pPr>
        <w:spacing w:line="360" w:lineRule="auto"/>
        <w:jc w:val="both"/>
        <w:rPr>
          <w:rFonts w:ascii="Arial" w:hAnsi="Arial" w:cs="Arial"/>
          <w:b/>
          <w:bCs/>
        </w:rPr>
      </w:pPr>
      <w:r>
        <w:rPr>
          <w:noProof/>
        </w:rPr>
        <w:drawing>
          <wp:anchor distT="0" distB="0" distL="114300" distR="114300" simplePos="0" relativeHeight="251674624" behindDoc="0" locked="0" layoutInCell="1" allowOverlap="1" wp14:anchorId="19153C13" wp14:editId="43E6AEE6">
            <wp:simplePos x="0" y="0"/>
            <wp:positionH relativeFrom="margin">
              <wp:align>left</wp:align>
            </wp:positionH>
            <wp:positionV relativeFrom="paragraph">
              <wp:posOffset>340360</wp:posOffset>
            </wp:positionV>
            <wp:extent cx="3061970" cy="2263775"/>
            <wp:effectExtent l="0" t="0" r="5080" b="3175"/>
            <wp:wrapSquare wrapText="bothSides"/>
            <wp:docPr id="1040798902" name="Picture 4"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651" t="5367" r="10019"/>
                    <a:stretch/>
                  </pic:blipFill>
                  <pic:spPr bwMode="auto">
                    <a:xfrm>
                      <a:off x="0" y="0"/>
                      <a:ext cx="3061970" cy="2263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16F" w:rsidRPr="00DD116F">
        <w:rPr>
          <w:rFonts w:ascii="Arial" w:hAnsi="Arial" w:cs="Arial"/>
          <w:b/>
          <w:bCs/>
        </w:rPr>
        <w:t xml:space="preserve">Psychological and Social Engagement </w:t>
      </w:r>
      <w:r w:rsidR="00C75CCF" w:rsidRPr="00A8058D">
        <w:rPr>
          <w:rFonts w:ascii="Arial" w:hAnsi="Arial" w:cs="Arial"/>
          <w:b/>
          <w:bCs/>
        </w:rPr>
        <w:t>→</w:t>
      </w:r>
      <w:r w:rsidR="00DD116F" w:rsidRPr="00DD116F">
        <w:rPr>
          <w:rFonts w:ascii="Arial" w:hAnsi="Arial" w:cs="Arial"/>
          <w:b/>
          <w:bCs/>
        </w:rPr>
        <w:t xml:space="preserve"> Applying Maslow’s Hierarchy</w:t>
      </w:r>
      <w:r w:rsidR="000F0AC3" w:rsidRPr="00A8058D">
        <w:rPr>
          <w:rFonts w:ascii="Arial" w:hAnsi="Arial" w:cs="Arial"/>
          <w:b/>
          <w:bCs/>
        </w:rPr>
        <w:t xml:space="preserve"> (1968)</w:t>
      </w:r>
    </w:p>
    <w:p w14:paraId="5D14051F" w14:textId="22432916" w:rsidR="00DD116F" w:rsidRPr="00DD116F" w:rsidRDefault="00DD116F" w:rsidP="00DD116F">
      <w:pPr>
        <w:spacing w:line="360" w:lineRule="auto"/>
        <w:jc w:val="both"/>
        <w:rPr>
          <w:rFonts w:ascii="Arial" w:hAnsi="Arial" w:cs="Arial"/>
        </w:rPr>
      </w:pPr>
      <w:r w:rsidRPr="00DD116F">
        <w:rPr>
          <w:rFonts w:ascii="Arial" w:hAnsi="Arial" w:cs="Arial"/>
        </w:rPr>
        <w:t>Hilton’s event design strategy aligns with Maslow’s Hierarchy of Needs</w:t>
      </w:r>
      <w:r w:rsidR="00D53F3B">
        <w:rPr>
          <w:rFonts w:ascii="Arial" w:hAnsi="Arial" w:cs="Arial"/>
        </w:rPr>
        <w:t xml:space="preserve"> (</w:t>
      </w:r>
      <w:r w:rsidR="00D53F3B" w:rsidRPr="00D53F3B">
        <w:rPr>
          <w:rFonts w:ascii="Arial" w:hAnsi="Arial" w:cs="Arial"/>
        </w:rPr>
        <w:t>1968</w:t>
      </w:r>
      <w:r w:rsidR="00D53F3B">
        <w:rPr>
          <w:rFonts w:ascii="Arial" w:hAnsi="Arial" w:cs="Arial"/>
        </w:rPr>
        <w:t>)</w:t>
      </w:r>
      <w:r w:rsidRPr="00DD116F">
        <w:rPr>
          <w:rFonts w:ascii="Arial" w:hAnsi="Arial" w:cs="Arial"/>
        </w:rPr>
        <w:t xml:space="preserve">, </w:t>
      </w:r>
      <w:r w:rsidR="003A0E86">
        <w:rPr>
          <w:rFonts w:ascii="Arial" w:hAnsi="Arial" w:cs="Arial"/>
        </w:rPr>
        <w:t>creating</w:t>
      </w:r>
      <w:r w:rsidRPr="00DD116F">
        <w:rPr>
          <w:rFonts w:ascii="Arial" w:hAnsi="Arial" w:cs="Arial"/>
        </w:rPr>
        <w:t xml:space="preserve"> </w:t>
      </w:r>
      <w:r w:rsidR="009609B0">
        <w:rPr>
          <w:rFonts w:ascii="Arial" w:hAnsi="Arial" w:cs="Arial"/>
        </w:rPr>
        <w:t>a</w:t>
      </w:r>
      <w:r w:rsidRPr="00DD116F">
        <w:rPr>
          <w:rFonts w:ascii="Arial" w:hAnsi="Arial" w:cs="Arial"/>
        </w:rPr>
        <w:t xml:space="preserve"> </w:t>
      </w:r>
      <w:r w:rsidR="009609B0">
        <w:rPr>
          <w:rFonts w:ascii="Arial" w:hAnsi="Arial" w:cs="Arial"/>
        </w:rPr>
        <w:t>c</w:t>
      </w:r>
      <w:r w:rsidR="009609B0" w:rsidRPr="009609B0">
        <w:rPr>
          <w:rFonts w:ascii="Arial" w:hAnsi="Arial" w:cs="Arial"/>
        </w:rPr>
        <w:t>aptivating</w:t>
      </w:r>
      <w:r w:rsidRPr="00DD116F">
        <w:rPr>
          <w:rFonts w:ascii="Arial" w:hAnsi="Arial" w:cs="Arial"/>
        </w:rPr>
        <w:t>, inclusive, and fulfilling experience for attendees.</w:t>
      </w:r>
    </w:p>
    <w:p w14:paraId="7427A491" w14:textId="77777777" w:rsidR="009742F8" w:rsidRDefault="00DD116F" w:rsidP="00DD116F">
      <w:pPr>
        <w:numPr>
          <w:ilvl w:val="0"/>
          <w:numId w:val="5"/>
        </w:numPr>
        <w:tabs>
          <w:tab w:val="clear" w:pos="360"/>
          <w:tab w:val="num" w:pos="720"/>
        </w:tabs>
        <w:spacing w:line="360" w:lineRule="auto"/>
        <w:jc w:val="both"/>
        <w:rPr>
          <w:rFonts w:ascii="Arial" w:hAnsi="Arial" w:cs="Arial"/>
        </w:rPr>
      </w:pPr>
      <w:r w:rsidRPr="00DD116F">
        <w:rPr>
          <w:rFonts w:ascii="Arial" w:hAnsi="Arial" w:cs="Arial"/>
          <w:u w:val="single"/>
        </w:rPr>
        <w:t>Physiological &amp; Safety Needs</w:t>
      </w:r>
      <w:r w:rsidRPr="00DD116F">
        <w:rPr>
          <w:rFonts w:ascii="Arial" w:hAnsi="Arial" w:cs="Arial"/>
        </w:rPr>
        <w:t xml:space="preserve"> → </w:t>
      </w:r>
    </w:p>
    <w:p w14:paraId="64155425" w14:textId="4CF72767" w:rsidR="00DD116F" w:rsidRPr="00DD116F" w:rsidRDefault="00DD116F" w:rsidP="009742F8">
      <w:pPr>
        <w:spacing w:line="360" w:lineRule="auto"/>
        <w:jc w:val="both"/>
        <w:rPr>
          <w:rFonts w:ascii="Arial" w:hAnsi="Arial" w:cs="Arial"/>
        </w:rPr>
      </w:pPr>
      <w:r w:rsidRPr="00DD116F">
        <w:rPr>
          <w:rFonts w:ascii="Arial" w:hAnsi="Arial" w:cs="Arial"/>
        </w:rPr>
        <w:t xml:space="preserve">High-quality catering, secure venues, and comfortable seating arrangements </w:t>
      </w:r>
      <w:r w:rsidR="009742F8">
        <w:rPr>
          <w:rFonts w:ascii="Arial" w:hAnsi="Arial" w:cs="Arial"/>
        </w:rPr>
        <w:t>meet attendees' basic needs</w:t>
      </w:r>
      <w:r w:rsidRPr="00DD116F">
        <w:rPr>
          <w:rFonts w:ascii="Arial" w:hAnsi="Arial" w:cs="Arial"/>
        </w:rPr>
        <w:t>. Hybrid event accessibility further provides a safe and flexible participation option.</w:t>
      </w:r>
    </w:p>
    <w:p w14:paraId="3B3B3997" w14:textId="77777777" w:rsidR="009742F8" w:rsidRDefault="00DD116F" w:rsidP="00DD116F">
      <w:pPr>
        <w:numPr>
          <w:ilvl w:val="0"/>
          <w:numId w:val="5"/>
        </w:numPr>
        <w:tabs>
          <w:tab w:val="clear" w:pos="360"/>
          <w:tab w:val="num" w:pos="720"/>
        </w:tabs>
        <w:spacing w:line="360" w:lineRule="auto"/>
        <w:jc w:val="both"/>
        <w:rPr>
          <w:rFonts w:ascii="Arial" w:hAnsi="Arial" w:cs="Arial"/>
        </w:rPr>
      </w:pPr>
      <w:r w:rsidRPr="00DD116F">
        <w:rPr>
          <w:rFonts w:ascii="Arial" w:hAnsi="Arial" w:cs="Arial"/>
          <w:u w:val="single"/>
        </w:rPr>
        <w:t>Belonging &amp; Esteem Needs</w:t>
      </w:r>
      <w:r w:rsidRPr="00DD116F">
        <w:rPr>
          <w:rFonts w:ascii="Arial" w:hAnsi="Arial" w:cs="Arial"/>
        </w:rPr>
        <w:t xml:space="preserve"> → </w:t>
      </w:r>
    </w:p>
    <w:p w14:paraId="214A0023" w14:textId="2648358D" w:rsidR="00DD116F" w:rsidRPr="00DD116F" w:rsidRDefault="00DD116F" w:rsidP="009742F8">
      <w:pPr>
        <w:spacing w:line="360" w:lineRule="auto"/>
        <w:jc w:val="both"/>
        <w:rPr>
          <w:rFonts w:ascii="Arial" w:hAnsi="Arial" w:cs="Arial"/>
        </w:rPr>
      </w:pPr>
      <w:r w:rsidRPr="00DD116F">
        <w:rPr>
          <w:rFonts w:ascii="Arial" w:hAnsi="Arial" w:cs="Arial"/>
        </w:rPr>
        <w:t>Networking lounges, VIP roundtables, and AI-driven matchmaking tools facilitate meaningful industry connections. Recognition of DEI advocates and contributors during the closing gala fosters a sense of achievement and prestige.</w:t>
      </w:r>
    </w:p>
    <w:p w14:paraId="38969DD7" w14:textId="77777777" w:rsidR="00C75CCF" w:rsidRDefault="00DD116F" w:rsidP="00C75CCF">
      <w:pPr>
        <w:numPr>
          <w:ilvl w:val="0"/>
          <w:numId w:val="5"/>
        </w:numPr>
        <w:tabs>
          <w:tab w:val="clear" w:pos="360"/>
          <w:tab w:val="num" w:pos="720"/>
        </w:tabs>
        <w:spacing w:line="360" w:lineRule="auto"/>
        <w:jc w:val="both"/>
        <w:rPr>
          <w:rFonts w:ascii="Arial" w:hAnsi="Arial" w:cs="Arial"/>
        </w:rPr>
      </w:pPr>
      <w:r w:rsidRPr="00DD116F">
        <w:rPr>
          <w:rFonts w:ascii="Arial" w:hAnsi="Arial" w:cs="Arial"/>
          <w:u w:val="single"/>
        </w:rPr>
        <w:t>Self-Actuali</w:t>
      </w:r>
      <w:r w:rsidR="00C75CCF">
        <w:rPr>
          <w:rFonts w:ascii="Arial" w:hAnsi="Arial" w:cs="Arial"/>
          <w:u w:val="single"/>
        </w:rPr>
        <w:t>s</w:t>
      </w:r>
      <w:r w:rsidRPr="00DD116F">
        <w:rPr>
          <w:rFonts w:ascii="Arial" w:hAnsi="Arial" w:cs="Arial"/>
          <w:u w:val="single"/>
        </w:rPr>
        <w:t>ation</w:t>
      </w:r>
      <w:r w:rsidRPr="00DD116F">
        <w:rPr>
          <w:rFonts w:ascii="Arial" w:hAnsi="Arial" w:cs="Arial"/>
        </w:rPr>
        <w:t xml:space="preserve"> → </w:t>
      </w:r>
    </w:p>
    <w:p w14:paraId="0A56B1A2" w14:textId="72777EAF" w:rsidR="00DD116F" w:rsidRPr="00E73875" w:rsidRDefault="00DD116F" w:rsidP="00E73875">
      <w:pPr>
        <w:spacing w:line="360" w:lineRule="auto"/>
        <w:jc w:val="both"/>
        <w:rPr>
          <w:rFonts w:ascii="Arial" w:hAnsi="Arial" w:cs="Arial"/>
        </w:rPr>
      </w:pPr>
      <w:r w:rsidRPr="00DD116F">
        <w:rPr>
          <w:rFonts w:ascii="Arial" w:hAnsi="Arial" w:cs="Arial"/>
        </w:rPr>
        <w:t xml:space="preserve">Tailored leadership sessions, interactive DEI panels, and cultural performances empower attendees to engage intellectually and personally, </w:t>
      </w:r>
      <w:r w:rsidR="00F13EC0" w:rsidRPr="00DD116F">
        <w:rPr>
          <w:rFonts w:ascii="Arial" w:hAnsi="Arial" w:cs="Arial"/>
        </w:rPr>
        <w:t>increasing</w:t>
      </w:r>
      <w:r w:rsidRPr="00DD116F">
        <w:rPr>
          <w:rFonts w:ascii="Arial" w:hAnsi="Arial" w:cs="Arial"/>
        </w:rPr>
        <w:t xml:space="preserve"> their long-term industry impact (Patnaik, 2024)</w:t>
      </w:r>
      <w:r w:rsidR="003B5B40">
        <w:rPr>
          <w:rFonts w:ascii="Arial" w:hAnsi="Arial" w:cs="Arial"/>
        </w:rPr>
        <w:t>.</w:t>
      </w:r>
    </w:p>
    <w:p w14:paraId="77928811" w14:textId="698DD2FA" w:rsidR="005D0FE3" w:rsidRPr="00E73875" w:rsidRDefault="005D0FE3" w:rsidP="00E73875">
      <w:pPr>
        <w:spacing w:line="360" w:lineRule="auto"/>
        <w:jc w:val="both"/>
        <w:rPr>
          <w:rFonts w:ascii="Arial" w:hAnsi="Arial" w:cs="Arial"/>
          <w:b/>
          <w:bCs/>
          <w:u w:val="single"/>
        </w:rPr>
      </w:pPr>
      <w:r w:rsidRPr="00E73875">
        <w:rPr>
          <w:rFonts w:ascii="Arial" w:hAnsi="Arial" w:cs="Arial"/>
          <w:b/>
          <w:bCs/>
          <w:u w:val="single"/>
        </w:rPr>
        <w:lastRenderedPageBreak/>
        <w:t>Aim and Objectives</w:t>
      </w:r>
    </w:p>
    <w:p w14:paraId="092DCEFC" w14:textId="11C3DB24" w:rsidR="00933EE0" w:rsidRPr="006163E1" w:rsidRDefault="006163E1" w:rsidP="00E73875">
      <w:pPr>
        <w:spacing w:line="360" w:lineRule="auto"/>
        <w:jc w:val="both"/>
        <w:rPr>
          <w:rFonts w:ascii="Arial" w:hAnsi="Arial" w:cs="Arial"/>
        </w:rPr>
      </w:pPr>
      <w:r>
        <w:rPr>
          <w:noProof/>
        </w:rPr>
        <w:drawing>
          <wp:anchor distT="0" distB="0" distL="114300" distR="114300" simplePos="0" relativeHeight="251668480" behindDoc="0" locked="0" layoutInCell="1" allowOverlap="1" wp14:anchorId="7643BB69" wp14:editId="16D7F8BC">
            <wp:simplePos x="0" y="0"/>
            <wp:positionH relativeFrom="margin">
              <wp:align>left</wp:align>
            </wp:positionH>
            <wp:positionV relativeFrom="paragraph">
              <wp:posOffset>5893</wp:posOffset>
            </wp:positionV>
            <wp:extent cx="2363470" cy="1329055"/>
            <wp:effectExtent l="0" t="0" r="0" b="4445"/>
            <wp:wrapSquare wrapText="bothSides"/>
            <wp:docPr id="225855161" name="Picture 8" descr="AIM AND OBJECTIVES OF RESEARCH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IM AND OBJECTIVES OF RESEARCH WITH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3987" cy="13403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B37" w:rsidRPr="00E67B37">
        <w:rPr>
          <w:rFonts w:ascii="Arial" w:hAnsi="Arial" w:cs="Arial"/>
        </w:rPr>
        <w:t xml:space="preserve">The Hilton 100th Anniversary Event was created to commemorate the company's </w:t>
      </w:r>
      <w:r w:rsidR="004539EA">
        <w:rPr>
          <w:rFonts w:ascii="Arial" w:hAnsi="Arial" w:cs="Arial"/>
        </w:rPr>
        <w:t>inclusivity legacy and</w:t>
      </w:r>
      <w:r w:rsidR="00E67B37" w:rsidRPr="00E67B37">
        <w:rPr>
          <w:rFonts w:ascii="Arial" w:hAnsi="Arial" w:cs="Arial"/>
        </w:rPr>
        <w:t xml:space="preserve"> encourage a global dialogue on Equality, Diversity, and Inclusion (DEI). The event attempts to improve awareness, engagement, and long-term impact by incorporating educational panels, cultural engagement, and digital interactivity (Getz and Page, 2024).</w:t>
      </w:r>
    </w:p>
    <w:p w14:paraId="4685446B" w14:textId="594362B0"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Aim</w:t>
      </w:r>
    </w:p>
    <w:p w14:paraId="019E8A80" w14:textId="24D21431" w:rsidR="005D0FE3" w:rsidRDefault="00B17A49" w:rsidP="000506C8">
      <w:pPr>
        <w:pStyle w:val="ListParagraph"/>
        <w:numPr>
          <w:ilvl w:val="0"/>
          <w:numId w:val="26"/>
        </w:numPr>
        <w:spacing w:line="360" w:lineRule="auto"/>
        <w:jc w:val="both"/>
        <w:rPr>
          <w:rFonts w:ascii="Arial" w:hAnsi="Arial" w:cs="Arial"/>
        </w:rPr>
      </w:pPr>
      <w:r>
        <w:rPr>
          <w:rFonts w:ascii="Arial" w:hAnsi="Arial" w:cs="Arial"/>
        </w:rPr>
        <w:t>The event aims</w:t>
      </w:r>
      <w:r w:rsidR="001C240D" w:rsidRPr="001C240D">
        <w:rPr>
          <w:rFonts w:ascii="Arial" w:hAnsi="Arial" w:cs="Arial"/>
        </w:rPr>
        <w:t xml:space="preserve"> t</w:t>
      </w:r>
      <w:r w:rsidR="005D0FE3" w:rsidRPr="001C240D">
        <w:rPr>
          <w:rFonts w:ascii="Arial" w:hAnsi="Arial" w:cs="Arial"/>
        </w:rPr>
        <w:t xml:space="preserve">o commemorate Hilton’s leadership in </w:t>
      </w:r>
      <w:r w:rsidR="00480909" w:rsidRPr="001C240D">
        <w:rPr>
          <w:rFonts w:ascii="Arial" w:hAnsi="Arial" w:cs="Arial"/>
        </w:rPr>
        <w:t>DEI</w:t>
      </w:r>
      <w:r w:rsidR="005D0FE3" w:rsidRPr="001C240D">
        <w:rPr>
          <w:rFonts w:ascii="Arial" w:hAnsi="Arial" w:cs="Arial"/>
        </w:rPr>
        <w:t xml:space="preserve"> while providing a platform for global stakeholders to discuss advancements and challenges in creating inclusive spaces (Allen et al., 2000).</w:t>
      </w:r>
    </w:p>
    <w:p w14:paraId="150B3D25" w14:textId="279DC00E" w:rsidR="00230A67" w:rsidRPr="00B268C9" w:rsidRDefault="00230A67" w:rsidP="00B268C9">
      <w:pPr>
        <w:spacing w:line="360" w:lineRule="auto"/>
        <w:jc w:val="both"/>
        <w:rPr>
          <w:rFonts w:ascii="Arial" w:hAnsi="Arial" w:cs="Arial"/>
        </w:rPr>
      </w:pPr>
      <w:r>
        <w:rPr>
          <w:noProof/>
        </w:rPr>
        <w:drawing>
          <wp:inline distT="0" distB="0" distL="0" distR="0" wp14:anchorId="7AF4700C" wp14:editId="068BB637">
            <wp:extent cx="5943600" cy="2466753"/>
            <wp:effectExtent l="0" t="0" r="0" b="0"/>
            <wp:docPr id="70140902" name="Picture 2" descr="SMART goal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 goals template"/>
                    <pic:cNvPicPr>
                      <a:picLocks noChangeAspect="1" noChangeArrowheads="1"/>
                    </pic:cNvPicPr>
                  </pic:nvPicPr>
                  <pic:blipFill rotWithShape="1">
                    <a:blip r:embed="rId13">
                      <a:extLst>
                        <a:ext uri="{28A0092B-C50C-407E-A947-70E740481C1C}">
                          <a14:useLocalDpi xmlns:a14="http://schemas.microsoft.com/office/drawing/2010/main" val="0"/>
                        </a:ext>
                      </a:extLst>
                    </a:blip>
                    <a:srcRect b="16924"/>
                    <a:stretch/>
                  </pic:blipFill>
                  <pic:spPr bwMode="auto">
                    <a:xfrm>
                      <a:off x="0" y="0"/>
                      <a:ext cx="5943600" cy="2466753"/>
                    </a:xfrm>
                    <a:prstGeom prst="rect">
                      <a:avLst/>
                    </a:prstGeom>
                    <a:noFill/>
                    <a:ln>
                      <a:noFill/>
                    </a:ln>
                    <a:extLst>
                      <a:ext uri="{53640926-AAD7-44D8-BBD7-CCE9431645EC}">
                        <a14:shadowObscured xmlns:a14="http://schemas.microsoft.com/office/drawing/2010/main"/>
                      </a:ext>
                    </a:extLst>
                  </pic:spPr>
                </pic:pic>
              </a:graphicData>
            </a:graphic>
          </wp:inline>
        </w:drawing>
      </w:r>
    </w:p>
    <w:p w14:paraId="3A340ADF" w14:textId="53D0793C"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SMART Objectives</w:t>
      </w:r>
    </w:p>
    <w:p w14:paraId="0CF156C4" w14:textId="29DE06E8" w:rsidR="00DF18F6" w:rsidRPr="00DF18F6" w:rsidRDefault="00DF18F6" w:rsidP="000506C8">
      <w:pPr>
        <w:numPr>
          <w:ilvl w:val="0"/>
          <w:numId w:val="8"/>
        </w:numPr>
        <w:spacing w:line="360" w:lineRule="auto"/>
        <w:jc w:val="both"/>
        <w:rPr>
          <w:rFonts w:ascii="Arial" w:hAnsi="Arial" w:cs="Arial"/>
        </w:rPr>
      </w:pPr>
      <w:r w:rsidRPr="00DF18F6">
        <w:rPr>
          <w:rFonts w:ascii="Arial" w:hAnsi="Arial" w:cs="Arial"/>
        </w:rPr>
        <w:t xml:space="preserve">Ensure that </w:t>
      </w:r>
      <w:r w:rsidR="004539EA">
        <w:rPr>
          <w:rFonts w:ascii="Arial" w:hAnsi="Arial" w:cs="Arial"/>
        </w:rPr>
        <w:t>at least</w:t>
      </w:r>
      <w:r w:rsidRPr="00DF18F6">
        <w:rPr>
          <w:rFonts w:ascii="Arial" w:hAnsi="Arial" w:cs="Arial"/>
        </w:rPr>
        <w:t xml:space="preserve"> 70% of attendees interact with critical digital or physical displays by promoting Hilton's DEI initiatives through interactive content and expert-led discussions (Salama, 2021).</w:t>
      </w:r>
    </w:p>
    <w:p w14:paraId="4E3ED75D" w14:textId="77777777" w:rsidR="00B20D45" w:rsidRDefault="00BB0A4E" w:rsidP="000506C8">
      <w:pPr>
        <w:numPr>
          <w:ilvl w:val="0"/>
          <w:numId w:val="8"/>
        </w:numPr>
        <w:spacing w:line="360" w:lineRule="auto"/>
        <w:jc w:val="both"/>
        <w:rPr>
          <w:rFonts w:ascii="Arial" w:hAnsi="Arial" w:cs="Arial"/>
        </w:rPr>
      </w:pPr>
      <w:r w:rsidRPr="00BB0A4E">
        <w:rPr>
          <w:rFonts w:ascii="Arial" w:hAnsi="Arial" w:cs="Arial"/>
        </w:rPr>
        <w:t>Increase engagement by 25% by utilising real-time updates, influencer partnerships, and virtual networking to achieve a 25% increase in social media participation through #Hilton100Inclusion (Ramadhan and Wibowo, 2022).</w:t>
      </w:r>
    </w:p>
    <w:p w14:paraId="083EC367" w14:textId="576D0541" w:rsidR="0077477E" w:rsidRDefault="006B1072" w:rsidP="00E73875">
      <w:pPr>
        <w:numPr>
          <w:ilvl w:val="0"/>
          <w:numId w:val="8"/>
        </w:numPr>
        <w:spacing w:line="360" w:lineRule="auto"/>
        <w:jc w:val="both"/>
        <w:rPr>
          <w:rFonts w:ascii="Arial" w:hAnsi="Arial" w:cs="Arial"/>
        </w:rPr>
      </w:pPr>
      <w:r w:rsidRPr="00B20D45">
        <w:rPr>
          <w:rFonts w:ascii="Arial" w:hAnsi="Arial" w:cs="Arial"/>
        </w:rPr>
        <w:lastRenderedPageBreak/>
        <w:t>Increase engagement by 25% by utilising real-time updates, influencer partnerships, and virtual networking to achieve a 25% increase in social media participation through #Hilton100Inclusion (Ramadhan and Wibowo, 2022).</w:t>
      </w:r>
      <w:r w:rsidR="00B268C9">
        <w:rPr>
          <w:rFonts w:ascii="Arial" w:hAnsi="Arial" w:cs="Arial"/>
        </w:rPr>
        <w:t xml:space="preserve"> </w:t>
      </w:r>
      <w:r w:rsidR="003354E7" w:rsidRPr="00A71ABF">
        <w:rPr>
          <w:rFonts w:ascii="Arial" w:hAnsi="Arial" w:cs="Arial"/>
        </w:rPr>
        <w:t>Hilton guarantees that the event has a lasting impact beyond the celebration by setting precise, quantifiable objectives (Hilton, 2024).</w:t>
      </w:r>
      <w:r w:rsidR="00B74C75" w:rsidRPr="00A71ABF">
        <w:rPr>
          <w:rFonts w:ascii="Arial" w:hAnsi="Arial" w:cs="Arial"/>
        </w:rPr>
        <w:t xml:space="preserve"> </w:t>
      </w:r>
      <w:r w:rsidR="00356D6E" w:rsidRPr="00A71ABF">
        <w:rPr>
          <w:rFonts w:ascii="Arial" w:hAnsi="Arial" w:cs="Arial"/>
        </w:rPr>
        <w:t xml:space="preserve"> </w:t>
      </w:r>
    </w:p>
    <w:p w14:paraId="759C277E" w14:textId="4A303049" w:rsidR="005D0FE3" w:rsidRPr="00E73875" w:rsidRDefault="00F13EC0" w:rsidP="00E73875">
      <w:pPr>
        <w:spacing w:line="360" w:lineRule="auto"/>
        <w:jc w:val="both"/>
        <w:rPr>
          <w:rFonts w:ascii="Arial" w:hAnsi="Arial" w:cs="Arial"/>
          <w:b/>
          <w:bCs/>
          <w:u w:val="single"/>
        </w:rPr>
      </w:pPr>
      <w:r w:rsidRPr="00E73875">
        <w:rPr>
          <w:noProof/>
        </w:rPr>
        <w:drawing>
          <wp:anchor distT="0" distB="0" distL="114300" distR="114300" simplePos="0" relativeHeight="251663360" behindDoc="0" locked="0" layoutInCell="1" allowOverlap="1" wp14:anchorId="7EA320CF" wp14:editId="2CCFB03B">
            <wp:simplePos x="0" y="0"/>
            <wp:positionH relativeFrom="margin">
              <wp:align>right</wp:align>
            </wp:positionH>
            <wp:positionV relativeFrom="paragraph">
              <wp:posOffset>149860</wp:posOffset>
            </wp:positionV>
            <wp:extent cx="5941695" cy="1816100"/>
            <wp:effectExtent l="0" t="0" r="1905" b="0"/>
            <wp:wrapSquare wrapText="bothSides"/>
            <wp:docPr id="767451399" name="Picture 7" descr="Event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vent Management System"/>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941695" cy="1816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0FE3" w:rsidRPr="00E73875">
        <w:rPr>
          <w:rFonts w:ascii="Arial" w:hAnsi="Arial" w:cs="Arial"/>
          <w:b/>
          <w:bCs/>
          <w:u w:val="single"/>
        </w:rPr>
        <w:t xml:space="preserve">Event Management – Skills </w:t>
      </w:r>
      <w:r w:rsidR="002B5A53" w:rsidRPr="00E73875">
        <w:rPr>
          <w:rFonts w:ascii="Arial" w:hAnsi="Arial" w:cs="Arial"/>
          <w:b/>
          <w:bCs/>
          <w:u w:val="single"/>
        </w:rPr>
        <w:t>and</w:t>
      </w:r>
      <w:r w:rsidR="005D0FE3" w:rsidRPr="00E73875">
        <w:rPr>
          <w:rFonts w:ascii="Arial" w:hAnsi="Arial" w:cs="Arial"/>
          <w:b/>
          <w:bCs/>
          <w:u w:val="single"/>
        </w:rPr>
        <w:t xml:space="preserve"> Resources</w:t>
      </w:r>
    </w:p>
    <w:p w14:paraId="256E7F16" w14:textId="3813CED3" w:rsidR="00307340" w:rsidRPr="00307340" w:rsidRDefault="00307340" w:rsidP="00307340">
      <w:pPr>
        <w:spacing w:line="360" w:lineRule="auto"/>
        <w:jc w:val="both"/>
        <w:rPr>
          <w:rFonts w:ascii="Arial" w:hAnsi="Arial" w:cs="Arial"/>
        </w:rPr>
      </w:pPr>
      <w:r w:rsidRPr="00307340">
        <w:rPr>
          <w:rFonts w:ascii="Arial" w:hAnsi="Arial" w:cs="Arial"/>
        </w:rPr>
        <w:t xml:space="preserve">A multidisciplinary approach is necessary to guarantee the successful execution of Hilton's 100th Anniversary Event, </w:t>
      </w:r>
      <w:r w:rsidR="004539EA">
        <w:rPr>
          <w:rFonts w:ascii="Arial" w:hAnsi="Arial" w:cs="Arial"/>
        </w:rPr>
        <w:t>resulting</w:t>
      </w:r>
      <w:r w:rsidRPr="00307340">
        <w:rPr>
          <w:rFonts w:ascii="Arial" w:hAnsi="Arial" w:cs="Arial"/>
        </w:rPr>
        <w:t xml:space="preserve"> in strategic planning, seamless operations, and impactful audience engagement. Event management frameworks, including EMBOK, prioritise the integration of administration, marketing, operations, and risk management to optimise large-scale international events (Ferdinand and Kitchin, 2016).</w:t>
      </w:r>
    </w:p>
    <w:p w14:paraId="6A47F377" w14:textId="0B098276"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Operational Management</w:t>
      </w:r>
    </w:p>
    <w:p w14:paraId="2AB2E1DA" w14:textId="252ABC34" w:rsidR="00325F8D" w:rsidRPr="00E73875" w:rsidRDefault="005D0FE3" w:rsidP="000506C8">
      <w:pPr>
        <w:numPr>
          <w:ilvl w:val="0"/>
          <w:numId w:val="9"/>
        </w:numPr>
        <w:spacing w:line="360" w:lineRule="auto"/>
        <w:jc w:val="both"/>
        <w:rPr>
          <w:rFonts w:ascii="Arial" w:hAnsi="Arial" w:cs="Arial"/>
          <w:u w:val="single"/>
        </w:rPr>
      </w:pPr>
      <w:r w:rsidRPr="00E73875">
        <w:rPr>
          <w:rFonts w:ascii="Arial" w:hAnsi="Arial" w:cs="Arial"/>
          <w:u w:val="single"/>
        </w:rPr>
        <w:t>Venue Coordination</w:t>
      </w:r>
      <w:r w:rsidR="007518C9" w:rsidRPr="00E73875">
        <w:rPr>
          <w:rFonts w:ascii="Arial" w:hAnsi="Arial" w:cs="Arial"/>
          <w:u w:val="single"/>
        </w:rPr>
        <w:t xml:space="preserve"> </w:t>
      </w:r>
      <w:r w:rsidR="007518C9" w:rsidRPr="00E73875">
        <w:rPr>
          <w:rFonts w:ascii="Arial" w:hAnsi="Arial" w:cs="Arial"/>
          <w:b/>
          <w:bCs/>
        </w:rPr>
        <w:t>→</w:t>
      </w:r>
    </w:p>
    <w:p w14:paraId="28614371" w14:textId="50B44420" w:rsidR="007D421D" w:rsidRPr="007D421D" w:rsidRDefault="004539EA" w:rsidP="007D421D">
      <w:pPr>
        <w:spacing w:line="360" w:lineRule="auto"/>
        <w:jc w:val="both"/>
        <w:rPr>
          <w:rFonts w:ascii="Arial" w:hAnsi="Arial" w:cs="Arial"/>
          <w:u w:val="single"/>
        </w:rPr>
      </w:pPr>
      <w:r>
        <w:rPr>
          <w:rFonts w:ascii="Arial" w:hAnsi="Arial" w:cs="Arial"/>
        </w:rPr>
        <w:t>To</w:t>
      </w:r>
      <w:r w:rsidR="007D421D" w:rsidRPr="007D421D">
        <w:rPr>
          <w:rFonts w:ascii="Arial" w:hAnsi="Arial" w:cs="Arial"/>
        </w:rPr>
        <w:t xml:space="preserve"> guarantee that Hilton's locations are consistent with DEI principles, each </w:t>
      </w:r>
      <w:r w:rsidR="00A63796">
        <w:rPr>
          <w:rFonts w:ascii="Arial" w:hAnsi="Arial" w:cs="Arial"/>
        </w:rPr>
        <w:t>area</w:t>
      </w:r>
      <w:r w:rsidR="007D421D" w:rsidRPr="007D421D">
        <w:rPr>
          <w:rFonts w:ascii="Arial" w:hAnsi="Arial" w:cs="Arial"/>
        </w:rPr>
        <w:t xml:space="preserve"> must </w:t>
      </w:r>
      <w:r>
        <w:rPr>
          <w:rFonts w:ascii="Arial" w:hAnsi="Arial" w:cs="Arial"/>
        </w:rPr>
        <w:t>assess</w:t>
      </w:r>
      <w:r w:rsidR="007D421D" w:rsidRPr="007D421D">
        <w:rPr>
          <w:rFonts w:ascii="Arial" w:hAnsi="Arial" w:cs="Arial"/>
        </w:rPr>
        <w:t xml:space="preserve"> its accessibility, technology requirements, and local cultural influences (Hilton, 2024).</w:t>
      </w:r>
    </w:p>
    <w:p w14:paraId="674D1077" w14:textId="1CDEE3E0" w:rsidR="00325F8D" w:rsidRPr="00E73875" w:rsidRDefault="005D0FE3" w:rsidP="000506C8">
      <w:pPr>
        <w:numPr>
          <w:ilvl w:val="0"/>
          <w:numId w:val="9"/>
        </w:numPr>
        <w:spacing w:line="360" w:lineRule="auto"/>
        <w:jc w:val="both"/>
        <w:rPr>
          <w:rFonts w:ascii="Arial" w:hAnsi="Arial" w:cs="Arial"/>
          <w:u w:val="single"/>
        </w:rPr>
      </w:pPr>
      <w:r w:rsidRPr="00E73875">
        <w:rPr>
          <w:rFonts w:ascii="Arial" w:hAnsi="Arial" w:cs="Arial"/>
          <w:u w:val="single"/>
        </w:rPr>
        <w:t>Logistics Planning</w:t>
      </w:r>
      <w:r w:rsidR="007518C9" w:rsidRPr="00E73875">
        <w:rPr>
          <w:rFonts w:ascii="Arial" w:hAnsi="Arial" w:cs="Arial"/>
          <w:u w:val="single"/>
        </w:rPr>
        <w:t xml:space="preserve"> </w:t>
      </w:r>
      <w:r w:rsidR="007518C9" w:rsidRPr="00E73875">
        <w:rPr>
          <w:rFonts w:ascii="Arial" w:hAnsi="Arial" w:cs="Arial"/>
          <w:b/>
          <w:bCs/>
        </w:rPr>
        <w:t>→</w:t>
      </w:r>
    </w:p>
    <w:p w14:paraId="5416FC72" w14:textId="442B1CEE" w:rsidR="002B696A" w:rsidRDefault="002B696A" w:rsidP="00E73875">
      <w:pPr>
        <w:spacing w:line="360" w:lineRule="auto"/>
        <w:jc w:val="both"/>
        <w:rPr>
          <w:rFonts w:ascii="Arial" w:hAnsi="Arial" w:cs="Arial"/>
        </w:rPr>
      </w:pPr>
      <w:r w:rsidRPr="002B696A">
        <w:rPr>
          <w:rFonts w:ascii="Arial" w:hAnsi="Arial" w:cs="Arial"/>
        </w:rPr>
        <w:t xml:space="preserve">Hybrid event execution, effective scheduling, AV setup, and speaker travel arrangements are essential for </w:t>
      </w:r>
      <w:r w:rsidR="004539EA">
        <w:rPr>
          <w:rFonts w:ascii="Arial" w:hAnsi="Arial" w:cs="Arial"/>
        </w:rPr>
        <w:t>synchronising</w:t>
      </w:r>
      <w:r w:rsidRPr="002B696A">
        <w:rPr>
          <w:rFonts w:ascii="Arial" w:hAnsi="Arial" w:cs="Arial"/>
        </w:rPr>
        <w:t xml:space="preserve"> global event locations (Narval et al., 2019).</w:t>
      </w:r>
    </w:p>
    <w:p w14:paraId="2C0CA4EF" w14:textId="49537E0E"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 xml:space="preserve">Planning </w:t>
      </w:r>
      <w:r w:rsidR="00554CC2">
        <w:rPr>
          <w:rFonts w:ascii="Arial" w:hAnsi="Arial" w:cs="Arial"/>
          <w:b/>
          <w:bCs/>
          <w:i/>
          <w:iCs/>
        </w:rPr>
        <w:t>and</w:t>
      </w:r>
      <w:r w:rsidRPr="00E73875">
        <w:rPr>
          <w:rFonts w:ascii="Arial" w:hAnsi="Arial" w:cs="Arial"/>
          <w:b/>
          <w:bCs/>
          <w:i/>
          <w:iCs/>
        </w:rPr>
        <w:t xml:space="preserve"> Strategy</w:t>
      </w:r>
    </w:p>
    <w:p w14:paraId="4E45BA07" w14:textId="31B053C1" w:rsidR="00721EC5" w:rsidRPr="00E73875" w:rsidRDefault="005D0FE3" w:rsidP="000506C8">
      <w:pPr>
        <w:numPr>
          <w:ilvl w:val="0"/>
          <w:numId w:val="10"/>
        </w:numPr>
        <w:spacing w:line="360" w:lineRule="auto"/>
        <w:jc w:val="both"/>
        <w:rPr>
          <w:rFonts w:ascii="Arial" w:hAnsi="Arial" w:cs="Arial"/>
          <w:u w:val="single"/>
        </w:rPr>
      </w:pPr>
      <w:r w:rsidRPr="00E73875">
        <w:rPr>
          <w:rFonts w:ascii="Arial" w:hAnsi="Arial" w:cs="Arial"/>
          <w:u w:val="single"/>
        </w:rPr>
        <w:t>Stakeholder Engagement</w:t>
      </w:r>
      <w:r w:rsidR="007518C9" w:rsidRPr="00E73875">
        <w:rPr>
          <w:rFonts w:ascii="Arial" w:hAnsi="Arial" w:cs="Arial"/>
          <w:u w:val="single"/>
        </w:rPr>
        <w:t xml:space="preserve"> </w:t>
      </w:r>
      <w:r w:rsidR="007518C9" w:rsidRPr="00E73875">
        <w:rPr>
          <w:rFonts w:ascii="Arial" w:hAnsi="Arial" w:cs="Arial"/>
          <w:b/>
          <w:bCs/>
        </w:rPr>
        <w:t>→</w:t>
      </w:r>
    </w:p>
    <w:p w14:paraId="0694559E" w14:textId="56B1DD3F" w:rsidR="00D562EA" w:rsidRPr="00D562EA" w:rsidRDefault="004539EA" w:rsidP="00D562EA">
      <w:pPr>
        <w:spacing w:line="360" w:lineRule="auto"/>
        <w:jc w:val="both"/>
        <w:rPr>
          <w:rFonts w:ascii="Arial" w:hAnsi="Arial" w:cs="Arial"/>
          <w:u w:val="single"/>
        </w:rPr>
      </w:pPr>
      <w:r>
        <w:rPr>
          <w:rFonts w:ascii="Arial" w:hAnsi="Arial" w:cs="Arial"/>
        </w:rPr>
        <w:t>Partnerships with corporate sponsors, NGOs, and industry leaders guarantee financial sustainability and credibility</w:t>
      </w:r>
      <w:r w:rsidR="00D562EA" w:rsidRPr="00D562EA">
        <w:rPr>
          <w:rFonts w:ascii="Arial" w:hAnsi="Arial" w:cs="Arial"/>
        </w:rPr>
        <w:t xml:space="preserve">. </w:t>
      </w:r>
      <w:r w:rsidR="00A30A14">
        <w:rPr>
          <w:rFonts w:ascii="Arial" w:hAnsi="Arial" w:cs="Arial"/>
        </w:rPr>
        <w:t>Hilton aims</w:t>
      </w:r>
      <w:r w:rsidR="00D562EA" w:rsidRPr="00D562EA">
        <w:rPr>
          <w:rFonts w:ascii="Arial" w:hAnsi="Arial" w:cs="Arial"/>
        </w:rPr>
        <w:t xml:space="preserve"> to forge enduring partnerships </w:t>
      </w:r>
      <w:r w:rsidR="00933EE0">
        <w:rPr>
          <w:rFonts w:ascii="Arial" w:hAnsi="Arial" w:cs="Arial"/>
        </w:rPr>
        <w:t>concerning</w:t>
      </w:r>
      <w:r w:rsidR="00D562EA" w:rsidRPr="00D562EA">
        <w:rPr>
          <w:rFonts w:ascii="Arial" w:hAnsi="Arial" w:cs="Arial"/>
        </w:rPr>
        <w:t xml:space="preserve"> post-event DEI initiatives (Fotiadis and Vassiliadis, 2020).</w:t>
      </w:r>
    </w:p>
    <w:p w14:paraId="31092967" w14:textId="28DF73FD" w:rsidR="008F21C9" w:rsidRPr="008F21C9" w:rsidRDefault="005D0FE3" w:rsidP="008F21C9">
      <w:pPr>
        <w:numPr>
          <w:ilvl w:val="0"/>
          <w:numId w:val="10"/>
        </w:numPr>
        <w:spacing w:line="360" w:lineRule="auto"/>
        <w:jc w:val="both"/>
        <w:rPr>
          <w:rFonts w:ascii="Arial" w:hAnsi="Arial" w:cs="Arial"/>
          <w:u w:val="single"/>
        </w:rPr>
      </w:pPr>
      <w:r w:rsidRPr="00E73875">
        <w:rPr>
          <w:rFonts w:ascii="Arial" w:hAnsi="Arial" w:cs="Arial"/>
          <w:u w:val="single"/>
        </w:rPr>
        <w:lastRenderedPageBreak/>
        <w:t>Marketing Strategy</w:t>
      </w:r>
      <w:r w:rsidR="007518C9" w:rsidRPr="00E73875">
        <w:rPr>
          <w:rFonts w:ascii="Arial" w:hAnsi="Arial" w:cs="Arial"/>
          <w:u w:val="single"/>
        </w:rPr>
        <w:t xml:space="preserve"> </w:t>
      </w:r>
      <w:r w:rsidR="00A30A14" w:rsidRPr="00A30A14">
        <w:rPr>
          <w:rFonts w:ascii="Arial" w:hAnsi="Arial" w:cs="Arial"/>
          <w:b/>
          <w:bCs/>
          <w:u w:val="single"/>
        </w:rPr>
        <w:t xml:space="preserve">- </w:t>
      </w:r>
      <w:r w:rsidR="00A30A14" w:rsidRPr="00A30A14">
        <w:rPr>
          <w:rFonts w:ascii="Arial" w:hAnsi="Arial" w:cs="Arial"/>
          <w:u w:val="single"/>
        </w:rPr>
        <w:t>McCarthy’s 4Ps of Marketing (</w:t>
      </w:r>
      <w:r w:rsidR="00A30A14" w:rsidRPr="00A02247">
        <w:rPr>
          <w:rFonts w:ascii="Arial" w:hAnsi="Arial" w:cs="Arial"/>
          <w:u w:val="single"/>
        </w:rPr>
        <w:t>1960)</w:t>
      </w:r>
      <w:r w:rsidR="00A02247" w:rsidRPr="00A02247">
        <w:rPr>
          <w:rFonts w:ascii="Arial" w:hAnsi="Arial" w:cs="Arial"/>
        </w:rPr>
        <w:t xml:space="preserve"> </w:t>
      </w:r>
      <w:r w:rsidR="007518C9" w:rsidRPr="00A02247">
        <w:rPr>
          <w:rFonts w:ascii="Arial" w:hAnsi="Arial" w:cs="Arial"/>
          <w:b/>
          <w:bCs/>
        </w:rPr>
        <w:t>→</w:t>
      </w:r>
    </w:p>
    <w:p w14:paraId="68513A1B" w14:textId="72A67BE6" w:rsidR="002C75D0" w:rsidRPr="008F21C9" w:rsidRDefault="002C75D0" w:rsidP="008F21C9">
      <w:pPr>
        <w:spacing w:line="360" w:lineRule="auto"/>
        <w:jc w:val="both"/>
        <w:rPr>
          <w:rFonts w:ascii="Arial" w:hAnsi="Arial" w:cs="Arial"/>
        </w:rPr>
      </w:pPr>
      <w:r w:rsidRPr="008F21C9">
        <w:rPr>
          <w:rFonts w:ascii="Arial" w:hAnsi="Arial" w:cs="Arial"/>
        </w:rPr>
        <w:t>Applying McCarthy’s (1960) 4Ps framework (Product, Price, Place, Promotion) ensures a structured marketing approach that aligns with Hilton’s global brand positioning (Getz and Page, 2024).</w:t>
      </w:r>
    </w:p>
    <w:p w14:paraId="0F2EFAE0" w14:textId="62CAC92D" w:rsidR="002C75D0" w:rsidRPr="008F21C9" w:rsidRDefault="00DE158F" w:rsidP="008F21C9">
      <w:pPr>
        <w:pStyle w:val="ListParagraph"/>
        <w:numPr>
          <w:ilvl w:val="0"/>
          <w:numId w:val="27"/>
        </w:numPr>
        <w:spacing w:line="360" w:lineRule="auto"/>
        <w:jc w:val="both"/>
        <w:rPr>
          <w:rFonts w:ascii="Arial" w:hAnsi="Arial" w:cs="Arial"/>
        </w:rPr>
      </w:pPr>
      <w:r>
        <w:rPr>
          <w:noProof/>
        </w:rPr>
        <w:drawing>
          <wp:anchor distT="0" distB="0" distL="114300" distR="114300" simplePos="0" relativeHeight="251671552" behindDoc="0" locked="0" layoutInCell="1" allowOverlap="1" wp14:anchorId="5CD5A302" wp14:editId="25F909F9">
            <wp:simplePos x="0" y="0"/>
            <wp:positionH relativeFrom="page">
              <wp:posOffset>52440</wp:posOffset>
            </wp:positionH>
            <wp:positionV relativeFrom="paragraph">
              <wp:posOffset>15240</wp:posOffset>
            </wp:positionV>
            <wp:extent cx="3040380" cy="3188970"/>
            <wp:effectExtent l="0" t="0" r="7620" b="0"/>
            <wp:wrapSquare wrapText="bothSides"/>
            <wp:docPr id="1798277714" name="Picture 1"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 Definition, 4 P, 7 P of Marketing, Example, Elements"/>
                    <pic:cNvPicPr>
                      <a:picLocks noChangeAspect="1" noChangeArrowheads="1"/>
                    </pic:cNvPicPr>
                  </pic:nvPicPr>
                  <pic:blipFill rotWithShape="1">
                    <a:blip r:embed="rId15">
                      <a:extLst>
                        <a:ext uri="{28A0092B-C50C-407E-A947-70E740481C1C}">
                          <a14:useLocalDpi xmlns:a14="http://schemas.microsoft.com/office/drawing/2010/main" val="0"/>
                        </a:ext>
                      </a:extLst>
                    </a:blip>
                    <a:srcRect l="4446" t="2222" r="4744" b="2533"/>
                    <a:stretch/>
                  </pic:blipFill>
                  <pic:spPr bwMode="auto">
                    <a:xfrm>
                      <a:off x="0" y="0"/>
                      <a:ext cx="3040380" cy="3188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75D0" w:rsidRPr="008F21C9">
        <w:rPr>
          <w:rFonts w:ascii="Arial" w:hAnsi="Arial" w:cs="Arial"/>
        </w:rPr>
        <w:t>Product</w:t>
      </w:r>
      <w:r w:rsidR="006954D1">
        <w:rPr>
          <w:rFonts w:ascii="Arial" w:hAnsi="Arial" w:cs="Arial"/>
        </w:rPr>
        <w:t xml:space="preserve"> </w:t>
      </w:r>
      <w:r w:rsidR="006954D1" w:rsidRPr="00E73875">
        <w:rPr>
          <w:rFonts w:ascii="Arial" w:hAnsi="Arial" w:cs="Arial"/>
          <w:b/>
          <w:bCs/>
        </w:rPr>
        <w:t>→</w:t>
      </w:r>
      <w:r w:rsidR="006954D1">
        <w:rPr>
          <w:rFonts w:ascii="Arial" w:hAnsi="Arial" w:cs="Arial"/>
          <w:b/>
          <w:bCs/>
        </w:rPr>
        <w:t xml:space="preserve"> </w:t>
      </w:r>
      <w:r w:rsidR="001A329C" w:rsidRPr="001A329C">
        <w:rPr>
          <w:rFonts w:ascii="Arial" w:hAnsi="Arial" w:cs="Arial"/>
        </w:rPr>
        <w:t>Focussing on Hilton's leadership in sustainable hospitality and DEI, the Hilton 100th Anniversary event is both a celebration and a purposeful brand experience. Its value proposition (Hilton, 2025; Altschwager et al., 2022) is strengthened by keynotes, AI-powered networking tools, and hybrid engagement platforms). Technology has helped create better event experiences by influencing audience participation and brand image (Celuch, 2021).</w:t>
      </w:r>
    </w:p>
    <w:p w14:paraId="185B1E6C" w14:textId="70E847BD" w:rsidR="002C75D0" w:rsidRPr="008F21C9" w:rsidRDefault="002C75D0" w:rsidP="008F21C9">
      <w:pPr>
        <w:pStyle w:val="ListParagraph"/>
        <w:numPr>
          <w:ilvl w:val="0"/>
          <w:numId w:val="27"/>
        </w:numPr>
        <w:spacing w:line="360" w:lineRule="auto"/>
        <w:jc w:val="both"/>
        <w:rPr>
          <w:rFonts w:ascii="Arial" w:hAnsi="Arial" w:cs="Arial"/>
        </w:rPr>
      </w:pPr>
      <w:r w:rsidRPr="008F21C9">
        <w:rPr>
          <w:rFonts w:ascii="Arial" w:hAnsi="Arial" w:cs="Arial"/>
        </w:rPr>
        <w:t>Price</w:t>
      </w:r>
      <w:r w:rsidR="006954D1">
        <w:rPr>
          <w:rFonts w:ascii="Arial" w:hAnsi="Arial" w:cs="Arial"/>
        </w:rPr>
        <w:t xml:space="preserve"> </w:t>
      </w:r>
      <w:r w:rsidR="006954D1" w:rsidRPr="00DE158F">
        <w:rPr>
          <w:rFonts w:ascii="Arial" w:hAnsi="Arial" w:cs="Arial"/>
          <w:b/>
          <w:bCs/>
        </w:rPr>
        <w:t>→</w:t>
      </w:r>
      <w:r w:rsidR="006954D1">
        <w:rPr>
          <w:rFonts w:ascii="Arial" w:hAnsi="Arial" w:cs="Arial"/>
          <w:b/>
          <w:bCs/>
        </w:rPr>
        <w:t xml:space="preserve"> </w:t>
      </w:r>
      <w:r w:rsidR="00274281" w:rsidRPr="00274281">
        <w:rPr>
          <w:rFonts w:ascii="Arial" w:hAnsi="Arial" w:cs="Arial"/>
        </w:rPr>
        <w:t xml:space="preserve">Ticket prices will be examined depending on </w:t>
      </w:r>
      <w:r w:rsidR="00B17A49">
        <w:rPr>
          <w:rFonts w:ascii="Arial" w:hAnsi="Arial" w:cs="Arial"/>
        </w:rPr>
        <w:t xml:space="preserve">the </w:t>
      </w:r>
      <w:r w:rsidR="00274281" w:rsidRPr="00274281">
        <w:rPr>
          <w:rFonts w:ascii="Arial" w:hAnsi="Arial" w:cs="Arial"/>
        </w:rPr>
        <w:t xml:space="preserve">dynamics of the local market. Premium-priced VIP events in London and Tokyo comprise roundtable conversations. Discounted access will be given in developing countries to guarantee inclusivity in line with consumer-centric pricing policies (Kariuki, Kimanga, </w:t>
      </w:r>
      <w:r w:rsidR="00456E02">
        <w:rPr>
          <w:rFonts w:ascii="Arial" w:hAnsi="Arial" w:cs="Arial"/>
        </w:rPr>
        <w:t>and</w:t>
      </w:r>
      <w:r w:rsidR="00274281" w:rsidRPr="00274281">
        <w:rPr>
          <w:rFonts w:ascii="Arial" w:hAnsi="Arial" w:cs="Arial"/>
        </w:rPr>
        <w:t xml:space="preserve"> Wanjiku, 2020). Using tiered pricing strategically in event planning has </w:t>
      </w:r>
      <w:r w:rsidR="00B17A49">
        <w:rPr>
          <w:rFonts w:ascii="Arial" w:hAnsi="Arial" w:cs="Arial"/>
        </w:rPr>
        <w:t>increased</w:t>
      </w:r>
      <w:r w:rsidR="00274281" w:rsidRPr="00274281">
        <w:rPr>
          <w:rFonts w:ascii="Arial" w:hAnsi="Arial" w:cs="Arial"/>
        </w:rPr>
        <w:t xml:space="preserve"> audience reach while preserving exclusivity (Hintermeister, 2021).</w:t>
      </w:r>
    </w:p>
    <w:p w14:paraId="7AAACDCD" w14:textId="6DD38ED6" w:rsidR="002C75D0" w:rsidRPr="008F21C9" w:rsidRDefault="002C75D0" w:rsidP="008F21C9">
      <w:pPr>
        <w:pStyle w:val="ListParagraph"/>
        <w:numPr>
          <w:ilvl w:val="0"/>
          <w:numId w:val="27"/>
        </w:numPr>
        <w:spacing w:line="360" w:lineRule="auto"/>
        <w:jc w:val="both"/>
        <w:rPr>
          <w:rFonts w:ascii="Arial" w:hAnsi="Arial" w:cs="Arial"/>
        </w:rPr>
      </w:pPr>
      <w:r w:rsidRPr="008F21C9">
        <w:rPr>
          <w:rFonts w:ascii="Arial" w:hAnsi="Arial" w:cs="Arial"/>
        </w:rPr>
        <w:t>Place</w:t>
      </w:r>
      <w:r w:rsidR="006954D1">
        <w:rPr>
          <w:rFonts w:ascii="Arial" w:hAnsi="Arial" w:cs="Arial"/>
        </w:rPr>
        <w:t xml:space="preserve"> </w:t>
      </w:r>
      <w:r w:rsidR="006954D1" w:rsidRPr="00E73875">
        <w:rPr>
          <w:rFonts w:ascii="Arial" w:hAnsi="Arial" w:cs="Arial"/>
          <w:b/>
          <w:bCs/>
        </w:rPr>
        <w:t>→</w:t>
      </w:r>
      <w:r w:rsidR="006954D1">
        <w:rPr>
          <w:rFonts w:ascii="Arial" w:hAnsi="Arial" w:cs="Arial"/>
          <w:b/>
          <w:bCs/>
        </w:rPr>
        <w:t xml:space="preserve"> </w:t>
      </w:r>
      <w:r w:rsidR="002F7ACE" w:rsidRPr="002F7ACE">
        <w:rPr>
          <w:rFonts w:ascii="Arial" w:hAnsi="Arial" w:cs="Arial"/>
        </w:rPr>
        <w:t xml:space="preserve">Hilton will use its worldwide hotel chain to host events throughout </w:t>
      </w:r>
      <w:r w:rsidR="00B17A49">
        <w:rPr>
          <w:rFonts w:ascii="Arial" w:hAnsi="Arial" w:cs="Arial"/>
        </w:rPr>
        <w:t>significant</w:t>
      </w:r>
      <w:r w:rsidR="002F7ACE" w:rsidRPr="002F7ACE">
        <w:rPr>
          <w:rFonts w:ascii="Arial" w:hAnsi="Arial" w:cs="Arial"/>
        </w:rPr>
        <w:t xml:space="preserve"> cities</w:t>
      </w:r>
      <w:r w:rsidR="00B17A49">
        <w:rPr>
          <w:rFonts w:ascii="Arial" w:hAnsi="Arial" w:cs="Arial"/>
        </w:rPr>
        <w:t>,</w:t>
      </w:r>
      <w:r w:rsidR="002F7ACE" w:rsidRPr="002F7ACE">
        <w:rPr>
          <w:rFonts w:ascii="Arial" w:hAnsi="Arial" w:cs="Arial"/>
        </w:rPr>
        <w:t xml:space="preserve"> considering its multi-city approach. Virtual reality (VR) experiences will also bring guests to Hilton's most famous sites, guaranteeing accessibility independent of geographical limitations (Hilton, 2024). </w:t>
      </w:r>
      <w:r w:rsidR="00B17A49">
        <w:rPr>
          <w:rFonts w:ascii="Arial" w:hAnsi="Arial" w:cs="Arial"/>
        </w:rPr>
        <w:t xml:space="preserve">Popular hybrid event models recently </w:t>
      </w:r>
      <w:r w:rsidR="00B17A49" w:rsidRPr="002F7ACE">
        <w:rPr>
          <w:rFonts w:ascii="Arial" w:hAnsi="Arial" w:cs="Arial"/>
        </w:rPr>
        <w:t>gave</w:t>
      </w:r>
      <w:r w:rsidR="002F7ACE" w:rsidRPr="002F7ACE">
        <w:rPr>
          <w:rFonts w:ascii="Arial" w:hAnsi="Arial" w:cs="Arial"/>
        </w:rPr>
        <w:t xml:space="preserve"> participants a rich and accessible experience (Latif and </w:t>
      </w:r>
      <w:proofErr w:type="spellStart"/>
      <w:r w:rsidR="002F7ACE" w:rsidRPr="002F7ACE">
        <w:rPr>
          <w:rFonts w:ascii="Arial" w:hAnsi="Arial" w:cs="Arial"/>
        </w:rPr>
        <w:t>Zamziri</w:t>
      </w:r>
      <w:proofErr w:type="spellEnd"/>
      <w:r w:rsidR="002F7ACE" w:rsidRPr="002F7ACE">
        <w:rPr>
          <w:rFonts w:ascii="Arial" w:hAnsi="Arial" w:cs="Arial"/>
        </w:rPr>
        <w:t>, 2024).</w:t>
      </w:r>
    </w:p>
    <w:p w14:paraId="3729D587" w14:textId="151FFA0C" w:rsidR="00A71ABF" w:rsidRPr="00DF0BEF" w:rsidRDefault="002C75D0" w:rsidP="00E73875">
      <w:pPr>
        <w:pStyle w:val="ListParagraph"/>
        <w:numPr>
          <w:ilvl w:val="0"/>
          <w:numId w:val="27"/>
        </w:numPr>
        <w:spacing w:line="360" w:lineRule="auto"/>
        <w:jc w:val="both"/>
        <w:rPr>
          <w:rFonts w:ascii="Arial" w:hAnsi="Arial" w:cs="Arial"/>
        </w:rPr>
      </w:pPr>
      <w:r w:rsidRPr="008F21C9">
        <w:rPr>
          <w:rFonts w:ascii="Arial" w:hAnsi="Arial" w:cs="Arial"/>
        </w:rPr>
        <w:t>Promotion</w:t>
      </w:r>
      <w:r w:rsidR="006954D1">
        <w:rPr>
          <w:rFonts w:ascii="Arial" w:hAnsi="Arial" w:cs="Arial"/>
        </w:rPr>
        <w:t xml:space="preserve"> </w:t>
      </w:r>
      <w:r w:rsidR="006954D1" w:rsidRPr="00E73875">
        <w:rPr>
          <w:rFonts w:ascii="Arial" w:hAnsi="Arial" w:cs="Arial"/>
          <w:b/>
          <w:bCs/>
        </w:rPr>
        <w:t>→</w:t>
      </w:r>
      <w:r w:rsidR="006954D1">
        <w:rPr>
          <w:rFonts w:ascii="Arial" w:hAnsi="Arial" w:cs="Arial"/>
          <w:b/>
          <w:bCs/>
        </w:rPr>
        <w:t xml:space="preserve"> </w:t>
      </w:r>
      <w:r w:rsidR="006A04BE">
        <w:rPr>
          <w:rFonts w:ascii="Arial" w:hAnsi="Arial" w:cs="Arial"/>
        </w:rPr>
        <w:t>Social media activity, influencer partnerships, and corporate sponsorships will drive global involvement</w:t>
      </w:r>
      <w:r w:rsidR="00F036B3" w:rsidRPr="00F036B3">
        <w:rPr>
          <w:rFonts w:ascii="Arial" w:hAnsi="Arial" w:cs="Arial"/>
        </w:rPr>
        <w:t xml:space="preserve">. Localised campaigns will combine digital and traditional marketing, customising material for cultural relevance in markets including Sydney, São Paulo, Dubai, </w:t>
      </w:r>
      <w:proofErr w:type="spellStart"/>
      <w:r w:rsidR="00F036B3" w:rsidRPr="00F036B3">
        <w:rPr>
          <w:rFonts w:ascii="Arial" w:hAnsi="Arial" w:cs="Arial"/>
        </w:rPr>
        <w:t>Saitiawan</w:t>
      </w:r>
      <w:proofErr w:type="spellEnd"/>
      <w:r w:rsidR="00F036B3" w:rsidRPr="00F036B3">
        <w:rPr>
          <w:rFonts w:ascii="Arial" w:hAnsi="Arial" w:cs="Arial"/>
        </w:rPr>
        <w:t xml:space="preserve">, Wibisono, and </w:t>
      </w:r>
      <w:proofErr w:type="spellStart"/>
      <w:r w:rsidR="00F036B3" w:rsidRPr="00F036B3">
        <w:rPr>
          <w:rFonts w:ascii="Arial" w:hAnsi="Arial" w:cs="Arial"/>
        </w:rPr>
        <w:t>Purwanegara</w:t>
      </w:r>
      <w:proofErr w:type="spellEnd"/>
      <w:r w:rsidR="00F036B3" w:rsidRPr="00F036B3">
        <w:rPr>
          <w:rFonts w:ascii="Arial" w:hAnsi="Arial" w:cs="Arial"/>
        </w:rPr>
        <w:t xml:space="preserve">, 2022. The growing dependence on digital marketing techniques for event promotion </w:t>
      </w:r>
      <w:r w:rsidR="006A04BE">
        <w:rPr>
          <w:rFonts w:ascii="Arial" w:hAnsi="Arial" w:cs="Arial"/>
        </w:rPr>
        <w:t>changes audience involvement and facilitates</w:t>
      </w:r>
      <w:r w:rsidR="00F036B3" w:rsidRPr="00F036B3">
        <w:rPr>
          <w:rFonts w:ascii="Arial" w:hAnsi="Arial" w:cs="Arial"/>
        </w:rPr>
        <w:t xml:space="preserve"> better participation and brand recall (Namratha, Thiruchelvi, and Natasha, 2019).</w:t>
      </w:r>
    </w:p>
    <w:p w14:paraId="11417237" w14:textId="40E548E2"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lastRenderedPageBreak/>
        <w:t xml:space="preserve">Marketing </w:t>
      </w:r>
      <w:r w:rsidR="00554CC2">
        <w:rPr>
          <w:rFonts w:ascii="Arial" w:hAnsi="Arial" w:cs="Arial"/>
          <w:b/>
          <w:bCs/>
          <w:i/>
          <w:iCs/>
        </w:rPr>
        <w:t>and</w:t>
      </w:r>
      <w:r w:rsidRPr="00E73875">
        <w:rPr>
          <w:rFonts w:ascii="Arial" w:hAnsi="Arial" w:cs="Arial"/>
          <w:b/>
          <w:bCs/>
          <w:i/>
          <w:iCs/>
        </w:rPr>
        <w:t xml:space="preserve"> Outreach</w:t>
      </w:r>
    </w:p>
    <w:p w14:paraId="1C5E890F" w14:textId="578FB6BE" w:rsidR="00721EC5" w:rsidRPr="00E73875" w:rsidRDefault="005D0FE3" w:rsidP="000506C8">
      <w:pPr>
        <w:numPr>
          <w:ilvl w:val="0"/>
          <w:numId w:val="11"/>
        </w:numPr>
        <w:spacing w:line="360" w:lineRule="auto"/>
        <w:jc w:val="both"/>
        <w:rPr>
          <w:rFonts w:ascii="Arial" w:hAnsi="Arial" w:cs="Arial"/>
          <w:u w:val="single"/>
        </w:rPr>
      </w:pPr>
      <w:r w:rsidRPr="00E73875">
        <w:rPr>
          <w:rFonts w:ascii="Arial" w:hAnsi="Arial" w:cs="Arial"/>
          <w:u w:val="single"/>
        </w:rPr>
        <w:t>Targeted Campaigns</w:t>
      </w:r>
      <w:r w:rsidR="007518C9" w:rsidRPr="00E73875">
        <w:rPr>
          <w:rFonts w:ascii="Arial" w:hAnsi="Arial" w:cs="Arial"/>
          <w:u w:val="single"/>
        </w:rPr>
        <w:t xml:space="preserve"> </w:t>
      </w:r>
      <w:r w:rsidR="007518C9" w:rsidRPr="00E73875">
        <w:rPr>
          <w:rFonts w:ascii="Arial" w:hAnsi="Arial" w:cs="Arial"/>
          <w:b/>
          <w:bCs/>
        </w:rPr>
        <w:t>→</w:t>
      </w:r>
    </w:p>
    <w:p w14:paraId="5F872FB6" w14:textId="1E795326" w:rsidR="004A500B" w:rsidRPr="004A500B" w:rsidRDefault="00915C4B" w:rsidP="004A500B">
      <w:pPr>
        <w:spacing w:line="360" w:lineRule="auto"/>
        <w:jc w:val="both"/>
        <w:rPr>
          <w:rFonts w:ascii="Arial" w:hAnsi="Arial" w:cs="Arial"/>
          <w:u w:val="single"/>
        </w:rPr>
      </w:pPr>
      <w:r>
        <w:rPr>
          <w:noProof/>
        </w:rPr>
        <w:drawing>
          <wp:anchor distT="0" distB="0" distL="114300" distR="114300" simplePos="0" relativeHeight="251673600" behindDoc="0" locked="0" layoutInCell="1" allowOverlap="1" wp14:anchorId="2766518E" wp14:editId="7503E49D">
            <wp:simplePos x="0" y="0"/>
            <wp:positionH relativeFrom="margin">
              <wp:align>left</wp:align>
            </wp:positionH>
            <wp:positionV relativeFrom="paragraph">
              <wp:posOffset>239395</wp:posOffset>
            </wp:positionV>
            <wp:extent cx="3843655" cy="2019935"/>
            <wp:effectExtent l="0" t="0" r="4445" b="0"/>
            <wp:wrapSquare wrapText="bothSides"/>
            <wp:docPr id="1358840491" name="Picture 3" descr="Hilton Diversity &amp; Inclusion -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lton Diversity &amp; Inclusion - Cul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43655" cy="2019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3796">
        <w:rPr>
          <w:rFonts w:ascii="Arial" w:hAnsi="Arial" w:cs="Arial"/>
        </w:rPr>
        <w:t>To</w:t>
      </w:r>
      <w:r w:rsidR="004A500B" w:rsidRPr="004A500B">
        <w:rPr>
          <w:rFonts w:ascii="Arial" w:hAnsi="Arial" w:cs="Arial"/>
        </w:rPr>
        <w:t xml:space="preserve"> optimise attendance and engagement, Hilton Honours members, corporate executives, and DEI professionals will receive personalised email invitations (Sha and Robertson, 2018).</w:t>
      </w:r>
    </w:p>
    <w:p w14:paraId="3A20B37D" w14:textId="519F18CC" w:rsidR="00721EC5" w:rsidRPr="00E73875" w:rsidRDefault="005D0FE3" w:rsidP="000506C8">
      <w:pPr>
        <w:numPr>
          <w:ilvl w:val="0"/>
          <w:numId w:val="11"/>
        </w:numPr>
        <w:spacing w:line="360" w:lineRule="auto"/>
        <w:jc w:val="both"/>
        <w:rPr>
          <w:rFonts w:ascii="Arial" w:hAnsi="Arial" w:cs="Arial"/>
          <w:u w:val="single"/>
        </w:rPr>
      </w:pPr>
      <w:r w:rsidRPr="00E73875">
        <w:rPr>
          <w:rFonts w:ascii="Arial" w:hAnsi="Arial" w:cs="Arial"/>
          <w:u w:val="single"/>
        </w:rPr>
        <w:t>Social Media Activation</w:t>
      </w:r>
      <w:r w:rsidR="007518C9" w:rsidRPr="00E73875">
        <w:rPr>
          <w:rFonts w:ascii="Arial" w:hAnsi="Arial" w:cs="Arial"/>
          <w:u w:val="single"/>
        </w:rPr>
        <w:t xml:space="preserve"> </w:t>
      </w:r>
      <w:r w:rsidR="007518C9" w:rsidRPr="00E73875">
        <w:rPr>
          <w:rFonts w:ascii="Arial" w:hAnsi="Arial" w:cs="Arial"/>
          <w:b/>
          <w:bCs/>
        </w:rPr>
        <w:t>→</w:t>
      </w:r>
    </w:p>
    <w:p w14:paraId="7152EB14" w14:textId="381ADE78" w:rsidR="00FC73D8" w:rsidRDefault="00FC73D8" w:rsidP="00E73875">
      <w:pPr>
        <w:spacing w:line="360" w:lineRule="auto"/>
        <w:jc w:val="both"/>
        <w:rPr>
          <w:rFonts w:ascii="Arial" w:hAnsi="Arial" w:cs="Arial"/>
        </w:rPr>
      </w:pPr>
      <w:r w:rsidRPr="00FC73D8">
        <w:rPr>
          <w:rFonts w:ascii="Arial" w:hAnsi="Arial" w:cs="Arial"/>
        </w:rPr>
        <w:t>The #Hilton100Inclusion campaign will encourage digital engagement by utilising Twitter, LinkedIn, and TikTok to provide real-time updates (Namratha et al., 2019).</w:t>
      </w:r>
    </w:p>
    <w:p w14:paraId="44EAC864" w14:textId="5B50EE70" w:rsidR="005D0FE3" w:rsidRPr="00E73875" w:rsidRDefault="005D0FE3" w:rsidP="00E73875">
      <w:pPr>
        <w:spacing w:line="360" w:lineRule="auto"/>
        <w:jc w:val="both"/>
        <w:rPr>
          <w:rFonts w:ascii="Arial" w:hAnsi="Arial" w:cs="Arial"/>
          <w:b/>
          <w:bCs/>
          <w:i/>
          <w:iCs/>
        </w:rPr>
      </w:pPr>
      <w:r w:rsidRPr="00E73875">
        <w:rPr>
          <w:rFonts w:ascii="Arial" w:hAnsi="Arial" w:cs="Arial"/>
          <w:b/>
          <w:bCs/>
          <w:i/>
          <w:iCs/>
        </w:rPr>
        <w:t xml:space="preserve">Technology </w:t>
      </w:r>
      <w:r w:rsidR="00554CC2">
        <w:rPr>
          <w:rFonts w:ascii="Arial" w:hAnsi="Arial" w:cs="Arial"/>
          <w:b/>
          <w:bCs/>
          <w:i/>
          <w:iCs/>
        </w:rPr>
        <w:t>and</w:t>
      </w:r>
      <w:r w:rsidRPr="00E73875">
        <w:rPr>
          <w:rFonts w:ascii="Arial" w:hAnsi="Arial" w:cs="Arial"/>
          <w:b/>
          <w:bCs/>
          <w:i/>
          <w:iCs/>
        </w:rPr>
        <w:t xml:space="preserve"> Digital Infrastructure</w:t>
      </w:r>
    </w:p>
    <w:p w14:paraId="3558E630" w14:textId="7A6C2544" w:rsidR="00721EC5" w:rsidRPr="00E73875" w:rsidRDefault="005D0FE3" w:rsidP="000506C8">
      <w:pPr>
        <w:numPr>
          <w:ilvl w:val="0"/>
          <w:numId w:val="12"/>
        </w:numPr>
        <w:spacing w:line="360" w:lineRule="auto"/>
        <w:jc w:val="both"/>
        <w:rPr>
          <w:rFonts w:ascii="Arial" w:hAnsi="Arial" w:cs="Arial"/>
          <w:u w:val="single"/>
        </w:rPr>
      </w:pPr>
      <w:r w:rsidRPr="00E73875">
        <w:rPr>
          <w:rFonts w:ascii="Arial" w:hAnsi="Arial" w:cs="Arial"/>
          <w:u w:val="single"/>
        </w:rPr>
        <w:t>Hybrid Streaming</w:t>
      </w:r>
      <w:r w:rsidR="007518C9" w:rsidRPr="00E73875">
        <w:rPr>
          <w:rFonts w:ascii="Arial" w:hAnsi="Arial" w:cs="Arial"/>
          <w:u w:val="single"/>
        </w:rPr>
        <w:t xml:space="preserve"> </w:t>
      </w:r>
      <w:r w:rsidR="007518C9" w:rsidRPr="00E73875">
        <w:rPr>
          <w:rFonts w:ascii="Arial" w:hAnsi="Arial" w:cs="Arial"/>
          <w:b/>
          <w:bCs/>
        </w:rPr>
        <w:t>→</w:t>
      </w:r>
    </w:p>
    <w:p w14:paraId="3504B974" w14:textId="77777777" w:rsidR="007F49EF" w:rsidRPr="007F49EF" w:rsidRDefault="007F49EF" w:rsidP="007F49EF">
      <w:pPr>
        <w:spacing w:line="360" w:lineRule="auto"/>
        <w:jc w:val="both"/>
        <w:rPr>
          <w:rFonts w:ascii="Arial" w:hAnsi="Arial" w:cs="Arial"/>
          <w:u w:val="single"/>
        </w:rPr>
      </w:pPr>
      <w:r w:rsidRPr="007F49EF">
        <w:rPr>
          <w:rFonts w:ascii="Arial" w:hAnsi="Arial" w:cs="Arial"/>
        </w:rPr>
        <w:t>The event will incorporate interactive Q&amp;A sessions, post-event content sharing, and multi-platform live streaming to facilitate a global audience (Werner et al., 2022).</w:t>
      </w:r>
    </w:p>
    <w:p w14:paraId="6E5F965F" w14:textId="779BF4A1" w:rsidR="00721EC5" w:rsidRPr="00E73875" w:rsidRDefault="005D0FE3" w:rsidP="000506C8">
      <w:pPr>
        <w:numPr>
          <w:ilvl w:val="0"/>
          <w:numId w:val="12"/>
        </w:numPr>
        <w:spacing w:line="360" w:lineRule="auto"/>
        <w:jc w:val="both"/>
        <w:rPr>
          <w:rFonts w:ascii="Arial" w:hAnsi="Arial" w:cs="Arial"/>
          <w:u w:val="single"/>
        </w:rPr>
      </w:pPr>
      <w:r w:rsidRPr="00E73875">
        <w:rPr>
          <w:rFonts w:ascii="Arial" w:hAnsi="Arial" w:cs="Arial"/>
          <w:u w:val="single"/>
        </w:rPr>
        <w:t>AI-Driven Chatbots</w:t>
      </w:r>
      <w:r w:rsidR="007518C9" w:rsidRPr="00E73875">
        <w:rPr>
          <w:rFonts w:ascii="Arial" w:hAnsi="Arial" w:cs="Arial"/>
          <w:u w:val="single"/>
        </w:rPr>
        <w:t xml:space="preserve"> </w:t>
      </w:r>
      <w:r w:rsidR="007518C9" w:rsidRPr="00E73875">
        <w:rPr>
          <w:rFonts w:ascii="Arial" w:hAnsi="Arial" w:cs="Arial"/>
          <w:b/>
          <w:bCs/>
        </w:rPr>
        <w:t>→</w:t>
      </w:r>
    </w:p>
    <w:p w14:paraId="5B2574EA" w14:textId="77777777" w:rsidR="00AE7405" w:rsidRPr="00AE7405" w:rsidRDefault="00AE7405" w:rsidP="00AE7405">
      <w:pPr>
        <w:spacing w:line="360" w:lineRule="auto"/>
        <w:jc w:val="both"/>
        <w:rPr>
          <w:rFonts w:ascii="Arial" w:hAnsi="Arial" w:cs="Arial"/>
        </w:rPr>
      </w:pPr>
      <w:r w:rsidRPr="00AE7405">
        <w:rPr>
          <w:rFonts w:ascii="Arial" w:hAnsi="Arial" w:cs="Arial"/>
        </w:rPr>
        <w:t>Attendees will be assisted by AI-powered virtual assistants, who will offer real-time event information, networking recommendations, and frequently asked questions (Mohiuddin, 2024).</w:t>
      </w:r>
    </w:p>
    <w:p w14:paraId="78C9DA49" w14:textId="57A15B8F" w:rsidR="005D0FE3" w:rsidRDefault="00AE7405" w:rsidP="00AE7405">
      <w:pPr>
        <w:spacing w:line="360" w:lineRule="auto"/>
        <w:jc w:val="both"/>
        <w:rPr>
          <w:rFonts w:ascii="Arial" w:hAnsi="Arial" w:cs="Arial"/>
        </w:rPr>
      </w:pPr>
      <w:r w:rsidRPr="00AE7405">
        <w:rPr>
          <w:rFonts w:ascii="Arial" w:hAnsi="Arial" w:cs="Arial"/>
        </w:rPr>
        <w:t xml:space="preserve">Hilton reinforces its DEI commitments and industry leadership through a well-structured event management approach that guarantees </w:t>
      </w:r>
      <w:r w:rsidR="00A63796">
        <w:rPr>
          <w:rFonts w:ascii="Arial" w:hAnsi="Arial" w:cs="Arial"/>
        </w:rPr>
        <w:t xml:space="preserve">attendees an efficient, engaging, and impactful experience </w:t>
      </w:r>
      <w:r w:rsidRPr="00AE7405">
        <w:rPr>
          <w:rFonts w:ascii="Arial" w:hAnsi="Arial" w:cs="Arial"/>
        </w:rPr>
        <w:t>(Ferdinand and Kitchin, 2016).</w:t>
      </w:r>
    </w:p>
    <w:p w14:paraId="063F3EFB" w14:textId="77777777" w:rsidR="00AE7405" w:rsidRPr="00E73875" w:rsidRDefault="00AE7405" w:rsidP="00AE7405">
      <w:pPr>
        <w:spacing w:line="360" w:lineRule="auto"/>
        <w:jc w:val="both"/>
        <w:rPr>
          <w:rFonts w:ascii="Arial" w:hAnsi="Arial" w:cs="Arial"/>
        </w:rPr>
      </w:pPr>
    </w:p>
    <w:p w14:paraId="72C82305" w14:textId="18B8D307" w:rsidR="005D0FE3" w:rsidRPr="00E73875" w:rsidRDefault="005D0FE3" w:rsidP="00E73875">
      <w:pPr>
        <w:spacing w:line="360" w:lineRule="auto"/>
        <w:jc w:val="both"/>
        <w:rPr>
          <w:rFonts w:ascii="Arial" w:hAnsi="Arial" w:cs="Arial"/>
          <w:b/>
          <w:bCs/>
          <w:u w:val="single"/>
        </w:rPr>
      </w:pPr>
      <w:r w:rsidRPr="00E73875">
        <w:rPr>
          <w:rFonts w:ascii="Arial" w:hAnsi="Arial" w:cs="Arial"/>
          <w:b/>
          <w:bCs/>
          <w:u w:val="single"/>
        </w:rPr>
        <w:t>Event Budget – Financial Analysis</w:t>
      </w:r>
    </w:p>
    <w:p w14:paraId="5B2287C0" w14:textId="7A06CB91" w:rsidR="00444F2D" w:rsidRPr="00E73875" w:rsidRDefault="00A63796" w:rsidP="00E73875">
      <w:pPr>
        <w:spacing w:line="360" w:lineRule="auto"/>
        <w:jc w:val="both"/>
        <w:rPr>
          <w:rFonts w:ascii="Arial" w:hAnsi="Arial" w:cs="Arial"/>
        </w:rPr>
      </w:pPr>
      <w:r>
        <w:rPr>
          <w:rFonts w:ascii="Arial" w:hAnsi="Arial" w:cs="Arial"/>
        </w:rPr>
        <w:t>To</w:t>
      </w:r>
      <w:r w:rsidR="00047EF4" w:rsidRPr="00047EF4">
        <w:rPr>
          <w:rFonts w:ascii="Arial" w:hAnsi="Arial" w:cs="Arial"/>
        </w:rPr>
        <w:t xml:space="preserve"> guarantee Hilton's 100th Anniversary Event's profitability and high-quality execution, it is essential to implement effective financial planning (Salama, 2021). The budget is designed to maintain a strategic allocation of resources while also balancing cost efficiency and revenue generation (Salama, 2021).</w:t>
      </w:r>
    </w:p>
    <w:tbl>
      <w:tblPr>
        <w:tblpPr w:leftFromText="180" w:rightFromText="180" w:vertAnchor="text" w:horzAnchor="margin" w:tblpXSpec="center" w:tblpY="150"/>
        <w:tblW w:w="9015" w:type="dxa"/>
        <w:tblCellMar>
          <w:left w:w="0" w:type="dxa"/>
          <w:right w:w="0" w:type="dxa"/>
        </w:tblCellMar>
        <w:tblLook w:val="0420" w:firstRow="1" w:lastRow="0" w:firstColumn="0" w:lastColumn="0" w:noHBand="0" w:noVBand="1"/>
      </w:tblPr>
      <w:tblGrid>
        <w:gridCol w:w="2343"/>
        <w:gridCol w:w="6672"/>
      </w:tblGrid>
      <w:tr w:rsidR="00DF6137" w:rsidRPr="00DF6137" w14:paraId="783ED155" w14:textId="77777777" w:rsidTr="001744C1">
        <w:trPr>
          <w:trHeight w:val="617"/>
        </w:trPr>
        <w:tc>
          <w:tcPr>
            <w:tcW w:w="2343" w:type="dxa"/>
            <w:tcBorders>
              <w:top w:val="single" w:sz="18" w:space="0" w:color="000000"/>
              <w:left w:val="nil"/>
              <w:bottom w:val="single" w:sz="18" w:space="0" w:color="000000"/>
              <w:right w:val="nil"/>
            </w:tcBorders>
            <w:shd w:val="clear" w:color="auto" w:fill="E97132"/>
            <w:tcMar>
              <w:top w:w="72" w:type="dxa"/>
              <w:left w:w="144" w:type="dxa"/>
              <w:bottom w:w="72" w:type="dxa"/>
              <w:right w:w="144" w:type="dxa"/>
            </w:tcMar>
            <w:hideMark/>
          </w:tcPr>
          <w:p w14:paraId="1AC4A97F" w14:textId="77777777" w:rsidR="00DF6137" w:rsidRPr="00DF6137" w:rsidRDefault="00DF6137" w:rsidP="001744C1">
            <w:pPr>
              <w:jc w:val="center"/>
              <w:rPr>
                <w:color w:val="FFFFFF" w:themeColor="background1"/>
                <w:sz w:val="28"/>
                <w:szCs w:val="28"/>
              </w:rPr>
            </w:pPr>
            <w:r w:rsidRPr="00DF6137">
              <w:rPr>
                <w:b/>
                <w:bCs/>
                <w:color w:val="FFFFFF" w:themeColor="background1"/>
                <w:sz w:val="28"/>
                <w:szCs w:val="28"/>
                <w:lang w:val="en-US"/>
              </w:rPr>
              <w:lastRenderedPageBreak/>
              <w:t>CATEGORY</w:t>
            </w:r>
          </w:p>
        </w:tc>
        <w:tc>
          <w:tcPr>
            <w:tcW w:w="6672" w:type="dxa"/>
            <w:tcBorders>
              <w:top w:val="single" w:sz="18" w:space="0" w:color="000000"/>
              <w:left w:val="nil"/>
              <w:bottom w:val="single" w:sz="18" w:space="0" w:color="000000"/>
              <w:right w:val="nil"/>
            </w:tcBorders>
            <w:shd w:val="clear" w:color="auto" w:fill="E97132"/>
            <w:tcMar>
              <w:top w:w="72" w:type="dxa"/>
              <w:left w:w="144" w:type="dxa"/>
              <w:bottom w:w="72" w:type="dxa"/>
              <w:right w:w="144" w:type="dxa"/>
            </w:tcMar>
            <w:hideMark/>
          </w:tcPr>
          <w:p w14:paraId="05A724E3" w14:textId="264AD1F7" w:rsidR="00DF6137" w:rsidRPr="00DF6137" w:rsidRDefault="00DF6137" w:rsidP="001744C1">
            <w:pPr>
              <w:jc w:val="center"/>
              <w:rPr>
                <w:color w:val="FFFFFF" w:themeColor="background1"/>
                <w:sz w:val="28"/>
                <w:szCs w:val="28"/>
              </w:rPr>
            </w:pPr>
            <w:r w:rsidRPr="00DF6137">
              <w:rPr>
                <w:b/>
                <w:bCs/>
                <w:color w:val="FFFFFF" w:themeColor="background1"/>
                <w:sz w:val="28"/>
                <w:szCs w:val="28"/>
                <w:lang w:val="en-US"/>
              </w:rPr>
              <w:t>ESTIMATED COST</w:t>
            </w:r>
          </w:p>
        </w:tc>
      </w:tr>
      <w:tr w:rsidR="00DF6137" w:rsidRPr="00DF6137" w14:paraId="0FDACDA7" w14:textId="77777777" w:rsidTr="001744C1">
        <w:trPr>
          <w:trHeight w:val="613"/>
        </w:trPr>
        <w:tc>
          <w:tcPr>
            <w:tcW w:w="2343" w:type="dxa"/>
            <w:tcBorders>
              <w:top w:val="single" w:sz="18" w:space="0" w:color="000000"/>
              <w:left w:val="nil"/>
              <w:bottom w:val="nil"/>
              <w:right w:val="nil"/>
            </w:tcBorders>
            <w:shd w:val="clear" w:color="auto" w:fill="E7E7E7"/>
            <w:tcMar>
              <w:top w:w="15" w:type="dxa"/>
              <w:left w:w="15" w:type="dxa"/>
              <w:bottom w:w="15" w:type="dxa"/>
              <w:right w:w="15" w:type="dxa"/>
            </w:tcMar>
            <w:vAlign w:val="center"/>
            <w:hideMark/>
          </w:tcPr>
          <w:p w14:paraId="1CF1A4EA" w14:textId="77777777" w:rsidR="00DF6137" w:rsidRPr="00DF6137" w:rsidRDefault="00DF6137" w:rsidP="001744C1">
            <w:pPr>
              <w:jc w:val="center"/>
            </w:pPr>
            <w:r w:rsidRPr="00DF6137">
              <w:rPr>
                <w:b/>
                <w:bCs/>
              </w:rPr>
              <w:t>Ticket Sales</w:t>
            </w:r>
          </w:p>
        </w:tc>
        <w:tc>
          <w:tcPr>
            <w:tcW w:w="6672" w:type="dxa"/>
            <w:tcBorders>
              <w:top w:val="single" w:sz="18" w:space="0" w:color="000000"/>
              <w:left w:val="nil"/>
              <w:bottom w:val="nil"/>
              <w:right w:val="nil"/>
            </w:tcBorders>
            <w:shd w:val="clear" w:color="auto" w:fill="E7E7E7"/>
            <w:tcMar>
              <w:top w:w="15" w:type="dxa"/>
              <w:left w:w="15" w:type="dxa"/>
              <w:bottom w:w="15" w:type="dxa"/>
              <w:right w:w="15" w:type="dxa"/>
            </w:tcMar>
            <w:vAlign w:val="center"/>
            <w:hideMark/>
          </w:tcPr>
          <w:p w14:paraId="7D50625F" w14:textId="491FC2D7" w:rsidR="00DF6137" w:rsidRPr="00DF6137" w:rsidRDefault="003563DF" w:rsidP="001744C1">
            <w:pPr>
              <w:jc w:val="center"/>
            </w:pPr>
            <w:r w:rsidRPr="00DF6137">
              <w:t>£</w:t>
            </w:r>
            <w:r w:rsidR="00DF6137" w:rsidRPr="00DF6137">
              <w:t>120,000</w:t>
            </w:r>
          </w:p>
        </w:tc>
      </w:tr>
      <w:tr w:rsidR="00DF6137" w:rsidRPr="00DF6137" w14:paraId="7782506B" w14:textId="77777777" w:rsidTr="001744C1">
        <w:trPr>
          <w:trHeight w:val="617"/>
        </w:trPr>
        <w:tc>
          <w:tcPr>
            <w:tcW w:w="2343" w:type="dxa"/>
            <w:tcBorders>
              <w:top w:val="nil"/>
              <w:left w:val="nil"/>
              <w:bottom w:val="nil"/>
              <w:right w:val="nil"/>
            </w:tcBorders>
            <w:shd w:val="clear" w:color="auto" w:fill="FFFFFF"/>
            <w:tcMar>
              <w:top w:w="15" w:type="dxa"/>
              <w:left w:w="15" w:type="dxa"/>
              <w:bottom w:w="15" w:type="dxa"/>
              <w:right w:w="15" w:type="dxa"/>
            </w:tcMar>
            <w:vAlign w:val="center"/>
            <w:hideMark/>
          </w:tcPr>
          <w:p w14:paraId="58102BF3" w14:textId="77777777" w:rsidR="00DF6137" w:rsidRPr="00DF6137" w:rsidRDefault="00DF6137" w:rsidP="001744C1">
            <w:pPr>
              <w:jc w:val="center"/>
            </w:pPr>
            <w:r w:rsidRPr="00DF6137">
              <w:rPr>
                <w:b/>
                <w:bCs/>
              </w:rPr>
              <w:t>Merchandise Sales</w:t>
            </w:r>
          </w:p>
        </w:tc>
        <w:tc>
          <w:tcPr>
            <w:tcW w:w="6672" w:type="dxa"/>
            <w:tcBorders>
              <w:top w:val="nil"/>
              <w:left w:val="nil"/>
              <w:bottom w:val="nil"/>
              <w:right w:val="nil"/>
            </w:tcBorders>
            <w:shd w:val="clear" w:color="auto" w:fill="FFFFFF"/>
            <w:tcMar>
              <w:top w:w="15" w:type="dxa"/>
              <w:left w:w="15" w:type="dxa"/>
              <w:bottom w:w="15" w:type="dxa"/>
              <w:right w:w="15" w:type="dxa"/>
            </w:tcMar>
            <w:vAlign w:val="center"/>
            <w:hideMark/>
          </w:tcPr>
          <w:p w14:paraId="7F72F086" w14:textId="206E5D78" w:rsidR="00DF6137" w:rsidRPr="00DF6137" w:rsidRDefault="003563DF" w:rsidP="001744C1">
            <w:pPr>
              <w:jc w:val="center"/>
            </w:pPr>
            <w:r w:rsidRPr="00DF6137">
              <w:t>£</w:t>
            </w:r>
            <w:r w:rsidR="00DF6137" w:rsidRPr="00DF6137">
              <w:t>40,000</w:t>
            </w:r>
          </w:p>
        </w:tc>
      </w:tr>
      <w:tr w:rsidR="00DF6137" w:rsidRPr="00DF6137" w14:paraId="3A00AD01" w14:textId="77777777" w:rsidTr="001744C1">
        <w:trPr>
          <w:trHeight w:val="617"/>
        </w:trPr>
        <w:tc>
          <w:tcPr>
            <w:tcW w:w="2343" w:type="dxa"/>
            <w:tcBorders>
              <w:top w:val="nil"/>
              <w:left w:val="nil"/>
              <w:bottom w:val="nil"/>
              <w:right w:val="nil"/>
            </w:tcBorders>
            <w:shd w:val="clear" w:color="auto" w:fill="E7E7E7"/>
            <w:tcMar>
              <w:top w:w="15" w:type="dxa"/>
              <w:left w:w="15" w:type="dxa"/>
              <w:bottom w:w="15" w:type="dxa"/>
              <w:right w:w="15" w:type="dxa"/>
            </w:tcMar>
            <w:vAlign w:val="center"/>
            <w:hideMark/>
          </w:tcPr>
          <w:p w14:paraId="5D540FEE" w14:textId="77777777" w:rsidR="00DF6137" w:rsidRPr="00DF6137" w:rsidRDefault="00DF6137" w:rsidP="001744C1">
            <w:pPr>
              <w:jc w:val="center"/>
            </w:pPr>
            <w:r w:rsidRPr="00DF6137">
              <w:rPr>
                <w:b/>
                <w:bCs/>
              </w:rPr>
              <w:t>Total Income</w:t>
            </w:r>
          </w:p>
        </w:tc>
        <w:tc>
          <w:tcPr>
            <w:tcW w:w="6672" w:type="dxa"/>
            <w:tcBorders>
              <w:top w:val="nil"/>
              <w:left w:val="nil"/>
              <w:bottom w:val="nil"/>
              <w:right w:val="nil"/>
            </w:tcBorders>
            <w:shd w:val="clear" w:color="auto" w:fill="E7E7E7"/>
            <w:tcMar>
              <w:top w:w="15" w:type="dxa"/>
              <w:left w:w="15" w:type="dxa"/>
              <w:bottom w:w="15" w:type="dxa"/>
              <w:right w:w="15" w:type="dxa"/>
            </w:tcMar>
            <w:vAlign w:val="center"/>
            <w:hideMark/>
          </w:tcPr>
          <w:p w14:paraId="7CF40F6C" w14:textId="77777777" w:rsidR="00DF6137" w:rsidRPr="00DF6137" w:rsidRDefault="00DF6137" w:rsidP="001744C1">
            <w:pPr>
              <w:jc w:val="center"/>
            </w:pPr>
            <w:r w:rsidRPr="00DF6137">
              <w:rPr>
                <w:b/>
                <w:bCs/>
              </w:rPr>
              <w:t>£400,000</w:t>
            </w:r>
          </w:p>
        </w:tc>
      </w:tr>
      <w:tr w:rsidR="00DF6137" w:rsidRPr="00DF6137" w14:paraId="6A701460" w14:textId="77777777" w:rsidTr="001744C1">
        <w:trPr>
          <w:trHeight w:val="617"/>
        </w:trPr>
        <w:tc>
          <w:tcPr>
            <w:tcW w:w="2343" w:type="dxa"/>
            <w:tcBorders>
              <w:top w:val="nil"/>
              <w:left w:val="nil"/>
              <w:bottom w:val="nil"/>
              <w:right w:val="nil"/>
            </w:tcBorders>
            <w:shd w:val="clear" w:color="auto" w:fill="FFFFFF"/>
            <w:tcMar>
              <w:top w:w="15" w:type="dxa"/>
              <w:left w:w="15" w:type="dxa"/>
              <w:bottom w:w="15" w:type="dxa"/>
              <w:right w:w="15" w:type="dxa"/>
            </w:tcMar>
            <w:vAlign w:val="center"/>
            <w:hideMark/>
          </w:tcPr>
          <w:p w14:paraId="46F9C220" w14:textId="2A974E68" w:rsidR="00DF6137" w:rsidRPr="00DF6137" w:rsidRDefault="00DF6137" w:rsidP="001744C1">
            <w:pPr>
              <w:jc w:val="center"/>
            </w:pPr>
            <w:r w:rsidRPr="00DF6137">
              <w:rPr>
                <w:b/>
                <w:bCs/>
              </w:rPr>
              <w:t xml:space="preserve">AV </w:t>
            </w:r>
            <w:r w:rsidR="00554CC2">
              <w:rPr>
                <w:b/>
                <w:bCs/>
              </w:rPr>
              <w:t>and</w:t>
            </w:r>
            <w:r w:rsidRPr="00DF6137">
              <w:rPr>
                <w:b/>
                <w:bCs/>
              </w:rPr>
              <w:t xml:space="preserve"> Live Streaming</w:t>
            </w:r>
          </w:p>
        </w:tc>
        <w:tc>
          <w:tcPr>
            <w:tcW w:w="6672" w:type="dxa"/>
            <w:tcBorders>
              <w:top w:val="nil"/>
              <w:left w:val="nil"/>
              <w:bottom w:val="nil"/>
              <w:right w:val="nil"/>
            </w:tcBorders>
            <w:shd w:val="clear" w:color="auto" w:fill="FFFFFF"/>
            <w:tcMar>
              <w:top w:w="15" w:type="dxa"/>
              <w:left w:w="15" w:type="dxa"/>
              <w:bottom w:w="15" w:type="dxa"/>
              <w:right w:w="15" w:type="dxa"/>
            </w:tcMar>
            <w:vAlign w:val="center"/>
            <w:hideMark/>
          </w:tcPr>
          <w:p w14:paraId="76991964" w14:textId="45A5C6BF" w:rsidR="00DF6137" w:rsidRPr="00DF6137" w:rsidRDefault="003563DF" w:rsidP="001744C1">
            <w:pPr>
              <w:jc w:val="center"/>
            </w:pPr>
            <w:r w:rsidRPr="00DF6137">
              <w:t>£</w:t>
            </w:r>
            <w:r w:rsidR="00DF6137" w:rsidRPr="00DF6137">
              <w:t>35,000</w:t>
            </w:r>
          </w:p>
        </w:tc>
      </w:tr>
      <w:tr w:rsidR="00DF6137" w:rsidRPr="00DF6137" w14:paraId="36C224DA" w14:textId="77777777" w:rsidTr="001744C1">
        <w:trPr>
          <w:trHeight w:val="617"/>
        </w:trPr>
        <w:tc>
          <w:tcPr>
            <w:tcW w:w="2343" w:type="dxa"/>
            <w:tcBorders>
              <w:top w:val="nil"/>
              <w:left w:val="nil"/>
              <w:bottom w:val="nil"/>
              <w:right w:val="nil"/>
            </w:tcBorders>
            <w:shd w:val="clear" w:color="auto" w:fill="E7E7E7"/>
            <w:tcMar>
              <w:top w:w="15" w:type="dxa"/>
              <w:left w:w="15" w:type="dxa"/>
              <w:bottom w:w="15" w:type="dxa"/>
              <w:right w:w="15" w:type="dxa"/>
            </w:tcMar>
            <w:vAlign w:val="center"/>
            <w:hideMark/>
          </w:tcPr>
          <w:p w14:paraId="68CA9B3D" w14:textId="77777777" w:rsidR="00DF6137" w:rsidRPr="00DF6137" w:rsidRDefault="00DF6137" w:rsidP="001744C1">
            <w:pPr>
              <w:jc w:val="center"/>
            </w:pPr>
            <w:r w:rsidRPr="00DF6137">
              <w:rPr>
                <w:b/>
                <w:bCs/>
              </w:rPr>
              <w:t>Catering</w:t>
            </w:r>
          </w:p>
        </w:tc>
        <w:tc>
          <w:tcPr>
            <w:tcW w:w="6672" w:type="dxa"/>
            <w:tcBorders>
              <w:top w:val="nil"/>
              <w:left w:val="nil"/>
              <w:bottom w:val="nil"/>
              <w:right w:val="nil"/>
            </w:tcBorders>
            <w:shd w:val="clear" w:color="auto" w:fill="E7E7E7"/>
            <w:tcMar>
              <w:top w:w="15" w:type="dxa"/>
              <w:left w:w="15" w:type="dxa"/>
              <w:bottom w:w="15" w:type="dxa"/>
              <w:right w:w="15" w:type="dxa"/>
            </w:tcMar>
            <w:vAlign w:val="center"/>
            <w:hideMark/>
          </w:tcPr>
          <w:p w14:paraId="3FB2505F" w14:textId="68266495" w:rsidR="00DF6137" w:rsidRPr="00DF6137" w:rsidRDefault="003563DF" w:rsidP="001744C1">
            <w:pPr>
              <w:jc w:val="center"/>
            </w:pPr>
            <w:r w:rsidRPr="00DF6137">
              <w:t>£</w:t>
            </w:r>
            <w:r w:rsidR="00DF6137" w:rsidRPr="00DF6137">
              <w:t>40,000</w:t>
            </w:r>
          </w:p>
        </w:tc>
      </w:tr>
      <w:tr w:rsidR="00DF6137" w:rsidRPr="00DF6137" w14:paraId="2826074E" w14:textId="77777777" w:rsidTr="001744C1">
        <w:trPr>
          <w:trHeight w:val="617"/>
        </w:trPr>
        <w:tc>
          <w:tcPr>
            <w:tcW w:w="2343" w:type="dxa"/>
            <w:tcBorders>
              <w:top w:val="nil"/>
              <w:left w:val="nil"/>
              <w:bottom w:val="nil"/>
              <w:right w:val="nil"/>
            </w:tcBorders>
            <w:shd w:val="clear" w:color="auto" w:fill="FFFFFF"/>
            <w:tcMar>
              <w:top w:w="15" w:type="dxa"/>
              <w:left w:w="15" w:type="dxa"/>
              <w:bottom w:w="15" w:type="dxa"/>
              <w:right w:w="15" w:type="dxa"/>
            </w:tcMar>
            <w:vAlign w:val="center"/>
            <w:hideMark/>
          </w:tcPr>
          <w:p w14:paraId="510C9EF4" w14:textId="77777777" w:rsidR="00DF6137" w:rsidRPr="00DF6137" w:rsidRDefault="00DF6137" w:rsidP="001744C1">
            <w:pPr>
              <w:jc w:val="center"/>
            </w:pPr>
            <w:r w:rsidRPr="00DF6137">
              <w:rPr>
                <w:b/>
                <w:bCs/>
              </w:rPr>
              <w:t>Staffing</w:t>
            </w:r>
          </w:p>
        </w:tc>
        <w:tc>
          <w:tcPr>
            <w:tcW w:w="6672" w:type="dxa"/>
            <w:tcBorders>
              <w:top w:val="nil"/>
              <w:left w:val="nil"/>
              <w:bottom w:val="nil"/>
              <w:right w:val="nil"/>
            </w:tcBorders>
            <w:shd w:val="clear" w:color="auto" w:fill="FFFFFF"/>
            <w:tcMar>
              <w:top w:w="15" w:type="dxa"/>
              <w:left w:w="15" w:type="dxa"/>
              <w:bottom w:w="15" w:type="dxa"/>
              <w:right w:w="15" w:type="dxa"/>
            </w:tcMar>
            <w:vAlign w:val="center"/>
            <w:hideMark/>
          </w:tcPr>
          <w:p w14:paraId="6C3AD5B9" w14:textId="1891FEB2" w:rsidR="00DF6137" w:rsidRPr="00DF6137" w:rsidRDefault="003563DF" w:rsidP="001744C1">
            <w:pPr>
              <w:jc w:val="center"/>
            </w:pPr>
            <w:r w:rsidRPr="00DF6137">
              <w:t>£</w:t>
            </w:r>
            <w:r w:rsidR="00DF6137" w:rsidRPr="00DF6137">
              <w:t>35,000</w:t>
            </w:r>
          </w:p>
        </w:tc>
      </w:tr>
      <w:tr w:rsidR="00DF6137" w:rsidRPr="00DF6137" w14:paraId="4B14E3F2" w14:textId="77777777" w:rsidTr="001744C1">
        <w:trPr>
          <w:trHeight w:val="617"/>
        </w:trPr>
        <w:tc>
          <w:tcPr>
            <w:tcW w:w="2343" w:type="dxa"/>
            <w:tcBorders>
              <w:top w:val="nil"/>
              <w:left w:val="nil"/>
              <w:bottom w:val="nil"/>
              <w:right w:val="nil"/>
            </w:tcBorders>
            <w:shd w:val="clear" w:color="auto" w:fill="E7E7E7"/>
            <w:tcMar>
              <w:top w:w="15" w:type="dxa"/>
              <w:left w:w="15" w:type="dxa"/>
              <w:bottom w:w="15" w:type="dxa"/>
              <w:right w:w="15" w:type="dxa"/>
            </w:tcMar>
            <w:vAlign w:val="center"/>
            <w:hideMark/>
          </w:tcPr>
          <w:p w14:paraId="55F300CB" w14:textId="77777777" w:rsidR="00DF6137" w:rsidRPr="00DF6137" w:rsidRDefault="00DF6137" w:rsidP="001744C1">
            <w:pPr>
              <w:jc w:val="center"/>
            </w:pPr>
            <w:r w:rsidRPr="00DF6137">
              <w:rPr>
                <w:b/>
                <w:bCs/>
              </w:rPr>
              <w:t>Marketing</w:t>
            </w:r>
          </w:p>
        </w:tc>
        <w:tc>
          <w:tcPr>
            <w:tcW w:w="6672" w:type="dxa"/>
            <w:tcBorders>
              <w:top w:val="nil"/>
              <w:left w:val="nil"/>
              <w:bottom w:val="nil"/>
              <w:right w:val="nil"/>
            </w:tcBorders>
            <w:shd w:val="clear" w:color="auto" w:fill="E7E7E7"/>
            <w:tcMar>
              <w:top w:w="15" w:type="dxa"/>
              <w:left w:w="15" w:type="dxa"/>
              <w:bottom w:w="15" w:type="dxa"/>
              <w:right w:w="15" w:type="dxa"/>
            </w:tcMar>
            <w:vAlign w:val="center"/>
            <w:hideMark/>
          </w:tcPr>
          <w:p w14:paraId="66725432" w14:textId="4F46CF73" w:rsidR="00DF6137" w:rsidRPr="00DF6137" w:rsidRDefault="003563DF" w:rsidP="001744C1">
            <w:pPr>
              <w:jc w:val="center"/>
            </w:pPr>
            <w:r w:rsidRPr="00DF6137">
              <w:t>£</w:t>
            </w:r>
            <w:r w:rsidR="00DF6137" w:rsidRPr="00DF6137">
              <w:t>35,000</w:t>
            </w:r>
          </w:p>
        </w:tc>
      </w:tr>
      <w:tr w:rsidR="00DF6137" w:rsidRPr="00DF6137" w14:paraId="57E28530" w14:textId="77777777" w:rsidTr="001744C1">
        <w:trPr>
          <w:trHeight w:val="617"/>
        </w:trPr>
        <w:tc>
          <w:tcPr>
            <w:tcW w:w="2343" w:type="dxa"/>
            <w:tcBorders>
              <w:top w:val="nil"/>
              <w:left w:val="nil"/>
              <w:bottom w:val="nil"/>
              <w:right w:val="nil"/>
            </w:tcBorders>
            <w:shd w:val="clear" w:color="auto" w:fill="FFFFFF"/>
            <w:tcMar>
              <w:top w:w="15" w:type="dxa"/>
              <w:left w:w="15" w:type="dxa"/>
              <w:bottom w:w="15" w:type="dxa"/>
              <w:right w:w="15" w:type="dxa"/>
            </w:tcMar>
            <w:vAlign w:val="center"/>
            <w:hideMark/>
          </w:tcPr>
          <w:p w14:paraId="7B799653" w14:textId="77777777" w:rsidR="00DF6137" w:rsidRPr="00DF6137" w:rsidRDefault="00DF6137" w:rsidP="001744C1">
            <w:pPr>
              <w:jc w:val="center"/>
            </w:pPr>
            <w:r w:rsidRPr="00DF6137">
              <w:rPr>
                <w:b/>
                <w:bCs/>
              </w:rPr>
              <w:t>Technology</w:t>
            </w:r>
          </w:p>
        </w:tc>
        <w:tc>
          <w:tcPr>
            <w:tcW w:w="6672" w:type="dxa"/>
            <w:tcBorders>
              <w:top w:val="nil"/>
              <w:left w:val="nil"/>
              <w:bottom w:val="nil"/>
              <w:right w:val="nil"/>
            </w:tcBorders>
            <w:shd w:val="clear" w:color="auto" w:fill="FFFFFF"/>
            <w:tcMar>
              <w:top w:w="15" w:type="dxa"/>
              <w:left w:w="15" w:type="dxa"/>
              <w:bottom w:w="15" w:type="dxa"/>
              <w:right w:w="15" w:type="dxa"/>
            </w:tcMar>
            <w:vAlign w:val="center"/>
            <w:hideMark/>
          </w:tcPr>
          <w:p w14:paraId="0288DF13" w14:textId="57A4329B" w:rsidR="00DF6137" w:rsidRPr="00DF6137" w:rsidRDefault="003563DF" w:rsidP="001744C1">
            <w:pPr>
              <w:jc w:val="center"/>
            </w:pPr>
            <w:r w:rsidRPr="00DF6137">
              <w:t>£</w:t>
            </w:r>
            <w:r w:rsidR="00DF6137" w:rsidRPr="00DF6137">
              <w:t>25,000</w:t>
            </w:r>
          </w:p>
        </w:tc>
      </w:tr>
      <w:tr w:rsidR="00DF6137" w:rsidRPr="00DF6137" w14:paraId="0978AD38" w14:textId="77777777" w:rsidTr="001744C1">
        <w:trPr>
          <w:trHeight w:val="617"/>
        </w:trPr>
        <w:tc>
          <w:tcPr>
            <w:tcW w:w="2343" w:type="dxa"/>
            <w:tcBorders>
              <w:top w:val="nil"/>
              <w:left w:val="nil"/>
              <w:bottom w:val="nil"/>
              <w:right w:val="nil"/>
            </w:tcBorders>
            <w:shd w:val="clear" w:color="auto" w:fill="E7E7E7"/>
            <w:tcMar>
              <w:top w:w="15" w:type="dxa"/>
              <w:left w:w="15" w:type="dxa"/>
              <w:bottom w:w="15" w:type="dxa"/>
              <w:right w:w="15" w:type="dxa"/>
            </w:tcMar>
            <w:vAlign w:val="center"/>
            <w:hideMark/>
          </w:tcPr>
          <w:p w14:paraId="281C5F81" w14:textId="77777777" w:rsidR="00DF6137" w:rsidRPr="00DF6137" w:rsidRDefault="00DF6137" w:rsidP="001744C1">
            <w:pPr>
              <w:jc w:val="center"/>
            </w:pPr>
            <w:r w:rsidRPr="00DF6137">
              <w:rPr>
                <w:b/>
                <w:bCs/>
              </w:rPr>
              <w:t>Miscellaneous</w:t>
            </w:r>
          </w:p>
        </w:tc>
        <w:tc>
          <w:tcPr>
            <w:tcW w:w="6672" w:type="dxa"/>
            <w:tcBorders>
              <w:top w:val="nil"/>
              <w:left w:val="nil"/>
              <w:bottom w:val="nil"/>
              <w:right w:val="nil"/>
            </w:tcBorders>
            <w:shd w:val="clear" w:color="auto" w:fill="E7E7E7"/>
            <w:tcMar>
              <w:top w:w="15" w:type="dxa"/>
              <w:left w:w="15" w:type="dxa"/>
              <w:bottom w:w="15" w:type="dxa"/>
              <w:right w:w="15" w:type="dxa"/>
            </w:tcMar>
            <w:vAlign w:val="center"/>
            <w:hideMark/>
          </w:tcPr>
          <w:p w14:paraId="638892E8" w14:textId="4AE7E112" w:rsidR="00DF6137" w:rsidRPr="00DF6137" w:rsidRDefault="003563DF" w:rsidP="001744C1">
            <w:pPr>
              <w:jc w:val="center"/>
            </w:pPr>
            <w:r w:rsidRPr="00DF6137">
              <w:t>£</w:t>
            </w:r>
            <w:r w:rsidR="00DF6137" w:rsidRPr="00DF6137">
              <w:t>10,000</w:t>
            </w:r>
          </w:p>
        </w:tc>
      </w:tr>
      <w:tr w:rsidR="00DF6137" w:rsidRPr="00DF6137" w14:paraId="2EB30A12" w14:textId="77777777" w:rsidTr="001744C1">
        <w:trPr>
          <w:trHeight w:val="617"/>
        </w:trPr>
        <w:tc>
          <w:tcPr>
            <w:tcW w:w="2343" w:type="dxa"/>
            <w:tcBorders>
              <w:top w:val="nil"/>
              <w:left w:val="nil"/>
              <w:bottom w:val="nil"/>
              <w:right w:val="nil"/>
            </w:tcBorders>
            <w:shd w:val="clear" w:color="auto" w:fill="FFFFFF"/>
            <w:tcMar>
              <w:top w:w="15" w:type="dxa"/>
              <w:left w:w="15" w:type="dxa"/>
              <w:bottom w:w="15" w:type="dxa"/>
              <w:right w:w="15" w:type="dxa"/>
            </w:tcMar>
            <w:vAlign w:val="center"/>
            <w:hideMark/>
          </w:tcPr>
          <w:p w14:paraId="7599F623" w14:textId="77777777" w:rsidR="00DF6137" w:rsidRPr="00DF6137" w:rsidRDefault="00DF6137" w:rsidP="001744C1">
            <w:pPr>
              <w:jc w:val="center"/>
            </w:pPr>
            <w:r w:rsidRPr="00DF6137">
              <w:rPr>
                <w:b/>
                <w:bCs/>
              </w:rPr>
              <w:t>Total Expenditure</w:t>
            </w:r>
          </w:p>
        </w:tc>
        <w:tc>
          <w:tcPr>
            <w:tcW w:w="6672" w:type="dxa"/>
            <w:tcBorders>
              <w:top w:val="nil"/>
              <w:left w:val="nil"/>
              <w:bottom w:val="nil"/>
              <w:right w:val="nil"/>
            </w:tcBorders>
            <w:shd w:val="clear" w:color="auto" w:fill="FFFFFF"/>
            <w:tcMar>
              <w:top w:w="15" w:type="dxa"/>
              <w:left w:w="15" w:type="dxa"/>
              <w:bottom w:w="15" w:type="dxa"/>
              <w:right w:w="15" w:type="dxa"/>
            </w:tcMar>
            <w:vAlign w:val="center"/>
            <w:hideMark/>
          </w:tcPr>
          <w:p w14:paraId="2E8490C8" w14:textId="77777777" w:rsidR="00DF6137" w:rsidRPr="00DF6137" w:rsidRDefault="00DF6137" w:rsidP="001744C1">
            <w:pPr>
              <w:jc w:val="center"/>
            </w:pPr>
            <w:r w:rsidRPr="00DF6137">
              <w:rPr>
                <w:b/>
                <w:bCs/>
              </w:rPr>
              <w:t>£200,000</w:t>
            </w:r>
          </w:p>
        </w:tc>
      </w:tr>
      <w:tr w:rsidR="00DF6137" w:rsidRPr="00DF6137" w14:paraId="621EFDFA" w14:textId="77777777" w:rsidTr="001744C1">
        <w:trPr>
          <w:trHeight w:val="617"/>
        </w:trPr>
        <w:tc>
          <w:tcPr>
            <w:tcW w:w="2343" w:type="dxa"/>
            <w:tcBorders>
              <w:top w:val="nil"/>
              <w:left w:val="nil"/>
              <w:bottom w:val="single" w:sz="18" w:space="0" w:color="000000"/>
              <w:right w:val="nil"/>
            </w:tcBorders>
            <w:shd w:val="clear" w:color="auto" w:fill="E7E7E7"/>
            <w:tcMar>
              <w:top w:w="15" w:type="dxa"/>
              <w:left w:w="15" w:type="dxa"/>
              <w:bottom w:w="15" w:type="dxa"/>
              <w:right w:w="15" w:type="dxa"/>
            </w:tcMar>
            <w:vAlign w:val="center"/>
            <w:hideMark/>
          </w:tcPr>
          <w:p w14:paraId="25961DF9" w14:textId="77777777" w:rsidR="00DF6137" w:rsidRPr="00DF6137" w:rsidRDefault="00DF6137" w:rsidP="001744C1">
            <w:pPr>
              <w:jc w:val="center"/>
            </w:pPr>
            <w:r w:rsidRPr="00DF6137">
              <w:rPr>
                <w:b/>
                <w:bCs/>
              </w:rPr>
              <w:t>Net Profit</w:t>
            </w:r>
          </w:p>
        </w:tc>
        <w:tc>
          <w:tcPr>
            <w:tcW w:w="6672" w:type="dxa"/>
            <w:tcBorders>
              <w:top w:val="nil"/>
              <w:left w:val="nil"/>
              <w:bottom w:val="single" w:sz="18" w:space="0" w:color="000000"/>
              <w:right w:val="nil"/>
            </w:tcBorders>
            <w:shd w:val="clear" w:color="auto" w:fill="E7E7E7"/>
            <w:tcMar>
              <w:top w:w="15" w:type="dxa"/>
              <w:left w:w="15" w:type="dxa"/>
              <w:bottom w:w="15" w:type="dxa"/>
              <w:right w:w="15" w:type="dxa"/>
            </w:tcMar>
            <w:vAlign w:val="center"/>
            <w:hideMark/>
          </w:tcPr>
          <w:p w14:paraId="0B088D3C" w14:textId="77777777" w:rsidR="00DF6137" w:rsidRPr="00DF6137" w:rsidRDefault="00DF6137" w:rsidP="001744C1">
            <w:pPr>
              <w:jc w:val="center"/>
            </w:pPr>
            <w:r w:rsidRPr="00DF6137">
              <w:rPr>
                <w:b/>
                <w:bCs/>
              </w:rPr>
              <w:t>£200,000</w:t>
            </w:r>
          </w:p>
        </w:tc>
      </w:tr>
    </w:tbl>
    <w:p w14:paraId="4E3DE505" w14:textId="77777777" w:rsidR="00406B57" w:rsidRPr="00995CD1" w:rsidRDefault="00406B57" w:rsidP="005D0FE3"/>
    <w:p w14:paraId="474425DA" w14:textId="5533C8E3" w:rsidR="00316187" w:rsidRDefault="00D535C0" w:rsidP="00D535C0">
      <w:pPr>
        <w:spacing w:line="360" w:lineRule="auto"/>
        <w:jc w:val="both"/>
        <w:rPr>
          <w:rFonts w:ascii="Arial" w:hAnsi="Arial" w:cs="Arial"/>
        </w:rPr>
      </w:pPr>
      <w:r w:rsidRPr="00D535C0">
        <w:rPr>
          <w:rFonts w:ascii="Arial" w:hAnsi="Arial" w:cs="Arial"/>
        </w:rPr>
        <w:t xml:space="preserve">Hilton's financial strategy is predicated on sponsorship revenue, ticket sales, and merchandise sales, which provides financial sustainability and reduces direct costs [(Hilton, 2024)]. The sponsorship strategy is consistent with corporate social responsibility initiatives, </w:t>
      </w:r>
      <w:r w:rsidR="00A63796">
        <w:rPr>
          <w:rFonts w:ascii="Arial" w:hAnsi="Arial" w:cs="Arial"/>
        </w:rPr>
        <w:t>attracting partners</w:t>
      </w:r>
      <w:r w:rsidRPr="00D535C0">
        <w:rPr>
          <w:rFonts w:ascii="Arial" w:hAnsi="Arial" w:cs="Arial"/>
        </w:rPr>
        <w:t xml:space="preserve"> committed to diversity and inclusion (Salama, 2021). </w:t>
      </w:r>
    </w:p>
    <w:p w14:paraId="6ADA4D8A" w14:textId="77777777" w:rsidR="00316187" w:rsidRDefault="00A63796" w:rsidP="00D535C0">
      <w:pPr>
        <w:spacing w:line="360" w:lineRule="auto"/>
        <w:jc w:val="both"/>
        <w:rPr>
          <w:rFonts w:ascii="Arial" w:hAnsi="Arial" w:cs="Arial"/>
        </w:rPr>
      </w:pPr>
      <w:r>
        <w:rPr>
          <w:rFonts w:ascii="Arial" w:hAnsi="Arial" w:cs="Arial"/>
        </w:rPr>
        <w:t>To</w:t>
      </w:r>
      <w:r w:rsidR="00D535C0" w:rsidRPr="00D535C0">
        <w:rPr>
          <w:rFonts w:ascii="Arial" w:hAnsi="Arial" w:cs="Arial"/>
        </w:rPr>
        <w:t xml:space="preserve"> guarantee an engaging hybrid experience for both in-person and virtual attendees, cost allocations prioritise critical areas, including AV and live streaming (£35,000), catering (£40,000), and technology (£25,000) (Hintermeister, 2021). Hilton's marketing investment of £35,000 will increase visibility </w:t>
      </w:r>
      <w:r>
        <w:rPr>
          <w:rFonts w:ascii="Arial" w:hAnsi="Arial" w:cs="Arial"/>
        </w:rPr>
        <w:t>using</w:t>
      </w:r>
      <w:r w:rsidR="00D535C0" w:rsidRPr="00D535C0">
        <w:rPr>
          <w:rFonts w:ascii="Arial" w:hAnsi="Arial" w:cs="Arial"/>
        </w:rPr>
        <w:t xml:space="preserve"> influencer partnerships, corporate sponsorship engagement, and social media campaigns (Getz and Page, 2024). </w:t>
      </w:r>
    </w:p>
    <w:p w14:paraId="3772B2D5" w14:textId="123EED34" w:rsidR="003E4DC0" w:rsidRPr="00444F2D" w:rsidRDefault="00D535C0" w:rsidP="00401BB3">
      <w:pPr>
        <w:spacing w:line="360" w:lineRule="auto"/>
        <w:jc w:val="both"/>
        <w:rPr>
          <w:rFonts w:ascii="Arial" w:hAnsi="Arial" w:cs="Arial"/>
        </w:rPr>
      </w:pPr>
      <w:r w:rsidRPr="00D535C0">
        <w:rPr>
          <w:rFonts w:ascii="Arial" w:hAnsi="Arial" w:cs="Arial"/>
        </w:rPr>
        <w:lastRenderedPageBreak/>
        <w:t>Hilton can reinforce its dedication to DEI and optimise profitability by implementing stringent financial controls.</w:t>
      </w:r>
    </w:p>
    <w:p w14:paraId="2187C61E" w14:textId="77777777" w:rsidR="003E4DC0" w:rsidRDefault="003E4DC0" w:rsidP="00401BB3">
      <w:pPr>
        <w:spacing w:line="360" w:lineRule="auto"/>
        <w:jc w:val="both"/>
        <w:rPr>
          <w:rFonts w:ascii="Arial" w:hAnsi="Arial" w:cs="Arial"/>
          <w:b/>
          <w:bCs/>
          <w:u w:val="single"/>
        </w:rPr>
      </w:pPr>
    </w:p>
    <w:p w14:paraId="17CA8383" w14:textId="3723B395" w:rsidR="005D0FE3" w:rsidRPr="00401BB3" w:rsidRDefault="000D5E84" w:rsidP="00401BB3">
      <w:pPr>
        <w:spacing w:line="360" w:lineRule="auto"/>
        <w:jc w:val="both"/>
        <w:rPr>
          <w:rFonts w:ascii="Arial" w:hAnsi="Arial" w:cs="Arial"/>
          <w:b/>
          <w:bCs/>
          <w:u w:val="single"/>
        </w:rPr>
      </w:pPr>
      <w:r w:rsidRPr="001B714E">
        <w:rPr>
          <w:rFonts w:ascii="Arial" w:hAnsi="Arial" w:cs="Arial"/>
          <w:noProof/>
        </w:rPr>
        <w:drawing>
          <wp:anchor distT="0" distB="0" distL="114300" distR="114300" simplePos="0" relativeHeight="251667456" behindDoc="0" locked="0" layoutInCell="1" allowOverlap="1" wp14:anchorId="43D2FB51" wp14:editId="70432F75">
            <wp:simplePos x="0" y="0"/>
            <wp:positionH relativeFrom="margin">
              <wp:posOffset>-31277</wp:posOffset>
            </wp:positionH>
            <wp:positionV relativeFrom="paragraph">
              <wp:posOffset>0</wp:posOffset>
            </wp:positionV>
            <wp:extent cx="6060440" cy="3555365"/>
            <wp:effectExtent l="0" t="0" r="0" b="6985"/>
            <wp:wrapSquare wrapText="bothSides"/>
            <wp:docPr id="656807266" name="Picture 10" descr="The Importance Of Staying Current With Industry Trends | Sert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he Importance Of Staying Current With Industry Trends | Sertifi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60440" cy="355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0BAF">
        <w:rPr>
          <w:rFonts w:ascii="Arial" w:hAnsi="Arial" w:cs="Arial"/>
          <w:b/>
          <w:bCs/>
          <w:u w:val="single"/>
        </w:rPr>
        <w:br/>
      </w:r>
      <w:r w:rsidR="005D0FE3" w:rsidRPr="00401BB3">
        <w:rPr>
          <w:rFonts w:ascii="Arial" w:hAnsi="Arial" w:cs="Arial"/>
          <w:b/>
          <w:bCs/>
          <w:u w:val="single"/>
        </w:rPr>
        <w:t xml:space="preserve">Industry Trends </w:t>
      </w:r>
      <w:r w:rsidR="00554CC2">
        <w:rPr>
          <w:rFonts w:ascii="Arial" w:hAnsi="Arial" w:cs="Arial"/>
          <w:b/>
          <w:bCs/>
          <w:u w:val="single"/>
        </w:rPr>
        <w:t>and</w:t>
      </w:r>
      <w:r w:rsidR="005D0FE3" w:rsidRPr="00401BB3">
        <w:rPr>
          <w:rFonts w:ascii="Arial" w:hAnsi="Arial" w:cs="Arial"/>
          <w:b/>
          <w:bCs/>
          <w:u w:val="single"/>
        </w:rPr>
        <w:t xml:space="preserve"> Impacts</w:t>
      </w:r>
    </w:p>
    <w:p w14:paraId="1EE9D5C6" w14:textId="76514AC5" w:rsidR="009C3F00" w:rsidRDefault="009C3F00" w:rsidP="00401BB3">
      <w:pPr>
        <w:spacing w:line="360" w:lineRule="auto"/>
        <w:jc w:val="both"/>
        <w:rPr>
          <w:rFonts w:ascii="Arial" w:hAnsi="Arial" w:cs="Arial"/>
        </w:rPr>
      </w:pPr>
      <w:r w:rsidRPr="009C3F00">
        <w:rPr>
          <w:rFonts w:ascii="Arial" w:hAnsi="Arial" w:cs="Arial"/>
        </w:rPr>
        <w:t xml:space="preserve">The event industry is </w:t>
      </w:r>
      <w:r w:rsidR="00A63796">
        <w:rPr>
          <w:rFonts w:ascii="Arial" w:hAnsi="Arial" w:cs="Arial"/>
        </w:rPr>
        <w:t>evolving rapidly</w:t>
      </w:r>
      <w:r w:rsidRPr="009C3F00">
        <w:rPr>
          <w:rFonts w:ascii="Arial" w:hAnsi="Arial" w:cs="Arial"/>
        </w:rPr>
        <w:t xml:space="preserve"> </w:t>
      </w:r>
      <w:r w:rsidR="00A63796">
        <w:rPr>
          <w:rFonts w:ascii="Arial" w:hAnsi="Arial" w:cs="Arial"/>
        </w:rPr>
        <w:t>due to</w:t>
      </w:r>
      <w:r w:rsidRPr="009C3F00">
        <w:rPr>
          <w:rFonts w:ascii="Arial" w:hAnsi="Arial" w:cs="Arial"/>
        </w:rPr>
        <w:t xml:space="preserve"> the increasing demand for inclusivity, sustainability concerns, and technological advancements (Bowdin et al., 2011). Hilton's event strategy is influenced by these trends, which ensure that the experiences are contemporary, engaging, and accessible on a global scale.</w:t>
      </w:r>
    </w:p>
    <w:p w14:paraId="4068C287" w14:textId="57987E36" w:rsidR="003E4DC0" w:rsidRPr="00060BAF" w:rsidRDefault="005D0FE3" w:rsidP="00060BAF">
      <w:pPr>
        <w:spacing w:line="360" w:lineRule="auto"/>
        <w:jc w:val="both"/>
        <w:rPr>
          <w:rFonts w:ascii="Arial" w:hAnsi="Arial" w:cs="Arial"/>
          <w:b/>
          <w:bCs/>
          <w:i/>
          <w:iCs/>
        </w:rPr>
      </w:pPr>
      <w:r w:rsidRPr="00401BB3">
        <w:rPr>
          <w:rFonts w:ascii="Arial" w:hAnsi="Arial" w:cs="Arial"/>
          <w:b/>
          <w:bCs/>
          <w:i/>
          <w:iCs/>
        </w:rPr>
        <w:t>Key Trends in Event Management</w:t>
      </w:r>
    </w:p>
    <w:p w14:paraId="01047714" w14:textId="06A343B2" w:rsidR="007518C9" w:rsidRPr="00401BB3" w:rsidRDefault="005D0FE3" w:rsidP="0086479A">
      <w:pPr>
        <w:spacing w:line="360" w:lineRule="auto"/>
        <w:ind w:left="360"/>
        <w:jc w:val="both"/>
        <w:rPr>
          <w:rFonts w:ascii="Arial" w:hAnsi="Arial" w:cs="Arial"/>
          <w:u w:val="single"/>
        </w:rPr>
      </w:pPr>
      <w:r w:rsidRPr="00401BB3">
        <w:rPr>
          <w:rFonts w:ascii="Arial" w:hAnsi="Arial" w:cs="Arial"/>
          <w:u w:val="single"/>
        </w:rPr>
        <w:t>Hybrid Event Trends</w:t>
      </w:r>
      <w:r w:rsidR="007518C9" w:rsidRPr="00401BB3">
        <w:rPr>
          <w:rFonts w:ascii="Arial" w:hAnsi="Arial" w:cs="Arial"/>
          <w:u w:val="single"/>
        </w:rPr>
        <w:t xml:space="preserve"> </w:t>
      </w:r>
      <w:r w:rsidR="007518C9" w:rsidRPr="00401BB3">
        <w:rPr>
          <w:rFonts w:ascii="Arial" w:hAnsi="Arial" w:cs="Arial"/>
          <w:b/>
          <w:bCs/>
        </w:rPr>
        <w:t>→</w:t>
      </w:r>
    </w:p>
    <w:p w14:paraId="6D9D737B" w14:textId="5FB662D2" w:rsidR="00C57F64" w:rsidRPr="00C57F64" w:rsidRDefault="00C57F64" w:rsidP="000506C8">
      <w:pPr>
        <w:numPr>
          <w:ilvl w:val="0"/>
          <w:numId w:val="13"/>
        </w:numPr>
        <w:spacing w:line="360" w:lineRule="auto"/>
        <w:jc w:val="both"/>
        <w:rPr>
          <w:rFonts w:ascii="Arial" w:hAnsi="Arial" w:cs="Arial"/>
          <w:u w:val="single"/>
        </w:rPr>
      </w:pPr>
      <w:r w:rsidRPr="00C57F64">
        <w:rPr>
          <w:rFonts w:ascii="Arial" w:hAnsi="Arial" w:cs="Arial"/>
        </w:rPr>
        <w:t xml:space="preserve">Events </w:t>
      </w:r>
      <w:r w:rsidR="00A63796">
        <w:rPr>
          <w:rFonts w:ascii="Arial" w:hAnsi="Arial" w:cs="Arial"/>
        </w:rPr>
        <w:t>now incorporate in-person and virtual components, allowing a broader audience to participate and reducing</w:t>
      </w:r>
      <w:r w:rsidRPr="00C57F64">
        <w:rPr>
          <w:rFonts w:ascii="Arial" w:hAnsi="Arial" w:cs="Arial"/>
        </w:rPr>
        <w:t xml:space="preserve"> travel emissions (Yuniati et al., 2022).</w:t>
      </w:r>
    </w:p>
    <w:p w14:paraId="76233275" w14:textId="64D8D62D" w:rsidR="007518C9" w:rsidRPr="00401BB3" w:rsidRDefault="005D0FE3" w:rsidP="0086479A">
      <w:pPr>
        <w:spacing w:line="360" w:lineRule="auto"/>
        <w:jc w:val="both"/>
        <w:rPr>
          <w:rFonts w:ascii="Arial" w:hAnsi="Arial" w:cs="Arial"/>
          <w:u w:val="single"/>
        </w:rPr>
      </w:pPr>
      <w:r w:rsidRPr="00401BB3">
        <w:rPr>
          <w:rFonts w:ascii="Arial" w:hAnsi="Arial" w:cs="Arial"/>
          <w:u w:val="single"/>
        </w:rPr>
        <w:t>Technology Integration</w:t>
      </w:r>
      <w:r w:rsidR="007518C9" w:rsidRPr="00401BB3">
        <w:rPr>
          <w:rFonts w:ascii="Arial" w:hAnsi="Arial" w:cs="Arial"/>
          <w:u w:val="single"/>
        </w:rPr>
        <w:t xml:space="preserve"> </w:t>
      </w:r>
      <w:r w:rsidR="007518C9" w:rsidRPr="00401BB3">
        <w:rPr>
          <w:rFonts w:ascii="Arial" w:hAnsi="Arial" w:cs="Arial"/>
          <w:b/>
          <w:bCs/>
        </w:rPr>
        <w:t>→</w:t>
      </w:r>
    </w:p>
    <w:p w14:paraId="55C964B7" w14:textId="2F285D92" w:rsidR="00480513" w:rsidRPr="00480513" w:rsidRDefault="00480513" w:rsidP="00480513">
      <w:pPr>
        <w:spacing w:line="360" w:lineRule="auto"/>
        <w:jc w:val="both"/>
        <w:rPr>
          <w:rFonts w:ascii="Arial" w:hAnsi="Arial" w:cs="Arial"/>
          <w:u w:val="single"/>
        </w:rPr>
      </w:pPr>
      <w:r w:rsidRPr="00480513">
        <w:rPr>
          <w:rFonts w:ascii="Arial" w:hAnsi="Arial" w:cs="Arial"/>
        </w:rPr>
        <w:t xml:space="preserve">Attendee experiences are improved by AI-driven personalisation, while security and transparency are </w:t>
      </w:r>
      <w:r w:rsidR="00A63796">
        <w:rPr>
          <w:rFonts w:ascii="Arial" w:hAnsi="Arial" w:cs="Arial"/>
        </w:rPr>
        <w:t>enhanced</w:t>
      </w:r>
      <w:r w:rsidRPr="00480513">
        <w:rPr>
          <w:rFonts w:ascii="Arial" w:hAnsi="Arial" w:cs="Arial"/>
        </w:rPr>
        <w:t xml:space="preserve"> by blockchain ticketing (Hintermeister, 2021).</w:t>
      </w:r>
    </w:p>
    <w:p w14:paraId="7D2CC66A" w14:textId="6C4608B8" w:rsidR="007518C9" w:rsidRPr="00401BB3" w:rsidRDefault="005D0FE3" w:rsidP="0086479A">
      <w:pPr>
        <w:spacing w:line="360" w:lineRule="auto"/>
        <w:jc w:val="both"/>
        <w:rPr>
          <w:rFonts w:ascii="Arial" w:hAnsi="Arial" w:cs="Arial"/>
          <w:u w:val="single"/>
        </w:rPr>
      </w:pPr>
      <w:r w:rsidRPr="00401BB3">
        <w:rPr>
          <w:rFonts w:ascii="Arial" w:hAnsi="Arial" w:cs="Arial"/>
          <w:u w:val="single"/>
        </w:rPr>
        <w:lastRenderedPageBreak/>
        <w:t>Sustainability Focus</w:t>
      </w:r>
      <w:r w:rsidR="007518C9" w:rsidRPr="00401BB3">
        <w:rPr>
          <w:rFonts w:ascii="Arial" w:hAnsi="Arial" w:cs="Arial"/>
          <w:u w:val="single"/>
        </w:rPr>
        <w:t xml:space="preserve"> </w:t>
      </w:r>
      <w:r w:rsidR="007518C9" w:rsidRPr="00401BB3">
        <w:rPr>
          <w:rFonts w:ascii="Arial" w:hAnsi="Arial" w:cs="Arial"/>
          <w:b/>
          <w:bCs/>
        </w:rPr>
        <w:t>→</w:t>
      </w:r>
    </w:p>
    <w:p w14:paraId="7182D58D" w14:textId="77777777" w:rsidR="00A323A1" w:rsidRDefault="00A323A1" w:rsidP="00A323A1">
      <w:pPr>
        <w:spacing w:line="360" w:lineRule="auto"/>
        <w:jc w:val="both"/>
        <w:rPr>
          <w:rFonts w:ascii="Arial" w:hAnsi="Arial" w:cs="Arial"/>
        </w:rPr>
      </w:pPr>
      <w:r w:rsidRPr="00A323A1">
        <w:rPr>
          <w:rFonts w:ascii="Arial" w:hAnsi="Arial" w:cs="Arial"/>
        </w:rPr>
        <w:t>Event planning best practices are being redefined by the transition to carbon-neutral logistics, eco-friendly catering, and waste reduction (Celuch, 2021).</w:t>
      </w:r>
    </w:p>
    <w:p w14:paraId="0E6F2155" w14:textId="44E71E51" w:rsidR="007518C9" w:rsidRPr="00401BB3" w:rsidRDefault="00480909" w:rsidP="0086479A">
      <w:pPr>
        <w:spacing w:line="360" w:lineRule="auto"/>
        <w:jc w:val="both"/>
        <w:rPr>
          <w:rFonts w:ascii="Arial" w:hAnsi="Arial" w:cs="Arial"/>
        </w:rPr>
      </w:pPr>
      <w:r w:rsidRPr="00480909">
        <w:rPr>
          <w:rFonts w:ascii="Arial" w:hAnsi="Arial" w:cs="Arial"/>
          <w:noProof/>
        </w:rPr>
        <w:drawing>
          <wp:anchor distT="0" distB="0" distL="114300" distR="114300" simplePos="0" relativeHeight="251666432" behindDoc="0" locked="0" layoutInCell="1" allowOverlap="1" wp14:anchorId="1BF57E7F" wp14:editId="52F429B1">
            <wp:simplePos x="0" y="0"/>
            <wp:positionH relativeFrom="margin">
              <wp:posOffset>165735</wp:posOffset>
            </wp:positionH>
            <wp:positionV relativeFrom="paragraph">
              <wp:posOffset>340995</wp:posOffset>
            </wp:positionV>
            <wp:extent cx="3632835" cy="2433955"/>
            <wp:effectExtent l="0" t="0" r="5715" b="4445"/>
            <wp:wrapSquare wrapText="bothSides"/>
            <wp:docPr id="149789291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92916" name="Picture 1" descr="A diagram of a company&#10;&#10;AI-generated content may be incorrect."/>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3632835" cy="2433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u w:val="single"/>
        </w:rPr>
        <w:t>DEI</w:t>
      </w:r>
      <w:r w:rsidR="005D0FE3" w:rsidRPr="00401BB3">
        <w:rPr>
          <w:rFonts w:ascii="Arial" w:hAnsi="Arial" w:cs="Arial"/>
          <w:u w:val="single"/>
        </w:rPr>
        <w:t xml:space="preserve"> Integration</w:t>
      </w:r>
      <w:r w:rsidR="007518C9" w:rsidRPr="00401BB3">
        <w:rPr>
          <w:rFonts w:ascii="Arial" w:hAnsi="Arial" w:cs="Arial"/>
        </w:rPr>
        <w:t xml:space="preserve"> </w:t>
      </w:r>
      <w:r w:rsidR="007518C9" w:rsidRPr="00401BB3">
        <w:rPr>
          <w:rFonts w:ascii="Arial" w:hAnsi="Arial" w:cs="Arial"/>
          <w:b/>
          <w:bCs/>
        </w:rPr>
        <w:t>→</w:t>
      </w:r>
    </w:p>
    <w:p w14:paraId="39C83A10" w14:textId="70CB48A2" w:rsidR="003A2361" w:rsidRPr="003A2361" w:rsidRDefault="003A2361" w:rsidP="003A2361">
      <w:pPr>
        <w:spacing w:line="360" w:lineRule="auto"/>
        <w:jc w:val="both"/>
        <w:rPr>
          <w:rFonts w:ascii="Arial" w:hAnsi="Arial" w:cs="Arial"/>
        </w:rPr>
      </w:pPr>
      <w:r w:rsidRPr="003A2361">
        <w:rPr>
          <w:rFonts w:ascii="Arial" w:hAnsi="Arial" w:cs="Arial"/>
        </w:rPr>
        <w:t xml:space="preserve">The demand for corporate events </w:t>
      </w:r>
      <w:r w:rsidR="00A63796">
        <w:rPr>
          <w:rFonts w:ascii="Arial" w:hAnsi="Arial" w:cs="Arial"/>
        </w:rPr>
        <w:t xml:space="preserve">prioritising diversity, equity, and inclusion (DEI) is rising, necessitating </w:t>
      </w:r>
      <w:r w:rsidRPr="003A2361">
        <w:rPr>
          <w:rFonts w:ascii="Arial" w:hAnsi="Arial" w:cs="Arial"/>
        </w:rPr>
        <w:t xml:space="preserve">planners </w:t>
      </w:r>
      <w:r w:rsidR="00A63796">
        <w:rPr>
          <w:rFonts w:ascii="Arial" w:hAnsi="Arial" w:cs="Arial"/>
        </w:rPr>
        <w:t xml:space="preserve">to </w:t>
      </w:r>
      <w:r w:rsidRPr="003A2361">
        <w:rPr>
          <w:rFonts w:ascii="Arial" w:hAnsi="Arial" w:cs="Arial"/>
        </w:rPr>
        <w:t>guarantee culturally sensitive content, diverse speaker representation, and accessible venues (Higgins-Desbiolles, 2023).</w:t>
      </w:r>
    </w:p>
    <w:p w14:paraId="60311AEF" w14:textId="5FD4068F" w:rsidR="00F21EC5" w:rsidRPr="00E316CE" w:rsidRDefault="00A63796" w:rsidP="003A2361">
      <w:pPr>
        <w:spacing w:line="360" w:lineRule="auto"/>
        <w:jc w:val="both"/>
        <w:rPr>
          <w:rFonts w:ascii="Arial" w:hAnsi="Arial" w:cs="Arial"/>
        </w:rPr>
      </w:pPr>
      <w:r>
        <w:rPr>
          <w:rFonts w:ascii="Arial" w:hAnsi="Arial" w:cs="Arial"/>
        </w:rPr>
        <w:t>These trends significantly influence Hilton's 100th Anniversary Event</w:t>
      </w:r>
      <w:r w:rsidR="003A2361" w:rsidRPr="003A2361">
        <w:rPr>
          <w:rFonts w:ascii="Arial" w:hAnsi="Arial" w:cs="Arial"/>
        </w:rPr>
        <w:t xml:space="preserve">, </w:t>
      </w:r>
      <w:r>
        <w:rPr>
          <w:rFonts w:ascii="Arial" w:hAnsi="Arial" w:cs="Arial"/>
        </w:rPr>
        <w:t>guaranteeing</w:t>
      </w:r>
      <w:r w:rsidR="003A2361" w:rsidRPr="003A2361">
        <w:rPr>
          <w:rFonts w:ascii="Arial" w:hAnsi="Arial" w:cs="Arial"/>
        </w:rPr>
        <w:t xml:space="preserve"> its innovative, environmentally responsible, and inclusive execution.</w:t>
      </w:r>
    </w:p>
    <w:p w14:paraId="617FFC45" w14:textId="3729703A" w:rsidR="003E4DC0" w:rsidRDefault="003E4DC0" w:rsidP="00401BB3">
      <w:pPr>
        <w:spacing w:line="360" w:lineRule="auto"/>
        <w:jc w:val="both"/>
        <w:rPr>
          <w:rFonts w:ascii="Arial" w:hAnsi="Arial" w:cs="Arial"/>
        </w:rPr>
      </w:pPr>
      <w:r w:rsidRPr="00F21EC5">
        <w:rPr>
          <w:rFonts w:ascii="Arial" w:hAnsi="Arial" w:cs="Arial"/>
          <w:noProof/>
        </w:rPr>
        <w:drawing>
          <wp:anchor distT="0" distB="0" distL="114300" distR="114300" simplePos="0" relativeHeight="251672576" behindDoc="0" locked="0" layoutInCell="1" allowOverlap="1" wp14:anchorId="2B5F83FB" wp14:editId="002BDE1E">
            <wp:simplePos x="0" y="0"/>
            <wp:positionH relativeFrom="margin">
              <wp:align>left</wp:align>
            </wp:positionH>
            <wp:positionV relativeFrom="paragraph">
              <wp:posOffset>168763</wp:posOffset>
            </wp:positionV>
            <wp:extent cx="5433060" cy="1439545"/>
            <wp:effectExtent l="0" t="0" r="0" b="8255"/>
            <wp:wrapSquare wrapText="bothSides"/>
            <wp:docPr id="120902573"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2573" name="Picture 1" descr="A close up of a logo&#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446254" cy="1443025"/>
                    </a:xfrm>
                    <a:prstGeom prst="rect">
                      <a:avLst/>
                    </a:prstGeom>
                  </pic:spPr>
                </pic:pic>
              </a:graphicData>
            </a:graphic>
            <wp14:sizeRelH relativeFrom="margin">
              <wp14:pctWidth>0</wp14:pctWidth>
            </wp14:sizeRelH>
            <wp14:sizeRelV relativeFrom="margin">
              <wp14:pctHeight>0</wp14:pctHeight>
            </wp14:sizeRelV>
          </wp:anchor>
        </w:drawing>
      </w:r>
    </w:p>
    <w:p w14:paraId="699B7FE0" w14:textId="65242843" w:rsidR="005D0FE3" w:rsidRDefault="005D0FE3" w:rsidP="00401BB3">
      <w:pPr>
        <w:spacing w:line="360" w:lineRule="auto"/>
        <w:jc w:val="both"/>
        <w:rPr>
          <w:rFonts w:ascii="Arial" w:hAnsi="Arial" w:cs="Arial"/>
        </w:rPr>
      </w:pPr>
      <w:r w:rsidRPr="00401BB3">
        <w:rPr>
          <w:rFonts w:ascii="Arial" w:hAnsi="Arial" w:cs="Arial"/>
          <w:vanish/>
        </w:rPr>
        <w:br/>
      </w:r>
      <w:r w:rsidRPr="00401BB3">
        <w:rPr>
          <w:rFonts w:ascii="Arial" w:hAnsi="Arial" w:cs="Arial"/>
          <w:vanish/>
        </w:rPr>
        <w:br/>
      </w:r>
      <w:r w:rsidRPr="00401BB3">
        <w:rPr>
          <w:rFonts w:ascii="Arial" w:hAnsi="Arial" w:cs="Arial"/>
          <w:vanish/>
        </w:rPr>
        <w:br/>
      </w:r>
      <w:r w:rsidRPr="00401BB3">
        <w:rPr>
          <w:rFonts w:ascii="Arial" w:hAnsi="Arial" w:cs="Arial"/>
          <w:vanish/>
        </w:rPr>
        <w:br/>
      </w:r>
    </w:p>
    <w:p w14:paraId="4C6A98E2" w14:textId="77777777" w:rsidR="003E4DC0" w:rsidRDefault="003E4DC0" w:rsidP="00401BB3">
      <w:pPr>
        <w:spacing w:line="360" w:lineRule="auto"/>
        <w:jc w:val="both"/>
        <w:rPr>
          <w:rFonts w:ascii="Arial" w:hAnsi="Arial" w:cs="Arial"/>
        </w:rPr>
      </w:pPr>
    </w:p>
    <w:p w14:paraId="05BB1107" w14:textId="77777777" w:rsidR="003E4DC0" w:rsidRDefault="003E4DC0" w:rsidP="00401BB3">
      <w:pPr>
        <w:spacing w:line="360" w:lineRule="auto"/>
        <w:jc w:val="both"/>
        <w:rPr>
          <w:rFonts w:ascii="Arial" w:hAnsi="Arial" w:cs="Arial"/>
        </w:rPr>
      </w:pPr>
    </w:p>
    <w:p w14:paraId="4241DE46" w14:textId="77777777" w:rsidR="003E4DC0" w:rsidRDefault="003E4DC0" w:rsidP="00401BB3">
      <w:pPr>
        <w:spacing w:line="360" w:lineRule="auto"/>
        <w:jc w:val="both"/>
        <w:rPr>
          <w:rFonts w:ascii="Arial" w:hAnsi="Arial" w:cs="Arial"/>
        </w:rPr>
      </w:pPr>
    </w:p>
    <w:p w14:paraId="6AC36226" w14:textId="77777777" w:rsidR="003E4DC0" w:rsidRPr="00401BB3" w:rsidRDefault="003E4DC0" w:rsidP="00401BB3">
      <w:pPr>
        <w:spacing w:line="360" w:lineRule="auto"/>
        <w:jc w:val="both"/>
        <w:rPr>
          <w:rFonts w:ascii="Arial" w:hAnsi="Arial" w:cs="Arial"/>
          <w:vanish/>
        </w:rPr>
      </w:pPr>
    </w:p>
    <w:p w14:paraId="0D85AFB6" w14:textId="77777777" w:rsidR="005D0FE3" w:rsidRPr="00401BB3" w:rsidRDefault="005D0FE3" w:rsidP="00401BB3">
      <w:pPr>
        <w:spacing w:line="360" w:lineRule="auto"/>
        <w:jc w:val="both"/>
        <w:rPr>
          <w:rFonts w:ascii="Arial" w:hAnsi="Arial" w:cs="Arial"/>
          <w:vanish/>
        </w:rPr>
      </w:pPr>
    </w:p>
    <w:p w14:paraId="5CB28BD8" w14:textId="77777777" w:rsidR="005D0FE3" w:rsidRPr="00401BB3" w:rsidRDefault="005D0FE3" w:rsidP="00401BB3">
      <w:pPr>
        <w:spacing w:line="360" w:lineRule="auto"/>
        <w:jc w:val="both"/>
        <w:rPr>
          <w:rFonts w:ascii="Arial" w:hAnsi="Arial" w:cs="Arial"/>
          <w:vanish/>
        </w:rPr>
      </w:pPr>
    </w:p>
    <w:p w14:paraId="48ABB62F" w14:textId="77777777" w:rsidR="005D0FE3" w:rsidRPr="00401BB3" w:rsidRDefault="005D0FE3" w:rsidP="00401BB3">
      <w:pPr>
        <w:spacing w:line="360" w:lineRule="auto"/>
        <w:jc w:val="both"/>
        <w:rPr>
          <w:rFonts w:ascii="Arial" w:hAnsi="Arial" w:cs="Arial"/>
          <w:vanish/>
        </w:rPr>
      </w:pPr>
    </w:p>
    <w:p w14:paraId="7E79054F" w14:textId="77777777" w:rsidR="005D0FE3" w:rsidRPr="00401BB3" w:rsidRDefault="005D0FE3" w:rsidP="00401BB3">
      <w:pPr>
        <w:spacing w:line="360" w:lineRule="auto"/>
        <w:jc w:val="both"/>
        <w:rPr>
          <w:rFonts w:ascii="Arial" w:hAnsi="Arial" w:cs="Arial"/>
          <w:vanish/>
        </w:rPr>
      </w:pPr>
    </w:p>
    <w:p w14:paraId="03CD988C" w14:textId="77777777" w:rsidR="005D0FE3" w:rsidRPr="00401BB3" w:rsidRDefault="005D0FE3" w:rsidP="00401BB3">
      <w:pPr>
        <w:spacing w:line="360" w:lineRule="auto"/>
        <w:jc w:val="both"/>
        <w:rPr>
          <w:rFonts w:ascii="Arial" w:hAnsi="Arial" w:cs="Arial"/>
          <w:vanish/>
        </w:rPr>
      </w:pPr>
    </w:p>
    <w:p w14:paraId="0161D541" w14:textId="77777777" w:rsidR="005D0FE3" w:rsidRPr="00401BB3" w:rsidRDefault="005D0FE3" w:rsidP="00401BB3">
      <w:pPr>
        <w:spacing w:line="360" w:lineRule="auto"/>
        <w:jc w:val="both"/>
        <w:rPr>
          <w:rFonts w:ascii="Arial" w:hAnsi="Arial" w:cs="Arial"/>
          <w:vanish/>
        </w:rPr>
      </w:pPr>
    </w:p>
    <w:p w14:paraId="213EE067" w14:textId="77777777" w:rsidR="005D0FE3" w:rsidRPr="00401BB3" w:rsidRDefault="005D0FE3" w:rsidP="00401BB3">
      <w:pPr>
        <w:spacing w:line="360" w:lineRule="auto"/>
        <w:jc w:val="both"/>
        <w:rPr>
          <w:rFonts w:ascii="Arial" w:hAnsi="Arial" w:cs="Arial"/>
          <w:vanish/>
        </w:rPr>
      </w:pPr>
    </w:p>
    <w:p w14:paraId="04339555" w14:textId="77777777" w:rsidR="005D0FE3" w:rsidRPr="00401BB3" w:rsidRDefault="005D0FE3" w:rsidP="00401BB3">
      <w:pPr>
        <w:spacing w:line="360" w:lineRule="auto"/>
        <w:jc w:val="both"/>
        <w:rPr>
          <w:rFonts w:ascii="Arial" w:hAnsi="Arial" w:cs="Arial"/>
          <w:vanish/>
        </w:rPr>
      </w:pPr>
    </w:p>
    <w:p w14:paraId="49F4888D" w14:textId="77777777" w:rsidR="005D0FE3" w:rsidRPr="00401BB3" w:rsidRDefault="005D0FE3" w:rsidP="00401BB3">
      <w:pPr>
        <w:spacing w:line="360" w:lineRule="auto"/>
        <w:jc w:val="both"/>
        <w:rPr>
          <w:rFonts w:ascii="Arial" w:hAnsi="Arial" w:cs="Arial"/>
          <w:vanish/>
        </w:rPr>
      </w:pPr>
    </w:p>
    <w:p w14:paraId="4A833373" w14:textId="27AEA37C" w:rsidR="003E4DC0" w:rsidRPr="00401BB3" w:rsidRDefault="005D0FE3" w:rsidP="00401BB3">
      <w:pPr>
        <w:spacing w:line="360" w:lineRule="auto"/>
        <w:jc w:val="both"/>
        <w:rPr>
          <w:rFonts w:ascii="Arial" w:hAnsi="Arial" w:cs="Arial"/>
          <w:b/>
          <w:bCs/>
          <w:u w:val="single"/>
        </w:rPr>
      </w:pPr>
      <w:r w:rsidRPr="00401BB3">
        <w:rPr>
          <w:rFonts w:ascii="Arial" w:hAnsi="Arial" w:cs="Arial"/>
          <w:vanish/>
        </w:rPr>
        <w:t>Bottom of Form</w:t>
      </w:r>
      <w:r w:rsidRPr="00401BB3">
        <w:rPr>
          <w:rFonts w:ascii="Arial" w:hAnsi="Arial" w:cs="Arial"/>
          <w:b/>
          <w:bCs/>
          <w:u w:val="single"/>
        </w:rPr>
        <w:t xml:space="preserve">Situational </w:t>
      </w:r>
      <w:r w:rsidR="00554CC2">
        <w:rPr>
          <w:rFonts w:ascii="Arial" w:hAnsi="Arial" w:cs="Arial"/>
          <w:b/>
          <w:bCs/>
          <w:u w:val="single"/>
        </w:rPr>
        <w:t>and</w:t>
      </w:r>
      <w:r w:rsidRPr="00401BB3">
        <w:rPr>
          <w:rFonts w:ascii="Arial" w:hAnsi="Arial" w:cs="Arial"/>
          <w:b/>
          <w:bCs/>
          <w:u w:val="single"/>
        </w:rPr>
        <w:t xml:space="preserve"> Cultural Considerations</w:t>
      </w:r>
    </w:p>
    <w:p w14:paraId="4DBDA772" w14:textId="7D6B95CE" w:rsidR="00F221F4" w:rsidRDefault="00A63796" w:rsidP="00401BB3">
      <w:pPr>
        <w:spacing w:line="360" w:lineRule="auto"/>
        <w:jc w:val="both"/>
        <w:rPr>
          <w:rFonts w:ascii="Arial" w:hAnsi="Arial" w:cs="Arial"/>
        </w:rPr>
      </w:pPr>
      <w:r>
        <w:rPr>
          <w:rFonts w:ascii="Arial" w:hAnsi="Arial" w:cs="Arial"/>
        </w:rPr>
        <w:t>Applying</w:t>
      </w:r>
      <w:r w:rsidR="00F221F4" w:rsidRPr="00F221F4">
        <w:rPr>
          <w:rFonts w:ascii="Arial" w:hAnsi="Arial" w:cs="Arial"/>
        </w:rPr>
        <w:t xml:space="preserve"> a SWOT analysis to Hilton's 100th Anniversary Event facilitates a thorough assessment of the company's internal strengths and weaknesses</w:t>
      </w:r>
      <w:r>
        <w:rPr>
          <w:rFonts w:ascii="Arial" w:hAnsi="Arial" w:cs="Arial"/>
        </w:rPr>
        <w:t xml:space="preserve"> and</w:t>
      </w:r>
      <w:r w:rsidR="00F221F4" w:rsidRPr="00F221F4">
        <w:rPr>
          <w:rFonts w:ascii="Arial" w:hAnsi="Arial" w:cs="Arial"/>
        </w:rPr>
        <w:t xml:space="preserve"> external opportunities and threats (Mokhtar, 2021). Hilton's global presence necessitates a strategic and localised approach to guarantee cultural alignment and inclusivity in various regional contexts (Hilton, 2024).</w:t>
      </w:r>
    </w:p>
    <w:p w14:paraId="5D15CCD8" w14:textId="4240DF27" w:rsidR="005D0FE3" w:rsidRPr="00401BB3" w:rsidRDefault="005D0FE3" w:rsidP="00401BB3">
      <w:pPr>
        <w:spacing w:line="360" w:lineRule="auto"/>
        <w:jc w:val="both"/>
        <w:rPr>
          <w:rFonts w:ascii="Arial" w:hAnsi="Arial" w:cs="Arial"/>
          <w:b/>
          <w:bCs/>
        </w:rPr>
      </w:pPr>
      <w:r w:rsidRPr="00401BB3">
        <w:rPr>
          <w:rFonts w:ascii="Arial" w:hAnsi="Arial" w:cs="Arial"/>
          <w:b/>
          <w:bCs/>
          <w:i/>
          <w:iCs/>
        </w:rPr>
        <w:t>SWOT Analysis for Hilton’s Event</w:t>
      </w:r>
      <w:r w:rsidRPr="00401BB3">
        <w:rPr>
          <w:rFonts w:ascii="Arial" w:hAnsi="Arial" w:cs="Arial"/>
          <w:b/>
          <w:bCs/>
        </w:rPr>
        <w:t>:</w:t>
      </w:r>
    </w:p>
    <w:p w14:paraId="286063BF" w14:textId="787330C4" w:rsidR="005D0FE3" w:rsidRPr="00401BB3" w:rsidRDefault="005D0FE3" w:rsidP="00401BB3">
      <w:pPr>
        <w:spacing w:line="360" w:lineRule="auto"/>
        <w:jc w:val="both"/>
        <w:rPr>
          <w:rFonts w:ascii="Arial" w:hAnsi="Arial" w:cs="Arial"/>
          <w:u w:val="single"/>
        </w:rPr>
      </w:pPr>
      <w:r w:rsidRPr="00401BB3">
        <w:rPr>
          <w:rFonts w:ascii="Arial" w:hAnsi="Arial" w:cs="Arial"/>
          <w:u w:val="single"/>
        </w:rPr>
        <w:t>Strengths</w:t>
      </w:r>
      <w:r w:rsidR="00FD31F7" w:rsidRPr="00401BB3">
        <w:rPr>
          <w:rFonts w:ascii="Arial" w:hAnsi="Arial" w:cs="Arial"/>
          <w:u w:val="single"/>
        </w:rPr>
        <w:t xml:space="preserve"> </w:t>
      </w:r>
      <w:r w:rsidR="00FD31F7" w:rsidRPr="00401BB3">
        <w:rPr>
          <w:rFonts w:ascii="Arial" w:hAnsi="Arial" w:cs="Arial"/>
          <w:b/>
          <w:bCs/>
        </w:rPr>
        <w:t>→</w:t>
      </w:r>
    </w:p>
    <w:p w14:paraId="4AB3ED08" w14:textId="77777777" w:rsidR="00B42353" w:rsidRDefault="005F0579" w:rsidP="000506C8">
      <w:pPr>
        <w:numPr>
          <w:ilvl w:val="0"/>
          <w:numId w:val="14"/>
        </w:numPr>
        <w:spacing w:line="360" w:lineRule="auto"/>
        <w:jc w:val="both"/>
        <w:rPr>
          <w:rFonts w:ascii="Arial" w:hAnsi="Arial" w:cs="Arial"/>
        </w:rPr>
      </w:pPr>
      <w:r w:rsidRPr="005F0579">
        <w:rPr>
          <w:rFonts w:ascii="Arial" w:hAnsi="Arial" w:cs="Arial"/>
        </w:rPr>
        <w:lastRenderedPageBreak/>
        <w:t>High visibility and credibility are guaranteed by Hilton's solid brand reputation and global presence (Hilton, 2024).</w:t>
      </w:r>
    </w:p>
    <w:p w14:paraId="5F8E58FD" w14:textId="6203E6A3" w:rsidR="00B42353" w:rsidRPr="00B42353" w:rsidRDefault="00B42353" w:rsidP="000506C8">
      <w:pPr>
        <w:numPr>
          <w:ilvl w:val="0"/>
          <w:numId w:val="14"/>
        </w:numPr>
        <w:spacing w:line="360" w:lineRule="auto"/>
        <w:jc w:val="both"/>
        <w:rPr>
          <w:rFonts w:ascii="Arial" w:hAnsi="Arial" w:cs="Arial"/>
        </w:rPr>
      </w:pPr>
      <w:r w:rsidRPr="00B42353">
        <w:rPr>
          <w:rFonts w:ascii="Arial" w:hAnsi="Arial" w:cs="Arial"/>
        </w:rPr>
        <w:t>Diverse audience engagement is facilitated by multi-location execution, which reinforces DEI initiatives (Salama, 2021).</w:t>
      </w:r>
    </w:p>
    <w:p w14:paraId="3A7222EA" w14:textId="6DFEB5B8" w:rsidR="005D0FE3" w:rsidRPr="00401BB3" w:rsidRDefault="005D0FE3" w:rsidP="00401BB3">
      <w:pPr>
        <w:spacing w:line="360" w:lineRule="auto"/>
        <w:jc w:val="both"/>
        <w:rPr>
          <w:rFonts w:ascii="Arial" w:hAnsi="Arial" w:cs="Arial"/>
          <w:u w:val="single"/>
        </w:rPr>
      </w:pPr>
      <w:r w:rsidRPr="00401BB3">
        <w:rPr>
          <w:rFonts w:ascii="Arial" w:hAnsi="Arial" w:cs="Arial"/>
          <w:u w:val="single"/>
        </w:rPr>
        <w:t>Weaknesses</w:t>
      </w:r>
      <w:r w:rsidR="00FD31F7" w:rsidRPr="00401BB3">
        <w:rPr>
          <w:rFonts w:ascii="Arial" w:hAnsi="Arial" w:cs="Arial"/>
          <w:u w:val="single"/>
        </w:rPr>
        <w:t xml:space="preserve"> </w:t>
      </w:r>
      <w:r w:rsidR="00FD31F7" w:rsidRPr="00401BB3">
        <w:rPr>
          <w:rFonts w:ascii="Arial" w:hAnsi="Arial" w:cs="Arial"/>
          <w:b/>
          <w:bCs/>
        </w:rPr>
        <w:t>→</w:t>
      </w:r>
    </w:p>
    <w:p w14:paraId="7B923B91" w14:textId="504870C6" w:rsidR="00044F93" w:rsidRPr="00044F93" w:rsidRDefault="00A63796" w:rsidP="000506C8">
      <w:pPr>
        <w:numPr>
          <w:ilvl w:val="0"/>
          <w:numId w:val="15"/>
        </w:numPr>
        <w:spacing w:line="360" w:lineRule="auto"/>
        <w:jc w:val="both"/>
        <w:rPr>
          <w:rFonts w:ascii="Arial" w:hAnsi="Arial" w:cs="Arial"/>
        </w:rPr>
      </w:pPr>
      <w:r>
        <w:rPr>
          <w:rFonts w:ascii="Arial" w:hAnsi="Arial" w:cs="Arial"/>
        </w:rPr>
        <w:t>Coordinating</w:t>
      </w:r>
      <w:r w:rsidR="00533379" w:rsidRPr="00044F93">
        <w:rPr>
          <w:rFonts w:ascii="Arial" w:hAnsi="Arial" w:cs="Arial"/>
        </w:rPr>
        <w:t xml:space="preserve"> multiple venues, time zones, and accessibility requirements results in </w:t>
      </w:r>
      <w:r>
        <w:rPr>
          <w:rFonts w:ascii="Arial" w:hAnsi="Arial" w:cs="Arial"/>
        </w:rPr>
        <w:t xml:space="preserve">high </w:t>
      </w:r>
      <w:r w:rsidR="00533379" w:rsidRPr="00044F93">
        <w:rPr>
          <w:rFonts w:ascii="Arial" w:hAnsi="Arial" w:cs="Arial"/>
        </w:rPr>
        <w:t>logistical complexity (Mokhtar, 2021).</w:t>
      </w:r>
    </w:p>
    <w:p w14:paraId="1DA22345" w14:textId="421004BA" w:rsidR="00044F93" w:rsidRPr="00044F93" w:rsidRDefault="00044F93" w:rsidP="000506C8">
      <w:pPr>
        <w:numPr>
          <w:ilvl w:val="0"/>
          <w:numId w:val="15"/>
        </w:numPr>
        <w:spacing w:line="360" w:lineRule="auto"/>
        <w:jc w:val="both"/>
        <w:rPr>
          <w:rFonts w:ascii="Arial" w:hAnsi="Arial" w:cs="Arial"/>
        </w:rPr>
      </w:pPr>
      <w:r w:rsidRPr="00044F93">
        <w:rPr>
          <w:rFonts w:ascii="Arial" w:hAnsi="Arial" w:cs="Arial"/>
        </w:rPr>
        <w:t>According to Panteleev (2023), cultural differences necessitate tailored programming, catering, and entertainment options.</w:t>
      </w:r>
    </w:p>
    <w:p w14:paraId="2D7913C8" w14:textId="7ADD7A1A" w:rsidR="005D0FE3" w:rsidRPr="00401BB3" w:rsidRDefault="005D0FE3" w:rsidP="00401BB3">
      <w:pPr>
        <w:spacing w:line="360" w:lineRule="auto"/>
        <w:jc w:val="both"/>
        <w:rPr>
          <w:rFonts w:ascii="Arial" w:hAnsi="Arial" w:cs="Arial"/>
          <w:u w:val="single"/>
        </w:rPr>
      </w:pPr>
      <w:r w:rsidRPr="00401BB3">
        <w:rPr>
          <w:rFonts w:ascii="Arial" w:hAnsi="Arial" w:cs="Arial"/>
          <w:u w:val="single"/>
        </w:rPr>
        <w:t>Opportunities</w:t>
      </w:r>
      <w:r w:rsidR="00FD31F7" w:rsidRPr="00401BB3">
        <w:rPr>
          <w:rFonts w:ascii="Arial" w:hAnsi="Arial" w:cs="Arial"/>
          <w:u w:val="single"/>
        </w:rPr>
        <w:t xml:space="preserve"> </w:t>
      </w:r>
      <w:r w:rsidR="00FD31F7" w:rsidRPr="00401BB3">
        <w:rPr>
          <w:rFonts w:ascii="Arial" w:hAnsi="Arial" w:cs="Arial"/>
          <w:b/>
          <w:bCs/>
        </w:rPr>
        <w:t>→</w:t>
      </w:r>
    </w:p>
    <w:p w14:paraId="18F89F0C" w14:textId="1F73E6BA" w:rsidR="005D0FE3" w:rsidRPr="00044F93" w:rsidRDefault="005D0FE3" w:rsidP="000506C8">
      <w:pPr>
        <w:numPr>
          <w:ilvl w:val="0"/>
          <w:numId w:val="16"/>
        </w:numPr>
        <w:spacing w:line="360" w:lineRule="auto"/>
        <w:jc w:val="both"/>
        <w:rPr>
          <w:rFonts w:ascii="Arial" w:hAnsi="Arial" w:cs="Arial"/>
        </w:rPr>
      </w:pPr>
      <w:r w:rsidRPr="00044F93">
        <w:rPr>
          <w:rFonts w:ascii="Arial" w:hAnsi="Arial" w:cs="Arial"/>
        </w:rPr>
        <w:t xml:space="preserve">The hybrid event model expands global reach, </w:t>
      </w:r>
      <w:r w:rsidR="00044F93" w:rsidRPr="00044F93">
        <w:rPr>
          <w:rFonts w:ascii="Arial" w:hAnsi="Arial" w:cs="Arial"/>
        </w:rPr>
        <w:t>supporting</w:t>
      </w:r>
      <w:r w:rsidRPr="00044F93">
        <w:rPr>
          <w:rFonts w:ascii="Arial" w:hAnsi="Arial" w:cs="Arial"/>
        </w:rPr>
        <w:t xml:space="preserve"> broader engagement (Hintermeister, 2021).</w:t>
      </w:r>
    </w:p>
    <w:p w14:paraId="5A576BF2" w14:textId="7964553D" w:rsidR="00044F93" w:rsidRPr="003E4DC0" w:rsidRDefault="005D0FE3" w:rsidP="003E4DC0">
      <w:pPr>
        <w:numPr>
          <w:ilvl w:val="0"/>
          <w:numId w:val="16"/>
        </w:numPr>
        <w:spacing w:line="360" w:lineRule="auto"/>
        <w:jc w:val="both"/>
        <w:rPr>
          <w:rFonts w:ascii="Arial" w:hAnsi="Arial" w:cs="Arial"/>
        </w:rPr>
      </w:pPr>
      <w:r w:rsidRPr="00044F93">
        <w:rPr>
          <w:rFonts w:ascii="Arial" w:hAnsi="Arial" w:cs="Arial"/>
        </w:rPr>
        <w:t xml:space="preserve">New partnerships strengthen Hilton’s </w:t>
      </w:r>
      <w:r w:rsidR="00480909" w:rsidRPr="00044F93">
        <w:rPr>
          <w:rFonts w:ascii="Arial" w:hAnsi="Arial" w:cs="Arial"/>
        </w:rPr>
        <w:t>DEI</w:t>
      </w:r>
      <w:r w:rsidRPr="00044F93">
        <w:rPr>
          <w:rFonts w:ascii="Arial" w:hAnsi="Arial" w:cs="Arial"/>
        </w:rPr>
        <w:t xml:space="preserve"> leadership, </w:t>
      </w:r>
      <w:r w:rsidR="00044F93" w:rsidRPr="00044F93">
        <w:rPr>
          <w:rFonts w:ascii="Arial" w:hAnsi="Arial" w:cs="Arial"/>
        </w:rPr>
        <w:t>encouraging</w:t>
      </w:r>
      <w:r w:rsidRPr="00044F93">
        <w:rPr>
          <w:rFonts w:ascii="Arial" w:hAnsi="Arial" w:cs="Arial"/>
        </w:rPr>
        <w:t xml:space="preserve"> long-term collaborations (Salama, 2021)</w:t>
      </w:r>
    </w:p>
    <w:p w14:paraId="63B9F12F" w14:textId="44DBDE4B" w:rsidR="005D0FE3" w:rsidRPr="00401BB3" w:rsidRDefault="005D0FE3" w:rsidP="00401BB3">
      <w:pPr>
        <w:spacing w:line="360" w:lineRule="auto"/>
        <w:jc w:val="both"/>
        <w:rPr>
          <w:rFonts w:ascii="Arial" w:hAnsi="Arial" w:cs="Arial"/>
          <w:u w:val="single"/>
        </w:rPr>
      </w:pPr>
      <w:r w:rsidRPr="00401BB3">
        <w:rPr>
          <w:rFonts w:ascii="Arial" w:hAnsi="Arial" w:cs="Arial"/>
          <w:u w:val="single"/>
        </w:rPr>
        <w:t>Threats</w:t>
      </w:r>
      <w:r w:rsidR="00FD31F7" w:rsidRPr="00401BB3">
        <w:rPr>
          <w:rFonts w:ascii="Arial" w:hAnsi="Arial" w:cs="Arial"/>
          <w:u w:val="single"/>
        </w:rPr>
        <w:t xml:space="preserve"> </w:t>
      </w:r>
      <w:r w:rsidR="00FD31F7" w:rsidRPr="00401BB3">
        <w:rPr>
          <w:rFonts w:ascii="Arial" w:hAnsi="Arial" w:cs="Arial"/>
          <w:b/>
          <w:bCs/>
        </w:rPr>
        <w:t>→</w:t>
      </w:r>
    </w:p>
    <w:p w14:paraId="775C92A8" w14:textId="2CAA3DC2" w:rsidR="0062707B" w:rsidRPr="003563DF" w:rsidRDefault="001650CC" w:rsidP="000506C8">
      <w:pPr>
        <w:numPr>
          <w:ilvl w:val="0"/>
          <w:numId w:val="17"/>
        </w:numPr>
        <w:spacing w:line="360" w:lineRule="auto"/>
        <w:jc w:val="both"/>
        <w:rPr>
          <w:rFonts w:ascii="Arial" w:hAnsi="Arial" w:cs="Arial"/>
        </w:rPr>
      </w:pPr>
      <w:r w:rsidRPr="003563DF">
        <w:rPr>
          <w:rFonts w:ascii="Arial" w:hAnsi="Arial" w:cs="Arial"/>
        </w:rPr>
        <w:t>Technological failures</w:t>
      </w:r>
      <w:r w:rsidR="00A63796">
        <w:rPr>
          <w:rFonts w:ascii="Arial" w:hAnsi="Arial" w:cs="Arial"/>
        </w:rPr>
        <w:t xml:space="preserve"> like live-streaming issues</w:t>
      </w:r>
      <w:r w:rsidRPr="003563DF">
        <w:rPr>
          <w:rFonts w:ascii="Arial" w:hAnsi="Arial" w:cs="Arial"/>
        </w:rPr>
        <w:t xml:space="preserve"> could disrupt hybrid participation, necessitating fallback solutions (Hintermeister, 2021).</w:t>
      </w:r>
    </w:p>
    <w:p w14:paraId="3F06C32D" w14:textId="70B1FDA5" w:rsidR="0062707B" w:rsidRPr="003563DF" w:rsidRDefault="0062707B" w:rsidP="000506C8">
      <w:pPr>
        <w:numPr>
          <w:ilvl w:val="0"/>
          <w:numId w:val="17"/>
        </w:numPr>
        <w:spacing w:line="360" w:lineRule="auto"/>
        <w:jc w:val="both"/>
        <w:rPr>
          <w:rFonts w:ascii="Arial" w:hAnsi="Arial" w:cs="Arial"/>
        </w:rPr>
      </w:pPr>
      <w:r w:rsidRPr="003563DF">
        <w:rPr>
          <w:rFonts w:ascii="Arial" w:hAnsi="Arial" w:cs="Arial"/>
        </w:rPr>
        <w:t>Maintaining alignment among sponsors, presenters, and attendees is a challenge due to the diverse expectations of stakeholders (Mokhtar,2021).</w:t>
      </w:r>
    </w:p>
    <w:p w14:paraId="4BA15711" w14:textId="729E94A5" w:rsidR="005D0FE3" w:rsidRPr="003563DF" w:rsidRDefault="003563DF" w:rsidP="00401BB3">
      <w:pPr>
        <w:spacing w:line="360" w:lineRule="auto"/>
        <w:jc w:val="both"/>
        <w:rPr>
          <w:rFonts w:ascii="Arial" w:hAnsi="Arial" w:cs="Arial"/>
        </w:rPr>
      </w:pPr>
      <w:r w:rsidRPr="003563DF">
        <w:rPr>
          <w:rFonts w:ascii="Arial" w:hAnsi="Arial" w:cs="Arial"/>
        </w:rPr>
        <w:t>This analysis guarantees a globally inclusive experience, localised adaptation, and proactive risk mitigation.</w:t>
      </w:r>
    </w:p>
    <w:p w14:paraId="0E266ED5" w14:textId="77777777" w:rsidR="003563DF" w:rsidRPr="00401BB3" w:rsidRDefault="003563DF" w:rsidP="00401BB3">
      <w:pPr>
        <w:spacing w:line="360" w:lineRule="auto"/>
        <w:jc w:val="both"/>
        <w:rPr>
          <w:rFonts w:ascii="Arial" w:hAnsi="Arial" w:cs="Arial"/>
        </w:rPr>
      </w:pPr>
    </w:p>
    <w:p w14:paraId="07960A9C" w14:textId="32BE28B2" w:rsidR="005D0FE3" w:rsidRPr="00401BB3" w:rsidRDefault="005D0FE3" w:rsidP="00401BB3">
      <w:pPr>
        <w:spacing w:line="360" w:lineRule="auto"/>
        <w:jc w:val="both"/>
        <w:rPr>
          <w:rFonts w:ascii="Arial" w:hAnsi="Arial" w:cs="Arial"/>
          <w:b/>
          <w:bCs/>
        </w:rPr>
      </w:pPr>
      <w:r w:rsidRPr="00401BB3">
        <w:rPr>
          <w:rFonts w:ascii="Arial" w:hAnsi="Arial" w:cs="Arial"/>
          <w:b/>
          <w:bCs/>
        </w:rPr>
        <w:t xml:space="preserve">9. </w:t>
      </w:r>
      <w:r w:rsidRPr="00401BB3">
        <w:rPr>
          <w:rFonts w:ascii="Arial" w:hAnsi="Arial" w:cs="Arial"/>
          <w:b/>
          <w:bCs/>
          <w:u w:val="single"/>
        </w:rPr>
        <w:t xml:space="preserve">Conclusion </w:t>
      </w:r>
    </w:p>
    <w:p w14:paraId="4BCE37D7" w14:textId="6110C31B" w:rsidR="00CB3937" w:rsidRDefault="00CB3937" w:rsidP="00CB3937">
      <w:pPr>
        <w:spacing w:line="360" w:lineRule="auto"/>
        <w:jc w:val="both"/>
        <w:rPr>
          <w:rFonts w:ascii="Arial" w:hAnsi="Arial" w:cs="Arial"/>
        </w:rPr>
      </w:pPr>
      <w:r w:rsidRPr="00CB3937">
        <w:rPr>
          <w:rFonts w:ascii="Arial" w:hAnsi="Arial" w:cs="Arial"/>
        </w:rPr>
        <w:t xml:space="preserve">Hilton's 100th Anniversary event is a strategic commemoration of the company's future commitments and </w:t>
      </w:r>
      <w:r w:rsidR="00A63796">
        <w:rPr>
          <w:rFonts w:ascii="Arial" w:hAnsi="Arial" w:cs="Arial"/>
        </w:rPr>
        <w:t>progress in the DEI field</w:t>
      </w:r>
      <w:r w:rsidRPr="00CB3937">
        <w:rPr>
          <w:rFonts w:ascii="Arial" w:hAnsi="Arial" w:cs="Arial"/>
        </w:rPr>
        <w:t xml:space="preserve">. The EMBOK Model and Event Planning Cycle offer a structured framework that guarantees effective planning, engagement, and post-event impact. </w:t>
      </w:r>
    </w:p>
    <w:p w14:paraId="71D59B4E" w14:textId="5AFD8B19" w:rsidR="00CB3937" w:rsidRPr="00CB3937" w:rsidRDefault="00CB3937" w:rsidP="00CB3937">
      <w:pPr>
        <w:spacing w:line="360" w:lineRule="auto"/>
        <w:jc w:val="both"/>
        <w:rPr>
          <w:rFonts w:ascii="Arial" w:hAnsi="Arial" w:cs="Arial"/>
        </w:rPr>
      </w:pPr>
      <w:r w:rsidRPr="00CB3937">
        <w:rPr>
          <w:rFonts w:ascii="Arial" w:hAnsi="Arial" w:cs="Arial"/>
        </w:rPr>
        <w:t xml:space="preserve">The event reinforces Hilton's dedication to inclusivity and correlates with industry trends through hybrid participation, stakeholder partnerships, and digital innovation. The event is both </w:t>
      </w:r>
      <w:r w:rsidRPr="00CB3937">
        <w:rPr>
          <w:rFonts w:ascii="Arial" w:hAnsi="Arial" w:cs="Arial"/>
        </w:rPr>
        <w:lastRenderedPageBreak/>
        <w:t xml:space="preserve">sustainable and impactful due to the financial strategy's guarantee of profitability. </w:t>
      </w:r>
      <w:r w:rsidRPr="00CB3937">
        <w:rPr>
          <w:rFonts w:ascii="Arial" w:hAnsi="Arial" w:cs="Arial"/>
        </w:rPr>
        <w:br/>
        <w:t>Hilton solidifies its status as a global leader in inclusive hospitality by utilising technology, branding, and cultural engagement.</w:t>
      </w:r>
    </w:p>
    <w:p w14:paraId="6EE546C5" w14:textId="77777777" w:rsidR="0094405B" w:rsidRDefault="0094405B" w:rsidP="00401BB3">
      <w:pPr>
        <w:spacing w:line="360" w:lineRule="auto"/>
        <w:jc w:val="both"/>
        <w:rPr>
          <w:rFonts w:ascii="Arial" w:hAnsi="Arial" w:cs="Arial"/>
          <w:b/>
          <w:bCs/>
        </w:rPr>
      </w:pPr>
    </w:p>
    <w:p w14:paraId="16DB6BBF" w14:textId="77777777" w:rsidR="00444F2D" w:rsidRDefault="00444F2D" w:rsidP="00401BB3">
      <w:pPr>
        <w:spacing w:line="360" w:lineRule="auto"/>
        <w:jc w:val="both"/>
        <w:rPr>
          <w:rFonts w:ascii="Arial" w:hAnsi="Arial" w:cs="Arial"/>
          <w:b/>
          <w:bCs/>
        </w:rPr>
      </w:pPr>
    </w:p>
    <w:p w14:paraId="62F00272" w14:textId="77777777" w:rsidR="00444F2D" w:rsidRDefault="00444F2D" w:rsidP="00401BB3">
      <w:pPr>
        <w:spacing w:line="360" w:lineRule="auto"/>
        <w:jc w:val="both"/>
        <w:rPr>
          <w:rFonts w:ascii="Arial" w:hAnsi="Arial" w:cs="Arial"/>
          <w:b/>
          <w:bCs/>
        </w:rPr>
      </w:pPr>
    </w:p>
    <w:p w14:paraId="442DF65B" w14:textId="77777777" w:rsidR="00444F2D" w:rsidRDefault="00444F2D" w:rsidP="00401BB3">
      <w:pPr>
        <w:spacing w:line="360" w:lineRule="auto"/>
        <w:jc w:val="both"/>
        <w:rPr>
          <w:rFonts w:ascii="Arial" w:hAnsi="Arial" w:cs="Arial"/>
          <w:b/>
          <w:bCs/>
        </w:rPr>
      </w:pPr>
    </w:p>
    <w:p w14:paraId="613B4EA0" w14:textId="77777777" w:rsidR="00444F2D" w:rsidRDefault="00444F2D" w:rsidP="00401BB3">
      <w:pPr>
        <w:spacing w:line="360" w:lineRule="auto"/>
        <w:jc w:val="both"/>
        <w:rPr>
          <w:rFonts w:ascii="Arial" w:hAnsi="Arial" w:cs="Arial"/>
          <w:b/>
          <w:bCs/>
        </w:rPr>
      </w:pPr>
    </w:p>
    <w:p w14:paraId="41A033AD" w14:textId="77777777" w:rsidR="00444F2D" w:rsidRDefault="00444F2D" w:rsidP="00401BB3">
      <w:pPr>
        <w:spacing w:line="360" w:lineRule="auto"/>
        <w:jc w:val="both"/>
        <w:rPr>
          <w:rFonts w:ascii="Arial" w:hAnsi="Arial" w:cs="Arial"/>
          <w:b/>
          <w:bCs/>
        </w:rPr>
      </w:pPr>
    </w:p>
    <w:p w14:paraId="15604FF9" w14:textId="77777777" w:rsidR="00444F2D" w:rsidRDefault="00444F2D" w:rsidP="00401BB3">
      <w:pPr>
        <w:spacing w:line="360" w:lineRule="auto"/>
        <w:jc w:val="both"/>
        <w:rPr>
          <w:rFonts w:ascii="Arial" w:hAnsi="Arial" w:cs="Arial"/>
          <w:b/>
          <w:bCs/>
        </w:rPr>
      </w:pPr>
    </w:p>
    <w:p w14:paraId="3BEFC9CF" w14:textId="77777777" w:rsidR="00444F2D" w:rsidRDefault="00444F2D" w:rsidP="00401BB3">
      <w:pPr>
        <w:spacing w:line="360" w:lineRule="auto"/>
        <w:jc w:val="both"/>
        <w:rPr>
          <w:rFonts w:ascii="Arial" w:hAnsi="Arial" w:cs="Arial"/>
          <w:b/>
          <w:bCs/>
        </w:rPr>
      </w:pPr>
    </w:p>
    <w:p w14:paraId="0929F7AC" w14:textId="77777777" w:rsidR="00444F2D" w:rsidRDefault="00444F2D" w:rsidP="00401BB3">
      <w:pPr>
        <w:spacing w:line="360" w:lineRule="auto"/>
        <w:jc w:val="both"/>
        <w:rPr>
          <w:rFonts w:ascii="Arial" w:hAnsi="Arial" w:cs="Arial"/>
          <w:b/>
          <w:bCs/>
        </w:rPr>
      </w:pPr>
    </w:p>
    <w:p w14:paraId="25D40301" w14:textId="77777777" w:rsidR="00444F2D" w:rsidRDefault="00444F2D" w:rsidP="00401BB3">
      <w:pPr>
        <w:spacing w:line="360" w:lineRule="auto"/>
        <w:jc w:val="both"/>
        <w:rPr>
          <w:rFonts w:ascii="Arial" w:hAnsi="Arial" w:cs="Arial"/>
          <w:b/>
          <w:bCs/>
        </w:rPr>
      </w:pPr>
    </w:p>
    <w:p w14:paraId="51924D8C" w14:textId="77777777" w:rsidR="00444F2D" w:rsidRDefault="00444F2D" w:rsidP="00401BB3">
      <w:pPr>
        <w:spacing w:line="360" w:lineRule="auto"/>
        <w:jc w:val="both"/>
        <w:rPr>
          <w:rFonts w:ascii="Arial" w:hAnsi="Arial" w:cs="Arial"/>
          <w:b/>
          <w:bCs/>
        </w:rPr>
      </w:pPr>
    </w:p>
    <w:p w14:paraId="7F110D24" w14:textId="77777777" w:rsidR="00444F2D" w:rsidRDefault="00444F2D" w:rsidP="00401BB3">
      <w:pPr>
        <w:spacing w:line="360" w:lineRule="auto"/>
        <w:jc w:val="both"/>
        <w:rPr>
          <w:rFonts w:ascii="Arial" w:hAnsi="Arial" w:cs="Arial"/>
          <w:b/>
          <w:bCs/>
        </w:rPr>
      </w:pPr>
    </w:p>
    <w:p w14:paraId="3B24F1DE" w14:textId="77777777" w:rsidR="00444F2D" w:rsidRDefault="00444F2D" w:rsidP="00401BB3">
      <w:pPr>
        <w:spacing w:line="360" w:lineRule="auto"/>
        <w:jc w:val="both"/>
        <w:rPr>
          <w:rFonts w:ascii="Arial" w:hAnsi="Arial" w:cs="Arial"/>
          <w:b/>
          <w:bCs/>
        </w:rPr>
      </w:pPr>
    </w:p>
    <w:p w14:paraId="5765560A" w14:textId="77777777" w:rsidR="00444F2D" w:rsidRDefault="00444F2D" w:rsidP="00401BB3">
      <w:pPr>
        <w:spacing w:line="360" w:lineRule="auto"/>
        <w:jc w:val="both"/>
        <w:rPr>
          <w:rFonts w:ascii="Arial" w:hAnsi="Arial" w:cs="Arial"/>
          <w:b/>
          <w:bCs/>
        </w:rPr>
      </w:pPr>
    </w:p>
    <w:p w14:paraId="2B181D6E" w14:textId="77777777" w:rsidR="00444F2D" w:rsidRDefault="00444F2D" w:rsidP="00401BB3">
      <w:pPr>
        <w:spacing w:line="360" w:lineRule="auto"/>
        <w:jc w:val="both"/>
        <w:rPr>
          <w:rFonts w:ascii="Arial" w:hAnsi="Arial" w:cs="Arial"/>
          <w:b/>
          <w:bCs/>
        </w:rPr>
      </w:pPr>
    </w:p>
    <w:p w14:paraId="141163EF" w14:textId="77777777" w:rsidR="00444F2D" w:rsidRDefault="00444F2D" w:rsidP="00401BB3">
      <w:pPr>
        <w:spacing w:line="360" w:lineRule="auto"/>
        <w:jc w:val="both"/>
        <w:rPr>
          <w:rFonts w:ascii="Arial" w:hAnsi="Arial" w:cs="Arial"/>
          <w:b/>
          <w:bCs/>
        </w:rPr>
      </w:pPr>
    </w:p>
    <w:p w14:paraId="267DCE95" w14:textId="77777777" w:rsidR="00444F2D" w:rsidRDefault="00444F2D" w:rsidP="00401BB3">
      <w:pPr>
        <w:spacing w:line="360" w:lineRule="auto"/>
        <w:jc w:val="both"/>
        <w:rPr>
          <w:rFonts w:ascii="Arial" w:hAnsi="Arial" w:cs="Arial"/>
          <w:b/>
          <w:bCs/>
        </w:rPr>
      </w:pPr>
    </w:p>
    <w:p w14:paraId="79ACA7F9" w14:textId="77777777" w:rsidR="00444F2D" w:rsidRDefault="00444F2D" w:rsidP="00401BB3">
      <w:pPr>
        <w:spacing w:line="360" w:lineRule="auto"/>
        <w:jc w:val="both"/>
        <w:rPr>
          <w:rFonts w:ascii="Arial" w:hAnsi="Arial" w:cs="Arial"/>
          <w:b/>
          <w:bCs/>
        </w:rPr>
      </w:pPr>
    </w:p>
    <w:p w14:paraId="0AE2AE45" w14:textId="77777777" w:rsidR="00444F2D" w:rsidRDefault="00444F2D" w:rsidP="00401BB3">
      <w:pPr>
        <w:spacing w:line="360" w:lineRule="auto"/>
        <w:jc w:val="both"/>
        <w:rPr>
          <w:rFonts w:ascii="Arial" w:hAnsi="Arial" w:cs="Arial"/>
          <w:b/>
          <w:bCs/>
        </w:rPr>
      </w:pPr>
    </w:p>
    <w:p w14:paraId="15AF2EB5" w14:textId="77777777" w:rsidR="00444F2D" w:rsidRDefault="00444F2D" w:rsidP="00401BB3">
      <w:pPr>
        <w:spacing w:line="360" w:lineRule="auto"/>
        <w:jc w:val="both"/>
        <w:rPr>
          <w:rFonts w:ascii="Arial" w:hAnsi="Arial" w:cs="Arial"/>
          <w:b/>
          <w:bCs/>
        </w:rPr>
      </w:pPr>
    </w:p>
    <w:p w14:paraId="0FD368F0" w14:textId="77777777" w:rsidR="00444F2D" w:rsidRDefault="00444F2D" w:rsidP="00401BB3">
      <w:pPr>
        <w:spacing w:line="360" w:lineRule="auto"/>
        <w:jc w:val="both"/>
        <w:rPr>
          <w:rFonts w:ascii="Arial" w:hAnsi="Arial" w:cs="Arial"/>
          <w:b/>
          <w:bCs/>
        </w:rPr>
      </w:pPr>
    </w:p>
    <w:p w14:paraId="2A1F2F0F" w14:textId="77777777" w:rsidR="00444F2D" w:rsidRDefault="00444F2D" w:rsidP="00401BB3">
      <w:pPr>
        <w:spacing w:line="360" w:lineRule="auto"/>
        <w:jc w:val="both"/>
        <w:rPr>
          <w:rFonts w:ascii="Arial" w:hAnsi="Arial" w:cs="Arial"/>
          <w:b/>
          <w:bCs/>
        </w:rPr>
      </w:pPr>
    </w:p>
    <w:p w14:paraId="1D0B5194" w14:textId="337E70E0" w:rsidR="00B102F9" w:rsidRPr="00B102F9" w:rsidRDefault="005D0FE3" w:rsidP="00401BB3">
      <w:pPr>
        <w:spacing w:line="360" w:lineRule="auto"/>
        <w:jc w:val="both"/>
        <w:rPr>
          <w:rFonts w:ascii="Arial" w:hAnsi="Arial" w:cs="Arial"/>
          <w:b/>
          <w:bCs/>
        </w:rPr>
      </w:pPr>
      <w:r w:rsidRPr="00401BB3">
        <w:rPr>
          <w:rFonts w:ascii="Arial" w:hAnsi="Arial" w:cs="Arial"/>
          <w:b/>
          <w:bCs/>
        </w:rPr>
        <w:lastRenderedPageBreak/>
        <w:t>Reference List</w:t>
      </w:r>
    </w:p>
    <w:p w14:paraId="56456099" w14:textId="2578D9DC"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Allen, J., Harris, R., Jago, L.K. and Veal, A.J., </w:t>
      </w:r>
      <w:r w:rsidR="00490754" w:rsidRPr="00814BC4">
        <w:rPr>
          <w:rFonts w:ascii="Arial" w:hAnsi="Arial" w:cs="Arial"/>
        </w:rPr>
        <w:t>(</w:t>
      </w:r>
      <w:r w:rsidRPr="00814BC4">
        <w:rPr>
          <w:rFonts w:ascii="Arial" w:hAnsi="Arial" w:cs="Arial"/>
        </w:rPr>
        <w:t>2000</w:t>
      </w:r>
      <w:r w:rsidR="00490754" w:rsidRPr="00814BC4">
        <w:rPr>
          <w:rFonts w:ascii="Arial" w:hAnsi="Arial" w:cs="Arial"/>
        </w:rPr>
        <w:t>)</w:t>
      </w:r>
      <w:r w:rsidRPr="00814BC4">
        <w:rPr>
          <w:rFonts w:ascii="Arial" w:hAnsi="Arial" w:cs="Arial"/>
        </w:rPr>
        <w:t xml:space="preserve">. Events Beyond 2000: Setting of Conference on Event Evaluation, Research and Education Sydney July 200. </w:t>
      </w:r>
      <w:hyperlink r:id="rId20" w:anchor="page=16" w:history="1">
        <w:r w:rsidRPr="00814BC4">
          <w:rPr>
            <w:rStyle w:val="Hyperlink"/>
            <w:rFonts w:ascii="Arial" w:hAnsi="Arial" w:cs="Arial"/>
          </w:rPr>
          <w:t>https://opus.lib.uts.edu.au/bitstream/10453/19788/1/Proceedings%202000%20Conference.pdf#page=16</w:t>
        </w:r>
      </w:hyperlink>
      <w:r w:rsidRPr="00814BC4">
        <w:rPr>
          <w:rFonts w:ascii="Arial" w:hAnsi="Arial" w:cs="Arial"/>
        </w:rPr>
        <w:t xml:space="preserve"> </w:t>
      </w:r>
    </w:p>
    <w:p w14:paraId="3E97B283" w14:textId="51E3E469"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Altschwager, T., Conduit, J., Karpen, I., and Goodman, S., </w:t>
      </w:r>
      <w:r w:rsidR="00490754" w:rsidRPr="00814BC4">
        <w:rPr>
          <w:rFonts w:ascii="Arial" w:hAnsi="Arial" w:cs="Arial"/>
        </w:rPr>
        <w:t>(</w:t>
      </w:r>
      <w:r w:rsidRPr="00814BC4">
        <w:rPr>
          <w:rFonts w:ascii="Arial" w:hAnsi="Arial" w:cs="Arial"/>
        </w:rPr>
        <w:t>2022</w:t>
      </w:r>
      <w:r w:rsidR="00490754" w:rsidRPr="00814BC4">
        <w:rPr>
          <w:rFonts w:ascii="Arial" w:hAnsi="Arial" w:cs="Arial"/>
        </w:rPr>
        <w:t>)</w:t>
      </w:r>
      <w:r w:rsidRPr="00814BC4">
        <w:rPr>
          <w:rFonts w:ascii="Arial" w:hAnsi="Arial" w:cs="Arial"/>
        </w:rPr>
        <w:t xml:space="preserve">. Event Engagement: Using Event Experiences to Build Brands. Australasian Marketing Journal, 32, pp. 31 - 44. </w:t>
      </w:r>
      <w:hyperlink r:id="rId21" w:history="1">
        <w:r w:rsidRPr="00814BC4">
          <w:rPr>
            <w:rStyle w:val="Hyperlink"/>
            <w:rFonts w:ascii="Arial" w:hAnsi="Arial" w:cs="Arial"/>
          </w:rPr>
          <w:t>https://doi.org/10.1177/14413582221127317</w:t>
        </w:r>
      </w:hyperlink>
      <w:r w:rsidRPr="00814BC4">
        <w:rPr>
          <w:rFonts w:ascii="Arial" w:hAnsi="Arial" w:cs="Arial"/>
        </w:rPr>
        <w:t xml:space="preserve">. </w:t>
      </w:r>
    </w:p>
    <w:p w14:paraId="1F845317" w14:textId="61B1C358" w:rsidR="00394820" w:rsidRPr="00814BC4" w:rsidRDefault="00394820" w:rsidP="000506C8">
      <w:pPr>
        <w:pStyle w:val="ListParagraph"/>
        <w:numPr>
          <w:ilvl w:val="0"/>
          <w:numId w:val="20"/>
        </w:numPr>
        <w:spacing w:after="0" w:line="360" w:lineRule="auto"/>
        <w:jc w:val="both"/>
        <w:rPr>
          <w:rFonts w:ascii="Arial" w:hAnsi="Arial" w:cs="Arial"/>
        </w:rPr>
      </w:pPr>
      <w:r w:rsidRPr="00814BC4">
        <w:rPr>
          <w:rFonts w:ascii="Arial" w:hAnsi="Arial" w:cs="Arial"/>
          <w:lang w:val="de-DE"/>
        </w:rPr>
        <w:t xml:space="preserve">Antchak, V., Ziakas, V., &amp; Getz, D., 2019. </w:t>
      </w:r>
      <w:r w:rsidRPr="00814BC4">
        <w:rPr>
          <w:rFonts w:ascii="Arial" w:hAnsi="Arial" w:cs="Arial"/>
        </w:rPr>
        <w:t>Event Portfolios and Stakeholder Networks. Event Portfolio Management. </w:t>
      </w:r>
      <w:hyperlink r:id="rId22" w:tgtFrame="_blank" w:history="1">
        <w:r w:rsidRPr="00814BC4">
          <w:rPr>
            <w:rStyle w:val="Hyperlink"/>
            <w:rFonts w:ascii="Arial" w:hAnsi="Arial" w:cs="Arial"/>
          </w:rPr>
          <w:t>https://doi.org/10.23912/978-1-911396-91-8-4189</w:t>
        </w:r>
      </w:hyperlink>
      <w:r w:rsidRPr="00814BC4">
        <w:rPr>
          <w:rFonts w:ascii="Arial" w:hAnsi="Arial" w:cs="Arial"/>
        </w:rPr>
        <w:t>.</w:t>
      </w:r>
    </w:p>
    <w:p w14:paraId="5CA818C4"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Arnott, I., 2020. Risk Management in Events Management., pp. 1-20. </w:t>
      </w:r>
      <w:hyperlink r:id="rId23" w:tgtFrame="_blank" w:history="1">
        <w:r w:rsidRPr="00814BC4">
          <w:rPr>
            <w:rStyle w:val="Hyperlink"/>
            <w:rFonts w:ascii="Arial" w:hAnsi="Arial" w:cs="Arial"/>
          </w:rPr>
          <w:t>https://doi.org/10.4018/978-1-7998-3230-0.CH001</w:t>
        </w:r>
      </w:hyperlink>
      <w:r w:rsidRPr="00814BC4">
        <w:rPr>
          <w:rFonts w:ascii="Arial" w:hAnsi="Arial" w:cs="Arial"/>
        </w:rPr>
        <w:t>.</w:t>
      </w:r>
    </w:p>
    <w:p w14:paraId="37CAF47D" w14:textId="53B98023"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Bowdin, G., Allen, J. and Harris, R., </w:t>
      </w:r>
      <w:r w:rsidR="00490754" w:rsidRPr="00814BC4">
        <w:rPr>
          <w:rFonts w:ascii="Arial" w:hAnsi="Arial" w:cs="Arial"/>
        </w:rPr>
        <w:t>(</w:t>
      </w:r>
      <w:r w:rsidRPr="00814BC4">
        <w:rPr>
          <w:rFonts w:ascii="Arial" w:hAnsi="Arial" w:cs="Arial"/>
        </w:rPr>
        <w:t>2011</w:t>
      </w:r>
      <w:r w:rsidR="00490754" w:rsidRPr="00814BC4">
        <w:rPr>
          <w:rFonts w:ascii="Arial" w:hAnsi="Arial" w:cs="Arial"/>
        </w:rPr>
        <w:t>)</w:t>
      </w:r>
      <w:r w:rsidRPr="00814BC4">
        <w:rPr>
          <w:rFonts w:ascii="Arial" w:hAnsi="Arial" w:cs="Arial"/>
        </w:rPr>
        <w:t xml:space="preserve">. Event Management. </w:t>
      </w:r>
      <w:hyperlink r:id="rId24" w:history="1">
        <w:r w:rsidRPr="00814BC4">
          <w:rPr>
            <w:rStyle w:val="Hyperlink"/>
            <w:rFonts w:ascii="Arial" w:hAnsi="Arial" w:cs="Arial"/>
          </w:rPr>
          <w:t>https://librarysearch.uwtsd.ac.uk/permalink/44WHELF_UWTSD/1pbrh66/alma9929233802421</w:t>
        </w:r>
      </w:hyperlink>
    </w:p>
    <w:p w14:paraId="00123EB9" w14:textId="5463E37A"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Celuch, K., </w:t>
      </w:r>
      <w:r w:rsidR="00490754" w:rsidRPr="00814BC4">
        <w:rPr>
          <w:rFonts w:ascii="Arial" w:hAnsi="Arial" w:cs="Arial"/>
        </w:rPr>
        <w:t>(</w:t>
      </w:r>
      <w:r w:rsidRPr="00814BC4">
        <w:rPr>
          <w:rFonts w:ascii="Arial" w:hAnsi="Arial" w:cs="Arial"/>
        </w:rPr>
        <w:t>2021</w:t>
      </w:r>
      <w:r w:rsidR="00490754" w:rsidRPr="00814BC4">
        <w:rPr>
          <w:rFonts w:ascii="Arial" w:hAnsi="Arial" w:cs="Arial"/>
        </w:rPr>
        <w:t>)</w:t>
      </w:r>
      <w:r w:rsidRPr="00814BC4">
        <w:rPr>
          <w:rFonts w:ascii="Arial" w:hAnsi="Arial" w:cs="Arial"/>
        </w:rPr>
        <w:t xml:space="preserve">. Event technology for potential sustainable practices: a bibliometric review and research agenda. International Journal of Event and Festival Management, 12(3), pp. 314-330. </w:t>
      </w:r>
      <w:hyperlink r:id="rId25" w:history="1">
        <w:r w:rsidRPr="00814BC4">
          <w:rPr>
            <w:rStyle w:val="Hyperlink"/>
            <w:rFonts w:ascii="Arial" w:hAnsi="Arial" w:cs="Arial"/>
          </w:rPr>
          <w:t>https://www.proquest.com/scholarly-journals/event-technology-potential-sustainable-practices/docview/2565978610/se-2?accountid=130472</w:t>
        </w:r>
      </w:hyperlink>
      <w:r w:rsidRPr="00814BC4">
        <w:rPr>
          <w:rFonts w:ascii="Arial" w:hAnsi="Arial" w:cs="Arial"/>
        </w:rPr>
        <w:t xml:space="preserve">    </w:t>
      </w:r>
    </w:p>
    <w:p w14:paraId="56FCF47B" w14:textId="10F668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lang w:val="de-DE"/>
        </w:rPr>
        <w:t xml:space="preserve">Claudia, M., Dieck, P., Jung, P., and Rauschnabel, P., </w:t>
      </w:r>
      <w:r w:rsidR="0006448E" w:rsidRPr="00814BC4">
        <w:rPr>
          <w:rFonts w:ascii="Arial" w:hAnsi="Arial" w:cs="Arial"/>
          <w:lang w:val="de-DE"/>
        </w:rPr>
        <w:t>(</w:t>
      </w:r>
      <w:r w:rsidRPr="00814BC4">
        <w:rPr>
          <w:rFonts w:ascii="Arial" w:hAnsi="Arial" w:cs="Arial"/>
          <w:lang w:val="de-DE"/>
        </w:rPr>
        <w:t>2018</w:t>
      </w:r>
      <w:r w:rsidR="0006448E" w:rsidRPr="00814BC4">
        <w:rPr>
          <w:rFonts w:ascii="Arial" w:hAnsi="Arial" w:cs="Arial"/>
          <w:lang w:val="de-DE"/>
        </w:rPr>
        <w:t>)</w:t>
      </w:r>
      <w:r w:rsidRPr="00814BC4">
        <w:rPr>
          <w:rFonts w:ascii="Arial" w:hAnsi="Arial" w:cs="Arial"/>
          <w:lang w:val="de-DE"/>
        </w:rPr>
        <w:t xml:space="preserve">. </w:t>
      </w:r>
      <w:r w:rsidRPr="00814BC4">
        <w:rPr>
          <w:rFonts w:ascii="Arial" w:hAnsi="Arial" w:cs="Arial"/>
        </w:rPr>
        <w:t xml:space="preserve">Determining visitor engagement through augmented reality at science festivals: An experience economy perspective. Comput. Hum. Behav., 82, pp. 44-53. </w:t>
      </w:r>
      <w:hyperlink r:id="rId26" w:history="1">
        <w:r w:rsidRPr="00814BC4">
          <w:rPr>
            <w:rStyle w:val="Hyperlink"/>
            <w:rFonts w:ascii="Arial" w:hAnsi="Arial" w:cs="Arial"/>
          </w:rPr>
          <w:t>https://doi.org/10.1016/j.chb.2017.12.043</w:t>
        </w:r>
      </w:hyperlink>
      <w:r w:rsidRPr="00814BC4">
        <w:rPr>
          <w:rFonts w:ascii="Arial" w:hAnsi="Arial" w:cs="Arial"/>
        </w:rPr>
        <w:t xml:space="preserve">. </w:t>
      </w:r>
    </w:p>
    <w:p w14:paraId="413BF225" w14:textId="52D9F3FA"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Coetzee, W., and Pourfakhimi, S., </w:t>
      </w:r>
      <w:r w:rsidR="0006448E" w:rsidRPr="00814BC4">
        <w:rPr>
          <w:rFonts w:ascii="Arial" w:hAnsi="Arial" w:cs="Arial"/>
        </w:rPr>
        <w:t>(</w:t>
      </w:r>
      <w:r w:rsidRPr="00814BC4">
        <w:rPr>
          <w:rFonts w:ascii="Arial" w:hAnsi="Arial" w:cs="Arial"/>
        </w:rPr>
        <w:t>2020</w:t>
      </w:r>
      <w:r w:rsidR="0006448E" w:rsidRPr="00814BC4">
        <w:rPr>
          <w:rFonts w:ascii="Arial" w:hAnsi="Arial" w:cs="Arial"/>
        </w:rPr>
        <w:t>)</w:t>
      </w:r>
      <w:r w:rsidRPr="00814BC4">
        <w:rPr>
          <w:rFonts w:ascii="Arial" w:hAnsi="Arial" w:cs="Arial"/>
        </w:rPr>
        <w:t xml:space="preserve">. Affective engagement as a contextual dimension for predicting intentions to revisit and recommend events – a multinational comparison. Journal of Policy Research in Tourism, Leisure and Events, 12, pp. 401 - 421. </w:t>
      </w:r>
      <w:hyperlink r:id="rId27" w:history="1">
        <w:r w:rsidRPr="00814BC4">
          <w:rPr>
            <w:rStyle w:val="Hyperlink"/>
            <w:rFonts w:ascii="Arial" w:hAnsi="Arial" w:cs="Arial"/>
          </w:rPr>
          <w:t>https://doi.org/10.1080/19407963.2019.1695345</w:t>
        </w:r>
      </w:hyperlink>
      <w:r w:rsidRPr="00814BC4">
        <w:rPr>
          <w:rFonts w:ascii="Arial" w:hAnsi="Arial" w:cs="Arial"/>
        </w:rPr>
        <w:t xml:space="preserve">. </w:t>
      </w:r>
    </w:p>
    <w:p w14:paraId="33C5464A" w14:textId="1036F5A1"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Elbashir, B., </w:t>
      </w:r>
      <w:r w:rsidR="0006448E" w:rsidRPr="00814BC4">
        <w:rPr>
          <w:rFonts w:ascii="Arial" w:hAnsi="Arial" w:cs="Arial"/>
        </w:rPr>
        <w:t>(</w:t>
      </w:r>
      <w:r w:rsidRPr="00814BC4">
        <w:rPr>
          <w:rFonts w:ascii="Arial" w:hAnsi="Arial" w:cs="Arial"/>
        </w:rPr>
        <w:t>2024</w:t>
      </w:r>
      <w:r w:rsidR="0006448E" w:rsidRPr="00814BC4">
        <w:rPr>
          <w:rFonts w:ascii="Arial" w:hAnsi="Arial" w:cs="Arial"/>
        </w:rPr>
        <w:t>)</w:t>
      </w:r>
      <w:r w:rsidRPr="00814BC4">
        <w:rPr>
          <w:rFonts w:ascii="Arial" w:hAnsi="Arial" w:cs="Arial"/>
        </w:rPr>
        <w:t xml:space="preserve">. An Investigation of Cultural Sensitivity and Teachers’ Classroom Management. International Journal of English Language Teaching. </w:t>
      </w:r>
      <w:hyperlink r:id="rId28" w:history="1">
        <w:r w:rsidRPr="00814BC4">
          <w:rPr>
            <w:rStyle w:val="Hyperlink"/>
            <w:rFonts w:ascii="Arial" w:hAnsi="Arial" w:cs="Arial"/>
          </w:rPr>
          <w:t>https://doi.org/10.37745/ijelt.13/vol12n12845</w:t>
        </w:r>
      </w:hyperlink>
      <w:r w:rsidRPr="00814BC4">
        <w:rPr>
          <w:rFonts w:ascii="Arial" w:hAnsi="Arial" w:cs="Arial"/>
        </w:rPr>
        <w:t xml:space="preserve">. </w:t>
      </w:r>
    </w:p>
    <w:p w14:paraId="32265E59" w14:textId="3EBC0A90"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Ferdinand, N. and Kitchin, P., </w:t>
      </w:r>
      <w:r w:rsidR="0006448E" w:rsidRPr="00814BC4">
        <w:rPr>
          <w:rFonts w:ascii="Arial" w:hAnsi="Arial" w:cs="Arial"/>
        </w:rPr>
        <w:t>(</w:t>
      </w:r>
      <w:r w:rsidRPr="00814BC4">
        <w:rPr>
          <w:rFonts w:ascii="Arial" w:hAnsi="Arial" w:cs="Arial"/>
        </w:rPr>
        <w:t>2016</w:t>
      </w:r>
      <w:r w:rsidR="0006448E" w:rsidRPr="00814BC4">
        <w:rPr>
          <w:rFonts w:ascii="Arial" w:hAnsi="Arial" w:cs="Arial"/>
        </w:rPr>
        <w:t>)</w:t>
      </w:r>
      <w:r w:rsidRPr="00814BC4">
        <w:rPr>
          <w:rFonts w:ascii="Arial" w:hAnsi="Arial" w:cs="Arial"/>
        </w:rPr>
        <w:t>. Events Management: An International Approach (2nd edition).</w:t>
      </w:r>
    </w:p>
    <w:p w14:paraId="04FE5188" w14:textId="42ED1082" w:rsidR="00B102F9" w:rsidRPr="00814BC4" w:rsidRDefault="00B102F9" w:rsidP="000506C8">
      <w:pPr>
        <w:pStyle w:val="ListParagraph"/>
        <w:numPr>
          <w:ilvl w:val="0"/>
          <w:numId w:val="20"/>
        </w:numPr>
        <w:spacing w:after="0" w:line="360" w:lineRule="auto"/>
        <w:jc w:val="both"/>
        <w:rPr>
          <w:rFonts w:ascii="Arial" w:hAnsi="Arial" w:cs="Arial"/>
          <w:lang w:val="en-US"/>
        </w:rPr>
      </w:pPr>
      <w:r w:rsidRPr="00814BC4">
        <w:rPr>
          <w:rFonts w:ascii="Arial" w:hAnsi="Arial" w:cs="Arial"/>
        </w:rPr>
        <w:lastRenderedPageBreak/>
        <w:t xml:space="preserve">Fotiadis, A. and Vassiliadis, </w:t>
      </w:r>
      <w:r w:rsidR="0006448E" w:rsidRPr="00814BC4">
        <w:rPr>
          <w:rFonts w:ascii="Arial" w:hAnsi="Arial" w:cs="Arial"/>
        </w:rPr>
        <w:t>(</w:t>
      </w:r>
      <w:r w:rsidRPr="00814BC4">
        <w:rPr>
          <w:rFonts w:ascii="Arial" w:hAnsi="Arial" w:cs="Arial"/>
        </w:rPr>
        <w:t>2020</w:t>
      </w:r>
      <w:r w:rsidR="0006448E" w:rsidRPr="00814BC4">
        <w:rPr>
          <w:rFonts w:ascii="Arial" w:hAnsi="Arial" w:cs="Arial"/>
        </w:rPr>
        <w:t>)</w:t>
      </w:r>
      <w:r w:rsidRPr="00814BC4">
        <w:rPr>
          <w:rFonts w:ascii="Arial" w:hAnsi="Arial" w:cs="Arial"/>
        </w:rPr>
        <w:t xml:space="preserve">. </w:t>
      </w:r>
      <w:r w:rsidRPr="00814BC4">
        <w:rPr>
          <w:rFonts w:ascii="Arial" w:hAnsi="Arial" w:cs="Arial"/>
          <w:lang w:val="en-US"/>
        </w:rPr>
        <w:t xml:space="preserve">Principles and Practices of Small-Scale Sport Event Management. </w:t>
      </w:r>
      <w:hyperlink r:id="rId29" w:history="1">
        <w:r w:rsidRPr="00814BC4">
          <w:rPr>
            <w:rStyle w:val="Hyperlink"/>
            <w:rFonts w:ascii="Arial" w:hAnsi="Arial" w:cs="Arial"/>
            <w:lang w:val="en-US"/>
          </w:rPr>
          <w:t>https://doi.org/</w:t>
        </w:r>
        <w:r w:rsidRPr="00814BC4">
          <w:rPr>
            <w:rStyle w:val="Hyperlink"/>
            <w:rFonts w:ascii="Arial" w:hAnsi="Arial" w:cs="Arial"/>
          </w:rPr>
          <w:t>10.4018/978-1-7998-4757-1</w:t>
        </w:r>
      </w:hyperlink>
      <w:r w:rsidRPr="00814BC4">
        <w:rPr>
          <w:rFonts w:ascii="Arial" w:hAnsi="Arial" w:cs="Arial"/>
        </w:rPr>
        <w:t xml:space="preserve"> </w:t>
      </w:r>
    </w:p>
    <w:p w14:paraId="2B8A6FAD" w14:textId="3E31FAD2" w:rsidR="00B102F9" w:rsidRPr="00814BC4" w:rsidRDefault="00B102F9" w:rsidP="0006448E">
      <w:pPr>
        <w:numPr>
          <w:ilvl w:val="0"/>
          <w:numId w:val="20"/>
        </w:numPr>
        <w:spacing w:after="0" w:line="360" w:lineRule="auto"/>
        <w:jc w:val="both"/>
        <w:rPr>
          <w:rFonts w:ascii="Arial" w:hAnsi="Arial" w:cs="Arial"/>
        </w:rPr>
      </w:pPr>
      <w:r w:rsidRPr="00814BC4">
        <w:rPr>
          <w:rFonts w:ascii="Arial" w:hAnsi="Arial" w:cs="Arial"/>
        </w:rPr>
        <w:t xml:space="preserve">Getz, D. and Page, S.J., </w:t>
      </w:r>
      <w:r w:rsidR="0006448E" w:rsidRPr="00814BC4">
        <w:rPr>
          <w:rFonts w:ascii="Arial" w:hAnsi="Arial" w:cs="Arial"/>
        </w:rPr>
        <w:t>(</w:t>
      </w:r>
      <w:r w:rsidRPr="00814BC4">
        <w:rPr>
          <w:rFonts w:ascii="Arial" w:hAnsi="Arial" w:cs="Arial"/>
        </w:rPr>
        <w:t>2024</w:t>
      </w:r>
      <w:r w:rsidR="0006448E" w:rsidRPr="00814BC4">
        <w:rPr>
          <w:rFonts w:ascii="Arial" w:hAnsi="Arial" w:cs="Arial"/>
        </w:rPr>
        <w:t>)</w:t>
      </w:r>
      <w:r w:rsidRPr="00814BC4">
        <w:rPr>
          <w:rFonts w:ascii="Arial" w:hAnsi="Arial" w:cs="Arial"/>
        </w:rPr>
        <w:t>. Event Studies. Theory and Management for Planned Events. Fifth Edition.</w:t>
      </w:r>
      <w:r w:rsidR="0006448E" w:rsidRPr="00814BC4">
        <w:rPr>
          <w:rFonts w:ascii="Arial" w:hAnsi="Arial" w:cs="Arial"/>
        </w:rPr>
        <w:t xml:space="preserve"> </w:t>
      </w:r>
      <w:hyperlink r:id="rId30" w:history="1">
        <w:r w:rsidR="0006448E" w:rsidRPr="00814BC4">
          <w:rPr>
            <w:rStyle w:val="Hyperlink"/>
            <w:rFonts w:ascii="Arial" w:hAnsi="Arial" w:cs="Arial"/>
          </w:rPr>
          <w:t>https://librarysearch.uwtsd.ac.uk/permalink/44WHELF_UWTSD/11c0l68/alma99100647735602421</w:t>
        </w:r>
      </w:hyperlink>
      <w:r w:rsidRPr="00814BC4">
        <w:rPr>
          <w:rFonts w:ascii="Arial" w:hAnsi="Arial" w:cs="Arial"/>
        </w:rPr>
        <w:t xml:space="preserve"> </w:t>
      </w:r>
    </w:p>
    <w:p w14:paraId="78EB0C32" w14:textId="7DA9F9F6"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Getz, D. and Page, S.J., </w:t>
      </w:r>
      <w:r w:rsidR="0006448E" w:rsidRPr="00814BC4">
        <w:rPr>
          <w:rFonts w:ascii="Arial" w:hAnsi="Arial" w:cs="Arial"/>
        </w:rPr>
        <w:t>(</w:t>
      </w:r>
      <w:r w:rsidRPr="00814BC4">
        <w:rPr>
          <w:rFonts w:ascii="Arial" w:hAnsi="Arial" w:cs="Arial"/>
        </w:rPr>
        <w:t>2024</w:t>
      </w:r>
      <w:r w:rsidR="0006448E" w:rsidRPr="00814BC4">
        <w:rPr>
          <w:rFonts w:ascii="Arial" w:hAnsi="Arial" w:cs="Arial"/>
        </w:rPr>
        <w:t>)</w:t>
      </w:r>
      <w:r w:rsidRPr="00814BC4">
        <w:rPr>
          <w:rFonts w:ascii="Arial" w:hAnsi="Arial" w:cs="Arial"/>
        </w:rPr>
        <w:t xml:space="preserve">. Event Studies. Theory and Management for Planned Events. Fifth Edition. </w:t>
      </w:r>
      <w:hyperlink r:id="rId31" w:history="1">
        <w:r w:rsidRPr="00814BC4">
          <w:rPr>
            <w:rStyle w:val="Hyperlink"/>
            <w:rFonts w:ascii="Arial" w:hAnsi="Arial" w:cs="Arial"/>
          </w:rPr>
          <w:t>https://librarysearch.uwtsd.ac.uk/permalink/44WHELF_UWTSD/11c0l68/alma99100647735602421</w:t>
        </w:r>
      </w:hyperlink>
      <w:r w:rsidRPr="00814BC4">
        <w:rPr>
          <w:rFonts w:ascii="Arial" w:hAnsi="Arial" w:cs="Arial"/>
        </w:rPr>
        <w:t xml:space="preserve"> </w:t>
      </w:r>
    </w:p>
    <w:p w14:paraId="6C3FDDE3" w14:textId="4A5910BC"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Gheibi, M., Karrabi, M., Mohammadi, A., and Dadvar, A., </w:t>
      </w:r>
      <w:r w:rsidR="0006448E" w:rsidRPr="00814BC4">
        <w:rPr>
          <w:rFonts w:ascii="Arial" w:hAnsi="Arial" w:cs="Arial"/>
        </w:rPr>
        <w:t>(</w:t>
      </w:r>
      <w:r w:rsidRPr="00814BC4">
        <w:rPr>
          <w:rFonts w:ascii="Arial" w:hAnsi="Arial" w:cs="Arial"/>
        </w:rPr>
        <w:t>2018</w:t>
      </w:r>
      <w:r w:rsidR="0006448E" w:rsidRPr="00814BC4">
        <w:rPr>
          <w:rFonts w:ascii="Arial" w:hAnsi="Arial" w:cs="Arial"/>
        </w:rPr>
        <w:t>)</w:t>
      </w:r>
      <w:r w:rsidRPr="00814BC4">
        <w:rPr>
          <w:rFonts w:ascii="Arial" w:hAnsi="Arial" w:cs="Arial"/>
        </w:rPr>
        <w:t>. Controlling air pollution in a city: A perspective from SOAR</w:t>
      </w:r>
      <w:r w:rsidRPr="00814BC4">
        <w:rPr>
          <w:rFonts w:ascii="Cambria Math" w:hAnsi="Cambria Math" w:cs="Cambria Math"/>
        </w:rPr>
        <w:t>‐</w:t>
      </w:r>
      <w:r w:rsidRPr="00814BC4">
        <w:rPr>
          <w:rFonts w:ascii="Arial" w:hAnsi="Arial" w:cs="Arial"/>
        </w:rPr>
        <w:t xml:space="preserve">PESTLE analysis. Integrated Environmental Assessment and Management, 14. </w:t>
      </w:r>
      <w:hyperlink r:id="rId32" w:history="1">
        <w:r w:rsidRPr="00814BC4">
          <w:rPr>
            <w:rStyle w:val="Hyperlink"/>
            <w:rFonts w:ascii="Arial" w:hAnsi="Arial" w:cs="Arial"/>
          </w:rPr>
          <w:t>https://doi.org/10.1002/ieam.4051</w:t>
        </w:r>
      </w:hyperlink>
      <w:r w:rsidRPr="00814BC4">
        <w:rPr>
          <w:rFonts w:ascii="Arial" w:hAnsi="Arial" w:cs="Arial"/>
        </w:rPr>
        <w:t xml:space="preserve">. </w:t>
      </w:r>
    </w:p>
    <w:p w14:paraId="6A9BBBD2" w14:textId="7308F946" w:rsidR="00457505" w:rsidRPr="00814BC4" w:rsidRDefault="00457505" w:rsidP="000506C8">
      <w:pPr>
        <w:numPr>
          <w:ilvl w:val="0"/>
          <w:numId w:val="20"/>
        </w:numPr>
        <w:spacing w:line="360" w:lineRule="auto"/>
        <w:jc w:val="both"/>
        <w:rPr>
          <w:rFonts w:ascii="Arial" w:hAnsi="Arial" w:cs="Arial"/>
        </w:rPr>
      </w:pPr>
      <w:r w:rsidRPr="00814BC4">
        <w:rPr>
          <w:rFonts w:ascii="Arial" w:hAnsi="Arial" w:cs="Arial"/>
        </w:rPr>
        <w:t>Goldblatt, J. (2010). Special Events: A New Generation and the Next Frontier (6th ed.). Wiley.</w:t>
      </w:r>
    </w:p>
    <w:p w14:paraId="693033E4" w14:textId="4FD96459"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Hermann, U., Lee, C., Coetzee, W. and Boshoff, L., </w:t>
      </w:r>
      <w:r w:rsidR="0006448E" w:rsidRPr="00814BC4">
        <w:rPr>
          <w:rFonts w:ascii="Arial" w:hAnsi="Arial" w:cs="Arial"/>
        </w:rPr>
        <w:t>(</w:t>
      </w:r>
      <w:r w:rsidRPr="00814BC4">
        <w:rPr>
          <w:rFonts w:ascii="Arial" w:hAnsi="Arial" w:cs="Arial"/>
        </w:rPr>
        <w:t>2020</w:t>
      </w:r>
      <w:r w:rsidR="0006448E" w:rsidRPr="00814BC4">
        <w:rPr>
          <w:rFonts w:ascii="Arial" w:hAnsi="Arial" w:cs="Arial"/>
        </w:rPr>
        <w:t>)</w:t>
      </w:r>
      <w:r w:rsidRPr="00814BC4">
        <w:rPr>
          <w:rFonts w:ascii="Arial" w:hAnsi="Arial" w:cs="Arial"/>
        </w:rPr>
        <w:t xml:space="preserve">. Predicting behavioural intentions of Craft Beer Festival attendees by their event experience. International Journal of Wine Business Research. </w:t>
      </w:r>
      <w:hyperlink r:id="rId33" w:tgtFrame="_blank" w:history="1">
        <w:r w:rsidRPr="00814BC4">
          <w:rPr>
            <w:rStyle w:val="Hyperlink"/>
            <w:rFonts w:ascii="Arial" w:hAnsi="Arial" w:cs="Arial"/>
          </w:rPr>
          <w:t>https://doi.org/10.1108/ijwbr-05-2020-0019</w:t>
        </w:r>
      </w:hyperlink>
      <w:r w:rsidRPr="00814BC4">
        <w:rPr>
          <w:rFonts w:ascii="Arial" w:hAnsi="Arial" w:cs="Arial"/>
        </w:rPr>
        <w:t xml:space="preserve">. </w:t>
      </w:r>
    </w:p>
    <w:p w14:paraId="7943975A" w14:textId="2470CFB1"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Higgins-Desbiolles, F., </w:t>
      </w:r>
      <w:r w:rsidR="0006448E" w:rsidRPr="00814BC4">
        <w:rPr>
          <w:rFonts w:ascii="Arial" w:hAnsi="Arial" w:cs="Arial"/>
        </w:rPr>
        <w:t>(</w:t>
      </w:r>
      <w:r w:rsidRPr="00814BC4">
        <w:rPr>
          <w:rFonts w:ascii="Arial" w:hAnsi="Arial" w:cs="Arial"/>
        </w:rPr>
        <w:t>2023</w:t>
      </w:r>
      <w:r w:rsidR="0006448E" w:rsidRPr="00814BC4">
        <w:rPr>
          <w:rFonts w:ascii="Arial" w:hAnsi="Arial" w:cs="Arial"/>
        </w:rPr>
        <w:t>)</w:t>
      </w:r>
      <w:r w:rsidRPr="00814BC4">
        <w:rPr>
          <w:rFonts w:ascii="Arial" w:hAnsi="Arial" w:cs="Arial"/>
        </w:rPr>
        <w:t>. Response to Calver et al.'s “The (In)visibility of Equality, Diversity, and Inclusion Research in Events Management Journals”: The Vital Need to Emphasise Justice. Event Management.  </w:t>
      </w:r>
      <w:hyperlink r:id="rId34" w:history="1">
        <w:r w:rsidRPr="00814BC4">
          <w:rPr>
            <w:rStyle w:val="Hyperlink"/>
            <w:rFonts w:ascii="Arial" w:hAnsi="Arial" w:cs="Arial"/>
          </w:rPr>
          <w:t>https://doi.org/10.3727/152599523X16907613842291</w:t>
        </w:r>
      </w:hyperlink>
    </w:p>
    <w:p w14:paraId="31125C9F" w14:textId="0681DBA3"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Hilton, </w:t>
      </w:r>
      <w:r w:rsidR="0006448E" w:rsidRPr="00814BC4">
        <w:rPr>
          <w:rFonts w:ascii="Arial" w:hAnsi="Arial" w:cs="Arial"/>
        </w:rPr>
        <w:t>(</w:t>
      </w:r>
      <w:r w:rsidRPr="00814BC4">
        <w:rPr>
          <w:rFonts w:ascii="Arial" w:hAnsi="Arial" w:cs="Arial"/>
        </w:rPr>
        <w:t>2024</w:t>
      </w:r>
      <w:r w:rsidR="0006448E" w:rsidRPr="00814BC4">
        <w:rPr>
          <w:rFonts w:ascii="Arial" w:hAnsi="Arial" w:cs="Arial"/>
        </w:rPr>
        <w:t>)</w:t>
      </w:r>
      <w:r w:rsidRPr="00814BC4">
        <w:rPr>
          <w:rFonts w:ascii="Arial" w:hAnsi="Arial" w:cs="Arial"/>
        </w:rPr>
        <w:t xml:space="preserve">. Event Spaces: Find Venues for Events. </w:t>
      </w:r>
      <w:hyperlink r:id="rId35" w:tgtFrame="_new" w:history="1">
        <w:r w:rsidRPr="00814BC4">
          <w:rPr>
            <w:rStyle w:val="Hyperlink"/>
            <w:rFonts w:ascii="Arial" w:hAnsi="Arial" w:cs="Arial"/>
          </w:rPr>
          <w:t>https://www.hilton.com/en/events/</w:t>
        </w:r>
      </w:hyperlink>
      <w:r w:rsidRPr="00814BC4">
        <w:rPr>
          <w:rFonts w:ascii="Arial" w:hAnsi="Arial" w:cs="Arial"/>
        </w:rPr>
        <w:t>.</w:t>
      </w:r>
    </w:p>
    <w:p w14:paraId="2877FC3B" w14:textId="5CA88CB5" w:rsidR="00B102F9" w:rsidRPr="00814BC4" w:rsidRDefault="00B102F9" w:rsidP="000506C8">
      <w:pPr>
        <w:pStyle w:val="ListParagraph"/>
        <w:numPr>
          <w:ilvl w:val="0"/>
          <w:numId w:val="20"/>
        </w:numPr>
        <w:spacing w:after="0" w:line="360" w:lineRule="auto"/>
        <w:jc w:val="both"/>
        <w:rPr>
          <w:rFonts w:ascii="Arial" w:hAnsi="Arial" w:cs="Arial"/>
          <w:b/>
          <w:bCs/>
        </w:rPr>
      </w:pPr>
      <w:r w:rsidRPr="00814BC4">
        <w:rPr>
          <w:rFonts w:ascii="Arial" w:hAnsi="Arial" w:cs="Arial"/>
        </w:rPr>
        <w:t xml:space="preserve">Hilton, </w:t>
      </w:r>
      <w:r w:rsidR="0006448E" w:rsidRPr="00814BC4">
        <w:rPr>
          <w:rFonts w:ascii="Arial" w:hAnsi="Arial" w:cs="Arial"/>
        </w:rPr>
        <w:t>(</w:t>
      </w:r>
      <w:r w:rsidRPr="00814BC4">
        <w:rPr>
          <w:rFonts w:ascii="Arial" w:hAnsi="Arial" w:cs="Arial"/>
        </w:rPr>
        <w:t>2025</w:t>
      </w:r>
      <w:r w:rsidR="0006448E" w:rsidRPr="00814BC4">
        <w:rPr>
          <w:rFonts w:ascii="Arial" w:hAnsi="Arial" w:cs="Arial"/>
        </w:rPr>
        <w:t>)</w:t>
      </w:r>
      <w:r w:rsidRPr="00814BC4">
        <w:rPr>
          <w:rFonts w:ascii="Arial" w:hAnsi="Arial" w:cs="Arial"/>
        </w:rPr>
        <w:t xml:space="preserve">. Hilton, the World’s First Global Hospitality Company, Celebrates 100 Years with a Dynamic Launch </w:t>
      </w:r>
      <w:proofErr w:type="gramStart"/>
      <w:r w:rsidRPr="00814BC4">
        <w:rPr>
          <w:rFonts w:ascii="Arial" w:hAnsi="Arial" w:cs="Arial"/>
        </w:rPr>
        <w:t>Into</w:t>
      </w:r>
      <w:proofErr w:type="gramEnd"/>
      <w:r w:rsidRPr="00814BC4">
        <w:rPr>
          <w:rFonts w:ascii="Arial" w:hAnsi="Arial" w:cs="Arial"/>
        </w:rPr>
        <w:t xml:space="preserve"> Its Next Century. </w:t>
      </w:r>
      <w:hyperlink r:id="rId36" w:history="1">
        <w:r w:rsidRPr="00814BC4">
          <w:rPr>
            <w:rStyle w:val="Hyperlink"/>
            <w:rFonts w:ascii="Arial" w:hAnsi="Arial" w:cs="Arial"/>
          </w:rPr>
          <w:t>https://stories.hilton.com/releases/hilton-the-worlds-first-global-hospitality-company-celebrates-100-years-with-a-dynamic-launch-into-its-next-century</w:t>
        </w:r>
      </w:hyperlink>
      <w:r w:rsidRPr="00814BC4">
        <w:rPr>
          <w:rFonts w:ascii="Arial" w:hAnsi="Arial" w:cs="Arial"/>
        </w:rPr>
        <w:t xml:space="preserve"> </w:t>
      </w:r>
    </w:p>
    <w:p w14:paraId="1E142D51" w14:textId="225945EF"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Hintermeister, A.M., </w:t>
      </w:r>
      <w:r w:rsidR="0006448E" w:rsidRPr="00814BC4">
        <w:rPr>
          <w:rFonts w:ascii="Arial" w:hAnsi="Arial" w:cs="Arial"/>
        </w:rPr>
        <w:t>(</w:t>
      </w:r>
      <w:r w:rsidRPr="00814BC4">
        <w:rPr>
          <w:rFonts w:ascii="Arial" w:hAnsi="Arial" w:cs="Arial"/>
        </w:rPr>
        <w:t>2021</w:t>
      </w:r>
      <w:r w:rsidR="0006448E" w:rsidRPr="00814BC4">
        <w:rPr>
          <w:rFonts w:ascii="Arial" w:hAnsi="Arial" w:cs="Arial"/>
        </w:rPr>
        <w:t>)</w:t>
      </w:r>
      <w:r w:rsidRPr="00814BC4">
        <w:rPr>
          <w:rFonts w:ascii="Arial" w:hAnsi="Arial" w:cs="Arial"/>
        </w:rPr>
        <w:t>. Transitioning to Virtual and Hybrid Events: How to Create, Adapt, and Market an Engaging Online Experience. American Libraries, </w:t>
      </w:r>
      <w:r w:rsidRPr="00814BC4">
        <w:rPr>
          <w:rFonts w:ascii="Arial" w:hAnsi="Arial" w:cs="Arial"/>
          <w:b/>
          <w:bCs/>
        </w:rPr>
        <w:t>52</w:t>
      </w:r>
      <w:r w:rsidRPr="00814BC4">
        <w:rPr>
          <w:rFonts w:ascii="Arial" w:hAnsi="Arial" w:cs="Arial"/>
        </w:rPr>
        <w:t xml:space="preserve">(3), pp. 52. </w:t>
      </w:r>
      <w:hyperlink r:id="rId37" w:history="1">
        <w:r w:rsidRPr="00814BC4">
          <w:rPr>
            <w:rStyle w:val="Hyperlink"/>
            <w:rFonts w:ascii="Arial" w:hAnsi="Arial" w:cs="Arial"/>
          </w:rPr>
          <w:t>https://www.proquest.com/trade-journals/transitioning-virtual-hybrid-events-how-create/docview/2498621653/se-2?accountid=130472</w:t>
        </w:r>
      </w:hyperlink>
      <w:r w:rsidRPr="00814BC4">
        <w:rPr>
          <w:rFonts w:ascii="Arial" w:hAnsi="Arial" w:cs="Arial"/>
        </w:rPr>
        <w:t xml:space="preserve"> </w:t>
      </w:r>
    </w:p>
    <w:p w14:paraId="071B33A7" w14:textId="20BB1F2D"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Jamil, J., </w:t>
      </w:r>
      <w:r w:rsidR="0006448E" w:rsidRPr="00814BC4">
        <w:rPr>
          <w:rFonts w:ascii="Arial" w:hAnsi="Arial" w:cs="Arial"/>
        </w:rPr>
        <w:t>(</w:t>
      </w:r>
      <w:r w:rsidRPr="00814BC4">
        <w:rPr>
          <w:rFonts w:ascii="Arial" w:hAnsi="Arial" w:cs="Arial"/>
        </w:rPr>
        <w:t>2023</w:t>
      </w:r>
      <w:r w:rsidR="0006448E" w:rsidRPr="00814BC4">
        <w:rPr>
          <w:rFonts w:ascii="Arial" w:hAnsi="Arial" w:cs="Arial"/>
        </w:rPr>
        <w:t>)</w:t>
      </w:r>
      <w:r w:rsidRPr="00814BC4">
        <w:rPr>
          <w:rFonts w:ascii="Arial" w:hAnsi="Arial" w:cs="Arial"/>
        </w:rPr>
        <w:t xml:space="preserve">. PESTLE Analysis and Sustainable Event Marketing - </w:t>
      </w:r>
      <w:proofErr w:type="gramStart"/>
      <w:r w:rsidRPr="00814BC4">
        <w:rPr>
          <w:rFonts w:ascii="Arial" w:hAnsi="Arial" w:cs="Arial"/>
        </w:rPr>
        <w:t>Evidences</w:t>
      </w:r>
      <w:proofErr w:type="gramEnd"/>
      <w:r w:rsidRPr="00814BC4">
        <w:rPr>
          <w:rFonts w:ascii="Arial" w:hAnsi="Arial" w:cs="Arial"/>
        </w:rPr>
        <w:t xml:space="preserve"> from Mount Kinabalu International Climbathon Destination, Borneo. Journal of Event, Travel and Tour Management. </w:t>
      </w:r>
      <w:hyperlink r:id="rId38" w:tgtFrame="_blank" w:history="1">
        <w:r w:rsidRPr="00814BC4">
          <w:rPr>
            <w:rStyle w:val="Hyperlink"/>
            <w:rFonts w:ascii="Arial" w:hAnsi="Arial" w:cs="Arial"/>
          </w:rPr>
          <w:t>https://doi.org/10.34013/jett.v3i2.1326</w:t>
        </w:r>
      </w:hyperlink>
      <w:r w:rsidRPr="00814BC4">
        <w:rPr>
          <w:rFonts w:ascii="Arial" w:hAnsi="Arial" w:cs="Arial"/>
        </w:rPr>
        <w:t>.</w:t>
      </w:r>
    </w:p>
    <w:p w14:paraId="39993C20" w14:textId="538DA2D1"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lastRenderedPageBreak/>
        <w:t>J</w:t>
      </w:r>
      <w:r w:rsidR="0006448E" w:rsidRPr="00814BC4">
        <w:rPr>
          <w:rFonts w:ascii="Arial" w:hAnsi="Arial" w:cs="Arial"/>
        </w:rPr>
        <w:t>ung</w:t>
      </w:r>
      <w:r w:rsidRPr="00814BC4">
        <w:rPr>
          <w:rFonts w:ascii="Arial" w:hAnsi="Arial" w:cs="Arial"/>
        </w:rPr>
        <w:t xml:space="preserve">, S., FAN, A., </w:t>
      </w:r>
      <w:r w:rsidR="0002154D" w:rsidRPr="00814BC4">
        <w:rPr>
          <w:rFonts w:ascii="Arial" w:hAnsi="Arial" w:cs="Arial"/>
        </w:rPr>
        <w:t>Lehto</w:t>
      </w:r>
      <w:r w:rsidRPr="00814BC4">
        <w:rPr>
          <w:rFonts w:ascii="Arial" w:hAnsi="Arial" w:cs="Arial"/>
        </w:rPr>
        <w:t>, X. and S</w:t>
      </w:r>
      <w:r w:rsidR="0002154D" w:rsidRPr="00814BC4">
        <w:rPr>
          <w:rFonts w:ascii="Arial" w:hAnsi="Arial" w:cs="Arial"/>
        </w:rPr>
        <w:t>hin</w:t>
      </w:r>
      <w:r w:rsidRPr="00814BC4">
        <w:rPr>
          <w:rFonts w:ascii="Arial" w:hAnsi="Arial" w:cs="Arial"/>
        </w:rPr>
        <w:t xml:space="preserve">, H.W., </w:t>
      </w:r>
      <w:r w:rsidR="0006448E" w:rsidRPr="00814BC4">
        <w:rPr>
          <w:rFonts w:ascii="Arial" w:hAnsi="Arial" w:cs="Arial"/>
        </w:rPr>
        <w:t>(</w:t>
      </w:r>
      <w:r w:rsidRPr="00814BC4">
        <w:rPr>
          <w:rFonts w:ascii="Arial" w:hAnsi="Arial" w:cs="Arial"/>
        </w:rPr>
        <w:t>2024</w:t>
      </w:r>
      <w:r w:rsidR="0006448E" w:rsidRPr="00814BC4">
        <w:rPr>
          <w:rFonts w:ascii="Arial" w:hAnsi="Arial" w:cs="Arial"/>
        </w:rPr>
        <w:t>)</w:t>
      </w:r>
      <w:r w:rsidRPr="00814BC4">
        <w:rPr>
          <w:rFonts w:ascii="Arial" w:hAnsi="Arial" w:cs="Arial"/>
        </w:rPr>
        <w:t>. Festivalization of business events: exploring a new strategy for designing more engaging conference experiences. International Journal of Contemporary Hospitality Management, </w:t>
      </w:r>
      <w:r w:rsidRPr="00814BC4">
        <w:rPr>
          <w:rFonts w:ascii="Arial" w:hAnsi="Arial" w:cs="Arial"/>
          <w:b/>
          <w:bCs/>
        </w:rPr>
        <w:t>36</w:t>
      </w:r>
      <w:r w:rsidRPr="00814BC4">
        <w:rPr>
          <w:rFonts w:ascii="Arial" w:hAnsi="Arial" w:cs="Arial"/>
        </w:rPr>
        <w:t xml:space="preserve">(10), pp. 3427-3450.  </w:t>
      </w:r>
      <w:hyperlink r:id="rId39" w:history="1">
        <w:r w:rsidRPr="00814BC4">
          <w:rPr>
            <w:rStyle w:val="Hyperlink"/>
            <w:rFonts w:ascii="Arial" w:hAnsi="Arial" w:cs="Arial"/>
          </w:rPr>
          <w:t>https://www.proquest.com/scholarly-journals/festivalization-business-events-exploring-new/docview/3098549637/se-2?accountid=130472</w:t>
        </w:r>
      </w:hyperlink>
      <w:r w:rsidRPr="00814BC4">
        <w:rPr>
          <w:rFonts w:ascii="Arial" w:hAnsi="Arial" w:cs="Arial"/>
        </w:rPr>
        <w:t xml:space="preserve"> </w:t>
      </w:r>
    </w:p>
    <w:p w14:paraId="46A462C7" w14:textId="70F9561F"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Kamkankaew, P., </w:t>
      </w:r>
      <w:r w:rsidR="0002154D" w:rsidRPr="00814BC4">
        <w:rPr>
          <w:rFonts w:ascii="Arial" w:hAnsi="Arial" w:cs="Arial"/>
        </w:rPr>
        <w:t>(</w:t>
      </w:r>
      <w:r w:rsidRPr="00814BC4">
        <w:rPr>
          <w:rFonts w:ascii="Arial" w:hAnsi="Arial" w:cs="Arial"/>
        </w:rPr>
        <w:t>2023</w:t>
      </w:r>
      <w:r w:rsidR="0002154D" w:rsidRPr="00814BC4">
        <w:rPr>
          <w:rFonts w:ascii="Arial" w:hAnsi="Arial" w:cs="Arial"/>
        </w:rPr>
        <w:t>)</w:t>
      </w:r>
      <w:r w:rsidRPr="00814BC4">
        <w:rPr>
          <w:rFonts w:ascii="Arial" w:hAnsi="Arial" w:cs="Arial"/>
        </w:rPr>
        <w:t xml:space="preserve">. </w:t>
      </w:r>
      <w:r w:rsidR="0002154D" w:rsidRPr="00814BC4">
        <w:rPr>
          <w:rFonts w:ascii="Arial" w:hAnsi="Arial" w:cs="Arial"/>
        </w:rPr>
        <w:t xml:space="preserve">Current trends in strategic </w:t>
      </w:r>
      <w:r w:rsidR="00B946AF" w:rsidRPr="00814BC4">
        <w:rPr>
          <w:rFonts w:ascii="Arial" w:hAnsi="Arial" w:cs="Arial"/>
        </w:rPr>
        <w:t xml:space="preserve">management: a comparative analysis of SWOT and SOAR </w:t>
      </w:r>
      <w:r w:rsidR="00501764" w:rsidRPr="00814BC4">
        <w:rPr>
          <w:rFonts w:ascii="Arial" w:hAnsi="Arial" w:cs="Arial"/>
        </w:rPr>
        <w:t xml:space="preserve">approaches. </w:t>
      </w:r>
      <w:r w:rsidRPr="00814BC4">
        <w:rPr>
          <w:rFonts w:ascii="Arial" w:hAnsi="Arial" w:cs="Arial"/>
        </w:rPr>
        <w:t xml:space="preserve">RMUTT </w:t>
      </w:r>
      <w:r w:rsidR="00501764" w:rsidRPr="00814BC4">
        <w:rPr>
          <w:rFonts w:ascii="Arial" w:hAnsi="Arial" w:cs="Arial"/>
        </w:rPr>
        <w:t xml:space="preserve">Global </w:t>
      </w:r>
      <w:r w:rsidR="00822BC1" w:rsidRPr="00814BC4">
        <w:rPr>
          <w:rFonts w:ascii="Arial" w:hAnsi="Arial" w:cs="Arial"/>
        </w:rPr>
        <w:t>Business</w:t>
      </w:r>
      <w:r w:rsidR="00501764" w:rsidRPr="00814BC4">
        <w:rPr>
          <w:rFonts w:ascii="Arial" w:hAnsi="Arial" w:cs="Arial"/>
        </w:rPr>
        <w:t xml:space="preserve"> Accounting and </w:t>
      </w:r>
      <w:r w:rsidR="00822BC1" w:rsidRPr="00814BC4">
        <w:rPr>
          <w:rFonts w:ascii="Arial" w:hAnsi="Arial" w:cs="Arial"/>
        </w:rPr>
        <w:t>Finance</w:t>
      </w:r>
      <w:r w:rsidR="00501764" w:rsidRPr="00814BC4">
        <w:rPr>
          <w:rFonts w:ascii="Arial" w:hAnsi="Arial" w:cs="Arial"/>
        </w:rPr>
        <w:t xml:space="preserve"> </w:t>
      </w:r>
      <w:r w:rsidR="00E42AA2" w:rsidRPr="00814BC4">
        <w:rPr>
          <w:rFonts w:ascii="Arial" w:hAnsi="Arial" w:cs="Arial"/>
        </w:rPr>
        <w:t>Review</w:t>
      </w:r>
      <w:r w:rsidRPr="00814BC4">
        <w:rPr>
          <w:rFonts w:ascii="Arial" w:hAnsi="Arial" w:cs="Arial"/>
        </w:rPr>
        <w:t xml:space="preserve">. </w:t>
      </w:r>
      <w:hyperlink r:id="rId40" w:history="1">
        <w:r w:rsidRPr="00814BC4">
          <w:rPr>
            <w:rStyle w:val="Hyperlink"/>
            <w:rFonts w:ascii="Arial" w:hAnsi="Arial" w:cs="Arial"/>
          </w:rPr>
          <w:t>https://doi.org/10.60101/gbafr.2023.269044</w:t>
        </w:r>
      </w:hyperlink>
      <w:r w:rsidRPr="00814BC4">
        <w:rPr>
          <w:rFonts w:ascii="Arial" w:hAnsi="Arial" w:cs="Arial"/>
        </w:rPr>
        <w:t xml:space="preserve">. </w:t>
      </w:r>
    </w:p>
    <w:p w14:paraId="2B6E4D40"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Kariuki, K., Kimanga, E., and Wanjiku, J., 2020. Performance of Events Management Service Providers within the Weddings Subsector in Nairobi County, Kenya. International Journal of Innovative Research and Development. </w:t>
      </w:r>
      <w:hyperlink r:id="rId41" w:history="1">
        <w:r w:rsidRPr="00814BC4">
          <w:rPr>
            <w:rStyle w:val="Hyperlink"/>
            <w:rFonts w:ascii="Arial" w:hAnsi="Arial" w:cs="Arial"/>
          </w:rPr>
          <w:t>https://doi.org/10.24940/IJIRD/2020/V9/I12/DEC20033</w:t>
        </w:r>
      </w:hyperlink>
      <w:r w:rsidRPr="00814BC4">
        <w:rPr>
          <w:rFonts w:ascii="Arial" w:hAnsi="Arial" w:cs="Arial"/>
        </w:rPr>
        <w:t xml:space="preserve">. </w:t>
      </w:r>
    </w:p>
    <w:p w14:paraId="41966BBD"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Kung, W., 2023. Using the PESTEL Analysis to Determine the Effectiveness of New Digital Media Strategies. Advances in Economics, Management and Political Sciences. </w:t>
      </w:r>
      <w:hyperlink r:id="rId42" w:history="1">
        <w:r w:rsidRPr="00814BC4">
          <w:rPr>
            <w:rStyle w:val="Hyperlink"/>
            <w:rFonts w:ascii="Arial" w:hAnsi="Arial" w:cs="Arial"/>
          </w:rPr>
          <w:t>https://doi.org/10.54254/2754-1169/5/20220054</w:t>
        </w:r>
      </w:hyperlink>
      <w:r w:rsidRPr="00814BC4">
        <w:rPr>
          <w:rFonts w:ascii="Arial" w:hAnsi="Arial" w:cs="Arial"/>
        </w:rPr>
        <w:t xml:space="preserve">. </w:t>
      </w:r>
    </w:p>
    <w:p w14:paraId="42B0032F"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Latif, N. </w:t>
      </w:r>
      <w:proofErr w:type="gramStart"/>
      <w:r w:rsidRPr="00814BC4">
        <w:rPr>
          <w:rFonts w:ascii="Arial" w:hAnsi="Arial" w:cs="Arial"/>
        </w:rPr>
        <w:t>and  Zamzuri</w:t>
      </w:r>
      <w:proofErr w:type="gramEnd"/>
      <w:r w:rsidRPr="00814BC4">
        <w:rPr>
          <w:rFonts w:ascii="Arial" w:hAnsi="Arial" w:cs="Arial"/>
        </w:rPr>
        <w:t xml:space="preserve">, N., 2024. Enhancing Attendee Engagement: A Study on Designing Successful Hybrid Events in Malaysia. Information Management and Business Review. </w:t>
      </w:r>
      <w:hyperlink r:id="rId43" w:history="1">
        <w:r w:rsidRPr="00814BC4">
          <w:rPr>
            <w:rStyle w:val="Hyperlink"/>
            <w:rFonts w:ascii="Arial" w:hAnsi="Arial" w:cs="Arial"/>
          </w:rPr>
          <w:t>https://doi.org/10.22610/imbr.v16i3(i).3927</w:t>
        </w:r>
      </w:hyperlink>
      <w:r w:rsidRPr="00814BC4">
        <w:rPr>
          <w:rFonts w:ascii="Arial" w:hAnsi="Arial" w:cs="Arial"/>
        </w:rPr>
        <w:t xml:space="preserve">. </w:t>
      </w:r>
    </w:p>
    <w:p w14:paraId="7576ED86"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Li, Y.W., 2013. Public diplomacy strategies of the 2008 Beijing Olympics and the 2012 London Olympics: A comparative study. The International Journal of the History of Sport, 30(15), pp.1723-1734. </w:t>
      </w:r>
      <w:hyperlink r:id="rId44" w:history="1">
        <w:r w:rsidRPr="00814BC4">
          <w:rPr>
            <w:rStyle w:val="Hyperlink"/>
            <w:rFonts w:ascii="Arial" w:hAnsi="Arial" w:cs="Arial"/>
          </w:rPr>
          <w:t>https://doi.org/10.1080/09523367.2013.790374</w:t>
        </w:r>
      </w:hyperlink>
      <w:r w:rsidRPr="00814BC4">
        <w:rPr>
          <w:rFonts w:ascii="Arial" w:hAnsi="Arial" w:cs="Arial"/>
        </w:rPr>
        <w:t xml:space="preserve">   </w:t>
      </w:r>
    </w:p>
    <w:p w14:paraId="6E832A82"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Maslow, A.H., 1954. Motivation and personality. New York: Harper and Row.</w:t>
      </w:r>
    </w:p>
    <w:p w14:paraId="3902AEBE"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Mohiuddin, N.O.O.R., 2024. Innovation in the tourism industry: How artificial intelligence is reshaping the management of meetings and events. </w:t>
      </w:r>
      <w:hyperlink r:id="rId45" w:history="1">
        <w:r w:rsidRPr="00814BC4">
          <w:rPr>
            <w:rStyle w:val="Hyperlink"/>
            <w:rFonts w:ascii="Arial" w:hAnsi="Arial" w:cs="Arial"/>
          </w:rPr>
          <w:t>https://doi.org/10.13140/RG.2.2.19952.06400</w:t>
        </w:r>
      </w:hyperlink>
      <w:r w:rsidRPr="00814BC4">
        <w:rPr>
          <w:rFonts w:ascii="Arial" w:hAnsi="Arial" w:cs="Arial"/>
        </w:rPr>
        <w:t xml:space="preserve"> </w:t>
      </w:r>
    </w:p>
    <w:p w14:paraId="36F6900E"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Mokhtar, S., 2021. A framework for sustainable environmental analysis. IOP Conference Series: Earth and Environmental Science, 685. </w:t>
      </w:r>
      <w:hyperlink r:id="rId46" w:history="1">
        <w:r w:rsidRPr="00814BC4">
          <w:rPr>
            <w:rStyle w:val="Hyperlink"/>
            <w:rFonts w:ascii="Arial" w:hAnsi="Arial" w:cs="Arial"/>
          </w:rPr>
          <w:t>https://doi.org/10.1088/1755-1315/685/1/012005</w:t>
        </w:r>
      </w:hyperlink>
      <w:r w:rsidRPr="00814BC4">
        <w:rPr>
          <w:rFonts w:ascii="Arial" w:hAnsi="Arial" w:cs="Arial"/>
        </w:rPr>
        <w:t xml:space="preserve">. </w:t>
      </w:r>
    </w:p>
    <w:p w14:paraId="2C014B8B"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Namratha, J., Thiruchelvi, A. and Natasha, J., 2019. Event management and social media marketing. International Journal of Advance Research, Ideas and Innovations in Technology, 5(2). </w:t>
      </w:r>
      <w:hyperlink r:id="rId47" w:history="1">
        <w:r w:rsidRPr="00814BC4">
          <w:rPr>
            <w:rStyle w:val="Hyperlink"/>
            <w:rFonts w:ascii="Arial" w:hAnsi="Arial" w:cs="Arial"/>
          </w:rPr>
          <w:t>https://www.academia.edu/download/59152847/V5I2-164120190507-35001-dmmrd8.pdf</w:t>
        </w:r>
      </w:hyperlink>
      <w:r w:rsidRPr="00814BC4">
        <w:rPr>
          <w:rFonts w:ascii="Arial" w:hAnsi="Arial" w:cs="Arial"/>
        </w:rPr>
        <w:t xml:space="preserve"> </w:t>
      </w:r>
    </w:p>
    <w:p w14:paraId="48BBE0E6"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lastRenderedPageBreak/>
        <w:t xml:space="preserve">Narval, A., del Rosario, J. and Baraero-Era, J.S., 2019. Lessons Learned from Organizing an International Event. Asia Pacific International Events Management Journal, 1(1), pp.25-28. </w:t>
      </w:r>
      <w:hyperlink r:id="rId48" w:history="1">
        <w:r w:rsidRPr="00814BC4">
          <w:rPr>
            <w:rStyle w:val="Hyperlink"/>
            <w:rFonts w:ascii="Arial" w:hAnsi="Arial" w:cs="Arial"/>
          </w:rPr>
          <w:t>https://ejournal-medan.uph.edu/index.php/APIEMJ/article/download/288/150</w:t>
        </w:r>
      </w:hyperlink>
      <w:r w:rsidRPr="00814BC4">
        <w:rPr>
          <w:rFonts w:ascii="Arial" w:hAnsi="Arial" w:cs="Arial"/>
        </w:rPr>
        <w:t xml:space="preserve"> </w:t>
      </w:r>
    </w:p>
    <w:p w14:paraId="4C8C4179" w14:textId="5B4208D1" w:rsidR="00361161" w:rsidRPr="00814BC4" w:rsidRDefault="00361161"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Niekerk, M., &amp; Getz, D., 2019. Introduction to Stakeholder Theory. Event Stakeholders. </w:t>
      </w:r>
      <w:hyperlink r:id="rId49" w:history="1">
        <w:r w:rsidRPr="00814BC4">
          <w:rPr>
            <w:rStyle w:val="Hyperlink"/>
            <w:rFonts w:ascii="Arial" w:hAnsi="Arial" w:cs="Arial"/>
          </w:rPr>
          <w:t>https://doi.org/10.23912/9781911396635-4090</w:t>
        </w:r>
      </w:hyperlink>
      <w:r w:rsidRPr="00814BC4">
        <w:rPr>
          <w:rFonts w:ascii="Arial" w:hAnsi="Arial" w:cs="Arial"/>
        </w:rPr>
        <w:t xml:space="preserve">. </w:t>
      </w:r>
    </w:p>
    <w:p w14:paraId="6AAFA361"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Noh, Y., Coleman, A., and Kim, D., 2024. The effects of special events on attendees’ Diversity, Equity, and Inclusion (DEI) experience: Festival pride, prior experience, and COVID-19. Journal of Convention and Event Tourism, 25, pp. 165 - 186. </w:t>
      </w:r>
      <w:hyperlink r:id="rId50" w:history="1">
        <w:r w:rsidRPr="00814BC4">
          <w:rPr>
            <w:rStyle w:val="Hyperlink"/>
            <w:rFonts w:ascii="Arial" w:hAnsi="Arial" w:cs="Arial"/>
          </w:rPr>
          <w:t>https://doi.org/10.1080/15470148.2024.2307006</w:t>
        </w:r>
      </w:hyperlink>
      <w:r w:rsidRPr="00814BC4">
        <w:rPr>
          <w:rFonts w:ascii="Arial" w:hAnsi="Arial" w:cs="Arial"/>
        </w:rPr>
        <w:t xml:space="preserve">.  </w:t>
      </w:r>
    </w:p>
    <w:p w14:paraId="664B1281" w14:textId="77777777" w:rsidR="008063DE" w:rsidRPr="00814BC4" w:rsidRDefault="00B102F9" w:rsidP="008063DE">
      <w:pPr>
        <w:pStyle w:val="ListParagraph"/>
        <w:numPr>
          <w:ilvl w:val="0"/>
          <w:numId w:val="20"/>
        </w:numPr>
        <w:spacing w:after="0" w:line="360" w:lineRule="auto"/>
        <w:jc w:val="both"/>
        <w:rPr>
          <w:rFonts w:ascii="Arial" w:hAnsi="Arial" w:cs="Arial"/>
        </w:rPr>
      </w:pPr>
      <w:r w:rsidRPr="00814BC4">
        <w:rPr>
          <w:rFonts w:ascii="Arial" w:hAnsi="Arial" w:cs="Arial"/>
        </w:rPr>
        <w:t xml:space="preserve">Panteleiev, V., 2023. Application of SWOT analysis to justify the strategy of hotel business enterprises. Technology audit and production reserves. </w:t>
      </w:r>
      <w:hyperlink r:id="rId51" w:history="1">
        <w:r w:rsidRPr="00814BC4">
          <w:rPr>
            <w:rStyle w:val="Hyperlink"/>
            <w:rFonts w:ascii="Arial" w:hAnsi="Arial" w:cs="Arial"/>
          </w:rPr>
          <w:t>https://doi.org/10.15587/2706-5448.2023.274918</w:t>
        </w:r>
      </w:hyperlink>
      <w:r w:rsidRPr="00814BC4">
        <w:rPr>
          <w:rFonts w:ascii="Arial" w:hAnsi="Arial" w:cs="Arial"/>
        </w:rPr>
        <w:t xml:space="preserve">. </w:t>
      </w:r>
    </w:p>
    <w:p w14:paraId="15AA0CA0" w14:textId="7356DC37" w:rsidR="00B102F9" w:rsidRPr="00814BC4" w:rsidRDefault="008063DE" w:rsidP="008063DE">
      <w:pPr>
        <w:pStyle w:val="ListParagraph"/>
        <w:numPr>
          <w:ilvl w:val="0"/>
          <w:numId w:val="20"/>
        </w:numPr>
        <w:spacing w:after="0" w:line="360" w:lineRule="auto"/>
        <w:jc w:val="both"/>
        <w:rPr>
          <w:rFonts w:ascii="Arial" w:hAnsi="Arial" w:cs="Arial"/>
        </w:rPr>
      </w:pPr>
      <w:r w:rsidRPr="00814BC4">
        <w:rPr>
          <w:rFonts w:ascii="Arial" w:hAnsi="Arial" w:cs="Arial"/>
        </w:rPr>
        <w:t>Patnaik</w:t>
      </w:r>
      <w:r w:rsidR="00B102F9" w:rsidRPr="00814BC4">
        <w:rPr>
          <w:rFonts w:ascii="Arial" w:hAnsi="Arial" w:cs="Arial"/>
        </w:rPr>
        <w:t xml:space="preserve">, S., 2024. Entrepreneurship, Tourism, Local Fashion, and Curriculum Development: A South African study. Reading: Academic Conferences International Limited. </w:t>
      </w:r>
      <w:hyperlink r:id="rId52" w:history="1">
        <w:r w:rsidR="00B102F9" w:rsidRPr="00814BC4">
          <w:rPr>
            <w:rStyle w:val="Hyperlink"/>
            <w:rFonts w:ascii="Arial" w:hAnsi="Arial" w:cs="Arial"/>
          </w:rPr>
          <w:t>https://www.proquest.com/conference-papers-proceedings/entrepreneurship-tourism-local-fashion-curriculum/docview/3074818065/se-2?accountid=130472</w:t>
        </w:r>
      </w:hyperlink>
      <w:r w:rsidR="00B102F9" w:rsidRPr="00814BC4">
        <w:rPr>
          <w:rFonts w:ascii="Arial" w:hAnsi="Arial" w:cs="Arial"/>
        </w:rPr>
        <w:t xml:space="preserve"> </w:t>
      </w:r>
    </w:p>
    <w:p w14:paraId="69CC32E4"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Ramadhan, A.S. and Wibowo, A. (2022) ‘Strategic Marketing: The Key to Success in Maximizing Event Management’, Jurnal Publikasi Ilmu Manajemen (JUPIMAN), 1(2), pp. 1–26. </w:t>
      </w:r>
      <w:hyperlink r:id="rId53" w:history="1">
        <w:r w:rsidRPr="00814BC4">
          <w:rPr>
            <w:rStyle w:val="Hyperlink"/>
            <w:rFonts w:ascii="Arial" w:hAnsi="Arial" w:cs="Arial"/>
          </w:rPr>
          <w:t>https://ejurnal.politeknikpratama.ac.id/index.php/jupiman/article/download/1533/1516</w:t>
        </w:r>
      </w:hyperlink>
      <w:r w:rsidRPr="00814BC4">
        <w:rPr>
          <w:rFonts w:ascii="Arial" w:hAnsi="Arial" w:cs="Arial"/>
        </w:rPr>
        <w:t xml:space="preserve"> </w:t>
      </w:r>
    </w:p>
    <w:p w14:paraId="59C94FC9"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Ramely, A., Talib, M., Ahmad, R., and Yusof, N., 2023. EXAMINING PESTEL ANALYSIS OF EVENT BUSINESSES IN MALAYSIA. Journal of Event, Tourism and Hospitality Studies. </w:t>
      </w:r>
      <w:hyperlink r:id="rId54" w:history="1">
        <w:r w:rsidRPr="00814BC4">
          <w:rPr>
            <w:rStyle w:val="Hyperlink"/>
            <w:rFonts w:ascii="Arial" w:hAnsi="Arial" w:cs="Arial"/>
          </w:rPr>
          <w:t>https://doi.org/10.32890/jeth2023.3.4</w:t>
        </w:r>
      </w:hyperlink>
      <w:r w:rsidRPr="00814BC4">
        <w:rPr>
          <w:rFonts w:ascii="Arial" w:hAnsi="Arial" w:cs="Arial"/>
        </w:rPr>
        <w:t xml:space="preserve">. </w:t>
      </w:r>
    </w:p>
    <w:p w14:paraId="1B06AEA2"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Richards, G., 2020. Measuring the dimensions of event experiences: applying the Event Experience Scale to cultural events. Journal of Policy Research in Tourism, Leisure and Events, 12, pp. 422 - 436. </w:t>
      </w:r>
      <w:hyperlink r:id="rId55" w:history="1">
        <w:r w:rsidRPr="00814BC4">
          <w:rPr>
            <w:rStyle w:val="Hyperlink"/>
            <w:rFonts w:ascii="Arial" w:hAnsi="Arial" w:cs="Arial"/>
          </w:rPr>
          <w:t>https://doi.org/10.1080/19407963.2019.1701800</w:t>
        </w:r>
      </w:hyperlink>
      <w:r w:rsidRPr="00814BC4">
        <w:rPr>
          <w:rFonts w:ascii="Arial" w:hAnsi="Arial" w:cs="Arial"/>
        </w:rPr>
        <w:t xml:space="preserve">. </w:t>
      </w:r>
    </w:p>
    <w:p w14:paraId="6A6643CE"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Salama, M., 2021. Event project management: principles, technology and innovation. </w:t>
      </w:r>
      <w:hyperlink r:id="rId56" w:history="1">
        <w:r w:rsidRPr="00814BC4">
          <w:rPr>
            <w:rStyle w:val="Hyperlink"/>
            <w:rFonts w:ascii="Arial" w:hAnsi="Arial" w:cs="Arial"/>
          </w:rPr>
          <w:t>https://librarysearch.uwtsd.ac.uk/permalink/44WHELF_UWTSD/11c0l68/alma99100509002002421</w:t>
        </w:r>
      </w:hyperlink>
      <w:r w:rsidRPr="00814BC4">
        <w:rPr>
          <w:rFonts w:ascii="Arial" w:hAnsi="Arial" w:cs="Arial"/>
        </w:rPr>
        <w:t xml:space="preserve"> </w:t>
      </w:r>
    </w:p>
    <w:p w14:paraId="7044368F"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Seid, A.H. and Ali, A.C., 2024. Analysis of mobilization and stakeholder participation: the case of Amhara Development Association. Ethiopian Journal of Language, Culture and Communication, 9(1), pp.40-61. </w:t>
      </w:r>
      <w:hyperlink r:id="rId57" w:history="1">
        <w:r w:rsidRPr="00814BC4">
          <w:rPr>
            <w:rStyle w:val="Hyperlink"/>
            <w:rFonts w:ascii="Arial" w:hAnsi="Arial" w:cs="Arial"/>
          </w:rPr>
          <w:t>https://www.ajol.info/index.php/ejlcc/article/download/280872/264794</w:t>
        </w:r>
      </w:hyperlink>
      <w:r w:rsidRPr="00814BC4">
        <w:rPr>
          <w:rFonts w:ascii="Arial" w:hAnsi="Arial" w:cs="Arial"/>
        </w:rPr>
        <w:t xml:space="preserve"> </w:t>
      </w:r>
    </w:p>
    <w:p w14:paraId="03EE0E67"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lastRenderedPageBreak/>
        <w:t xml:space="preserve">Setiawan, R., Wibisono, D., and Purwanegara, M., 2022. Defining Event Marketing as Engagement-Driven Marketing Communication. Gadjah Mada International Journal of Business. </w:t>
      </w:r>
      <w:hyperlink r:id="rId58" w:history="1">
        <w:r w:rsidRPr="00814BC4">
          <w:rPr>
            <w:rStyle w:val="Hyperlink"/>
            <w:rFonts w:ascii="Arial" w:hAnsi="Arial" w:cs="Arial"/>
          </w:rPr>
          <w:t>https://doi.org/10.22146/gamaijb.63788</w:t>
        </w:r>
      </w:hyperlink>
      <w:r w:rsidRPr="00814BC4">
        <w:rPr>
          <w:rFonts w:ascii="Arial" w:hAnsi="Arial" w:cs="Arial"/>
        </w:rPr>
        <w:t xml:space="preserve">. </w:t>
      </w:r>
    </w:p>
    <w:p w14:paraId="5EAB4209"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Sha, Y. and Robertson, J., 2018. Volunteer management at international events. </w:t>
      </w:r>
      <w:hyperlink r:id="rId59" w:history="1">
        <w:r w:rsidRPr="00814BC4">
          <w:rPr>
            <w:rStyle w:val="Hyperlink"/>
            <w:rFonts w:ascii="Arial" w:hAnsi="Arial" w:cs="Arial"/>
          </w:rPr>
          <w:t>https://researcharchive.wintec.ac.nz/id/eprint/6454/2/AMCVol1%20no2%20excl%20conf.pdf</w:t>
        </w:r>
      </w:hyperlink>
      <w:r w:rsidRPr="00814BC4">
        <w:rPr>
          <w:rFonts w:ascii="Arial" w:hAnsi="Arial" w:cs="Arial"/>
        </w:rPr>
        <w:t xml:space="preserve"> </w:t>
      </w:r>
    </w:p>
    <w:p w14:paraId="6B112B15" w14:textId="70CBA654"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S</w:t>
      </w:r>
      <w:r w:rsidR="00E264FF" w:rsidRPr="00814BC4">
        <w:rPr>
          <w:rFonts w:ascii="Arial" w:hAnsi="Arial" w:cs="Arial"/>
        </w:rPr>
        <w:t>ilvers</w:t>
      </w:r>
      <w:r w:rsidRPr="00814BC4">
        <w:rPr>
          <w:rFonts w:ascii="Arial" w:hAnsi="Arial" w:cs="Arial"/>
        </w:rPr>
        <w:t>, J.R., B</w:t>
      </w:r>
      <w:r w:rsidR="00E264FF" w:rsidRPr="00814BC4">
        <w:rPr>
          <w:rFonts w:ascii="Arial" w:hAnsi="Arial" w:cs="Arial"/>
        </w:rPr>
        <w:t>owdin</w:t>
      </w:r>
      <w:r w:rsidRPr="00814BC4">
        <w:rPr>
          <w:rFonts w:ascii="Arial" w:hAnsi="Arial" w:cs="Arial"/>
        </w:rPr>
        <w:t>, G.A.J., O'</w:t>
      </w:r>
      <w:r w:rsidR="00E264FF" w:rsidRPr="00814BC4">
        <w:rPr>
          <w:rFonts w:ascii="Arial" w:hAnsi="Arial" w:cs="Arial"/>
        </w:rPr>
        <w:t>Toole</w:t>
      </w:r>
      <w:r w:rsidRPr="00814BC4">
        <w:rPr>
          <w:rFonts w:ascii="Arial" w:hAnsi="Arial" w:cs="Arial"/>
        </w:rPr>
        <w:t xml:space="preserve">, </w:t>
      </w:r>
      <w:proofErr w:type="gramStart"/>
      <w:r w:rsidRPr="00814BC4">
        <w:rPr>
          <w:rFonts w:ascii="Arial" w:hAnsi="Arial" w:cs="Arial"/>
        </w:rPr>
        <w:t>W.,J.</w:t>
      </w:r>
      <w:proofErr w:type="gramEnd"/>
      <w:r w:rsidRPr="00814BC4">
        <w:rPr>
          <w:rFonts w:ascii="Arial" w:hAnsi="Arial" w:cs="Arial"/>
        </w:rPr>
        <w:t xml:space="preserve"> and </w:t>
      </w:r>
      <w:r w:rsidR="00E264FF" w:rsidRPr="00814BC4">
        <w:rPr>
          <w:rFonts w:ascii="Arial" w:hAnsi="Arial" w:cs="Arial"/>
        </w:rPr>
        <w:t>Nelson</w:t>
      </w:r>
      <w:r w:rsidRPr="00814BC4">
        <w:rPr>
          <w:rFonts w:ascii="Arial" w:hAnsi="Arial" w:cs="Arial"/>
        </w:rPr>
        <w:t xml:space="preserve">, K.B., 2005. Towards an International Event Management Body of Knowledge (EMBOK). Event Management, 9(4), pp. 185-198. </w:t>
      </w:r>
      <w:hyperlink r:id="rId60" w:history="1">
        <w:r w:rsidRPr="00814BC4">
          <w:rPr>
            <w:rStyle w:val="Hyperlink"/>
            <w:rFonts w:ascii="Arial" w:hAnsi="Arial" w:cs="Arial"/>
          </w:rPr>
          <w:t>https://www.proquest.com/scholarly-journals/towards-international-event-management-body/docview/2779475569/se-2?accountid=130472</w:t>
        </w:r>
      </w:hyperlink>
      <w:r w:rsidRPr="00814BC4">
        <w:rPr>
          <w:rFonts w:ascii="Arial" w:hAnsi="Arial" w:cs="Arial"/>
        </w:rPr>
        <w:t xml:space="preserve"> </w:t>
      </w:r>
    </w:p>
    <w:p w14:paraId="0CAEC057"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Talib, M., Zamzuri, N., and Nasir, H., 2024. A Conceptual Discussion Related to Festival Events in Malaysia. Information Management and Business Review. </w:t>
      </w:r>
      <w:hyperlink r:id="rId61" w:history="1">
        <w:r w:rsidRPr="00814BC4">
          <w:rPr>
            <w:rStyle w:val="Hyperlink"/>
            <w:rFonts w:ascii="Arial" w:hAnsi="Arial" w:cs="Arial"/>
          </w:rPr>
          <w:t>https://doi.org/10.22610/imbr.v16i3(i).3921</w:t>
        </w:r>
      </w:hyperlink>
      <w:r w:rsidRPr="00814BC4">
        <w:rPr>
          <w:rFonts w:ascii="Arial" w:hAnsi="Arial" w:cs="Arial"/>
        </w:rPr>
        <w:t xml:space="preserve">. </w:t>
      </w:r>
    </w:p>
    <w:p w14:paraId="271578E3"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Van Antwerpen, S., 2023. A proposed integration of the event and project management body of knowledge. International Journal of Applied Sciences in Tourism and Events. </w:t>
      </w:r>
      <w:hyperlink r:id="rId62" w:history="1">
        <w:r w:rsidRPr="00814BC4">
          <w:rPr>
            <w:rStyle w:val="Hyperlink"/>
            <w:rFonts w:ascii="Arial" w:hAnsi="Arial" w:cs="Arial"/>
          </w:rPr>
          <w:t>https://doi.org/10.31940/ijaste.v7i2.108-119</w:t>
        </w:r>
      </w:hyperlink>
      <w:r w:rsidRPr="00814BC4">
        <w:rPr>
          <w:rFonts w:ascii="Arial" w:hAnsi="Arial" w:cs="Arial"/>
        </w:rPr>
        <w:t xml:space="preserve">. </w:t>
      </w:r>
    </w:p>
    <w:p w14:paraId="7DCB678A"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WERNER, K., JUNEK, O. and WANG, C., 2022. Event Management Skills in the Post-covid-19 World: Insights from China, Germany, and Australia. Event Management, </w:t>
      </w:r>
      <w:r w:rsidRPr="00814BC4">
        <w:rPr>
          <w:rFonts w:ascii="Arial" w:hAnsi="Arial" w:cs="Arial"/>
          <w:b/>
          <w:bCs/>
        </w:rPr>
        <w:t>26</w:t>
      </w:r>
      <w:r w:rsidRPr="00814BC4">
        <w:rPr>
          <w:rFonts w:ascii="Arial" w:hAnsi="Arial" w:cs="Arial"/>
        </w:rPr>
        <w:t xml:space="preserve">(4), pp. 867-882. </w:t>
      </w:r>
      <w:hyperlink r:id="rId63" w:history="1">
        <w:r w:rsidRPr="00814BC4">
          <w:rPr>
            <w:rStyle w:val="Hyperlink"/>
            <w:rFonts w:ascii="Arial" w:hAnsi="Arial" w:cs="Arial"/>
          </w:rPr>
          <w:t>https://www.proquest.com/scholarly-journals/event-management-skills-post-covid-19-world/docview/2763565398/se-2?accountid=130472</w:t>
        </w:r>
      </w:hyperlink>
      <w:r w:rsidRPr="00814BC4">
        <w:rPr>
          <w:rFonts w:ascii="Arial" w:hAnsi="Arial" w:cs="Arial"/>
        </w:rPr>
        <w:t xml:space="preserve"> </w:t>
      </w:r>
    </w:p>
    <w:p w14:paraId="7F50197B" w14:textId="77777777" w:rsidR="00B102F9" w:rsidRPr="00814BC4" w:rsidRDefault="00B102F9" w:rsidP="000506C8">
      <w:pPr>
        <w:numPr>
          <w:ilvl w:val="0"/>
          <w:numId w:val="20"/>
        </w:numPr>
        <w:spacing w:line="360" w:lineRule="auto"/>
        <w:jc w:val="both"/>
        <w:rPr>
          <w:rFonts w:ascii="Arial" w:hAnsi="Arial" w:cs="Arial"/>
        </w:rPr>
      </w:pPr>
      <w:r w:rsidRPr="00814BC4">
        <w:rPr>
          <w:rFonts w:ascii="Arial" w:hAnsi="Arial" w:cs="Arial"/>
        </w:rPr>
        <w:t xml:space="preserve">Yanto, M., Warsah, I., Morganna, R., Muttaqin, I., and Destriani, D., 2022. Intercultural Sensitivity of Educational Management Students as the Future’s Educational Leaders in Indonesia. International Journal of Sociology of Education. </w:t>
      </w:r>
      <w:hyperlink r:id="rId64" w:history="1">
        <w:r w:rsidRPr="00814BC4">
          <w:rPr>
            <w:rStyle w:val="Hyperlink"/>
            <w:rFonts w:ascii="Arial" w:hAnsi="Arial" w:cs="Arial"/>
          </w:rPr>
          <w:t>https://doi.org/10.17583/rise.10483</w:t>
        </w:r>
      </w:hyperlink>
      <w:r w:rsidRPr="00814BC4">
        <w:rPr>
          <w:rFonts w:ascii="Arial" w:hAnsi="Arial" w:cs="Arial"/>
        </w:rPr>
        <w:t xml:space="preserve">. </w:t>
      </w:r>
    </w:p>
    <w:p w14:paraId="3EEE89BB" w14:textId="77777777" w:rsidR="00B102F9" w:rsidRPr="00814BC4" w:rsidRDefault="00B102F9"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Yuniati, N., Oktarini, K., and Trisnayoni, R., 2022. Shifting Trend on Management Event during the Pandemic. International Journal of Applied Sciences in Tourism and Events. </w:t>
      </w:r>
      <w:hyperlink r:id="rId65" w:history="1">
        <w:r w:rsidRPr="00814BC4">
          <w:rPr>
            <w:rStyle w:val="Hyperlink"/>
            <w:rFonts w:ascii="Arial" w:hAnsi="Arial" w:cs="Arial"/>
          </w:rPr>
          <w:t>https://doi.org/10.31940/ijaste.v6i1.13-23</w:t>
        </w:r>
      </w:hyperlink>
      <w:r w:rsidRPr="00814BC4">
        <w:rPr>
          <w:rFonts w:ascii="Arial" w:hAnsi="Arial" w:cs="Arial"/>
        </w:rPr>
        <w:t xml:space="preserve">. </w:t>
      </w:r>
    </w:p>
    <w:p w14:paraId="6769AA8F" w14:textId="0314BB74" w:rsidR="00741E20" w:rsidRPr="00814BC4" w:rsidRDefault="00814BC4" w:rsidP="000506C8">
      <w:pPr>
        <w:pStyle w:val="ListParagraph"/>
        <w:numPr>
          <w:ilvl w:val="0"/>
          <w:numId w:val="20"/>
        </w:numPr>
        <w:spacing w:after="0" w:line="360" w:lineRule="auto"/>
        <w:jc w:val="both"/>
        <w:rPr>
          <w:rFonts w:ascii="Arial" w:hAnsi="Arial" w:cs="Arial"/>
        </w:rPr>
      </w:pPr>
      <w:r w:rsidRPr="00814BC4">
        <w:rPr>
          <w:rFonts w:ascii="Arial" w:hAnsi="Arial" w:cs="Arial"/>
        </w:rPr>
        <w:t xml:space="preserve">Iandolo, F., La Sala, A., </w:t>
      </w:r>
      <w:proofErr w:type="spellStart"/>
      <w:r w:rsidRPr="00814BC4">
        <w:rPr>
          <w:rFonts w:ascii="Arial" w:hAnsi="Arial" w:cs="Arial"/>
        </w:rPr>
        <w:t>Turriziani</w:t>
      </w:r>
      <w:proofErr w:type="spellEnd"/>
      <w:r w:rsidRPr="00814BC4">
        <w:rPr>
          <w:rFonts w:ascii="Arial" w:hAnsi="Arial" w:cs="Arial"/>
        </w:rPr>
        <w:t xml:space="preserve">, L., &amp; Caputo, F., 2024. Stakeholder engagement in managing systemic risk management. Business Ethics, the Environment &amp; Responsibility. </w:t>
      </w:r>
      <w:hyperlink r:id="rId66" w:history="1">
        <w:r w:rsidRPr="00814BC4">
          <w:rPr>
            <w:rStyle w:val="Hyperlink"/>
            <w:rFonts w:ascii="Arial" w:hAnsi="Arial" w:cs="Arial"/>
          </w:rPr>
          <w:t>https://onlinelibrary.wiley.com/doi/full/10.1111/beer.12694?saml_referrer</w:t>
        </w:r>
      </w:hyperlink>
      <w:r w:rsidR="00741E20" w:rsidRPr="00814BC4">
        <w:rPr>
          <w:rFonts w:ascii="Arial" w:hAnsi="Arial" w:cs="Arial"/>
        </w:rPr>
        <w:t xml:space="preserve"> </w:t>
      </w:r>
    </w:p>
    <w:p w14:paraId="1C4F21C6" w14:textId="77777777" w:rsidR="0043413F" w:rsidRPr="00394820" w:rsidRDefault="0043413F" w:rsidP="00401BB3">
      <w:pPr>
        <w:spacing w:line="360" w:lineRule="auto"/>
        <w:jc w:val="both"/>
        <w:rPr>
          <w:rFonts w:ascii="Arial" w:hAnsi="Arial" w:cs="Arial"/>
        </w:rPr>
      </w:pPr>
    </w:p>
    <w:p w14:paraId="68E60ADF" w14:textId="77777777" w:rsidR="00654EA5" w:rsidRPr="00394820" w:rsidRDefault="00654EA5" w:rsidP="00401BB3">
      <w:pPr>
        <w:spacing w:line="360" w:lineRule="auto"/>
        <w:jc w:val="both"/>
        <w:rPr>
          <w:rFonts w:ascii="Arial" w:hAnsi="Arial" w:cs="Arial"/>
        </w:rPr>
      </w:pPr>
    </w:p>
    <w:p w14:paraId="01D4A235" w14:textId="77777777" w:rsidR="00654EA5" w:rsidRPr="00394820" w:rsidRDefault="00654EA5" w:rsidP="00401BB3">
      <w:pPr>
        <w:spacing w:line="360" w:lineRule="auto"/>
        <w:jc w:val="both"/>
        <w:rPr>
          <w:rFonts w:ascii="Arial" w:hAnsi="Arial" w:cs="Arial"/>
        </w:rPr>
      </w:pPr>
    </w:p>
    <w:p w14:paraId="1F1E3862" w14:textId="4FCA3B3B" w:rsidR="005D0FE3" w:rsidRPr="00401BB3" w:rsidRDefault="005D0FE3" w:rsidP="00401BB3">
      <w:pPr>
        <w:spacing w:line="360" w:lineRule="auto"/>
        <w:jc w:val="both"/>
        <w:rPr>
          <w:rFonts w:ascii="Arial" w:hAnsi="Arial" w:cs="Arial"/>
          <w:b/>
          <w:bCs/>
        </w:rPr>
      </w:pPr>
      <w:r w:rsidRPr="00401BB3">
        <w:rPr>
          <w:rFonts w:ascii="Arial" w:hAnsi="Arial" w:cs="Arial"/>
          <w:b/>
          <w:bCs/>
        </w:rPr>
        <w:lastRenderedPageBreak/>
        <w:t>Appendix</w:t>
      </w:r>
    </w:p>
    <w:p w14:paraId="1CBAFD42" w14:textId="76C96A2F" w:rsidR="00C31640" w:rsidRPr="00215A9D" w:rsidRDefault="00C31640" w:rsidP="00401BB3">
      <w:pPr>
        <w:spacing w:line="360" w:lineRule="auto"/>
        <w:jc w:val="both"/>
        <w:rPr>
          <w:rFonts w:ascii="Arial" w:hAnsi="Arial" w:cs="Arial"/>
          <w:b/>
          <w:bCs/>
          <w:u w:val="single"/>
        </w:rPr>
      </w:pPr>
      <w:r w:rsidRPr="00215A9D">
        <w:rPr>
          <w:rFonts w:ascii="Arial" w:hAnsi="Arial" w:cs="Arial"/>
          <w:b/>
          <w:bCs/>
          <w:u w:val="single"/>
        </w:rPr>
        <w:t>Appendix A</w:t>
      </w:r>
    </w:p>
    <w:p w14:paraId="6565BDEC" w14:textId="4F881B9A" w:rsidR="005D0FE3" w:rsidRPr="00215A9D" w:rsidRDefault="00D8612C" w:rsidP="00401BB3">
      <w:pPr>
        <w:spacing w:line="360" w:lineRule="auto"/>
        <w:jc w:val="both"/>
        <w:rPr>
          <w:rFonts w:ascii="Arial" w:hAnsi="Arial" w:cs="Arial"/>
          <w:b/>
          <w:bCs/>
          <w:u w:val="single"/>
        </w:rPr>
      </w:pPr>
      <w:r w:rsidRPr="00D8612C">
        <w:rPr>
          <w:rFonts w:ascii="Arial" w:hAnsi="Arial" w:cs="Arial"/>
          <w:b/>
          <w:bCs/>
          <w:noProof/>
          <w:u w:val="single"/>
        </w:rPr>
        <w:drawing>
          <wp:anchor distT="0" distB="0" distL="114300" distR="114300" simplePos="0" relativeHeight="251669504" behindDoc="0" locked="0" layoutInCell="1" allowOverlap="1" wp14:anchorId="3397C507" wp14:editId="2C7AC2F4">
            <wp:simplePos x="0" y="0"/>
            <wp:positionH relativeFrom="column">
              <wp:posOffset>0</wp:posOffset>
            </wp:positionH>
            <wp:positionV relativeFrom="paragraph">
              <wp:posOffset>3604</wp:posOffset>
            </wp:positionV>
            <wp:extent cx="1394581" cy="2339543"/>
            <wp:effectExtent l="0" t="0" r="0" b="3810"/>
            <wp:wrapSquare wrapText="bothSides"/>
            <wp:docPr id="1830190594" name="Picture 1" descr="A colorful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90594" name="Picture 1" descr="A colorful background with white text&#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1394581" cy="2339543"/>
                    </a:xfrm>
                    <a:prstGeom prst="rect">
                      <a:avLst/>
                    </a:prstGeom>
                  </pic:spPr>
                </pic:pic>
              </a:graphicData>
            </a:graphic>
          </wp:anchor>
        </w:drawing>
      </w:r>
      <w:r w:rsidR="005D0FE3" w:rsidRPr="00215A9D">
        <w:rPr>
          <w:rFonts w:ascii="Arial" w:hAnsi="Arial" w:cs="Arial"/>
          <w:b/>
          <w:bCs/>
          <w:u w:val="single"/>
        </w:rPr>
        <w:t>PESTEL Analysis</w:t>
      </w:r>
    </w:p>
    <w:p w14:paraId="705A1A02" w14:textId="53AE3B77" w:rsidR="00B71097" w:rsidRPr="00B71097" w:rsidRDefault="00B71097" w:rsidP="00B71097">
      <w:pPr>
        <w:spacing w:line="360" w:lineRule="auto"/>
        <w:jc w:val="both"/>
        <w:rPr>
          <w:rFonts w:ascii="Arial" w:hAnsi="Arial" w:cs="Arial"/>
          <w:u w:val="single"/>
        </w:rPr>
      </w:pPr>
      <w:r w:rsidRPr="00B71097">
        <w:rPr>
          <w:rFonts w:ascii="Arial" w:hAnsi="Arial" w:cs="Arial"/>
        </w:rPr>
        <w:t>A PESTEL analysis assesses the political, economic, social, technological, environmental, and legal factors influencing Hilton's 100th Anniversary event. This framework facilitates proactive adaptation to market conditions (Ramely et al., 2023).</w:t>
      </w:r>
    </w:p>
    <w:p w14:paraId="46D78138" w14:textId="660BDE40" w:rsidR="00677125" w:rsidRPr="00232D0D" w:rsidRDefault="005D0FE3" w:rsidP="000506C8">
      <w:pPr>
        <w:numPr>
          <w:ilvl w:val="0"/>
          <w:numId w:val="18"/>
        </w:numPr>
        <w:spacing w:line="360" w:lineRule="auto"/>
        <w:jc w:val="both"/>
        <w:rPr>
          <w:rFonts w:ascii="Arial" w:hAnsi="Arial" w:cs="Arial"/>
          <w:u w:val="single"/>
        </w:rPr>
      </w:pPr>
      <w:proofErr w:type="gramStart"/>
      <w:r w:rsidRPr="00232D0D">
        <w:rPr>
          <w:rFonts w:ascii="Arial" w:hAnsi="Arial" w:cs="Arial"/>
          <w:u w:val="single"/>
        </w:rPr>
        <w:t>Political</w:t>
      </w:r>
      <w:r w:rsidR="00677125" w:rsidRPr="00232D0D">
        <w:rPr>
          <w:rFonts w:ascii="Arial" w:hAnsi="Arial" w:cs="Arial"/>
          <w:u w:val="single"/>
        </w:rPr>
        <w:t xml:space="preserve"> </w:t>
      </w:r>
      <w:r w:rsidR="00C21756">
        <w:rPr>
          <w:rFonts w:ascii="Arial" w:hAnsi="Arial" w:cs="Arial"/>
          <w:u w:val="single"/>
        </w:rPr>
        <w:t xml:space="preserve"> </w:t>
      </w:r>
      <w:r w:rsidR="00C21756" w:rsidRPr="00401BB3">
        <w:rPr>
          <w:rFonts w:ascii="Arial" w:hAnsi="Arial" w:cs="Arial"/>
          <w:b/>
          <w:bCs/>
        </w:rPr>
        <w:t>→</w:t>
      </w:r>
      <w:proofErr w:type="gramEnd"/>
    </w:p>
    <w:p w14:paraId="6431EB6C" w14:textId="3AF79337" w:rsidR="005D0FE3" w:rsidRPr="00B71097" w:rsidRDefault="005D0FE3" w:rsidP="00677125">
      <w:pPr>
        <w:spacing w:line="360" w:lineRule="auto"/>
        <w:jc w:val="both"/>
        <w:rPr>
          <w:rFonts w:ascii="Arial" w:hAnsi="Arial" w:cs="Arial"/>
        </w:rPr>
      </w:pPr>
      <w:r w:rsidRPr="00B71097">
        <w:rPr>
          <w:rFonts w:ascii="Arial" w:hAnsi="Arial" w:cs="Arial"/>
        </w:rPr>
        <w:t>Policies on corporate diversity and inclusion (</w:t>
      </w:r>
      <w:r w:rsidR="00480909" w:rsidRPr="00B71097">
        <w:rPr>
          <w:rFonts w:ascii="Arial" w:hAnsi="Arial" w:cs="Arial"/>
        </w:rPr>
        <w:t>DEI</w:t>
      </w:r>
      <w:r w:rsidRPr="00B71097">
        <w:rPr>
          <w:rFonts w:ascii="Arial" w:hAnsi="Arial" w:cs="Arial"/>
        </w:rPr>
        <w:t>) impact sponsorship opportunities. International travel restrictions could influence attendance.</w:t>
      </w:r>
    </w:p>
    <w:p w14:paraId="29397DDC" w14:textId="30B39FFC" w:rsidR="00232D0D" w:rsidRPr="00232D0D" w:rsidRDefault="005D0FE3" w:rsidP="000506C8">
      <w:pPr>
        <w:numPr>
          <w:ilvl w:val="0"/>
          <w:numId w:val="18"/>
        </w:numPr>
        <w:spacing w:line="360" w:lineRule="auto"/>
        <w:jc w:val="both"/>
        <w:rPr>
          <w:rFonts w:ascii="Arial" w:hAnsi="Arial" w:cs="Arial"/>
          <w:u w:val="single"/>
        </w:rPr>
      </w:pPr>
      <w:proofErr w:type="gramStart"/>
      <w:r w:rsidRPr="00232D0D">
        <w:rPr>
          <w:rFonts w:ascii="Arial" w:hAnsi="Arial" w:cs="Arial"/>
          <w:u w:val="single"/>
        </w:rPr>
        <w:t>Economic</w:t>
      </w:r>
      <w:r w:rsidR="00232D0D" w:rsidRPr="00232D0D">
        <w:rPr>
          <w:rFonts w:ascii="Arial" w:hAnsi="Arial" w:cs="Arial"/>
          <w:u w:val="single"/>
        </w:rPr>
        <w:t xml:space="preserve"> </w:t>
      </w:r>
      <w:r w:rsidR="00C21756">
        <w:rPr>
          <w:rFonts w:ascii="Arial" w:hAnsi="Arial" w:cs="Arial"/>
          <w:u w:val="single"/>
        </w:rPr>
        <w:t xml:space="preserve"> </w:t>
      </w:r>
      <w:r w:rsidR="00C21756" w:rsidRPr="00401BB3">
        <w:rPr>
          <w:rFonts w:ascii="Arial" w:hAnsi="Arial" w:cs="Arial"/>
          <w:b/>
          <w:bCs/>
        </w:rPr>
        <w:t>→</w:t>
      </w:r>
      <w:proofErr w:type="gramEnd"/>
    </w:p>
    <w:p w14:paraId="6A216AB2" w14:textId="50D54C06" w:rsidR="005D0FE3" w:rsidRPr="00433E60" w:rsidRDefault="005D0FE3" w:rsidP="00232D0D">
      <w:pPr>
        <w:spacing w:line="360" w:lineRule="auto"/>
        <w:jc w:val="both"/>
        <w:rPr>
          <w:rFonts w:ascii="Arial" w:hAnsi="Arial" w:cs="Arial"/>
        </w:rPr>
      </w:pPr>
      <w:r w:rsidRPr="00433E60">
        <w:rPr>
          <w:rFonts w:ascii="Arial" w:hAnsi="Arial" w:cs="Arial"/>
        </w:rPr>
        <w:t>Fluctuations in global economies affect sponsorship funding and attendee affordability. Ticket pricing must balance profitability and accessibility (Jamil, 2023).</w:t>
      </w:r>
    </w:p>
    <w:p w14:paraId="3095522F" w14:textId="5DEF4181" w:rsidR="00232D0D" w:rsidRPr="00232D0D" w:rsidRDefault="005D0FE3" w:rsidP="000506C8">
      <w:pPr>
        <w:numPr>
          <w:ilvl w:val="0"/>
          <w:numId w:val="18"/>
        </w:numPr>
        <w:spacing w:line="360" w:lineRule="auto"/>
        <w:jc w:val="both"/>
        <w:rPr>
          <w:rFonts w:ascii="Arial" w:hAnsi="Arial" w:cs="Arial"/>
          <w:u w:val="single"/>
        </w:rPr>
      </w:pPr>
      <w:proofErr w:type="gramStart"/>
      <w:r w:rsidRPr="00232D0D">
        <w:rPr>
          <w:rFonts w:ascii="Arial" w:hAnsi="Arial" w:cs="Arial"/>
          <w:u w:val="single"/>
        </w:rPr>
        <w:t>Social</w:t>
      </w:r>
      <w:r w:rsidR="00232D0D" w:rsidRPr="00232D0D">
        <w:rPr>
          <w:rFonts w:ascii="Arial" w:hAnsi="Arial" w:cs="Arial"/>
          <w:u w:val="single"/>
        </w:rPr>
        <w:t xml:space="preserve"> </w:t>
      </w:r>
      <w:r w:rsidR="00C21756">
        <w:rPr>
          <w:rFonts w:ascii="Arial" w:hAnsi="Arial" w:cs="Arial"/>
          <w:u w:val="single"/>
        </w:rPr>
        <w:t xml:space="preserve"> </w:t>
      </w:r>
      <w:r w:rsidR="00C21756" w:rsidRPr="00401BB3">
        <w:rPr>
          <w:rFonts w:ascii="Arial" w:hAnsi="Arial" w:cs="Arial"/>
          <w:b/>
          <w:bCs/>
        </w:rPr>
        <w:t>→</w:t>
      </w:r>
      <w:proofErr w:type="gramEnd"/>
    </w:p>
    <w:p w14:paraId="1F070E0D" w14:textId="4282D795" w:rsidR="005D0FE3" w:rsidRPr="00433E60" w:rsidRDefault="005D0FE3" w:rsidP="00232D0D">
      <w:pPr>
        <w:spacing w:line="360" w:lineRule="auto"/>
        <w:jc w:val="both"/>
        <w:rPr>
          <w:rFonts w:ascii="Arial" w:hAnsi="Arial" w:cs="Arial"/>
        </w:rPr>
      </w:pPr>
      <w:r w:rsidRPr="00433E60">
        <w:rPr>
          <w:rFonts w:ascii="Arial" w:hAnsi="Arial" w:cs="Arial"/>
        </w:rPr>
        <w:t xml:space="preserve">There is increased demand for events promoting social justice and inclusivity. Hilton’s long-standing </w:t>
      </w:r>
      <w:r w:rsidR="00480909" w:rsidRPr="00433E60">
        <w:rPr>
          <w:rFonts w:ascii="Arial" w:hAnsi="Arial" w:cs="Arial"/>
        </w:rPr>
        <w:t>DEI</w:t>
      </w:r>
      <w:r w:rsidRPr="00433E60">
        <w:rPr>
          <w:rFonts w:ascii="Arial" w:hAnsi="Arial" w:cs="Arial"/>
        </w:rPr>
        <w:t xml:space="preserve"> commitment aligns with these values.</w:t>
      </w:r>
    </w:p>
    <w:p w14:paraId="415ECB73" w14:textId="2FB7549B" w:rsidR="00232D0D" w:rsidRPr="00232D0D" w:rsidRDefault="005D0FE3" w:rsidP="000506C8">
      <w:pPr>
        <w:numPr>
          <w:ilvl w:val="0"/>
          <w:numId w:val="18"/>
        </w:numPr>
        <w:spacing w:line="360" w:lineRule="auto"/>
        <w:jc w:val="both"/>
        <w:rPr>
          <w:rFonts w:ascii="Arial" w:hAnsi="Arial" w:cs="Arial"/>
          <w:u w:val="single"/>
        </w:rPr>
      </w:pPr>
      <w:proofErr w:type="gramStart"/>
      <w:r w:rsidRPr="00232D0D">
        <w:rPr>
          <w:rFonts w:ascii="Arial" w:hAnsi="Arial" w:cs="Arial"/>
          <w:u w:val="single"/>
        </w:rPr>
        <w:t>Technological</w:t>
      </w:r>
      <w:r w:rsidR="00232D0D" w:rsidRPr="00232D0D">
        <w:rPr>
          <w:rFonts w:ascii="Arial" w:hAnsi="Arial" w:cs="Arial"/>
          <w:u w:val="single"/>
        </w:rPr>
        <w:t xml:space="preserve"> </w:t>
      </w:r>
      <w:r w:rsidR="00C21756">
        <w:rPr>
          <w:rFonts w:ascii="Arial" w:hAnsi="Arial" w:cs="Arial"/>
          <w:u w:val="single"/>
        </w:rPr>
        <w:t xml:space="preserve"> </w:t>
      </w:r>
      <w:r w:rsidR="00C21756" w:rsidRPr="00401BB3">
        <w:rPr>
          <w:rFonts w:ascii="Arial" w:hAnsi="Arial" w:cs="Arial"/>
          <w:b/>
          <w:bCs/>
        </w:rPr>
        <w:t>→</w:t>
      </w:r>
      <w:proofErr w:type="gramEnd"/>
    </w:p>
    <w:p w14:paraId="6CB2C4F6" w14:textId="3F2FCC54" w:rsidR="005D0FE3" w:rsidRPr="00433E60" w:rsidRDefault="005D0FE3" w:rsidP="00232D0D">
      <w:pPr>
        <w:spacing w:line="360" w:lineRule="auto"/>
        <w:jc w:val="both"/>
        <w:rPr>
          <w:rFonts w:ascii="Arial" w:hAnsi="Arial" w:cs="Arial"/>
        </w:rPr>
      </w:pPr>
      <w:r w:rsidRPr="00433E60">
        <w:rPr>
          <w:rFonts w:ascii="Arial" w:hAnsi="Arial" w:cs="Arial"/>
        </w:rPr>
        <w:t xml:space="preserve">Advancements in AI-driven networking and blockchain ticketing </w:t>
      </w:r>
      <w:r w:rsidR="00433E60">
        <w:rPr>
          <w:rFonts w:ascii="Arial" w:hAnsi="Arial" w:cs="Arial"/>
        </w:rPr>
        <w:t>increase</w:t>
      </w:r>
      <w:r w:rsidRPr="00433E60">
        <w:rPr>
          <w:rFonts w:ascii="Arial" w:hAnsi="Arial" w:cs="Arial"/>
        </w:rPr>
        <w:t xml:space="preserve"> attendee engagement and event security (Kung, 2023).</w:t>
      </w:r>
    </w:p>
    <w:p w14:paraId="6B216570" w14:textId="6A839A4B" w:rsidR="00232D0D" w:rsidRPr="00232D0D" w:rsidRDefault="005D0FE3" w:rsidP="000506C8">
      <w:pPr>
        <w:numPr>
          <w:ilvl w:val="0"/>
          <w:numId w:val="18"/>
        </w:numPr>
        <w:spacing w:line="360" w:lineRule="auto"/>
        <w:jc w:val="both"/>
        <w:rPr>
          <w:rFonts w:ascii="Arial" w:hAnsi="Arial" w:cs="Arial"/>
          <w:u w:val="single"/>
        </w:rPr>
      </w:pPr>
      <w:r w:rsidRPr="00232D0D">
        <w:rPr>
          <w:rFonts w:ascii="Arial" w:hAnsi="Arial" w:cs="Arial"/>
          <w:u w:val="single"/>
        </w:rPr>
        <w:t>Environmental</w:t>
      </w:r>
      <w:r w:rsidR="00C21756">
        <w:rPr>
          <w:rFonts w:ascii="Arial" w:hAnsi="Arial" w:cs="Arial"/>
          <w:u w:val="single"/>
        </w:rPr>
        <w:t xml:space="preserve"> </w:t>
      </w:r>
      <w:r w:rsidR="00C21756" w:rsidRPr="00401BB3">
        <w:rPr>
          <w:rFonts w:ascii="Arial" w:hAnsi="Arial" w:cs="Arial"/>
          <w:b/>
          <w:bCs/>
        </w:rPr>
        <w:t>→</w:t>
      </w:r>
    </w:p>
    <w:p w14:paraId="213B1312" w14:textId="7C3761B1" w:rsidR="005D0FE3" w:rsidRPr="00433E60" w:rsidRDefault="005D0FE3" w:rsidP="00232D0D">
      <w:pPr>
        <w:spacing w:line="360" w:lineRule="auto"/>
        <w:jc w:val="both"/>
        <w:rPr>
          <w:rFonts w:ascii="Arial" w:hAnsi="Arial" w:cs="Arial"/>
        </w:rPr>
      </w:pPr>
      <w:r w:rsidRPr="00433E60">
        <w:rPr>
          <w:rFonts w:ascii="Arial" w:hAnsi="Arial" w:cs="Arial"/>
        </w:rPr>
        <w:t xml:space="preserve">Sustainability measures, such as carbon-neutral logistics and waste management, </w:t>
      </w:r>
      <w:r w:rsidR="00573EAA">
        <w:rPr>
          <w:rFonts w:ascii="Arial" w:hAnsi="Arial" w:cs="Arial"/>
        </w:rPr>
        <w:t>must</w:t>
      </w:r>
      <w:r w:rsidRPr="00433E60">
        <w:rPr>
          <w:rFonts w:ascii="Arial" w:hAnsi="Arial" w:cs="Arial"/>
        </w:rPr>
        <w:t xml:space="preserve"> meet modern corporate responsibility standards (Silvers et al., 2005).</w:t>
      </w:r>
    </w:p>
    <w:p w14:paraId="5FDBAED3" w14:textId="0641FB17" w:rsidR="00232D0D" w:rsidRPr="00232D0D" w:rsidRDefault="005D0FE3" w:rsidP="000506C8">
      <w:pPr>
        <w:numPr>
          <w:ilvl w:val="0"/>
          <w:numId w:val="18"/>
        </w:numPr>
        <w:spacing w:line="360" w:lineRule="auto"/>
        <w:jc w:val="both"/>
        <w:rPr>
          <w:rFonts w:ascii="Arial" w:hAnsi="Arial" w:cs="Arial"/>
          <w:u w:val="single"/>
        </w:rPr>
      </w:pPr>
      <w:r w:rsidRPr="00232D0D">
        <w:rPr>
          <w:rFonts w:ascii="Arial" w:hAnsi="Arial" w:cs="Arial"/>
          <w:u w:val="single"/>
        </w:rPr>
        <w:t>Legal</w:t>
      </w:r>
      <w:r w:rsidR="00C21756">
        <w:rPr>
          <w:rFonts w:ascii="Arial" w:hAnsi="Arial" w:cs="Arial"/>
          <w:u w:val="single"/>
        </w:rPr>
        <w:t xml:space="preserve"> </w:t>
      </w:r>
      <w:r w:rsidR="00C21756" w:rsidRPr="00401BB3">
        <w:rPr>
          <w:rFonts w:ascii="Arial" w:hAnsi="Arial" w:cs="Arial"/>
          <w:b/>
          <w:bCs/>
        </w:rPr>
        <w:t>→</w:t>
      </w:r>
    </w:p>
    <w:p w14:paraId="14A8819B" w14:textId="6C8F9DE7" w:rsidR="00F12EBB" w:rsidRPr="00F12EBB" w:rsidRDefault="00F12EBB" w:rsidP="00F12EBB">
      <w:pPr>
        <w:spacing w:line="360" w:lineRule="auto"/>
        <w:jc w:val="both"/>
        <w:rPr>
          <w:rFonts w:ascii="Arial" w:hAnsi="Arial" w:cs="Arial"/>
        </w:rPr>
      </w:pPr>
      <w:r w:rsidRPr="00F12EBB">
        <w:rPr>
          <w:rFonts w:ascii="Arial" w:hAnsi="Arial" w:cs="Arial"/>
        </w:rPr>
        <w:t xml:space="preserve">Inclusive venue configurations are guaranteed by conforming to international accessibility regulations. </w:t>
      </w:r>
      <w:r w:rsidR="00573EAA">
        <w:rPr>
          <w:rFonts w:ascii="Arial" w:hAnsi="Arial" w:cs="Arial"/>
        </w:rPr>
        <w:t>Data privacy laws influence the security of event apps and the management of attendee information</w:t>
      </w:r>
      <w:r w:rsidRPr="00F12EBB">
        <w:rPr>
          <w:rFonts w:ascii="Arial" w:hAnsi="Arial" w:cs="Arial"/>
        </w:rPr>
        <w:t>.</w:t>
      </w:r>
    </w:p>
    <w:p w14:paraId="25A1518D" w14:textId="1F80CF35" w:rsidR="005D0FE3" w:rsidRDefault="00F12EBB" w:rsidP="00F12EBB">
      <w:pPr>
        <w:spacing w:line="360" w:lineRule="auto"/>
        <w:jc w:val="both"/>
        <w:rPr>
          <w:rFonts w:ascii="Arial" w:hAnsi="Arial" w:cs="Arial"/>
        </w:rPr>
      </w:pPr>
      <w:r w:rsidRPr="00F12EBB">
        <w:rPr>
          <w:rFonts w:ascii="Arial" w:hAnsi="Arial" w:cs="Arial"/>
        </w:rPr>
        <w:lastRenderedPageBreak/>
        <w:t>Hilton guarantees a successful, forward-thinking, and impactful anniversary celebration by coordinating its event strategy with these external factors.</w:t>
      </w:r>
    </w:p>
    <w:p w14:paraId="1DFDADC3" w14:textId="77777777" w:rsidR="00D8612C" w:rsidRDefault="00D8612C" w:rsidP="00401BB3">
      <w:pPr>
        <w:spacing w:line="360" w:lineRule="auto"/>
        <w:jc w:val="both"/>
        <w:rPr>
          <w:rFonts w:ascii="Arial" w:hAnsi="Arial" w:cs="Arial"/>
          <w:b/>
          <w:bCs/>
          <w:u w:val="single"/>
        </w:rPr>
      </w:pPr>
    </w:p>
    <w:p w14:paraId="314B6903" w14:textId="7C95E84C" w:rsidR="002847D9" w:rsidRPr="002847D9" w:rsidRDefault="002847D9" w:rsidP="00401BB3">
      <w:pPr>
        <w:spacing w:line="360" w:lineRule="auto"/>
        <w:jc w:val="both"/>
        <w:rPr>
          <w:rFonts w:ascii="Arial" w:hAnsi="Arial" w:cs="Arial"/>
          <w:b/>
          <w:bCs/>
          <w:u w:val="single"/>
        </w:rPr>
      </w:pPr>
      <w:r w:rsidRPr="002847D9">
        <w:rPr>
          <w:rFonts w:ascii="Arial" w:hAnsi="Arial" w:cs="Arial"/>
          <w:b/>
          <w:bCs/>
          <w:u w:val="single"/>
        </w:rPr>
        <w:t>Appendix B</w:t>
      </w:r>
    </w:p>
    <w:p w14:paraId="38C24838" w14:textId="6EE91790" w:rsidR="005D0FE3" w:rsidRPr="002847D9" w:rsidRDefault="006265D8" w:rsidP="00401BB3">
      <w:pPr>
        <w:spacing w:line="360" w:lineRule="auto"/>
        <w:jc w:val="both"/>
        <w:rPr>
          <w:rFonts w:ascii="Arial" w:hAnsi="Arial" w:cs="Arial"/>
          <w:b/>
          <w:bCs/>
          <w:u w:val="single"/>
        </w:rPr>
      </w:pPr>
      <w:r w:rsidRPr="006265D8">
        <w:rPr>
          <w:rFonts w:ascii="Arial" w:hAnsi="Arial" w:cs="Arial"/>
          <w:b/>
          <w:bCs/>
          <w:noProof/>
          <w:u w:val="single"/>
        </w:rPr>
        <w:drawing>
          <wp:anchor distT="0" distB="0" distL="114300" distR="114300" simplePos="0" relativeHeight="251670528" behindDoc="0" locked="0" layoutInCell="1" allowOverlap="1" wp14:anchorId="7F39D37D" wp14:editId="059A810D">
            <wp:simplePos x="0" y="0"/>
            <wp:positionH relativeFrom="column">
              <wp:posOffset>0</wp:posOffset>
            </wp:positionH>
            <wp:positionV relativeFrom="paragraph">
              <wp:posOffset>1930</wp:posOffset>
            </wp:positionV>
            <wp:extent cx="3071126" cy="2423370"/>
            <wp:effectExtent l="0" t="0" r="0" b="0"/>
            <wp:wrapSquare wrapText="bothSides"/>
            <wp:docPr id="1969093026" name="Picture 1" descr="A diagram of a company's strength and opportun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93026" name="Picture 1" descr="A diagram of a company's strength and opportunities&#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3071126" cy="2423370"/>
                    </a:xfrm>
                    <a:prstGeom prst="rect">
                      <a:avLst/>
                    </a:prstGeom>
                  </pic:spPr>
                </pic:pic>
              </a:graphicData>
            </a:graphic>
          </wp:anchor>
        </w:drawing>
      </w:r>
      <w:r w:rsidR="005D0FE3" w:rsidRPr="002847D9">
        <w:rPr>
          <w:rFonts w:ascii="Arial" w:hAnsi="Arial" w:cs="Arial"/>
          <w:b/>
          <w:bCs/>
          <w:u w:val="single"/>
        </w:rPr>
        <w:t>SOAR Analysis</w:t>
      </w:r>
    </w:p>
    <w:p w14:paraId="10595673" w14:textId="0E861E9D" w:rsidR="005D0FE3" w:rsidRPr="0058514A" w:rsidRDefault="005D0FE3" w:rsidP="00401BB3">
      <w:pPr>
        <w:spacing w:line="360" w:lineRule="auto"/>
        <w:jc w:val="both"/>
        <w:rPr>
          <w:rFonts w:ascii="Arial" w:hAnsi="Arial" w:cs="Arial"/>
        </w:rPr>
      </w:pPr>
      <w:r w:rsidRPr="0058514A">
        <w:rPr>
          <w:rFonts w:ascii="Arial" w:hAnsi="Arial" w:cs="Arial"/>
        </w:rPr>
        <w:t>A SOAR analysis (Strengths, Opportunities, Aspirations, Results) provides a positive, growth-oriented framework to optimi</w:t>
      </w:r>
      <w:r w:rsidR="002C5241" w:rsidRPr="0058514A">
        <w:rPr>
          <w:rFonts w:ascii="Arial" w:hAnsi="Arial" w:cs="Arial"/>
        </w:rPr>
        <w:t>s</w:t>
      </w:r>
      <w:r w:rsidRPr="0058514A">
        <w:rPr>
          <w:rFonts w:ascii="Arial" w:hAnsi="Arial" w:cs="Arial"/>
        </w:rPr>
        <w:t>e Hilton’s 100th Anniversary event (Kamkankaew, 2023).</w:t>
      </w:r>
    </w:p>
    <w:p w14:paraId="4E5645E7" w14:textId="35241259" w:rsidR="005D0FE3" w:rsidRPr="0058514A" w:rsidRDefault="005D0FE3" w:rsidP="00232D0D">
      <w:pPr>
        <w:spacing w:line="360" w:lineRule="auto"/>
        <w:jc w:val="both"/>
        <w:rPr>
          <w:rFonts w:ascii="Arial" w:hAnsi="Arial" w:cs="Arial"/>
          <w:u w:val="single"/>
        </w:rPr>
      </w:pPr>
      <w:proofErr w:type="gramStart"/>
      <w:r w:rsidRPr="0058514A">
        <w:rPr>
          <w:rFonts w:ascii="Arial" w:hAnsi="Arial" w:cs="Arial"/>
          <w:u w:val="single"/>
        </w:rPr>
        <w:t>Strengths</w:t>
      </w:r>
      <w:r w:rsidR="00232D0D" w:rsidRPr="0058514A">
        <w:rPr>
          <w:rFonts w:ascii="Arial" w:hAnsi="Arial" w:cs="Arial"/>
          <w:u w:val="single"/>
        </w:rPr>
        <w:t xml:space="preserve"> </w:t>
      </w:r>
      <w:r w:rsidR="00C21756" w:rsidRPr="0058514A">
        <w:rPr>
          <w:rFonts w:ascii="Arial" w:hAnsi="Arial" w:cs="Arial"/>
          <w:u w:val="single"/>
        </w:rPr>
        <w:t xml:space="preserve"> </w:t>
      </w:r>
      <w:r w:rsidR="00C21756" w:rsidRPr="0058514A">
        <w:rPr>
          <w:rFonts w:ascii="Arial" w:hAnsi="Arial" w:cs="Arial"/>
        </w:rPr>
        <w:t>→</w:t>
      </w:r>
      <w:proofErr w:type="gramEnd"/>
    </w:p>
    <w:p w14:paraId="5EC49DBC" w14:textId="68F83BF1" w:rsidR="005D0FE3" w:rsidRPr="0058514A" w:rsidRDefault="005D0FE3" w:rsidP="000506C8">
      <w:pPr>
        <w:numPr>
          <w:ilvl w:val="0"/>
          <w:numId w:val="18"/>
        </w:numPr>
        <w:spacing w:line="360" w:lineRule="auto"/>
        <w:jc w:val="both"/>
        <w:rPr>
          <w:rFonts w:ascii="Arial" w:hAnsi="Arial" w:cs="Arial"/>
        </w:rPr>
      </w:pPr>
      <w:r w:rsidRPr="0058514A">
        <w:rPr>
          <w:rFonts w:ascii="Arial" w:hAnsi="Arial" w:cs="Arial"/>
        </w:rPr>
        <w:t xml:space="preserve">Global brand recognition and extensive venue network </w:t>
      </w:r>
      <w:r w:rsidR="002C5241" w:rsidRPr="0058514A">
        <w:rPr>
          <w:rFonts w:ascii="Arial" w:hAnsi="Arial" w:cs="Arial"/>
        </w:rPr>
        <w:t>certify</w:t>
      </w:r>
      <w:r w:rsidRPr="0058514A">
        <w:rPr>
          <w:rFonts w:ascii="Arial" w:hAnsi="Arial" w:cs="Arial"/>
        </w:rPr>
        <w:t xml:space="preserve"> credibility and </w:t>
      </w:r>
      <w:r w:rsidR="002C5241" w:rsidRPr="0058514A">
        <w:rPr>
          <w:rFonts w:ascii="Arial" w:hAnsi="Arial" w:cs="Arial"/>
        </w:rPr>
        <w:t>effective</w:t>
      </w:r>
      <w:r w:rsidRPr="0058514A">
        <w:rPr>
          <w:rFonts w:ascii="Arial" w:hAnsi="Arial" w:cs="Arial"/>
        </w:rPr>
        <w:t xml:space="preserve"> execution.</w:t>
      </w:r>
    </w:p>
    <w:p w14:paraId="37E427F0" w14:textId="758BCA69" w:rsidR="005D0FE3" w:rsidRPr="0058514A" w:rsidRDefault="00480909" w:rsidP="000506C8">
      <w:pPr>
        <w:numPr>
          <w:ilvl w:val="0"/>
          <w:numId w:val="18"/>
        </w:numPr>
        <w:spacing w:line="360" w:lineRule="auto"/>
        <w:jc w:val="both"/>
        <w:rPr>
          <w:rFonts w:ascii="Arial" w:hAnsi="Arial" w:cs="Arial"/>
        </w:rPr>
      </w:pPr>
      <w:r w:rsidRPr="0058514A">
        <w:rPr>
          <w:rFonts w:ascii="Arial" w:hAnsi="Arial" w:cs="Arial"/>
        </w:rPr>
        <w:t>DEI</w:t>
      </w:r>
      <w:r w:rsidR="005D0FE3" w:rsidRPr="0058514A">
        <w:rPr>
          <w:rFonts w:ascii="Arial" w:hAnsi="Arial" w:cs="Arial"/>
        </w:rPr>
        <w:t xml:space="preserve"> legacy and partnerships </w:t>
      </w:r>
      <w:r w:rsidR="002C5241" w:rsidRPr="0058514A">
        <w:rPr>
          <w:rFonts w:ascii="Arial" w:hAnsi="Arial" w:cs="Arial"/>
        </w:rPr>
        <w:t>improve</w:t>
      </w:r>
      <w:r w:rsidR="005D0FE3" w:rsidRPr="0058514A">
        <w:rPr>
          <w:rFonts w:ascii="Arial" w:hAnsi="Arial" w:cs="Arial"/>
        </w:rPr>
        <w:t xml:space="preserve"> the event’s authenticity and engagement.</w:t>
      </w:r>
    </w:p>
    <w:p w14:paraId="46DCF894" w14:textId="004F375C" w:rsidR="005D0FE3" w:rsidRPr="0058514A" w:rsidRDefault="005D0FE3" w:rsidP="00232D0D">
      <w:pPr>
        <w:spacing w:line="360" w:lineRule="auto"/>
        <w:jc w:val="both"/>
        <w:rPr>
          <w:rFonts w:ascii="Arial" w:hAnsi="Arial" w:cs="Arial"/>
          <w:u w:val="single"/>
        </w:rPr>
      </w:pPr>
      <w:proofErr w:type="gramStart"/>
      <w:r w:rsidRPr="0058514A">
        <w:rPr>
          <w:rFonts w:ascii="Arial" w:hAnsi="Arial" w:cs="Arial"/>
          <w:u w:val="single"/>
        </w:rPr>
        <w:t>Opportunities</w:t>
      </w:r>
      <w:r w:rsidR="00232D0D" w:rsidRPr="0058514A">
        <w:rPr>
          <w:rFonts w:ascii="Arial" w:hAnsi="Arial" w:cs="Arial"/>
          <w:u w:val="single"/>
        </w:rPr>
        <w:t xml:space="preserve"> </w:t>
      </w:r>
      <w:r w:rsidR="00C21756" w:rsidRPr="0058514A">
        <w:rPr>
          <w:rFonts w:ascii="Arial" w:hAnsi="Arial" w:cs="Arial"/>
          <w:u w:val="single"/>
        </w:rPr>
        <w:t xml:space="preserve"> </w:t>
      </w:r>
      <w:r w:rsidR="00C21756" w:rsidRPr="0058514A">
        <w:rPr>
          <w:rFonts w:ascii="Arial" w:hAnsi="Arial" w:cs="Arial"/>
        </w:rPr>
        <w:t>→</w:t>
      </w:r>
      <w:proofErr w:type="gramEnd"/>
    </w:p>
    <w:p w14:paraId="2639302A" w14:textId="77777777"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Hybrid model expands participation, allowing attendees from diverse regions to engage.</w:t>
      </w:r>
    </w:p>
    <w:p w14:paraId="7AF99265" w14:textId="77777777"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Strategic sponsorships strengthen Hilton’s leadership in inclusive corporate culture.</w:t>
      </w:r>
    </w:p>
    <w:p w14:paraId="53723669" w14:textId="59990A47" w:rsidR="005D0FE3" w:rsidRPr="0058514A" w:rsidRDefault="005D0FE3" w:rsidP="00232D0D">
      <w:pPr>
        <w:spacing w:line="360" w:lineRule="auto"/>
        <w:jc w:val="both"/>
        <w:rPr>
          <w:rFonts w:ascii="Arial" w:hAnsi="Arial" w:cs="Arial"/>
          <w:u w:val="single"/>
        </w:rPr>
      </w:pPr>
      <w:proofErr w:type="gramStart"/>
      <w:r w:rsidRPr="0058514A">
        <w:rPr>
          <w:rFonts w:ascii="Arial" w:hAnsi="Arial" w:cs="Arial"/>
          <w:u w:val="single"/>
        </w:rPr>
        <w:t>Aspirations</w:t>
      </w:r>
      <w:r w:rsidR="00232D0D" w:rsidRPr="0058514A">
        <w:rPr>
          <w:rFonts w:ascii="Arial" w:hAnsi="Arial" w:cs="Arial"/>
          <w:u w:val="single"/>
        </w:rPr>
        <w:t xml:space="preserve"> </w:t>
      </w:r>
      <w:r w:rsidR="00C21756" w:rsidRPr="0058514A">
        <w:rPr>
          <w:rFonts w:ascii="Arial" w:hAnsi="Arial" w:cs="Arial"/>
          <w:u w:val="single"/>
        </w:rPr>
        <w:t xml:space="preserve"> </w:t>
      </w:r>
      <w:r w:rsidR="00C21756" w:rsidRPr="0058514A">
        <w:rPr>
          <w:rFonts w:ascii="Arial" w:hAnsi="Arial" w:cs="Arial"/>
        </w:rPr>
        <w:t>→</w:t>
      </w:r>
      <w:proofErr w:type="gramEnd"/>
    </w:p>
    <w:p w14:paraId="5F9E2E96" w14:textId="42E21436"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 xml:space="preserve">Position Hilton as a global leader in corporate </w:t>
      </w:r>
      <w:r w:rsidR="00480909" w:rsidRPr="0058514A">
        <w:rPr>
          <w:rFonts w:ascii="Arial" w:hAnsi="Arial" w:cs="Arial"/>
        </w:rPr>
        <w:t>DEI</w:t>
      </w:r>
      <w:r w:rsidRPr="0058514A">
        <w:rPr>
          <w:rFonts w:ascii="Arial" w:hAnsi="Arial" w:cs="Arial"/>
        </w:rPr>
        <w:t xml:space="preserve"> initiatives beyond hospitality.</w:t>
      </w:r>
    </w:p>
    <w:p w14:paraId="526E2588" w14:textId="77777777"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Utilize the event as a springboard for long-term community partnerships.</w:t>
      </w:r>
    </w:p>
    <w:p w14:paraId="66A2A19A" w14:textId="7AEBCFD5" w:rsidR="005D0FE3" w:rsidRPr="0058514A" w:rsidRDefault="005D0FE3" w:rsidP="00232D0D">
      <w:pPr>
        <w:spacing w:line="360" w:lineRule="auto"/>
        <w:jc w:val="both"/>
        <w:rPr>
          <w:rFonts w:ascii="Arial" w:hAnsi="Arial" w:cs="Arial"/>
          <w:u w:val="single"/>
        </w:rPr>
      </w:pPr>
      <w:r w:rsidRPr="0058514A">
        <w:rPr>
          <w:rFonts w:ascii="Arial" w:hAnsi="Arial" w:cs="Arial"/>
          <w:u w:val="single"/>
        </w:rPr>
        <w:t>Results</w:t>
      </w:r>
      <w:r w:rsidR="00232D0D" w:rsidRPr="0058514A">
        <w:rPr>
          <w:rFonts w:ascii="Arial" w:hAnsi="Arial" w:cs="Arial"/>
          <w:u w:val="single"/>
        </w:rPr>
        <w:t xml:space="preserve"> </w:t>
      </w:r>
      <w:r w:rsidR="00C21756" w:rsidRPr="0058514A">
        <w:rPr>
          <w:rFonts w:ascii="Arial" w:hAnsi="Arial" w:cs="Arial"/>
        </w:rPr>
        <w:t>→</w:t>
      </w:r>
    </w:p>
    <w:p w14:paraId="081E90ED" w14:textId="77777777"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Increased social media engagement, measurable through #Hilton100Inclusion analytics.</w:t>
      </w:r>
    </w:p>
    <w:p w14:paraId="17AA90DE" w14:textId="4531B095" w:rsidR="005D0FE3" w:rsidRPr="0058514A" w:rsidRDefault="005D0FE3" w:rsidP="000506C8">
      <w:pPr>
        <w:numPr>
          <w:ilvl w:val="0"/>
          <w:numId w:val="19"/>
        </w:numPr>
        <w:spacing w:line="360" w:lineRule="auto"/>
        <w:jc w:val="both"/>
        <w:rPr>
          <w:rFonts w:ascii="Arial" w:hAnsi="Arial" w:cs="Arial"/>
        </w:rPr>
      </w:pPr>
      <w:r w:rsidRPr="0058514A">
        <w:rPr>
          <w:rFonts w:ascii="Arial" w:hAnsi="Arial" w:cs="Arial"/>
        </w:rPr>
        <w:t xml:space="preserve">Expanded </w:t>
      </w:r>
      <w:r w:rsidR="00480909" w:rsidRPr="0058514A">
        <w:rPr>
          <w:rFonts w:ascii="Arial" w:hAnsi="Arial" w:cs="Arial"/>
        </w:rPr>
        <w:t>DEI</w:t>
      </w:r>
      <w:r w:rsidRPr="0058514A">
        <w:rPr>
          <w:rFonts w:ascii="Arial" w:hAnsi="Arial" w:cs="Arial"/>
        </w:rPr>
        <w:t xml:space="preserve">-focused partnerships, ensuring </w:t>
      </w:r>
      <w:r w:rsidR="00573EAA" w:rsidRPr="0058514A">
        <w:rPr>
          <w:rFonts w:ascii="Arial" w:hAnsi="Arial" w:cs="Arial"/>
        </w:rPr>
        <w:t>a legacy</w:t>
      </w:r>
      <w:r w:rsidRPr="0058514A">
        <w:rPr>
          <w:rFonts w:ascii="Arial" w:hAnsi="Arial" w:cs="Arial"/>
        </w:rPr>
        <w:t xml:space="preserve"> beyond the event (Gheibi et al., 2018).</w:t>
      </w:r>
    </w:p>
    <w:p w14:paraId="0584540B" w14:textId="215E6841" w:rsidR="005D0FE3" w:rsidRPr="0058514A" w:rsidRDefault="005D0FE3" w:rsidP="00401BB3">
      <w:pPr>
        <w:spacing w:line="360" w:lineRule="auto"/>
        <w:jc w:val="both"/>
        <w:rPr>
          <w:rFonts w:ascii="Arial" w:hAnsi="Arial" w:cs="Arial"/>
        </w:rPr>
      </w:pPr>
      <w:r w:rsidRPr="0058514A">
        <w:rPr>
          <w:rFonts w:ascii="Arial" w:hAnsi="Arial" w:cs="Arial"/>
        </w:rPr>
        <w:t xml:space="preserve">SOAR analysis ensures a strengths-driven, results-oriented approach, positioning Hilton’s event as a </w:t>
      </w:r>
      <w:r w:rsidR="0058514A" w:rsidRPr="0058514A">
        <w:rPr>
          <w:rFonts w:ascii="Arial" w:hAnsi="Arial" w:cs="Arial"/>
        </w:rPr>
        <w:t>standard</w:t>
      </w:r>
      <w:r w:rsidRPr="0058514A">
        <w:rPr>
          <w:rFonts w:ascii="Arial" w:hAnsi="Arial" w:cs="Arial"/>
        </w:rPr>
        <w:t xml:space="preserve"> for global corporate inclusivity initiatives.</w:t>
      </w:r>
    </w:p>
    <w:p w14:paraId="17E9DA68" w14:textId="20C49516" w:rsidR="005D0FE3" w:rsidRDefault="005D0FE3" w:rsidP="00401BB3">
      <w:pPr>
        <w:spacing w:line="360" w:lineRule="auto"/>
        <w:jc w:val="both"/>
        <w:rPr>
          <w:rFonts w:ascii="Arial" w:hAnsi="Arial" w:cs="Arial"/>
        </w:rPr>
      </w:pPr>
    </w:p>
    <w:p w14:paraId="78173228" w14:textId="1D71D29B" w:rsidR="00C31640" w:rsidRPr="00215A9D" w:rsidRDefault="00C31640" w:rsidP="00401BB3">
      <w:pPr>
        <w:spacing w:line="360" w:lineRule="auto"/>
        <w:jc w:val="both"/>
        <w:rPr>
          <w:rFonts w:ascii="Arial" w:hAnsi="Arial" w:cs="Arial"/>
          <w:b/>
          <w:bCs/>
          <w:u w:val="single"/>
        </w:rPr>
      </w:pPr>
      <w:r w:rsidRPr="00215A9D">
        <w:rPr>
          <w:rFonts w:ascii="Arial" w:hAnsi="Arial" w:cs="Arial"/>
          <w:b/>
          <w:bCs/>
          <w:u w:val="single"/>
        </w:rPr>
        <w:t xml:space="preserve">Appendix </w:t>
      </w:r>
      <w:r w:rsidR="002847D9">
        <w:rPr>
          <w:rFonts w:ascii="Arial" w:hAnsi="Arial" w:cs="Arial"/>
          <w:b/>
          <w:bCs/>
          <w:u w:val="single"/>
        </w:rPr>
        <w:t>C</w:t>
      </w:r>
    </w:p>
    <w:p w14:paraId="016C8C0C" w14:textId="31AF1CB0" w:rsidR="005D0FE3" w:rsidRPr="00215A9D" w:rsidRDefault="002D2392" w:rsidP="00401BB3">
      <w:pPr>
        <w:spacing w:line="360" w:lineRule="auto"/>
        <w:jc w:val="both"/>
        <w:rPr>
          <w:rFonts w:ascii="Arial" w:hAnsi="Arial" w:cs="Arial"/>
          <w:b/>
          <w:bCs/>
          <w:u w:val="single"/>
        </w:rPr>
      </w:pPr>
      <w:r>
        <w:rPr>
          <w:noProof/>
        </w:rPr>
        <w:drawing>
          <wp:inline distT="0" distB="0" distL="0" distR="0" wp14:anchorId="300B6ED6" wp14:editId="25D3FB1C">
            <wp:extent cx="5943600" cy="3861435"/>
            <wp:effectExtent l="0" t="0" r="0" b="5715"/>
            <wp:docPr id="318607866" name="Picture 11" descr="Cultural Sensitivity and Security | Asset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ltural Sensitivity and Security | Asset Colleg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3861435"/>
                    </a:xfrm>
                    <a:prstGeom prst="rect">
                      <a:avLst/>
                    </a:prstGeom>
                    <a:noFill/>
                    <a:ln>
                      <a:noFill/>
                    </a:ln>
                  </pic:spPr>
                </pic:pic>
              </a:graphicData>
            </a:graphic>
          </wp:inline>
        </w:drawing>
      </w:r>
      <w:r w:rsidR="005D0FE3" w:rsidRPr="00215A9D">
        <w:rPr>
          <w:rFonts w:ascii="Arial" w:hAnsi="Arial" w:cs="Arial"/>
          <w:b/>
          <w:bCs/>
          <w:u w:val="single"/>
        </w:rPr>
        <w:t>Cultural Sensitivity</w:t>
      </w:r>
      <w:r w:rsidR="006265D8">
        <w:rPr>
          <w:rFonts w:ascii="Arial" w:hAnsi="Arial" w:cs="Arial"/>
          <w:b/>
          <w:bCs/>
          <w:u w:val="single"/>
        </w:rPr>
        <w:t xml:space="preserve"> adn</w:t>
      </w:r>
      <w:r w:rsidR="005D0FE3" w:rsidRPr="00215A9D">
        <w:rPr>
          <w:rFonts w:ascii="Arial" w:hAnsi="Arial" w:cs="Arial"/>
          <w:b/>
          <w:bCs/>
          <w:u w:val="single"/>
        </w:rPr>
        <w:t xml:space="preserve"> Multiculturalism </w:t>
      </w:r>
    </w:p>
    <w:p w14:paraId="27B12B34" w14:textId="046A6233" w:rsidR="00605D02" w:rsidRPr="00605D02" w:rsidRDefault="00605D02" w:rsidP="00605D02">
      <w:pPr>
        <w:spacing w:line="360" w:lineRule="auto"/>
        <w:jc w:val="both"/>
        <w:rPr>
          <w:rFonts w:ascii="Arial" w:hAnsi="Arial" w:cs="Arial"/>
        </w:rPr>
      </w:pPr>
      <w:r w:rsidRPr="00605D02">
        <w:rPr>
          <w:rFonts w:ascii="Arial" w:hAnsi="Arial" w:cs="Arial"/>
        </w:rPr>
        <w:t>Cultural sensitivity plays a crucial role in event management</w:t>
      </w:r>
      <w:r w:rsidR="00573EAA">
        <w:rPr>
          <w:rFonts w:ascii="Arial" w:hAnsi="Arial" w:cs="Arial"/>
        </w:rPr>
        <w:t>, guaranteeing</w:t>
      </w:r>
      <w:r w:rsidRPr="00605D02">
        <w:rPr>
          <w:rFonts w:ascii="Arial" w:hAnsi="Arial" w:cs="Arial"/>
        </w:rPr>
        <w:t xml:space="preserve"> that inclusive and respectful experiences are created </w:t>
      </w:r>
      <w:r w:rsidR="00573EAA">
        <w:rPr>
          <w:rFonts w:ascii="Arial" w:hAnsi="Arial" w:cs="Arial"/>
        </w:rPr>
        <w:t>from</w:t>
      </w:r>
      <w:r w:rsidRPr="00605D02">
        <w:rPr>
          <w:rFonts w:ascii="Arial" w:hAnsi="Arial" w:cs="Arial"/>
        </w:rPr>
        <w:t xml:space="preserve"> </w:t>
      </w:r>
      <w:r w:rsidR="00573EAA">
        <w:rPr>
          <w:rFonts w:ascii="Arial" w:hAnsi="Arial" w:cs="Arial"/>
        </w:rPr>
        <w:t>various</w:t>
      </w:r>
      <w:r w:rsidRPr="00605D02">
        <w:rPr>
          <w:rFonts w:ascii="Arial" w:hAnsi="Arial" w:cs="Arial"/>
        </w:rPr>
        <w:t xml:space="preserve"> backgrounds. Events must be developed to acknowledge and incorporate cultural distinctions in accessibility, language, and dietary requirements (Getz and Page, 2024). Inclusivity and representation can be improved through partnerships with local cultural organisations and sensitivity training for event staff (Yanto et al., 2022). Additionally, research indicates that exposure to multicultural contexts promotes increased intercultural competence, which improves the overall quality of event experiences (Elbashir, 2024). </w:t>
      </w:r>
      <w:r w:rsidR="00573EAA">
        <w:rPr>
          <w:rFonts w:ascii="Arial" w:hAnsi="Arial" w:cs="Arial"/>
        </w:rPr>
        <w:t xml:space="preserve">Incorporating culturally diverse performances, food, and storytelling elements in global event contexts </w:t>
      </w:r>
      <w:r w:rsidRPr="00605D02">
        <w:rPr>
          <w:rFonts w:ascii="Arial" w:hAnsi="Arial" w:cs="Arial"/>
        </w:rPr>
        <w:t>cultivates a sense of community (Getz and Page, 2024). Nevertheless, inclusive policies and stakeholder engagement are necessary to resolve obstacles such as unintentional biases and logistical complexities. Organisations can reinforce their dedication to diversity and inclusion while increasing participant engagement by incorporating cultural considerations into event planning (Getz and Page, 2024).</w:t>
      </w:r>
    </w:p>
    <w:p w14:paraId="48DBB534" w14:textId="227198D0" w:rsidR="005D0FE3" w:rsidRPr="00215A9D" w:rsidRDefault="00C31640" w:rsidP="00401BB3">
      <w:pPr>
        <w:spacing w:line="360" w:lineRule="auto"/>
        <w:jc w:val="both"/>
        <w:rPr>
          <w:rFonts w:ascii="Arial" w:hAnsi="Arial" w:cs="Arial"/>
          <w:b/>
          <w:bCs/>
          <w:u w:val="single"/>
        </w:rPr>
      </w:pPr>
      <w:r>
        <w:rPr>
          <w:rFonts w:ascii="Arial" w:hAnsi="Arial" w:cs="Arial"/>
        </w:rPr>
        <w:lastRenderedPageBreak/>
        <w:br/>
      </w:r>
      <w:r w:rsidRPr="00215A9D">
        <w:rPr>
          <w:rFonts w:ascii="Arial" w:hAnsi="Arial" w:cs="Arial"/>
          <w:b/>
          <w:bCs/>
          <w:u w:val="single"/>
        </w:rPr>
        <w:t xml:space="preserve">Appendix </w:t>
      </w:r>
      <w:r w:rsidR="002847D9">
        <w:rPr>
          <w:rFonts w:ascii="Arial" w:hAnsi="Arial" w:cs="Arial"/>
          <w:b/>
          <w:bCs/>
          <w:u w:val="single"/>
        </w:rPr>
        <w:t>D</w:t>
      </w:r>
    </w:p>
    <w:p w14:paraId="2FC36CC6" w14:textId="7CE6F312" w:rsidR="005D0FE3" w:rsidRPr="00215A9D" w:rsidRDefault="00F773F0" w:rsidP="00401BB3">
      <w:pPr>
        <w:spacing w:line="360" w:lineRule="auto"/>
        <w:jc w:val="both"/>
        <w:rPr>
          <w:rFonts w:ascii="Arial" w:hAnsi="Arial" w:cs="Arial"/>
          <w:b/>
          <w:bCs/>
          <w:u w:val="single"/>
        </w:rPr>
      </w:pPr>
      <w:r>
        <w:rPr>
          <w:noProof/>
        </w:rPr>
        <w:drawing>
          <wp:inline distT="0" distB="0" distL="0" distR="0" wp14:anchorId="7DBD802E" wp14:editId="755B1D0E">
            <wp:extent cx="5943600" cy="3116580"/>
            <wp:effectExtent l="0" t="0" r="0" b="7620"/>
            <wp:docPr id="1062304141" name="Picture 12" descr="The customer experience economy | Costanzo Woomer Nistendirk, P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The customer experience economy | Costanzo Woomer Nistendirk, PLLC"/>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3116580"/>
                    </a:xfrm>
                    <a:prstGeom prst="rect">
                      <a:avLst/>
                    </a:prstGeom>
                    <a:noFill/>
                    <a:ln>
                      <a:noFill/>
                    </a:ln>
                  </pic:spPr>
                </pic:pic>
              </a:graphicData>
            </a:graphic>
          </wp:inline>
        </w:drawing>
      </w:r>
      <w:r w:rsidR="005D0FE3" w:rsidRPr="00215A9D">
        <w:rPr>
          <w:rFonts w:ascii="Arial" w:hAnsi="Arial" w:cs="Arial"/>
          <w:b/>
          <w:bCs/>
          <w:u w:val="single"/>
        </w:rPr>
        <w:t xml:space="preserve">Experience Economy </w:t>
      </w:r>
      <w:r w:rsidR="006265D8">
        <w:rPr>
          <w:rFonts w:ascii="Arial" w:hAnsi="Arial" w:cs="Arial"/>
          <w:b/>
          <w:bCs/>
          <w:u w:val="single"/>
        </w:rPr>
        <w:t>and</w:t>
      </w:r>
      <w:r w:rsidR="005D0FE3" w:rsidRPr="00215A9D">
        <w:rPr>
          <w:rFonts w:ascii="Arial" w:hAnsi="Arial" w:cs="Arial"/>
          <w:b/>
          <w:bCs/>
          <w:u w:val="single"/>
        </w:rPr>
        <w:t xml:space="preserve"> Engagement Models </w:t>
      </w:r>
    </w:p>
    <w:p w14:paraId="140DC1F1" w14:textId="57561D83" w:rsidR="00F05CA8" w:rsidRDefault="00850382" w:rsidP="00401BB3">
      <w:pPr>
        <w:spacing w:line="360" w:lineRule="auto"/>
        <w:jc w:val="both"/>
        <w:rPr>
          <w:rFonts w:ascii="Arial" w:hAnsi="Arial" w:cs="Arial"/>
        </w:rPr>
      </w:pPr>
      <w:r w:rsidRPr="00850382">
        <w:rPr>
          <w:rFonts w:ascii="Arial" w:hAnsi="Arial" w:cs="Arial"/>
        </w:rPr>
        <w:t xml:space="preserve">The experience economy is the context in which the contemporary event industry operates, with engagement models </w:t>
      </w:r>
      <w:r w:rsidR="00573EAA">
        <w:rPr>
          <w:rFonts w:ascii="Arial" w:hAnsi="Arial" w:cs="Arial"/>
        </w:rPr>
        <w:t>prioritising</w:t>
      </w:r>
      <w:r w:rsidRPr="00850382">
        <w:rPr>
          <w:rFonts w:ascii="Arial" w:hAnsi="Arial" w:cs="Arial"/>
        </w:rPr>
        <w:t xml:space="preserve"> memorable and immersive interactions. Research indicates that events which stimulate emotional, cognitive, and sensory engagement increase brand loyalty and attendee satisfaction (Coetzee and Pourfakhimi, 2020). Personalised and lasting impressions are achieved through rich experiences, which include interactive installations, hybrid participation, and augmented reality (Claudia et al., 2018). Furthermore, research indicates that consumer behaviour following an event is substantially affected by online engagement, which underscores the significance of digital interactivity (Getz and Page, </w:t>
      </w:r>
      <w:proofErr w:type="gramStart"/>
      <w:r w:rsidRPr="00850382">
        <w:rPr>
          <w:rFonts w:ascii="Arial" w:hAnsi="Arial" w:cs="Arial"/>
        </w:rPr>
        <w:t>2024 )</w:t>
      </w:r>
      <w:proofErr w:type="gramEnd"/>
      <w:r w:rsidRPr="00850382">
        <w:rPr>
          <w:rFonts w:ascii="Arial" w:hAnsi="Arial" w:cs="Arial"/>
        </w:rPr>
        <w:t xml:space="preserve">. Organisations </w:t>
      </w:r>
      <w:r w:rsidR="00573EAA">
        <w:rPr>
          <w:rFonts w:ascii="Arial" w:hAnsi="Arial" w:cs="Arial"/>
        </w:rPr>
        <w:t>utilising</w:t>
      </w:r>
      <w:r w:rsidRPr="00850382">
        <w:rPr>
          <w:rFonts w:ascii="Arial" w:hAnsi="Arial" w:cs="Arial"/>
        </w:rPr>
        <w:t xml:space="preserve"> technology to improve event experiences by incorporating gamification and real-time interaction increase audience engagement (Getz and Page, 2024). Moreover, </w:t>
      </w:r>
      <w:r w:rsidR="00573EAA">
        <w:rPr>
          <w:rFonts w:ascii="Arial" w:hAnsi="Arial" w:cs="Arial"/>
        </w:rPr>
        <w:t>implementing</w:t>
      </w:r>
      <w:r w:rsidRPr="00850382">
        <w:rPr>
          <w:rFonts w:ascii="Arial" w:hAnsi="Arial" w:cs="Arial"/>
        </w:rPr>
        <w:t xml:space="preserve"> engagement models like co-creation, which involves attendees actively influencing the content of events, results in increased contentment (Richards, 2020). Event administrators must incorporate innovative strategies to guarantee that attendees derive value beyond mere participation as expectations for meaningful experiences continue to rise (Getz and Page, 2024).</w:t>
      </w:r>
    </w:p>
    <w:p w14:paraId="2217E262" w14:textId="77777777" w:rsidR="009E2896" w:rsidRDefault="009E2896" w:rsidP="00401BB3">
      <w:pPr>
        <w:spacing w:line="360" w:lineRule="auto"/>
        <w:jc w:val="both"/>
        <w:rPr>
          <w:rFonts w:ascii="Arial" w:hAnsi="Arial" w:cs="Arial"/>
        </w:rPr>
      </w:pPr>
    </w:p>
    <w:p w14:paraId="13972064" w14:textId="77777777" w:rsidR="000D3E69" w:rsidRDefault="000D3E69" w:rsidP="009E2896">
      <w:pPr>
        <w:spacing w:line="360" w:lineRule="auto"/>
        <w:jc w:val="both"/>
        <w:rPr>
          <w:rFonts w:ascii="Arial" w:hAnsi="Arial" w:cs="Arial"/>
          <w:b/>
          <w:bCs/>
          <w:u w:val="single"/>
        </w:rPr>
      </w:pPr>
    </w:p>
    <w:p w14:paraId="5073EEA2" w14:textId="77777777" w:rsidR="00F117A5" w:rsidRDefault="00F80DCE" w:rsidP="007243FE">
      <w:pPr>
        <w:spacing w:line="360" w:lineRule="auto"/>
        <w:jc w:val="both"/>
        <w:rPr>
          <w:rFonts w:ascii="Arial" w:hAnsi="Arial" w:cs="Arial"/>
        </w:rPr>
      </w:pPr>
      <w:r>
        <w:rPr>
          <w:noProof/>
        </w:rPr>
        <w:lastRenderedPageBreak/>
        <w:drawing>
          <wp:inline distT="0" distB="0" distL="0" distR="0" wp14:anchorId="23A4DEA6" wp14:editId="174FB934">
            <wp:extent cx="5943600" cy="3713480"/>
            <wp:effectExtent l="0" t="0" r="0" b="1270"/>
            <wp:docPr id="1914179612" name="Picture 6" descr="How to Motivate Yourself According to McClelland's Theory of Needs – School  of Sign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Motivate Yourself According to McClelland's Theory of Needs – School  of Sign Art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p>
    <w:p w14:paraId="0A968AB5" w14:textId="77777777" w:rsidR="00F117A5" w:rsidRPr="009E2896" w:rsidRDefault="00F117A5" w:rsidP="00F117A5">
      <w:pPr>
        <w:spacing w:line="360" w:lineRule="auto"/>
        <w:jc w:val="both"/>
        <w:rPr>
          <w:rFonts w:ascii="Arial" w:hAnsi="Arial" w:cs="Arial"/>
          <w:b/>
          <w:bCs/>
          <w:u w:val="single"/>
        </w:rPr>
      </w:pPr>
      <w:r w:rsidRPr="009E2896">
        <w:rPr>
          <w:rFonts w:ascii="Arial" w:hAnsi="Arial" w:cs="Arial"/>
          <w:b/>
          <w:bCs/>
          <w:u w:val="single"/>
        </w:rPr>
        <w:t>Need Theory in Event Management and Stakeholder Engagement</w:t>
      </w:r>
    </w:p>
    <w:p w14:paraId="6A84D81F" w14:textId="1C1B9096" w:rsidR="00E96BF7" w:rsidRDefault="001A00EB" w:rsidP="007243FE">
      <w:pPr>
        <w:spacing w:line="360" w:lineRule="auto"/>
        <w:jc w:val="both"/>
        <w:rPr>
          <w:rFonts w:ascii="Arial" w:hAnsi="Arial" w:cs="Arial"/>
        </w:rPr>
      </w:pPr>
      <w:r w:rsidRPr="001A00EB">
        <w:rPr>
          <w:rFonts w:ascii="Arial" w:hAnsi="Arial" w:cs="Arial"/>
        </w:rPr>
        <w:t xml:space="preserve">David McClelland's Theory of Needs (1960s) explains motivation in industrial contexts by regulating behaviour through achievement, power, and affiliation. </w:t>
      </w:r>
      <w:r w:rsidR="00E96BF7">
        <w:rPr>
          <w:rFonts w:ascii="Arial" w:hAnsi="Arial" w:cs="Arial"/>
        </w:rPr>
        <w:t>This theory helps stakeholder engagement</w:t>
      </w:r>
      <w:r w:rsidR="00E96BF7" w:rsidRPr="00E96BF7">
        <w:rPr>
          <w:rFonts w:ascii="Arial" w:hAnsi="Arial" w:cs="Arial"/>
        </w:rPr>
        <w:t xml:space="preserve"> in Hilton's 100th Anniversary event, which aligns participants, sponsors, and organisers to ensure a successful and impactful event</w:t>
      </w:r>
      <w:r w:rsidR="0020606E">
        <w:rPr>
          <w:rFonts w:ascii="Arial" w:hAnsi="Arial" w:cs="Arial"/>
        </w:rPr>
        <w:t xml:space="preserve"> </w:t>
      </w:r>
      <w:r w:rsidR="0020606E" w:rsidRPr="0020606E">
        <w:rPr>
          <w:rFonts w:ascii="Arial" w:hAnsi="Arial" w:cs="Arial"/>
        </w:rPr>
        <w:t>(Goldblatt, 2010)</w:t>
      </w:r>
      <w:r w:rsidR="00E96BF7" w:rsidRPr="00E96BF7">
        <w:rPr>
          <w:rFonts w:ascii="Arial" w:hAnsi="Arial" w:cs="Arial"/>
        </w:rPr>
        <w:t>.</w:t>
      </w:r>
    </w:p>
    <w:p w14:paraId="3228540F" w14:textId="751F0A49" w:rsidR="00F80DCE" w:rsidRPr="001A6584" w:rsidRDefault="009E2896" w:rsidP="001A6584">
      <w:pPr>
        <w:pStyle w:val="ListParagraph"/>
        <w:numPr>
          <w:ilvl w:val="0"/>
          <w:numId w:val="24"/>
        </w:numPr>
        <w:spacing w:line="360" w:lineRule="auto"/>
        <w:jc w:val="both"/>
        <w:rPr>
          <w:rFonts w:ascii="Arial" w:hAnsi="Arial" w:cs="Arial"/>
        </w:rPr>
      </w:pPr>
      <w:r w:rsidRPr="001A6584">
        <w:rPr>
          <w:rFonts w:ascii="Arial" w:hAnsi="Arial" w:cs="Arial"/>
          <w:u w:val="single"/>
        </w:rPr>
        <w:t>Achievement (Need for Success)</w:t>
      </w:r>
      <w:r w:rsidR="00F80DCE" w:rsidRPr="001A6584">
        <w:rPr>
          <w:rFonts w:ascii="Arial" w:hAnsi="Arial" w:cs="Arial"/>
          <w:b/>
          <w:bCs/>
        </w:rPr>
        <w:t xml:space="preserve"> </w:t>
      </w:r>
      <w:r w:rsidR="00F80DCE" w:rsidRPr="001A6584">
        <w:rPr>
          <w:rFonts w:ascii="Arial" w:hAnsi="Arial" w:cs="Arial"/>
        </w:rPr>
        <w:t>→</w:t>
      </w:r>
    </w:p>
    <w:p w14:paraId="357EEC19" w14:textId="466B46D6" w:rsidR="00735221" w:rsidRDefault="00735221" w:rsidP="001A6584">
      <w:pPr>
        <w:spacing w:line="360" w:lineRule="auto"/>
        <w:jc w:val="both"/>
        <w:rPr>
          <w:rFonts w:ascii="Arial" w:hAnsi="Arial" w:cs="Arial"/>
        </w:rPr>
      </w:pPr>
      <w:r w:rsidRPr="00735221">
        <w:rPr>
          <w:rFonts w:ascii="Arial" w:hAnsi="Arial" w:cs="Arial"/>
        </w:rPr>
        <w:t>Corporate sponsors</w:t>
      </w:r>
      <w:r w:rsidR="00F117A5">
        <w:rPr>
          <w:rFonts w:ascii="Arial" w:hAnsi="Arial" w:cs="Arial"/>
        </w:rPr>
        <w:t>, event partners, and</w:t>
      </w:r>
      <w:r w:rsidRPr="00735221">
        <w:rPr>
          <w:rFonts w:ascii="Arial" w:hAnsi="Arial" w:cs="Arial"/>
        </w:rPr>
        <w:t xml:space="preserve"> other stakeholders are motivated by brand awareness and CSR incentives. Participating in Hilton's DEI-oriented event helps them </w:t>
      </w:r>
      <w:r w:rsidR="00F117A5">
        <w:rPr>
          <w:rFonts w:ascii="Arial" w:hAnsi="Arial" w:cs="Arial"/>
        </w:rPr>
        <w:t>improve their industry reputation and market presence, which aligns</w:t>
      </w:r>
      <w:r w:rsidRPr="00735221">
        <w:rPr>
          <w:rFonts w:ascii="Arial" w:hAnsi="Arial" w:cs="Arial"/>
        </w:rPr>
        <w:t xml:space="preserve"> with studies on stakeholder cooperation in event portfolios (</w:t>
      </w:r>
      <w:proofErr w:type="spellStart"/>
      <w:r w:rsidRPr="00735221">
        <w:rPr>
          <w:rFonts w:ascii="Arial" w:hAnsi="Arial" w:cs="Arial"/>
        </w:rPr>
        <w:t>Antchak</w:t>
      </w:r>
      <w:proofErr w:type="spellEnd"/>
      <w:r w:rsidRPr="00735221">
        <w:rPr>
          <w:rFonts w:ascii="Arial" w:hAnsi="Arial" w:cs="Arial"/>
        </w:rPr>
        <w:t xml:space="preserve"> et al., 2019).</w:t>
      </w:r>
    </w:p>
    <w:p w14:paraId="743254F3" w14:textId="13CCDE75" w:rsidR="00F80DCE" w:rsidRDefault="009E2896" w:rsidP="009E2896">
      <w:pPr>
        <w:numPr>
          <w:ilvl w:val="0"/>
          <w:numId w:val="29"/>
        </w:numPr>
        <w:spacing w:line="360" w:lineRule="auto"/>
        <w:jc w:val="both"/>
        <w:rPr>
          <w:rFonts w:ascii="Arial" w:hAnsi="Arial" w:cs="Arial"/>
        </w:rPr>
      </w:pPr>
      <w:r w:rsidRPr="009E2896">
        <w:rPr>
          <w:rFonts w:ascii="Arial" w:hAnsi="Arial" w:cs="Arial"/>
          <w:u w:val="single"/>
        </w:rPr>
        <w:t>Affiliation (Need for Belonging)</w:t>
      </w:r>
      <w:r w:rsidR="00F80DCE">
        <w:rPr>
          <w:rFonts w:ascii="Arial" w:hAnsi="Arial" w:cs="Arial"/>
          <w:b/>
          <w:bCs/>
        </w:rPr>
        <w:t xml:space="preserve"> </w:t>
      </w:r>
      <w:r w:rsidR="00F80DCE" w:rsidRPr="0058514A">
        <w:rPr>
          <w:rFonts w:ascii="Arial" w:hAnsi="Arial" w:cs="Arial"/>
        </w:rPr>
        <w:t>→</w:t>
      </w:r>
    </w:p>
    <w:p w14:paraId="1382411E" w14:textId="0E192B60" w:rsidR="00B1191D" w:rsidRDefault="00B1191D" w:rsidP="00B1191D">
      <w:pPr>
        <w:spacing w:line="360" w:lineRule="auto"/>
        <w:jc w:val="both"/>
        <w:rPr>
          <w:rFonts w:ascii="Arial" w:hAnsi="Arial" w:cs="Arial"/>
        </w:rPr>
      </w:pPr>
      <w:r w:rsidRPr="00B1191D">
        <w:rPr>
          <w:rFonts w:ascii="Arial" w:hAnsi="Arial" w:cs="Arial"/>
        </w:rPr>
        <w:t xml:space="preserve">Attendees, speakers, and panellists </w:t>
      </w:r>
      <w:r w:rsidR="00F117A5">
        <w:rPr>
          <w:rFonts w:ascii="Arial" w:hAnsi="Arial" w:cs="Arial"/>
        </w:rPr>
        <w:t>seek</w:t>
      </w:r>
      <w:r w:rsidRPr="00B1191D">
        <w:rPr>
          <w:rFonts w:ascii="Arial" w:hAnsi="Arial" w:cs="Arial"/>
        </w:rPr>
        <w:t xml:space="preserve"> networking opportunities and meaningful engagement in industry debates. Developing AI-powered networking tools and hybrid interaction models promotes collaboration and inclusivity, a </w:t>
      </w:r>
      <w:r w:rsidR="00F03F71">
        <w:rPr>
          <w:rFonts w:ascii="Arial" w:hAnsi="Arial" w:cs="Arial"/>
        </w:rPr>
        <w:t>significant</w:t>
      </w:r>
      <w:r w:rsidRPr="00B1191D">
        <w:rPr>
          <w:rFonts w:ascii="Arial" w:hAnsi="Arial" w:cs="Arial"/>
        </w:rPr>
        <w:t xml:space="preserve"> component of stakeholder theory in event tourism (Niekerk &amp; Getz, 2019).</w:t>
      </w:r>
    </w:p>
    <w:p w14:paraId="1AF03AB8" w14:textId="11FC34CC" w:rsidR="009104F3" w:rsidRDefault="009E2896" w:rsidP="009E2896">
      <w:pPr>
        <w:numPr>
          <w:ilvl w:val="0"/>
          <w:numId w:val="29"/>
        </w:numPr>
        <w:spacing w:line="360" w:lineRule="auto"/>
        <w:jc w:val="both"/>
        <w:rPr>
          <w:rFonts w:ascii="Arial" w:hAnsi="Arial" w:cs="Arial"/>
        </w:rPr>
      </w:pPr>
      <w:r w:rsidRPr="009E2896">
        <w:rPr>
          <w:rFonts w:ascii="Arial" w:hAnsi="Arial" w:cs="Arial"/>
          <w:u w:val="single"/>
        </w:rPr>
        <w:lastRenderedPageBreak/>
        <w:t>Power (Need for Influence)</w:t>
      </w:r>
      <w:r w:rsidR="00F80DCE">
        <w:rPr>
          <w:rFonts w:ascii="Arial" w:hAnsi="Arial" w:cs="Arial"/>
          <w:b/>
          <w:bCs/>
        </w:rPr>
        <w:t xml:space="preserve"> </w:t>
      </w:r>
      <w:r w:rsidR="00F80DCE" w:rsidRPr="0058514A">
        <w:rPr>
          <w:rFonts w:ascii="Arial" w:hAnsi="Arial" w:cs="Arial"/>
        </w:rPr>
        <w:t>→</w:t>
      </w:r>
      <w:r w:rsidR="00F80DCE">
        <w:rPr>
          <w:rFonts w:ascii="Arial" w:hAnsi="Arial" w:cs="Arial"/>
        </w:rPr>
        <w:t xml:space="preserve"> </w:t>
      </w:r>
    </w:p>
    <w:p w14:paraId="0E4B8085" w14:textId="0FCEE63D" w:rsidR="009E2896" w:rsidRPr="00401BB3" w:rsidRDefault="00EC6991" w:rsidP="00401BB3">
      <w:pPr>
        <w:spacing w:line="360" w:lineRule="auto"/>
        <w:jc w:val="both"/>
        <w:rPr>
          <w:rFonts w:ascii="Arial" w:hAnsi="Arial" w:cs="Arial"/>
        </w:rPr>
      </w:pPr>
      <w:r w:rsidRPr="00EC6991">
        <w:rPr>
          <w:rFonts w:ascii="Arial" w:hAnsi="Arial" w:cs="Arial"/>
        </w:rPr>
        <w:t>Hilton executives and DEI advocates help to shape industry conversations and drive policy reforms. High-profile speakers and sponsors use their influence during the event to shape the future of hospitality inclusion, a key subject in stakeholder engagement research (Iandolo et al., 2024).</w:t>
      </w:r>
    </w:p>
    <w:sectPr w:rsidR="009E2896" w:rsidRPr="00401BB3" w:rsidSect="00AD4C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D3ED3" w14:textId="77777777" w:rsidR="000F0ADD" w:rsidRDefault="000F0ADD" w:rsidP="003219FD">
      <w:pPr>
        <w:spacing w:after="0" w:line="240" w:lineRule="auto"/>
      </w:pPr>
      <w:r>
        <w:separator/>
      </w:r>
    </w:p>
  </w:endnote>
  <w:endnote w:type="continuationSeparator" w:id="0">
    <w:p w14:paraId="67EB186D" w14:textId="77777777" w:rsidR="000F0ADD" w:rsidRDefault="000F0ADD" w:rsidP="00321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9005B" w14:textId="77777777" w:rsidR="000F0ADD" w:rsidRDefault="000F0ADD" w:rsidP="003219FD">
      <w:pPr>
        <w:spacing w:after="0" w:line="240" w:lineRule="auto"/>
      </w:pPr>
      <w:r>
        <w:separator/>
      </w:r>
    </w:p>
  </w:footnote>
  <w:footnote w:type="continuationSeparator" w:id="0">
    <w:p w14:paraId="7860B995" w14:textId="77777777" w:rsidR="000F0ADD" w:rsidRDefault="000F0ADD" w:rsidP="00321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FA3"/>
    <w:multiLevelType w:val="hybridMultilevel"/>
    <w:tmpl w:val="00F27B04"/>
    <w:lvl w:ilvl="0" w:tplc="E1B695A6">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0203E8"/>
    <w:multiLevelType w:val="multilevel"/>
    <w:tmpl w:val="AE220128"/>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9E119C"/>
    <w:multiLevelType w:val="multilevel"/>
    <w:tmpl w:val="DE6C583E"/>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8110A8E"/>
    <w:multiLevelType w:val="hybridMultilevel"/>
    <w:tmpl w:val="D67613F8"/>
    <w:lvl w:ilvl="0" w:tplc="1DBAB29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572C6"/>
    <w:multiLevelType w:val="multilevel"/>
    <w:tmpl w:val="1CB48C34"/>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C9A0052"/>
    <w:multiLevelType w:val="multilevel"/>
    <w:tmpl w:val="E4D67F46"/>
    <w:lvl w:ilvl="0">
      <w:start w:val="1"/>
      <w:numFmt w:val="bullet"/>
      <w:lvlText w:val="‐"/>
      <w:lvlJc w:val="left"/>
      <w:pPr>
        <w:tabs>
          <w:tab w:val="num" w:pos="360"/>
        </w:tabs>
        <w:ind w:left="360" w:hanging="360"/>
      </w:pPr>
      <w:rPr>
        <w:rFonts w:ascii="Raleway" w:hAnsi="Raleway"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4F33A35"/>
    <w:multiLevelType w:val="multilevel"/>
    <w:tmpl w:val="8A16D9C8"/>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59924FC"/>
    <w:multiLevelType w:val="multilevel"/>
    <w:tmpl w:val="A8507E12"/>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84342FD"/>
    <w:multiLevelType w:val="multilevel"/>
    <w:tmpl w:val="2E92EDFE"/>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E6A4E04"/>
    <w:multiLevelType w:val="multilevel"/>
    <w:tmpl w:val="11A8AB52"/>
    <w:lvl w:ilvl="0">
      <w:start w:val="1"/>
      <w:numFmt w:val="bullet"/>
      <w:lvlText w:val="‐"/>
      <w:lvlJc w:val="left"/>
      <w:pPr>
        <w:tabs>
          <w:tab w:val="num" w:pos="360"/>
        </w:tabs>
        <w:ind w:left="360" w:hanging="360"/>
      </w:pPr>
      <w:rPr>
        <w:rFonts w:ascii="Raleway" w:hAnsi="Raleway"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6F7631A"/>
    <w:multiLevelType w:val="multilevel"/>
    <w:tmpl w:val="E15AD902"/>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E6F5810"/>
    <w:multiLevelType w:val="multilevel"/>
    <w:tmpl w:val="83A6EEF4"/>
    <w:lvl w:ilvl="0">
      <w:start w:val="1"/>
      <w:numFmt w:val="bullet"/>
      <w:lvlText w:val="‐"/>
      <w:lvlJc w:val="left"/>
      <w:pPr>
        <w:tabs>
          <w:tab w:val="num" w:pos="720"/>
        </w:tabs>
        <w:ind w:left="720" w:hanging="360"/>
      </w:pPr>
      <w:rPr>
        <w:rFonts w:ascii="Raleway" w:hAnsi="Raleway"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182C40"/>
    <w:multiLevelType w:val="hybridMultilevel"/>
    <w:tmpl w:val="EFD6875C"/>
    <w:lvl w:ilvl="0" w:tplc="78A4B31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702C9"/>
    <w:multiLevelType w:val="hybridMultilevel"/>
    <w:tmpl w:val="74764390"/>
    <w:lvl w:ilvl="0" w:tplc="067AF9B6">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BF63ED"/>
    <w:multiLevelType w:val="multilevel"/>
    <w:tmpl w:val="27DC744E"/>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7B246A0"/>
    <w:multiLevelType w:val="multilevel"/>
    <w:tmpl w:val="482E8F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4B901396"/>
    <w:multiLevelType w:val="multilevel"/>
    <w:tmpl w:val="1618D668"/>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010447F"/>
    <w:multiLevelType w:val="multilevel"/>
    <w:tmpl w:val="3094EA06"/>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5154316"/>
    <w:multiLevelType w:val="multilevel"/>
    <w:tmpl w:val="D8B2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890478"/>
    <w:multiLevelType w:val="hybridMultilevel"/>
    <w:tmpl w:val="8A7C6220"/>
    <w:lvl w:ilvl="0" w:tplc="A07AD47A">
      <w:start w:val="1"/>
      <w:numFmt w:val="bullet"/>
      <w:lvlText w:val="‐"/>
      <w:lvlJc w:val="left"/>
      <w:pPr>
        <w:ind w:left="360" w:hanging="360"/>
      </w:pPr>
      <w:rPr>
        <w:rFonts w:ascii="Raleway" w:hAnsi="Raleway"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3141AD"/>
    <w:multiLevelType w:val="multilevel"/>
    <w:tmpl w:val="2C5050EA"/>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BDA72A5"/>
    <w:multiLevelType w:val="multilevel"/>
    <w:tmpl w:val="10FE2748"/>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D7B0EE5"/>
    <w:multiLevelType w:val="multilevel"/>
    <w:tmpl w:val="7A3856CC"/>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41E1930"/>
    <w:multiLevelType w:val="multilevel"/>
    <w:tmpl w:val="E10C25AA"/>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5C215EB"/>
    <w:multiLevelType w:val="multilevel"/>
    <w:tmpl w:val="843A2DC2"/>
    <w:lvl w:ilvl="0">
      <w:start w:val="1"/>
      <w:numFmt w:val="bullet"/>
      <w:lvlText w:val="‐"/>
      <w:lvlJc w:val="left"/>
      <w:pPr>
        <w:tabs>
          <w:tab w:val="num" w:pos="360"/>
        </w:tabs>
        <w:ind w:left="360" w:hanging="360"/>
      </w:pPr>
      <w:rPr>
        <w:rFonts w:ascii="Raleway" w:hAnsi="Raleway"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78F16C7"/>
    <w:multiLevelType w:val="multilevel"/>
    <w:tmpl w:val="8708E2EA"/>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727E1BE7"/>
    <w:multiLevelType w:val="multilevel"/>
    <w:tmpl w:val="8E8AB48E"/>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72D05EDE"/>
    <w:multiLevelType w:val="multilevel"/>
    <w:tmpl w:val="C7FED17C"/>
    <w:lvl w:ilvl="0">
      <w:start w:val="1"/>
      <w:numFmt w:val="bullet"/>
      <w:lvlText w:val="‐"/>
      <w:lvlJc w:val="left"/>
      <w:pPr>
        <w:tabs>
          <w:tab w:val="num" w:pos="360"/>
        </w:tabs>
        <w:ind w:left="360" w:hanging="360"/>
      </w:pPr>
      <w:rPr>
        <w:rFonts w:ascii="Raleway" w:hAnsi="Raleway"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78175EFF"/>
    <w:multiLevelType w:val="multilevel"/>
    <w:tmpl w:val="1F2660A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Raleway" w:hAnsi="Raleway"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5522074">
    <w:abstractNumId w:val="23"/>
  </w:num>
  <w:num w:numId="2" w16cid:durableId="119417462">
    <w:abstractNumId w:val="16"/>
  </w:num>
  <w:num w:numId="3" w16cid:durableId="2108960489">
    <w:abstractNumId w:val="6"/>
  </w:num>
  <w:num w:numId="4" w16cid:durableId="1533884416">
    <w:abstractNumId w:val="8"/>
  </w:num>
  <w:num w:numId="5" w16cid:durableId="398212229">
    <w:abstractNumId w:val="7"/>
  </w:num>
  <w:num w:numId="6" w16cid:durableId="571895779">
    <w:abstractNumId w:val="26"/>
  </w:num>
  <w:num w:numId="7" w16cid:durableId="92364118">
    <w:abstractNumId w:val="4"/>
  </w:num>
  <w:num w:numId="8" w16cid:durableId="2026662910">
    <w:abstractNumId w:val="15"/>
  </w:num>
  <w:num w:numId="9" w16cid:durableId="970939937">
    <w:abstractNumId w:val="25"/>
  </w:num>
  <w:num w:numId="10" w16cid:durableId="1161703653">
    <w:abstractNumId w:val="22"/>
  </w:num>
  <w:num w:numId="11" w16cid:durableId="1935431110">
    <w:abstractNumId w:val="1"/>
  </w:num>
  <w:num w:numId="12" w16cid:durableId="116534186">
    <w:abstractNumId w:val="14"/>
  </w:num>
  <w:num w:numId="13" w16cid:durableId="1713339026">
    <w:abstractNumId w:val="10"/>
  </w:num>
  <w:num w:numId="14" w16cid:durableId="1242716671">
    <w:abstractNumId w:val="24"/>
  </w:num>
  <w:num w:numId="15" w16cid:durableId="1144010430">
    <w:abstractNumId w:val="17"/>
  </w:num>
  <w:num w:numId="16" w16cid:durableId="122387182">
    <w:abstractNumId w:val="20"/>
  </w:num>
  <w:num w:numId="17" w16cid:durableId="1762601089">
    <w:abstractNumId w:val="21"/>
  </w:num>
  <w:num w:numId="18" w16cid:durableId="2035037061">
    <w:abstractNumId w:val="2"/>
  </w:num>
  <w:num w:numId="19" w16cid:durableId="1974213371">
    <w:abstractNumId w:val="9"/>
  </w:num>
  <w:num w:numId="20" w16cid:durableId="382562798">
    <w:abstractNumId w:val="0"/>
  </w:num>
  <w:num w:numId="21" w16cid:durableId="1797674828">
    <w:abstractNumId w:val="28"/>
  </w:num>
  <w:num w:numId="22" w16cid:durableId="144512030">
    <w:abstractNumId w:val="11"/>
  </w:num>
  <w:num w:numId="23" w16cid:durableId="933515754">
    <w:abstractNumId w:val="27"/>
  </w:num>
  <w:num w:numId="24" w16cid:durableId="1935630694">
    <w:abstractNumId w:val="19"/>
  </w:num>
  <w:num w:numId="25" w16cid:durableId="1814055133">
    <w:abstractNumId w:val="13"/>
  </w:num>
  <w:num w:numId="26" w16cid:durableId="112137425">
    <w:abstractNumId w:val="12"/>
  </w:num>
  <w:num w:numId="27" w16cid:durableId="1926643723">
    <w:abstractNumId w:val="3"/>
  </w:num>
  <w:num w:numId="28" w16cid:durableId="1297687879">
    <w:abstractNumId w:val="18"/>
  </w:num>
  <w:num w:numId="29" w16cid:durableId="193246706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1C8"/>
    <w:rsid w:val="00014833"/>
    <w:rsid w:val="0002154D"/>
    <w:rsid w:val="00032EAB"/>
    <w:rsid w:val="00035CF1"/>
    <w:rsid w:val="00044F93"/>
    <w:rsid w:val="00047EF4"/>
    <w:rsid w:val="000506C8"/>
    <w:rsid w:val="0005680E"/>
    <w:rsid w:val="00060BAF"/>
    <w:rsid w:val="0006448E"/>
    <w:rsid w:val="00081509"/>
    <w:rsid w:val="00086BDA"/>
    <w:rsid w:val="0009349B"/>
    <w:rsid w:val="000941D5"/>
    <w:rsid w:val="000B195A"/>
    <w:rsid w:val="000B64C4"/>
    <w:rsid w:val="000C5510"/>
    <w:rsid w:val="000C6160"/>
    <w:rsid w:val="000D1AC8"/>
    <w:rsid w:val="000D3E69"/>
    <w:rsid w:val="000D5E84"/>
    <w:rsid w:val="000D706B"/>
    <w:rsid w:val="000F0908"/>
    <w:rsid w:val="000F0A8B"/>
    <w:rsid w:val="000F0AC3"/>
    <w:rsid w:val="000F0ADD"/>
    <w:rsid w:val="000F456D"/>
    <w:rsid w:val="000F7A15"/>
    <w:rsid w:val="00114EA2"/>
    <w:rsid w:val="001514D7"/>
    <w:rsid w:val="00156E0D"/>
    <w:rsid w:val="001650CC"/>
    <w:rsid w:val="001744C1"/>
    <w:rsid w:val="00186E9E"/>
    <w:rsid w:val="001A00EB"/>
    <w:rsid w:val="001A329C"/>
    <w:rsid w:val="001A6584"/>
    <w:rsid w:val="001B2B8B"/>
    <w:rsid w:val="001B714E"/>
    <w:rsid w:val="001C240D"/>
    <w:rsid w:val="0020606E"/>
    <w:rsid w:val="002076FB"/>
    <w:rsid w:val="00215A9D"/>
    <w:rsid w:val="00217C2B"/>
    <w:rsid w:val="00221692"/>
    <w:rsid w:val="00230A67"/>
    <w:rsid w:val="002323DB"/>
    <w:rsid w:val="00232D0D"/>
    <w:rsid w:val="0024378D"/>
    <w:rsid w:val="00263EBC"/>
    <w:rsid w:val="00274281"/>
    <w:rsid w:val="002847D9"/>
    <w:rsid w:val="002956F0"/>
    <w:rsid w:val="002B5A53"/>
    <w:rsid w:val="002B696A"/>
    <w:rsid w:val="002B70C6"/>
    <w:rsid w:val="002B74BD"/>
    <w:rsid w:val="002C5241"/>
    <w:rsid w:val="002C75D0"/>
    <w:rsid w:val="002D0760"/>
    <w:rsid w:val="002D2392"/>
    <w:rsid w:val="002D4559"/>
    <w:rsid w:val="002D71F3"/>
    <w:rsid w:val="002E1596"/>
    <w:rsid w:val="002F7ACE"/>
    <w:rsid w:val="002F7E7A"/>
    <w:rsid w:val="00306D42"/>
    <w:rsid w:val="00307340"/>
    <w:rsid w:val="00307906"/>
    <w:rsid w:val="00316187"/>
    <w:rsid w:val="003219FD"/>
    <w:rsid w:val="00325F8D"/>
    <w:rsid w:val="00330F4F"/>
    <w:rsid w:val="003354E7"/>
    <w:rsid w:val="003563DF"/>
    <w:rsid w:val="00356D6E"/>
    <w:rsid w:val="00361161"/>
    <w:rsid w:val="00365D62"/>
    <w:rsid w:val="003813A3"/>
    <w:rsid w:val="0038734E"/>
    <w:rsid w:val="00394176"/>
    <w:rsid w:val="00394820"/>
    <w:rsid w:val="003A0E86"/>
    <w:rsid w:val="003A2361"/>
    <w:rsid w:val="003B34C1"/>
    <w:rsid w:val="003B5B40"/>
    <w:rsid w:val="003C78CE"/>
    <w:rsid w:val="003E4DC0"/>
    <w:rsid w:val="003F425B"/>
    <w:rsid w:val="00400741"/>
    <w:rsid w:val="00401BB3"/>
    <w:rsid w:val="00403813"/>
    <w:rsid w:val="004044B0"/>
    <w:rsid w:val="00406B57"/>
    <w:rsid w:val="00433BAB"/>
    <w:rsid w:val="00433E60"/>
    <w:rsid w:val="0043413F"/>
    <w:rsid w:val="00444F2D"/>
    <w:rsid w:val="004538B9"/>
    <w:rsid w:val="004539EA"/>
    <w:rsid w:val="00456E02"/>
    <w:rsid w:val="00457505"/>
    <w:rsid w:val="00480513"/>
    <w:rsid w:val="00480909"/>
    <w:rsid w:val="00480B0B"/>
    <w:rsid w:val="00490754"/>
    <w:rsid w:val="004A31E6"/>
    <w:rsid w:val="004A500B"/>
    <w:rsid w:val="004B1437"/>
    <w:rsid w:val="004D340C"/>
    <w:rsid w:val="004E269E"/>
    <w:rsid w:val="004F55AB"/>
    <w:rsid w:val="00501764"/>
    <w:rsid w:val="00523CDA"/>
    <w:rsid w:val="00533379"/>
    <w:rsid w:val="005357F3"/>
    <w:rsid w:val="00542C09"/>
    <w:rsid w:val="0054622E"/>
    <w:rsid w:val="00554CC2"/>
    <w:rsid w:val="00573EAA"/>
    <w:rsid w:val="00576A56"/>
    <w:rsid w:val="005843F2"/>
    <w:rsid w:val="0058514A"/>
    <w:rsid w:val="0058542B"/>
    <w:rsid w:val="005B0B53"/>
    <w:rsid w:val="005B5EF5"/>
    <w:rsid w:val="005D0FE3"/>
    <w:rsid w:val="005F0579"/>
    <w:rsid w:val="005F0B90"/>
    <w:rsid w:val="005F4081"/>
    <w:rsid w:val="00602992"/>
    <w:rsid w:val="00605897"/>
    <w:rsid w:val="00605D02"/>
    <w:rsid w:val="006163E1"/>
    <w:rsid w:val="006265D8"/>
    <w:rsid w:val="0062707B"/>
    <w:rsid w:val="0063465B"/>
    <w:rsid w:val="00654EA5"/>
    <w:rsid w:val="00677125"/>
    <w:rsid w:val="006954D1"/>
    <w:rsid w:val="006A04BE"/>
    <w:rsid w:val="006B1072"/>
    <w:rsid w:val="006C1EE6"/>
    <w:rsid w:val="006E1D65"/>
    <w:rsid w:val="006F3EA8"/>
    <w:rsid w:val="007131A2"/>
    <w:rsid w:val="00714BC7"/>
    <w:rsid w:val="00721EC5"/>
    <w:rsid w:val="007243FE"/>
    <w:rsid w:val="00730FAE"/>
    <w:rsid w:val="007342E9"/>
    <w:rsid w:val="00735221"/>
    <w:rsid w:val="00736F9C"/>
    <w:rsid w:val="00741E20"/>
    <w:rsid w:val="007508A2"/>
    <w:rsid w:val="007518C9"/>
    <w:rsid w:val="0075437C"/>
    <w:rsid w:val="00757134"/>
    <w:rsid w:val="0077477E"/>
    <w:rsid w:val="00785B93"/>
    <w:rsid w:val="00795423"/>
    <w:rsid w:val="007A65AC"/>
    <w:rsid w:val="007D421D"/>
    <w:rsid w:val="007F3DC7"/>
    <w:rsid w:val="007F49EF"/>
    <w:rsid w:val="008063DE"/>
    <w:rsid w:val="00806657"/>
    <w:rsid w:val="008128B0"/>
    <w:rsid w:val="00814BC4"/>
    <w:rsid w:val="00822BC1"/>
    <w:rsid w:val="008267B3"/>
    <w:rsid w:val="00832496"/>
    <w:rsid w:val="00840DD8"/>
    <w:rsid w:val="00850382"/>
    <w:rsid w:val="00850C37"/>
    <w:rsid w:val="0086479A"/>
    <w:rsid w:val="00883D7C"/>
    <w:rsid w:val="008913D1"/>
    <w:rsid w:val="008C3EEE"/>
    <w:rsid w:val="008E54A9"/>
    <w:rsid w:val="008F21C9"/>
    <w:rsid w:val="008F7B15"/>
    <w:rsid w:val="0090463C"/>
    <w:rsid w:val="00907940"/>
    <w:rsid w:val="009104F3"/>
    <w:rsid w:val="00915C4B"/>
    <w:rsid w:val="00922603"/>
    <w:rsid w:val="00922CE2"/>
    <w:rsid w:val="00933EE0"/>
    <w:rsid w:val="00941B6D"/>
    <w:rsid w:val="0094405B"/>
    <w:rsid w:val="009609B0"/>
    <w:rsid w:val="0096635E"/>
    <w:rsid w:val="0097227A"/>
    <w:rsid w:val="009742F8"/>
    <w:rsid w:val="00975648"/>
    <w:rsid w:val="009A57C2"/>
    <w:rsid w:val="009C3F00"/>
    <w:rsid w:val="009E2896"/>
    <w:rsid w:val="009F4DBB"/>
    <w:rsid w:val="00A02247"/>
    <w:rsid w:val="00A02372"/>
    <w:rsid w:val="00A157B1"/>
    <w:rsid w:val="00A30A14"/>
    <w:rsid w:val="00A323A1"/>
    <w:rsid w:val="00A46B76"/>
    <w:rsid w:val="00A55569"/>
    <w:rsid w:val="00A63796"/>
    <w:rsid w:val="00A64E9A"/>
    <w:rsid w:val="00A66F6C"/>
    <w:rsid w:val="00A71ABF"/>
    <w:rsid w:val="00A7486A"/>
    <w:rsid w:val="00A75458"/>
    <w:rsid w:val="00A8058D"/>
    <w:rsid w:val="00A919F3"/>
    <w:rsid w:val="00AA2998"/>
    <w:rsid w:val="00AA5D59"/>
    <w:rsid w:val="00AD4CBD"/>
    <w:rsid w:val="00AD6DE4"/>
    <w:rsid w:val="00AD76E3"/>
    <w:rsid w:val="00AE02CC"/>
    <w:rsid w:val="00AE7405"/>
    <w:rsid w:val="00AF4853"/>
    <w:rsid w:val="00B03771"/>
    <w:rsid w:val="00B102F9"/>
    <w:rsid w:val="00B1191D"/>
    <w:rsid w:val="00B17A49"/>
    <w:rsid w:val="00B20D45"/>
    <w:rsid w:val="00B268C9"/>
    <w:rsid w:val="00B305A9"/>
    <w:rsid w:val="00B33830"/>
    <w:rsid w:val="00B42353"/>
    <w:rsid w:val="00B42DFE"/>
    <w:rsid w:val="00B5099A"/>
    <w:rsid w:val="00B603F3"/>
    <w:rsid w:val="00B70B5C"/>
    <w:rsid w:val="00B71097"/>
    <w:rsid w:val="00B74C75"/>
    <w:rsid w:val="00B946AF"/>
    <w:rsid w:val="00BA4B5F"/>
    <w:rsid w:val="00BB0A4E"/>
    <w:rsid w:val="00BB1FDC"/>
    <w:rsid w:val="00BB59F8"/>
    <w:rsid w:val="00BC1A82"/>
    <w:rsid w:val="00BC36EF"/>
    <w:rsid w:val="00BE79B0"/>
    <w:rsid w:val="00BF67E5"/>
    <w:rsid w:val="00C21756"/>
    <w:rsid w:val="00C22281"/>
    <w:rsid w:val="00C250E0"/>
    <w:rsid w:val="00C31640"/>
    <w:rsid w:val="00C473A5"/>
    <w:rsid w:val="00C52171"/>
    <w:rsid w:val="00C56618"/>
    <w:rsid w:val="00C57F64"/>
    <w:rsid w:val="00C61E9C"/>
    <w:rsid w:val="00C70D63"/>
    <w:rsid w:val="00C75CCF"/>
    <w:rsid w:val="00C854F1"/>
    <w:rsid w:val="00C92EE6"/>
    <w:rsid w:val="00CB3937"/>
    <w:rsid w:val="00CD07BE"/>
    <w:rsid w:val="00CD7FB2"/>
    <w:rsid w:val="00CE454C"/>
    <w:rsid w:val="00CF4DCC"/>
    <w:rsid w:val="00D10C75"/>
    <w:rsid w:val="00D13D64"/>
    <w:rsid w:val="00D17CB3"/>
    <w:rsid w:val="00D275D2"/>
    <w:rsid w:val="00D41909"/>
    <w:rsid w:val="00D521C8"/>
    <w:rsid w:val="00D535C0"/>
    <w:rsid w:val="00D53F3B"/>
    <w:rsid w:val="00D562EA"/>
    <w:rsid w:val="00D73A3A"/>
    <w:rsid w:val="00D8612C"/>
    <w:rsid w:val="00D95952"/>
    <w:rsid w:val="00D977D4"/>
    <w:rsid w:val="00DA2103"/>
    <w:rsid w:val="00DB3606"/>
    <w:rsid w:val="00DC679F"/>
    <w:rsid w:val="00DD116F"/>
    <w:rsid w:val="00DD2EE3"/>
    <w:rsid w:val="00DE158F"/>
    <w:rsid w:val="00DF0BEF"/>
    <w:rsid w:val="00DF18F6"/>
    <w:rsid w:val="00DF2C11"/>
    <w:rsid w:val="00DF6137"/>
    <w:rsid w:val="00E16DC2"/>
    <w:rsid w:val="00E264FF"/>
    <w:rsid w:val="00E316CE"/>
    <w:rsid w:val="00E42AA2"/>
    <w:rsid w:val="00E67B37"/>
    <w:rsid w:val="00E72723"/>
    <w:rsid w:val="00E73875"/>
    <w:rsid w:val="00E7462C"/>
    <w:rsid w:val="00E81B8C"/>
    <w:rsid w:val="00E8212D"/>
    <w:rsid w:val="00E94B6F"/>
    <w:rsid w:val="00E96BF7"/>
    <w:rsid w:val="00EA11E5"/>
    <w:rsid w:val="00EB19E4"/>
    <w:rsid w:val="00EC6991"/>
    <w:rsid w:val="00EF761B"/>
    <w:rsid w:val="00F036B3"/>
    <w:rsid w:val="00F03F71"/>
    <w:rsid w:val="00F05CA8"/>
    <w:rsid w:val="00F117A5"/>
    <w:rsid w:val="00F12EBB"/>
    <w:rsid w:val="00F13EC0"/>
    <w:rsid w:val="00F20060"/>
    <w:rsid w:val="00F21EC5"/>
    <w:rsid w:val="00F221F4"/>
    <w:rsid w:val="00F23AA5"/>
    <w:rsid w:val="00F27D49"/>
    <w:rsid w:val="00F4017A"/>
    <w:rsid w:val="00F452C6"/>
    <w:rsid w:val="00F45476"/>
    <w:rsid w:val="00F773F0"/>
    <w:rsid w:val="00F80DCE"/>
    <w:rsid w:val="00F85BCE"/>
    <w:rsid w:val="00F97CC3"/>
    <w:rsid w:val="00FA7502"/>
    <w:rsid w:val="00FB0193"/>
    <w:rsid w:val="00FC4CE3"/>
    <w:rsid w:val="00FC73D8"/>
    <w:rsid w:val="00FD31F7"/>
    <w:rsid w:val="00FE041D"/>
    <w:rsid w:val="00FF08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88E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40"/>
  </w:style>
  <w:style w:type="paragraph" w:styleId="Heading1">
    <w:name w:val="heading 1"/>
    <w:basedOn w:val="Normal"/>
    <w:next w:val="Normal"/>
    <w:link w:val="Heading1Char"/>
    <w:uiPriority w:val="9"/>
    <w:qFormat/>
    <w:rsid w:val="00D52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2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2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2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2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2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2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2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2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2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2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2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1C8"/>
    <w:rPr>
      <w:rFonts w:eastAsiaTheme="majorEastAsia" w:cstheme="majorBidi"/>
      <w:color w:val="272727" w:themeColor="text1" w:themeTint="D8"/>
    </w:rPr>
  </w:style>
  <w:style w:type="paragraph" w:styleId="Title">
    <w:name w:val="Title"/>
    <w:basedOn w:val="Normal"/>
    <w:next w:val="Normal"/>
    <w:link w:val="TitleChar"/>
    <w:uiPriority w:val="10"/>
    <w:qFormat/>
    <w:rsid w:val="00D52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1C8"/>
    <w:pPr>
      <w:spacing w:before="160"/>
      <w:jc w:val="center"/>
    </w:pPr>
    <w:rPr>
      <w:i/>
      <w:iCs/>
      <w:color w:val="404040" w:themeColor="text1" w:themeTint="BF"/>
    </w:rPr>
  </w:style>
  <w:style w:type="character" w:customStyle="1" w:styleId="QuoteChar">
    <w:name w:val="Quote Char"/>
    <w:basedOn w:val="DefaultParagraphFont"/>
    <w:link w:val="Quote"/>
    <w:uiPriority w:val="29"/>
    <w:rsid w:val="00D521C8"/>
    <w:rPr>
      <w:i/>
      <w:iCs/>
      <w:color w:val="404040" w:themeColor="text1" w:themeTint="BF"/>
    </w:rPr>
  </w:style>
  <w:style w:type="paragraph" w:styleId="ListParagraph">
    <w:name w:val="List Paragraph"/>
    <w:basedOn w:val="Normal"/>
    <w:uiPriority w:val="34"/>
    <w:qFormat/>
    <w:rsid w:val="00D521C8"/>
    <w:pPr>
      <w:ind w:left="720"/>
      <w:contextualSpacing/>
    </w:pPr>
  </w:style>
  <w:style w:type="character" w:styleId="IntenseEmphasis">
    <w:name w:val="Intense Emphasis"/>
    <w:basedOn w:val="DefaultParagraphFont"/>
    <w:uiPriority w:val="21"/>
    <w:qFormat/>
    <w:rsid w:val="00D521C8"/>
    <w:rPr>
      <w:i/>
      <w:iCs/>
      <w:color w:val="0F4761" w:themeColor="accent1" w:themeShade="BF"/>
    </w:rPr>
  </w:style>
  <w:style w:type="paragraph" w:styleId="IntenseQuote">
    <w:name w:val="Intense Quote"/>
    <w:basedOn w:val="Normal"/>
    <w:next w:val="Normal"/>
    <w:link w:val="IntenseQuoteChar"/>
    <w:uiPriority w:val="30"/>
    <w:qFormat/>
    <w:rsid w:val="00D52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21C8"/>
    <w:rPr>
      <w:i/>
      <w:iCs/>
      <w:color w:val="0F4761" w:themeColor="accent1" w:themeShade="BF"/>
    </w:rPr>
  </w:style>
  <w:style w:type="character" w:styleId="IntenseReference">
    <w:name w:val="Intense Reference"/>
    <w:basedOn w:val="DefaultParagraphFont"/>
    <w:uiPriority w:val="32"/>
    <w:qFormat/>
    <w:rsid w:val="00D521C8"/>
    <w:rPr>
      <w:b/>
      <w:bCs/>
      <w:smallCaps/>
      <w:color w:val="0F4761" w:themeColor="accent1" w:themeShade="BF"/>
      <w:spacing w:val="5"/>
    </w:rPr>
  </w:style>
  <w:style w:type="character" w:styleId="Hyperlink">
    <w:name w:val="Hyperlink"/>
    <w:basedOn w:val="DefaultParagraphFont"/>
    <w:uiPriority w:val="99"/>
    <w:unhideWhenUsed/>
    <w:rsid w:val="005D0FE3"/>
    <w:rPr>
      <w:color w:val="467886" w:themeColor="hyperlink"/>
      <w:u w:val="single"/>
    </w:rPr>
  </w:style>
  <w:style w:type="character" w:styleId="UnresolvedMention">
    <w:name w:val="Unresolved Mention"/>
    <w:basedOn w:val="DefaultParagraphFont"/>
    <w:uiPriority w:val="99"/>
    <w:semiHidden/>
    <w:unhideWhenUsed/>
    <w:rsid w:val="005D0FE3"/>
    <w:rPr>
      <w:color w:val="605E5C"/>
      <w:shd w:val="clear" w:color="auto" w:fill="E1DFDD"/>
    </w:rPr>
  </w:style>
  <w:style w:type="paragraph" w:styleId="NormalWeb">
    <w:name w:val="Normal (Web)"/>
    <w:basedOn w:val="Normal"/>
    <w:uiPriority w:val="99"/>
    <w:unhideWhenUsed/>
    <w:rsid w:val="005D0FE3"/>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Emphasis">
    <w:name w:val="Emphasis"/>
    <w:basedOn w:val="DefaultParagraphFont"/>
    <w:uiPriority w:val="20"/>
    <w:qFormat/>
    <w:rsid w:val="005D0FE3"/>
    <w:rPr>
      <w:i/>
      <w:iCs/>
    </w:rPr>
  </w:style>
  <w:style w:type="character" w:styleId="FollowedHyperlink">
    <w:name w:val="FollowedHyperlink"/>
    <w:basedOn w:val="DefaultParagraphFont"/>
    <w:uiPriority w:val="99"/>
    <w:semiHidden/>
    <w:unhideWhenUsed/>
    <w:rsid w:val="005D0FE3"/>
    <w:rPr>
      <w:color w:val="96607D" w:themeColor="followedHyperlink"/>
      <w:u w:val="single"/>
    </w:rPr>
  </w:style>
  <w:style w:type="paragraph" w:styleId="Header">
    <w:name w:val="header"/>
    <w:basedOn w:val="Normal"/>
    <w:link w:val="HeaderChar"/>
    <w:uiPriority w:val="99"/>
    <w:unhideWhenUsed/>
    <w:rsid w:val="00321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9FD"/>
  </w:style>
  <w:style w:type="paragraph" w:styleId="Footer">
    <w:name w:val="footer"/>
    <w:basedOn w:val="Normal"/>
    <w:link w:val="FooterChar"/>
    <w:uiPriority w:val="99"/>
    <w:unhideWhenUsed/>
    <w:rsid w:val="00321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9FD"/>
  </w:style>
  <w:style w:type="table" w:styleId="TableGrid">
    <w:name w:val="Table Grid"/>
    <w:basedOn w:val="TableNormal"/>
    <w:uiPriority w:val="39"/>
    <w:rsid w:val="002B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B74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2C75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0327">
      <w:bodyDiv w:val="1"/>
      <w:marLeft w:val="0"/>
      <w:marRight w:val="0"/>
      <w:marTop w:val="0"/>
      <w:marBottom w:val="0"/>
      <w:divBdr>
        <w:top w:val="none" w:sz="0" w:space="0" w:color="auto"/>
        <w:left w:val="none" w:sz="0" w:space="0" w:color="auto"/>
        <w:bottom w:val="none" w:sz="0" w:space="0" w:color="auto"/>
        <w:right w:val="none" w:sz="0" w:space="0" w:color="auto"/>
      </w:divBdr>
    </w:div>
    <w:div w:id="64184666">
      <w:bodyDiv w:val="1"/>
      <w:marLeft w:val="0"/>
      <w:marRight w:val="0"/>
      <w:marTop w:val="0"/>
      <w:marBottom w:val="0"/>
      <w:divBdr>
        <w:top w:val="none" w:sz="0" w:space="0" w:color="auto"/>
        <w:left w:val="none" w:sz="0" w:space="0" w:color="auto"/>
        <w:bottom w:val="none" w:sz="0" w:space="0" w:color="auto"/>
        <w:right w:val="none" w:sz="0" w:space="0" w:color="auto"/>
      </w:divBdr>
    </w:div>
    <w:div w:id="126170642">
      <w:bodyDiv w:val="1"/>
      <w:marLeft w:val="0"/>
      <w:marRight w:val="0"/>
      <w:marTop w:val="0"/>
      <w:marBottom w:val="0"/>
      <w:divBdr>
        <w:top w:val="none" w:sz="0" w:space="0" w:color="auto"/>
        <w:left w:val="none" w:sz="0" w:space="0" w:color="auto"/>
        <w:bottom w:val="none" w:sz="0" w:space="0" w:color="auto"/>
        <w:right w:val="none" w:sz="0" w:space="0" w:color="auto"/>
      </w:divBdr>
    </w:div>
    <w:div w:id="127017051">
      <w:bodyDiv w:val="1"/>
      <w:marLeft w:val="0"/>
      <w:marRight w:val="0"/>
      <w:marTop w:val="0"/>
      <w:marBottom w:val="0"/>
      <w:divBdr>
        <w:top w:val="none" w:sz="0" w:space="0" w:color="auto"/>
        <w:left w:val="none" w:sz="0" w:space="0" w:color="auto"/>
        <w:bottom w:val="none" w:sz="0" w:space="0" w:color="auto"/>
        <w:right w:val="none" w:sz="0" w:space="0" w:color="auto"/>
      </w:divBdr>
    </w:div>
    <w:div w:id="130829640">
      <w:bodyDiv w:val="1"/>
      <w:marLeft w:val="0"/>
      <w:marRight w:val="0"/>
      <w:marTop w:val="0"/>
      <w:marBottom w:val="0"/>
      <w:divBdr>
        <w:top w:val="none" w:sz="0" w:space="0" w:color="auto"/>
        <w:left w:val="none" w:sz="0" w:space="0" w:color="auto"/>
        <w:bottom w:val="none" w:sz="0" w:space="0" w:color="auto"/>
        <w:right w:val="none" w:sz="0" w:space="0" w:color="auto"/>
      </w:divBdr>
    </w:div>
    <w:div w:id="175072187">
      <w:bodyDiv w:val="1"/>
      <w:marLeft w:val="0"/>
      <w:marRight w:val="0"/>
      <w:marTop w:val="0"/>
      <w:marBottom w:val="0"/>
      <w:divBdr>
        <w:top w:val="none" w:sz="0" w:space="0" w:color="auto"/>
        <w:left w:val="none" w:sz="0" w:space="0" w:color="auto"/>
        <w:bottom w:val="none" w:sz="0" w:space="0" w:color="auto"/>
        <w:right w:val="none" w:sz="0" w:space="0" w:color="auto"/>
      </w:divBdr>
    </w:div>
    <w:div w:id="177890243">
      <w:bodyDiv w:val="1"/>
      <w:marLeft w:val="0"/>
      <w:marRight w:val="0"/>
      <w:marTop w:val="0"/>
      <w:marBottom w:val="0"/>
      <w:divBdr>
        <w:top w:val="none" w:sz="0" w:space="0" w:color="auto"/>
        <w:left w:val="none" w:sz="0" w:space="0" w:color="auto"/>
        <w:bottom w:val="none" w:sz="0" w:space="0" w:color="auto"/>
        <w:right w:val="none" w:sz="0" w:space="0" w:color="auto"/>
      </w:divBdr>
    </w:div>
    <w:div w:id="218051658">
      <w:bodyDiv w:val="1"/>
      <w:marLeft w:val="0"/>
      <w:marRight w:val="0"/>
      <w:marTop w:val="0"/>
      <w:marBottom w:val="0"/>
      <w:divBdr>
        <w:top w:val="none" w:sz="0" w:space="0" w:color="auto"/>
        <w:left w:val="none" w:sz="0" w:space="0" w:color="auto"/>
        <w:bottom w:val="none" w:sz="0" w:space="0" w:color="auto"/>
        <w:right w:val="none" w:sz="0" w:space="0" w:color="auto"/>
      </w:divBdr>
    </w:div>
    <w:div w:id="223682421">
      <w:bodyDiv w:val="1"/>
      <w:marLeft w:val="0"/>
      <w:marRight w:val="0"/>
      <w:marTop w:val="0"/>
      <w:marBottom w:val="0"/>
      <w:divBdr>
        <w:top w:val="none" w:sz="0" w:space="0" w:color="auto"/>
        <w:left w:val="none" w:sz="0" w:space="0" w:color="auto"/>
        <w:bottom w:val="none" w:sz="0" w:space="0" w:color="auto"/>
        <w:right w:val="none" w:sz="0" w:space="0" w:color="auto"/>
      </w:divBdr>
    </w:div>
    <w:div w:id="289173036">
      <w:bodyDiv w:val="1"/>
      <w:marLeft w:val="0"/>
      <w:marRight w:val="0"/>
      <w:marTop w:val="0"/>
      <w:marBottom w:val="0"/>
      <w:divBdr>
        <w:top w:val="none" w:sz="0" w:space="0" w:color="auto"/>
        <w:left w:val="none" w:sz="0" w:space="0" w:color="auto"/>
        <w:bottom w:val="none" w:sz="0" w:space="0" w:color="auto"/>
        <w:right w:val="none" w:sz="0" w:space="0" w:color="auto"/>
      </w:divBdr>
    </w:div>
    <w:div w:id="336811767">
      <w:bodyDiv w:val="1"/>
      <w:marLeft w:val="0"/>
      <w:marRight w:val="0"/>
      <w:marTop w:val="0"/>
      <w:marBottom w:val="0"/>
      <w:divBdr>
        <w:top w:val="none" w:sz="0" w:space="0" w:color="auto"/>
        <w:left w:val="none" w:sz="0" w:space="0" w:color="auto"/>
        <w:bottom w:val="none" w:sz="0" w:space="0" w:color="auto"/>
        <w:right w:val="none" w:sz="0" w:space="0" w:color="auto"/>
      </w:divBdr>
    </w:div>
    <w:div w:id="342589295">
      <w:bodyDiv w:val="1"/>
      <w:marLeft w:val="0"/>
      <w:marRight w:val="0"/>
      <w:marTop w:val="0"/>
      <w:marBottom w:val="0"/>
      <w:divBdr>
        <w:top w:val="none" w:sz="0" w:space="0" w:color="auto"/>
        <w:left w:val="none" w:sz="0" w:space="0" w:color="auto"/>
        <w:bottom w:val="none" w:sz="0" w:space="0" w:color="auto"/>
        <w:right w:val="none" w:sz="0" w:space="0" w:color="auto"/>
      </w:divBdr>
    </w:div>
    <w:div w:id="449133371">
      <w:bodyDiv w:val="1"/>
      <w:marLeft w:val="0"/>
      <w:marRight w:val="0"/>
      <w:marTop w:val="0"/>
      <w:marBottom w:val="0"/>
      <w:divBdr>
        <w:top w:val="none" w:sz="0" w:space="0" w:color="auto"/>
        <w:left w:val="none" w:sz="0" w:space="0" w:color="auto"/>
        <w:bottom w:val="none" w:sz="0" w:space="0" w:color="auto"/>
        <w:right w:val="none" w:sz="0" w:space="0" w:color="auto"/>
      </w:divBdr>
    </w:div>
    <w:div w:id="458883800">
      <w:bodyDiv w:val="1"/>
      <w:marLeft w:val="0"/>
      <w:marRight w:val="0"/>
      <w:marTop w:val="0"/>
      <w:marBottom w:val="0"/>
      <w:divBdr>
        <w:top w:val="none" w:sz="0" w:space="0" w:color="auto"/>
        <w:left w:val="none" w:sz="0" w:space="0" w:color="auto"/>
        <w:bottom w:val="none" w:sz="0" w:space="0" w:color="auto"/>
        <w:right w:val="none" w:sz="0" w:space="0" w:color="auto"/>
      </w:divBdr>
    </w:div>
    <w:div w:id="459569990">
      <w:bodyDiv w:val="1"/>
      <w:marLeft w:val="0"/>
      <w:marRight w:val="0"/>
      <w:marTop w:val="0"/>
      <w:marBottom w:val="0"/>
      <w:divBdr>
        <w:top w:val="none" w:sz="0" w:space="0" w:color="auto"/>
        <w:left w:val="none" w:sz="0" w:space="0" w:color="auto"/>
        <w:bottom w:val="none" w:sz="0" w:space="0" w:color="auto"/>
        <w:right w:val="none" w:sz="0" w:space="0" w:color="auto"/>
      </w:divBdr>
    </w:div>
    <w:div w:id="500195833">
      <w:bodyDiv w:val="1"/>
      <w:marLeft w:val="0"/>
      <w:marRight w:val="0"/>
      <w:marTop w:val="0"/>
      <w:marBottom w:val="0"/>
      <w:divBdr>
        <w:top w:val="none" w:sz="0" w:space="0" w:color="auto"/>
        <w:left w:val="none" w:sz="0" w:space="0" w:color="auto"/>
        <w:bottom w:val="none" w:sz="0" w:space="0" w:color="auto"/>
        <w:right w:val="none" w:sz="0" w:space="0" w:color="auto"/>
      </w:divBdr>
    </w:div>
    <w:div w:id="529950173">
      <w:bodyDiv w:val="1"/>
      <w:marLeft w:val="0"/>
      <w:marRight w:val="0"/>
      <w:marTop w:val="0"/>
      <w:marBottom w:val="0"/>
      <w:divBdr>
        <w:top w:val="none" w:sz="0" w:space="0" w:color="auto"/>
        <w:left w:val="none" w:sz="0" w:space="0" w:color="auto"/>
        <w:bottom w:val="none" w:sz="0" w:space="0" w:color="auto"/>
        <w:right w:val="none" w:sz="0" w:space="0" w:color="auto"/>
      </w:divBdr>
    </w:div>
    <w:div w:id="530723233">
      <w:bodyDiv w:val="1"/>
      <w:marLeft w:val="0"/>
      <w:marRight w:val="0"/>
      <w:marTop w:val="0"/>
      <w:marBottom w:val="0"/>
      <w:divBdr>
        <w:top w:val="none" w:sz="0" w:space="0" w:color="auto"/>
        <w:left w:val="none" w:sz="0" w:space="0" w:color="auto"/>
        <w:bottom w:val="none" w:sz="0" w:space="0" w:color="auto"/>
        <w:right w:val="none" w:sz="0" w:space="0" w:color="auto"/>
      </w:divBdr>
    </w:div>
    <w:div w:id="546722279">
      <w:bodyDiv w:val="1"/>
      <w:marLeft w:val="0"/>
      <w:marRight w:val="0"/>
      <w:marTop w:val="0"/>
      <w:marBottom w:val="0"/>
      <w:divBdr>
        <w:top w:val="none" w:sz="0" w:space="0" w:color="auto"/>
        <w:left w:val="none" w:sz="0" w:space="0" w:color="auto"/>
        <w:bottom w:val="none" w:sz="0" w:space="0" w:color="auto"/>
        <w:right w:val="none" w:sz="0" w:space="0" w:color="auto"/>
      </w:divBdr>
    </w:div>
    <w:div w:id="615912563">
      <w:bodyDiv w:val="1"/>
      <w:marLeft w:val="0"/>
      <w:marRight w:val="0"/>
      <w:marTop w:val="0"/>
      <w:marBottom w:val="0"/>
      <w:divBdr>
        <w:top w:val="none" w:sz="0" w:space="0" w:color="auto"/>
        <w:left w:val="none" w:sz="0" w:space="0" w:color="auto"/>
        <w:bottom w:val="none" w:sz="0" w:space="0" w:color="auto"/>
        <w:right w:val="none" w:sz="0" w:space="0" w:color="auto"/>
      </w:divBdr>
    </w:div>
    <w:div w:id="693730751">
      <w:bodyDiv w:val="1"/>
      <w:marLeft w:val="0"/>
      <w:marRight w:val="0"/>
      <w:marTop w:val="0"/>
      <w:marBottom w:val="0"/>
      <w:divBdr>
        <w:top w:val="none" w:sz="0" w:space="0" w:color="auto"/>
        <w:left w:val="none" w:sz="0" w:space="0" w:color="auto"/>
        <w:bottom w:val="none" w:sz="0" w:space="0" w:color="auto"/>
        <w:right w:val="none" w:sz="0" w:space="0" w:color="auto"/>
      </w:divBdr>
    </w:div>
    <w:div w:id="739450137">
      <w:bodyDiv w:val="1"/>
      <w:marLeft w:val="0"/>
      <w:marRight w:val="0"/>
      <w:marTop w:val="0"/>
      <w:marBottom w:val="0"/>
      <w:divBdr>
        <w:top w:val="none" w:sz="0" w:space="0" w:color="auto"/>
        <w:left w:val="none" w:sz="0" w:space="0" w:color="auto"/>
        <w:bottom w:val="none" w:sz="0" w:space="0" w:color="auto"/>
        <w:right w:val="none" w:sz="0" w:space="0" w:color="auto"/>
      </w:divBdr>
    </w:div>
    <w:div w:id="748432214">
      <w:bodyDiv w:val="1"/>
      <w:marLeft w:val="0"/>
      <w:marRight w:val="0"/>
      <w:marTop w:val="0"/>
      <w:marBottom w:val="0"/>
      <w:divBdr>
        <w:top w:val="none" w:sz="0" w:space="0" w:color="auto"/>
        <w:left w:val="none" w:sz="0" w:space="0" w:color="auto"/>
        <w:bottom w:val="none" w:sz="0" w:space="0" w:color="auto"/>
        <w:right w:val="none" w:sz="0" w:space="0" w:color="auto"/>
      </w:divBdr>
    </w:div>
    <w:div w:id="799686374">
      <w:bodyDiv w:val="1"/>
      <w:marLeft w:val="0"/>
      <w:marRight w:val="0"/>
      <w:marTop w:val="0"/>
      <w:marBottom w:val="0"/>
      <w:divBdr>
        <w:top w:val="none" w:sz="0" w:space="0" w:color="auto"/>
        <w:left w:val="none" w:sz="0" w:space="0" w:color="auto"/>
        <w:bottom w:val="none" w:sz="0" w:space="0" w:color="auto"/>
        <w:right w:val="none" w:sz="0" w:space="0" w:color="auto"/>
      </w:divBdr>
    </w:div>
    <w:div w:id="829098259">
      <w:bodyDiv w:val="1"/>
      <w:marLeft w:val="0"/>
      <w:marRight w:val="0"/>
      <w:marTop w:val="0"/>
      <w:marBottom w:val="0"/>
      <w:divBdr>
        <w:top w:val="none" w:sz="0" w:space="0" w:color="auto"/>
        <w:left w:val="none" w:sz="0" w:space="0" w:color="auto"/>
        <w:bottom w:val="none" w:sz="0" w:space="0" w:color="auto"/>
        <w:right w:val="none" w:sz="0" w:space="0" w:color="auto"/>
      </w:divBdr>
    </w:div>
    <w:div w:id="833833521">
      <w:bodyDiv w:val="1"/>
      <w:marLeft w:val="0"/>
      <w:marRight w:val="0"/>
      <w:marTop w:val="0"/>
      <w:marBottom w:val="0"/>
      <w:divBdr>
        <w:top w:val="none" w:sz="0" w:space="0" w:color="auto"/>
        <w:left w:val="none" w:sz="0" w:space="0" w:color="auto"/>
        <w:bottom w:val="none" w:sz="0" w:space="0" w:color="auto"/>
        <w:right w:val="none" w:sz="0" w:space="0" w:color="auto"/>
      </w:divBdr>
    </w:div>
    <w:div w:id="846941398">
      <w:bodyDiv w:val="1"/>
      <w:marLeft w:val="0"/>
      <w:marRight w:val="0"/>
      <w:marTop w:val="0"/>
      <w:marBottom w:val="0"/>
      <w:divBdr>
        <w:top w:val="none" w:sz="0" w:space="0" w:color="auto"/>
        <w:left w:val="none" w:sz="0" w:space="0" w:color="auto"/>
        <w:bottom w:val="none" w:sz="0" w:space="0" w:color="auto"/>
        <w:right w:val="none" w:sz="0" w:space="0" w:color="auto"/>
      </w:divBdr>
    </w:div>
    <w:div w:id="890267071">
      <w:bodyDiv w:val="1"/>
      <w:marLeft w:val="0"/>
      <w:marRight w:val="0"/>
      <w:marTop w:val="0"/>
      <w:marBottom w:val="0"/>
      <w:divBdr>
        <w:top w:val="none" w:sz="0" w:space="0" w:color="auto"/>
        <w:left w:val="none" w:sz="0" w:space="0" w:color="auto"/>
        <w:bottom w:val="none" w:sz="0" w:space="0" w:color="auto"/>
        <w:right w:val="none" w:sz="0" w:space="0" w:color="auto"/>
      </w:divBdr>
    </w:div>
    <w:div w:id="984628378">
      <w:bodyDiv w:val="1"/>
      <w:marLeft w:val="0"/>
      <w:marRight w:val="0"/>
      <w:marTop w:val="0"/>
      <w:marBottom w:val="0"/>
      <w:divBdr>
        <w:top w:val="none" w:sz="0" w:space="0" w:color="auto"/>
        <w:left w:val="none" w:sz="0" w:space="0" w:color="auto"/>
        <w:bottom w:val="none" w:sz="0" w:space="0" w:color="auto"/>
        <w:right w:val="none" w:sz="0" w:space="0" w:color="auto"/>
      </w:divBdr>
    </w:div>
    <w:div w:id="1102534107">
      <w:bodyDiv w:val="1"/>
      <w:marLeft w:val="0"/>
      <w:marRight w:val="0"/>
      <w:marTop w:val="0"/>
      <w:marBottom w:val="0"/>
      <w:divBdr>
        <w:top w:val="none" w:sz="0" w:space="0" w:color="auto"/>
        <w:left w:val="none" w:sz="0" w:space="0" w:color="auto"/>
        <w:bottom w:val="none" w:sz="0" w:space="0" w:color="auto"/>
        <w:right w:val="none" w:sz="0" w:space="0" w:color="auto"/>
      </w:divBdr>
    </w:div>
    <w:div w:id="1111163255">
      <w:bodyDiv w:val="1"/>
      <w:marLeft w:val="0"/>
      <w:marRight w:val="0"/>
      <w:marTop w:val="0"/>
      <w:marBottom w:val="0"/>
      <w:divBdr>
        <w:top w:val="none" w:sz="0" w:space="0" w:color="auto"/>
        <w:left w:val="none" w:sz="0" w:space="0" w:color="auto"/>
        <w:bottom w:val="none" w:sz="0" w:space="0" w:color="auto"/>
        <w:right w:val="none" w:sz="0" w:space="0" w:color="auto"/>
      </w:divBdr>
    </w:div>
    <w:div w:id="1117336585">
      <w:bodyDiv w:val="1"/>
      <w:marLeft w:val="0"/>
      <w:marRight w:val="0"/>
      <w:marTop w:val="0"/>
      <w:marBottom w:val="0"/>
      <w:divBdr>
        <w:top w:val="none" w:sz="0" w:space="0" w:color="auto"/>
        <w:left w:val="none" w:sz="0" w:space="0" w:color="auto"/>
        <w:bottom w:val="none" w:sz="0" w:space="0" w:color="auto"/>
        <w:right w:val="none" w:sz="0" w:space="0" w:color="auto"/>
      </w:divBdr>
    </w:div>
    <w:div w:id="1156921127">
      <w:bodyDiv w:val="1"/>
      <w:marLeft w:val="0"/>
      <w:marRight w:val="0"/>
      <w:marTop w:val="0"/>
      <w:marBottom w:val="0"/>
      <w:divBdr>
        <w:top w:val="none" w:sz="0" w:space="0" w:color="auto"/>
        <w:left w:val="none" w:sz="0" w:space="0" w:color="auto"/>
        <w:bottom w:val="none" w:sz="0" w:space="0" w:color="auto"/>
        <w:right w:val="none" w:sz="0" w:space="0" w:color="auto"/>
      </w:divBdr>
    </w:div>
    <w:div w:id="1178273752">
      <w:bodyDiv w:val="1"/>
      <w:marLeft w:val="0"/>
      <w:marRight w:val="0"/>
      <w:marTop w:val="0"/>
      <w:marBottom w:val="0"/>
      <w:divBdr>
        <w:top w:val="none" w:sz="0" w:space="0" w:color="auto"/>
        <w:left w:val="none" w:sz="0" w:space="0" w:color="auto"/>
        <w:bottom w:val="none" w:sz="0" w:space="0" w:color="auto"/>
        <w:right w:val="none" w:sz="0" w:space="0" w:color="auto"/>
      </w:divBdr>
    </w:div>
    <w:div w:id="1185022318">
      <w:bodyDiv w:val="1"/>
      <w:marLeft w:val="0"/>
      <w:marRight w:val="0"/>
      <w:marTop w:val="0"/>
      <w:marBottom w:val="0"/>
      <w:divBdr>
        <w:top w:val="none" w:sz="0" w:space="0" w:color="auto"/>
        <w:left w:val="none" w:sz="0" w:space="0" w:color="auto"/>
        <w:bottom w:val="none" w:sz="0" w:space="0" w:color="auto"/>
        <w:right w:val="none" w:sz="0" w:space="0" w:color="auto"/>
      </w:divBdr>
    </w:div>
    <w:div w:id="1204367491">
      <w:bodyDiv w:val="1"/>
      <w:marLeft w:val="0"/>
      <w:marRight w:val="0"/>
      <w:marTop w:val="0"/>
      <w:marBottom w:val="0"/>
      <w:divBdr>
        <w:top w:val="none" w:sz="0" w:space="0" w:color="auto"/>
        <w:left w:val="none" w:sz="0" w:space="0" w:color="auto"/>
        <w:bottom w:val="none" w:sz="0" w:space="0" w:color="auto"/>
        <w:right w:val="none" w:sz="0" w:space="0" w:color="auto"/>
      </w:divBdr>
    </w:div>
    <w:div w:id="1231306825">
      <w:bodyDiv w:val="1"/>
      <w:marLeft w:val="0"/>
      <w:marRight w:val="0"/>
      <w:marTop w:val="0"/>
      <w:marBottom w:val="0"/>
      <w:divBdr>
        <w:top w:val="none" w:sz="0" w:space="0" w:color="auto"/>
        <w:left w:val="none" w:sz="0" w:space="0" w:color="auto"/>
        <w:bottom w:val="none" w:sz="0" w:space="0" w:color="auto"/>
        <w:right w:val="none" w:sz="0" w:space="0" w:color="auto"/>
      </w:divBdr>
    </w:div>
    <w:div w:id="1235360640">
      <w:bodyDiv w:val="1"/>
      <w:marLeft w:val="0"/>
      <w:marRight w:val="0"/>
      <w:marTop w:val="0"/>
      <w:marBottom w:val="0"/>
      <w:divBdr>
        <w:top w:val="none" w:sz="0" w:space="0" w:color="auto"/>
        <w:left w:val="none" w:sz="0" w:space="0" w:color="auto"/>
        <w:bottom w:val="none" w:sz="0" w:space="0" w:color="auto"/>
        <w:right w:val="none" w:sz="0" w:space="0" w:color="auto"/>
      </w:divBdr>
    </w:div>
    <w:div w:id="1255475894">
      <w:bodyDiv w:val="1"/>
      <w:marLeft w:val="0"/>
      <w:marRight w:val="0"/>
      <w:marTop w:val="0"/>
      <w:marBottom w:val="0"/>
      <w:divBdr>
        <w:top w:val="none" w:sz="0" w:space="0" w:color="auto"/>
        <w:left w:val="none" w:sz="0" w:space="0" w:color="auto"/>
        <w:bottom w:val="none" w:sz="0" w:space="0" w:color="auto"/>
        <w:right w:val="none" w:sz="0" w:space="0" w:color="auto"/>
      </w:divBdr>
    </w:div>
    <w:div w:id="1310554729">
      <w:bodyDiv w:val="1"/>
      <w:marLeft w:val="0"/>
      <w:marRight w:val="0"/>
      <w:marTop w:val="0"/>
      <w:marBottom w:val="0"/>
      <w:divBdr>
        <w:top w:val="none" w:sz="0" w:space="0" w:color="auto"/>
        <w:left w:val="none" w:sz="0" w:space="0" w:color="auto"/>
        <w:bottom w:val="none" w:sz="0" w:space="0" w:color="auto"/>
        <w:right w:val="none" w:sz="0" w:space="0" w:color="auto"/>
      </w:divBdr>
    </w:div>
    <w:div w:id="1329210094">
      <w:bodyDiv w:val="1"/>
      <w:marLeft w:val="0"/>
      <w:marRight w:val="0"/>
      <w:marTop w:val="0"/>
      <w:marBottom w:val="0"/>
      <w:divBdr>
        <w:top w:val="none" w:sz="0" w:space="0" w:color="auto"/>
        <w:left w:val="none" w:sz="0" w:space="0" w:color="auto"/>
        <w:bottom w:val="none" w:sz="0" w:space="0" w:color="auto"/>
        <w:right w:val="none" w:sz="0" w:space="0" w:color="auto"/>
      </w:divBdr>
    </w:div>
    <w:div w:id="1438017649">
      <w:bodyDiv w:val="1"/>
      <w:marLeft w:val="0"/>
      <w:marRight w:val="0"/>
      <w:marTop w:val="0"/>
      <w:marBottom w:val="0"/>
      <w:divBdr>
        <w:top w:val="none" w:sz="0" w:space="0" w:color="auto"/>
        <w:left w:val="none" w:sz="0" w:space="0" w:color="auto"/>
        <w:bottom w:val="none" w:sz="0" w:space="0" w:color="auto"/>
        <w:right w:val="none" w:sz="0" w:space="0" w:color="auto"/>
      </w:divBdr>
    </w:div>
    <w:div w:id="1449619702">
      <w:bodyDiv w:val="1"/>
      <w:marLeft w:val="0"/>
      <w:marRight w:val="0"/>
      <w:marTop w:val="0"/>
      <w:marBottom w:val="0"/>
      <w:divBdr>
        <w:top w:val="none" w:sz="0" w:space="0" w:color="auto"/>
        <w:left w:val="none" w:sz="0" w:space="0" w:color="auto"/>
        <w:bottom w:val="none" w:sz="0" w:space="0" w:color="auto"/>
        <w:right w:val="none" w:sz="0" w:space="0" w:color="auto"/>
      </w:divBdr>
    </w:div>
    <w:div w:id="1576010859">
      <w:bodyDiv w:val="1"/>
      <w:marLeft w:val="0"/>
      <w:marRight w:val="0"/>
      <w:marTop w:val="0"/>
      <w:marBottom w:val="0"/>
      <w:divBdr>
        <w:top w:val="none" w:sz="0" w:space="0" w:color="auto"/>
        <w:left w:val="none" w:sz="0" w:space="0" w:color="auto"/>
        <w:bottom w:val="none" w:sz="0" w:space="0" w:color="auto"/>
        <w:right w:val="none" w:sz="0" w:space="0" w:color="auto"/>
      </w:divBdr>
    </w:div>
    <w:div w:id="1620843021">
      <w:bodyDiv w:val="1"/>
      <w:marLeft w:val="0"/>
      <w:marRight w:val="0"/>
      <w:marTop w:val="0"/>
      <w:marBottom w:val="0"/>
      <w:divBdr>
        <w:top w:val="none" w:sz="0" w:space="0" w:color="auto"/>
        <w:left w:val="none" w:sz="0" w:space="0" w:color="auto"/>
        <w:bottom w:val="none" w:sz="0" w:space="0" w:color="auto"/>
        <w:right w:val="none" w:sz="0" w:space="0" w:color="auto"/>
      </w:divBdr>
    </w:div>
    <w:div w:id="1703436590">
      <w:bodyDiv w:val="1"/>
      <w:marLeft w:val="0"/>
      <w:marRight w:val="0"/>
      <w:marTop w:val="0"/>
      <w:marBottom w:val="0"/>
      <w:divBdr>
        <w:top w:val="none" w:sz="0" w:space="0" w:color="auto"/>
        <w:left w:val="none" w:sz="0" w:space="0" w:color="auto"/>
        <w:bottom w:val="none" w:sz="0" w:space="0" w:color="auto"/>
        <w:right w:val="none" w:sz="0" w:space="0" w:color="auto"/>
      </w:divBdr>
    </w:div>
    <w:div w:id="1708406690">
      <w:bodyDiv w:val="1"/>
      <w:marLeft w:val="0"/>
      <w:marRight w:val="0"/>
      <w:marTop w:val="0"/>
      <w:marBottom w:val="0"/>
      <w:divBdr>
        <w:top w:val="none" w:sz="0" w:space="0" w:color="auto"/>
        <w:left w:val="none" w:sz="0" w:space="0" w:color="auto"/>
        <w:bottom w:val="none" w:sz="0" w:space="0" w:color="auto"/>
        <w:right w:val="none" w:sz="0" w:space="0" w:color="auto"/>
      </w:divBdr>
    </w:div>
    <w:div w:id="1815757200">
      <w:bodyDiv w:val="1"/>
      <w:marLeft w:val="0"/>
      <w:marRight w:val="0"/>
      <w:marTop w:val="0"/>
      <w:marBottom w:val="0"/>
      <w:divBdr>
        <w:top w:val="none" w:sz="0" w:space="0" w:color="auto"/>
        <w:left w:val="none" w:sz="0" w:space="0" w:color="auto"/>
        <w:bottom w:val="none" w:sz="0" w:space="0" w:color="auto"/>
        <w:right w:val="none" w:sz="0" w:space="0" w:color="auto"/>
      </w:divBdr>
    </w:div>
    <w:div w:id="1825900609">
      <w:bodyDiv w:val="1"/>
      <w:marLeft w:val="0"/>
      <w:marRight w:val="0"/>
      <w:marTop w:val="0"/>
      <w:marBottom w:val="0"/>
      <w:divBdr>
        <w:top w:val="none" w:sz="0" w:space="0" w:color="auto"/>
        <w:left w:val="none" w:sz="0" w:space="0" w:color="auto"/>
        <w:bottom w:val="none" w:sz="0" w:space="0" w:color="auto"/>
        <w:right w:val="none" w:sz="0" w:space="0" w:color="auto"/>
      </w:divBdr>
    </w:div>
    <w:div w:id="1840732125">
      <w:bodyDiv w:val="1"/>
      <w:marLeft w:val="0"/>
      <w:marRight w:val="0"/>
      <w:marTop w:val="0"/>
      <w:marBottom w:val="0"/>
      <w:divBdr>
        <w:top w:val="none" w:sz="0" w:space="0" w:color="auto"/>
        <w:left w:val="none" w:sz="0" w:space="0" w:color="auto"/>
        <w:bottom w:val="none" w:sz="0" w:space="0" w:color="auto"/>
        <w:right w:val="none" w:sz="0" w:space="0" w:color="auto"/>
      </w:divBdr>
    </w:div>
    <w:div w:id="1877237430">
      <w:bodyDiv w:val="1"/>
      <w:marLeft w:val="0"/>
      <w:marRight w:val="0"/>
      <w:marTop w:val="0"/>
      <w:marBottom w:val="0"/>
      <w:divBdr>
        <w:top w:val="none" w:sz="0" w:space="0" w:color="auto"/>
        <w:left w:val="none" w:sz="0" w:space="0" w:color="auto"/>
        <w:bottom w:val="none" w:sz="0" w:space="0" w:color="auto"/>
        <w:right w:val="none" w:sz="0" w:space="0" w:color="auto"/>
      </w:divBdr>
    </w:div>
    <w:div w:id="1900240325">
      <w:bodyDiv w:val="1"/>
      <w:marLeft w:val="0"/>
      <w:marRight w:val="0"/>
      <w:marTop w:val="0"/>
      <w:marBottom w:val="0"/>
      <w:divBdr>
        <w:top w:val="none" w:sz="0" w:space="0" w:color="auto"/>
        <w:left w:val="none" w:sz="0" w:space="0" w:color="auto"/>
        <w:bottom w:val="none" w:sz="0" w:space="0" w:color="auto"/>
        <w:right w:val="none" w:sz="0" w:space="0" w:color="auto"/>
      </w:divBdr>
    </w:div>
    <w:div w:id="1958640668">
      <w:bodyDiv w:val="1"/>
      <w:marLeft w:val="0"/>
      <w:marRight w:val="0"/>
      <w:marTop w:val="0"/>
      <w:marBottom w:val="0"/>
      <w:divBdr>
        <w:top w:val="none" w:sz="0" w:space="0" w:color="auto"/>
        <w:left w:val="none" w:sz="0" w:space="0" w:color="auto"/>
        <w:bottom w:val="none" w:sz="0" w:space="0" w:color="auto"/>
        <w:right w:val="none" w:sz="0" w:space="0" w:color="auto"/>
      </w:divBdr>
    </w:div>
    <w:div w:id="1983197695">
      <w:bodyDiv w:val="1"/>
      <w:marLeft w:val="0"/>
      <w:marRight w:val="0"/>
      <w:marTop w:val="0"/>
      <w:marBottom w:val="0"/>
      <w:divBdr>
        <w:top w:val="none" w:sz="0" w:space="0" w:color="auto"/>
        <w:left w:val="none" w:sz="0" w:space="0" w:color="auto"/>
        <w:bottom w:val="none" w:sz="0" w:space="0" w:color="auto"/>
        <w:right w:val="none" w:sz="0" w:space="0" w:color="auto"/>
      </w:divBdr>
    </w:div>
    <w:div w:id="2046831652">
      <w:bodyDiv w:val="1"/>
      <w:marLeft w:val="0"/>
      <w:marRight w:val="0"/>
      <w:marTop w:val="0"/>
      <w:marBottom w:val="0"/>
      <w:divBdr>
        <w:top w:val="none" w:sz="0" w:space="0" w:color="auto"/>
        <w:left w:val="none" w:sz="0" w:space="0" w:color="auto"/>
        <w:bottom w:val="none" w:sz="0" w:space="0" w:color="auto"/>
        <w:right w:val="none" w:sz="0" w:space="0" w:color="auto"/>
      </w:divBdr>
    </w:div>
    <w:div w:id="2047293398">
      <w:bodyDiv w:val="1"/>
      <w:marLeft w:val="0"/>
      <w:marRight w:val="0"/>
      <w:marTop w:val="0"/>
      <w:marBottom w:val="0"/>
      <w:divBdr>
        <w:top w:val="none" w:sz="0" w:space="0" w:color="auto"/>
        <w:left w:val="none" w:sz="0" w:space="0" w:color="auto"/>
        <w:bottom w:val="none" w:sz="0" w:space="0" w:color="auto"/>
        <w:right w:val="none" w:sz="0" w:space="0" w:color="auto"/>
      </w:divBdr>
    </w:div>
    <w:div w:id="2054114545">
      <w:bodyDiv w:val="1"/>
      <w:marLeft w:val="0"/>
      <w:marRight w:val="0"/>
      <w:marTop w:val="0"/>
      <w:marBottom w:val="0"/>
      <w:divBdr>
        <w:top w:val="none" w:sz="0" w:space="0" w:color="auto"/>
        <w:left w:val="none" w:sz="0" w:space="0" w:color="auto"/>
        <w:bottom w:val="none" w:sz="0" w:space="0" w:color="auto"/>
        <w:right w:val="none" w:sz="0" w:space="0" w:color="auto"/>
      </w:divBdr>
    </w:div>
    <w:div w:id="2065787616">
      <w:bodyDiv w:val="1"/>
      <w:marLeft w:val="0"/>
      <w:marRight w:val="0"/>
      <w:marTop w:val="0"/>
      <w:marBottom w:val="0"/>
      <w:divBdr>
        <w:top w:val="none" w:sz="0" w:space="0" w:color="auto"/>
        <w:left w:val="none" w:sz="0" w:space="0" w:color="auto"/>
        <w:bottom w:val="none" w:sz="0" w:space="0" w:color="auto"/>
        <w:right w:val="none" w:sz="0" w:space="0" w:color="auto"/>
      </w:divBdr>
    </w:div>
    <w:div w:id="2120176679">
      <w:bodyDiv w:val="1"/>
      <w:marLeft w:val="0"/>
      <w:marRight w:val="0"/>
      <w:marTop w:val="0"/>
      <w:marBottom w:val="0"/>
      <w:divBdr>
        <w:top w:val="none" w:sz="0" w:space="0" w:color="auto"/>
        <w:left w:val="none" w:sz="0" w:space="0" w:color="auto"/>
        <w:bottom w:val="none" w:sz="0" w:space="0" w:color="auto"/>
        <w:right w:val="none" w:sz="0" w:space="0" w:color="auto"/>
      </w:divBdr>
    </w:div>
    <w:div w:id="2131197517">
      <w:bodyDiv w:val="1"/>
      <w:marLeft w:val="0"/>
      <w:marRight w:val="0"/>
      <w:marTop w:val="0"/>
      <w:marBottom w:val="0"/>
      <w:divBdr>
        <w:top w:val="none" w:sz="0" w:space="0" w:color="auto"/>
        <w:left w:val="none" w:sz="0" w:space="0" w:color="auto"/>
        <w:bottom w:val="none" w:sz="0" w:space="0" w:color="auto"/>
        <w:right w:val="none" w:sz="0" w:space="0" w:color="auto"/>
      </w:divBdr>
    </w:div>
    <w:div w:id="214068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chb.2017.12.043" TargetMode="External"/><Relationship Id="rId21" Type="http://schemas.openxmlformats.org/officeDocument/2006/relationships/hyperlink" Target="https://doi.org/10.1177/14413582221127317" TargetMode="External"/><Relationship Id="rId42" Type="http://schemas.openxmlformats.org/officeDocument/2006/relationships/hyperlink" Target="https://doi.org/10.54254/2754-1169/5/20220054" TargetMode="External"/><Relationship Id="rId47" Type="http://schemas.openxmlformats.org/officeDocument/2006/relationships/hyperlink" Target="https://www.academia.edu/download/59152847/V5I2-164120190507-35001-dmmrd8.pdf" TargetMode="External"/><Relationship Id="rId63" Type="http://schemas.openxmlformats.org/officeDocument/2006/relationships/hyperlink" Target="https://www.proquest.com/scholarly-journals/event-management-skills-post-covid-19-world/docview/2763565398/se-2?accountid=130472" TargetMode="External"/><Relationship Id="rId68"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4018/978-1-7998-4757-1" TargetMode="External"/><Relationship Id="rId11" Type="http://schemas.openxmlformats.org/officeDocument/2006/relationships/image" Target="media/image5.png"/><Relationship Id="rId24" Type="http://schemas.openxmlformats.org/officeDocument/2006/relationships/hyperlink" Target="https://librarysearch.uwtsd.ac.uk/permalink/44WHELF_UWTSD/1pbrh66/alma9929233802421" TargetMode="External"/><Relationship Id="rId32" Type="http://schemas.openxmlformats.org/officeDocument/2006/relationships/hyperlink" Target="https://doi.org/10.1002/ieam.4051" TargetMode="External"/><Relationship Id="rId37" Type="http://schemas.openxmlformats.org/officeDocument/2006/relationships/hyperlink" Target="https://www.proquest.com/trade-journals/transitioning-virtual-hybrid-events-how-create/docview/2498621653/se-2?accountid=130472" TargetMode="External"/><Relationship Id="rId40" Type="http://schemas.openxmlformats.org/officeDocument/2006/relationships/hyperlink" Target="https://doi.org/10.60101/gbafr.2023.269044" TargetMode="External"/><Relationship Id="rId45" Type="http://schemas.openxmlformats.org/officeDocument/2006/relationships/hyperlink" Target="https://doi.org/10.13140/RG.2.2.19952.06400" TargetMode="External"/><Relationship Id="rId53" Type="http://schemas.openxmlformats.org/officeDocument/2006/relationships/hyperlink" Target="https://ejurnal.politeknikpratama.ac.id/index.php/jupiman/article/download/1533/1516" TargetMode="External"/><Relationship Id="rId58" Type="http://schemas.openxmlformats.org/officeDocument/2006/relationships/hyperlink" Target="https://doi.org/10.22146/gamaijb.63788" TargetMode="External"/><Relationship Id="rId66" Type="http://schemas.openxmlformats.org/officeDocument/2006/relationships/hyperlink" Target="https://onlinelibrary.wiley.com/doi/full/10.1111/beer.12694?saml_referrer" TargetMode="External"/><Relationship Id="rId5" Type="http://schemas.openxmlformats.org/officeDocument/2006/relationships/footnotes" Target="footnotes.xml"/><Relationship Id="rId61" Type="http://schemas.openxmlformats.org/officeDocument/2006/relationships/hyperlink" Target="https://doi.org/10.22610/imbr.v16i3(i).3921" TargetMode="Externa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hyperlink" Target="https://doi.org/10.23912/978-1-911396-91-8-4189" TargetMode="External"/><Relationship Id="rId27" Type="http://schemas.openxmlformats.org/officeDocument/2006/relationships/hyperlink" Target="https://doi.org/10.1080/19407963.2019.1695345" TargetMode="External"/><Relationship Id="rId30" Type="http://schemas.openxmlformats.org/officeDocument/2006/relationships/hyperlink" Target="https://librarysearch.uwtsd.ac.uk/permalink/44WHELF_UWTSD/11c0l68/alma99100647735602421" TargetMode="External"/><Relationship Id="rId35" Type="http://schemas.openxmlformats.org/officeDocument/2006/relationships/hyperlink" Target="https://www.hilton.com/en/events/" TargetMode="External"/><Relationship Id="rId43" Type="http://schemas.openxmlformats.org/officeDocument/2006/relationships/hyperlink" Target="https://doi.org/10.22610/imbr.v16i3(i).3927" TargetMode="External"/><Relationship Id="rId48" Type="http://schemas.openxmlformats.org/officeDocument/2006/relationships/hyperlink" Target="https://ejournal-medan.uph.edu/index.php/APIEMJ/article/download/288/150" TargetMode="External"/><Relationship Id="rId56" Type="http://schemas.openxmlformats.org/officeDocument/2006/relationships/hyperlink" Target="https://librarysearch.uwtsd.ac.uk/permalink/44WHELF_UWTSD/11c0l68/alma99100509002002421" TargetMode="External"/><Relationship Id="rId64" Type="http://schemas.openxmlformats.org/officeDocument/2006/relationships/hyperlink" Target="https://doi.org/10.17583/rise.10483" TargetMode="External"/><Relationship Id="rId69" Type="http://schemas.openxmlformats.org/officeDocument/2006/relationships/image" Target="media/image16.jpeg"/><Relationship Id="rId8" Type="http://schemas.openxmlformats.org/officeDocument/2006/relationships/image" Target="media/image2.png"/><Relationship Id="rId51" Type="http://schemas.openxmlformats.org/officeDocument/2006/relationships/hyperlink" Target="https://doi.org/10.15587/2706-5448.2023.274918"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proquest.com/scholarly-journals/event-technology-potential-sustainable-practices/docview/2565978610/se-2?accountid=130472" TargetMode="External"/><Relationship Id="rId33" Type="http://schemas.openxmlformats.org/officeDocument/2006/relationships/hyperlink" Target="https://doi.org/10.1108/ijwbr-05-2020-0019" TargetMode="External"/><Relationship Id="rId38" Type="http://schemas.openxmlformats.org/officeDocument/2006/relationships/hyperlink" Target="https://doi.org/10.34013/jett.v3i2.1326" TargetMode="External"/><Relationship Id="rId46" Type="http://schemas.openxmlformats.org/officeDocument/2006/relationships/hyperlink" Target="https://doi.org/10.1088/1755-1315/685/1/012005" TargetMode="External"/><Relationship Id="rId59" Type="http://schemas.openxmlformats.org/officeDocument/2006/relationships/hyperlink" Target="https://researcharchive.wintec.ac.nz/id/eprint/6454/2/AMCVol1%20no2%20excl%20conf.pdf" TargetMode="External"/><Relationship Id="rId67" Type="http://schemas.openxmlformats.org/officeDocument/2006/relationships/image" Target="media/image14.png"/><Relationship Id="rId20" Type="http://schemas.openxmlformats.org/officeDocument/2006/relationships/hyperlink" Target="https://opus.lib.uts.edu.au/bitstream/10453/19788/1/Proceedings%202000%20Conference.pdf" TargetMode="External"/><Relationship Id="rId41" Type="http://schemas.openxmlformats.org/officeDocument/2006/relationships/hyperlink" Target="https://doi.org/10.24940/IJIRD/2020/V9/I12/DEC20033" TargetMode="External"/><Relationship Id="rId54" Type="http://schemas.openxmlformats.org/officeDocument/2006/relationships/hyperlink" Target="https://doi.org/10.32890/jeth2023.3.4" TargetMode="External"/><Relationship Id="rId62" Type="http://schemas.openxmlformats.org/officeDocument/2006/relationships/hyperlink" Target="https://doi.org/10.31940/ijaste.v7i2.108-119" TargetMode="External"/><Relationship Id="rId70"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doi.org/10.4018/978-1-7998-3230-0.CH001" TargetMode="External"/><Relationship Id="rId28" Type="http://schemas.openxmlformats.org/officeDocument/2006/relationships/hyperlink" Target="https://doi.org/10.37745/ijelt.13/vol12n12845" TargetMode="External"/><Relationship Id="rId36" Type="http://schemas.openxmlformats.org/officeDocument/2006/relationships/hyperlink" Target="https://stories.hilton.com/releases/hilton-the-worlds-first-global-hospitality-company-celebrates-100-years-with-a-dynamic-launch-into-its-next-century" TargetMode="External"/><Relationship Id="rId49" Type="http://schemas.openxmlformats.org/officeDocument/2006/relationships/hyperlink" Target="https://doi.org/10.23912/9781911396635-4090" TargetMode="External"/><Relationship Id="rId57" Type="http://schemas.openxmlformats.org/officeDocument/2006/relationships/hyperlink" Target="https://www.ajol.info/index.php/ejlcc/article/download/280872/264794" TargetMode="External"/><Relationship Id="rId10" Type="http://schemas.openxmlformats.org/officeDocument/2006/relationships/image" Target="media/image4.jpeg"/><Relationship Id="rId31" Type="http://schemas.openxmlformats.org/officeDocument/2006/relationships/hyperlink" Target="https://librarysearch.uwtsd.ac.uk/permalink/44WHELF_UWTSD/11c0l68/alma99100647735602421" TargetMode="External"/><Relationship Id="rId44" Type="http://schemas.openxmlformats.org/officeDocument/2006/relationships/hyperlink" Target="https://doi.org/10.1080/09523367.2013.790374" TargetMode="External"/><Relationship Id="rId52" Type="http://schemas.openxmlformats.org/officeDocument/2006/relationships/hyperlink" Target="https://www.proquest.com/conference-papers-proceedings/entrepreneurship-tourism-local-fashion-curriculum/docview/3074818065/se-2?accountid=130472" TargetMode="External"/><Relationship Id="rId60" Type="http://schemas.openxmlformats.org/officeDocument/2006/relationships/hyperlink" Target="https://www.proquest.com/scholarly-journals/towards-international-event-management-body/docview/2779475569/se-2?accountid=130472" TargetMode="External"/><Relationship Id="rId65" Type="http://schemas.openxmlformats.org/officeDocument/2006/relationships/hyperlink" Target="https://doi.org/10.31940/ijaste.v6i1.13-23"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hyperlink" Target="https://www.proquest.com/scholarly-journals/festivalization-business-events-exploring-new/docview/3098549637/se-2?accountid=130472" TargetMode="External"/><Relationship Id="rId34" Type="http://schemas.openxmlformats.org/officeDocument/2006/relationships/hyperlink" Target="https://doi.org/10.3727/152599523X16907613842291" TargetMode="External"/><Relationship Id="rId50" Type="http://schemas.openxmlformats.org/officeDocument/2006/relationships/hyperlink" Target="https://doi.org/10.1080/15470148.2024.2307006" TargetMode="External"/><Relationship Id="rId55" Type="http://schemas.openxmlformats.org/officeDocument/2006/relationships/hyperlink" Target="https://doi.org/10.1080/19407963.2019.1701800" TargetMode="External"/><Relationship Id="rId7" Type="http://schemas.openxmlformats.org/officeDocument/2006/relationships/image" Target="media/image1.png"/><Relationship Id="rId7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6744</Words>
  <Characters>38445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2025-02-23T14:45:00Z</dcterms:created>
  <dcterms:modified xsi:type="dcterms:W3CDTF">2025-02-27T18:24:00Z</dcterms:modified>
</cp:coreProperties>
</file>