
<file path=[Content_Types].xml><?xml version="1.0" encoding="utf-8"?>
<Types xmlns="http://schemas.openxmlformats.org/package/2006/content-types">
  <Override PartName="/word/footnotes.xml" ContentType="application/vnd.openxmlformats-officedocument.wordprocessingml.footnotes+xml"/>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E33D26" w:rsidRPr="001A4A24" w:rsidRDefault="00E33D26" w:rsidP="00E33D26">
      <w:pPr>
        <w:jc w:val="both"/>
        <w:rPr>
          <w:rFonts w:ascii="Palatino Linotype" w:hAnsi="Palatino Linotype"/>
          <w:i/>
          <w:iCs/>
        </w:rPr>
      </w:pPr>
      <w:r>
        <w:rPr>
          <w:rFonts w:ascii="Palatino Linotype" w:hAnsi="Palatino Linotype"/>
          <w:i/>
          <w:iCs/>
        </w:rPr>
        <w:t>General i</w:t>
      </w:r>
      <w:r w:rsidRPr="001A4A24">
        <w:rPr>
          <w:rFonts w:ascii="Palatino Linotype" w:hAnsi="Palatino Linotype"/>
          <w:i/>
          <w:iCs/>
        </w:rPr>
        <w:t>ntroduction</w:t>
      </w:r>
    </w:p>
    <w:p w:rsidR="00E33D26" w:rsidRPr="007D40B2" w:rsidRDefault="00E33D26" w:rsidP="00E33D26">
      <w:pPr>
        <w:jc w:val="both"/>
        <w:rPr>
          <w:rFonts w:ascii="Palatino Linotype" w:hAnsi="Palatino Linotype"/>
        </w:rPr>
      </w:pPr>
    </w:p>
    <w:p w:rsidR="00E33D26" w:rsidRPr="007D40B2" w:rsidRDefault="00E33D26" w:rsidP="00E33D26">
      <w:pPr>
        <w:rPr>
          <w:rFonts w:ascii="Palatino Linotype" w:hAnsi="Palatino Linotype"/>
        </w:rPr>
      </w:pPr>
      <w:r w:rsidRPr="007D40B2">
        <w:rPr>
          <w:rFonts w:ascii="Palatino Linotype" w:hAnsi="Palatino Linotype"/>
        </w:rPr>
        <w:t xml:space="preserve">The topic of this course is modern Orthodox theology, which we will study in the form of primary theological documents that were written by key figures within the Byzantine Orthodox tradition, chiefly during the course of the Twentieth Century. Any limitation of this sort is inevitably somewhat arbitrary. There are many significant events in the history of Byzantine Orthodox theology from the late mediaeval and/or early modern periods from which ‘modern’ Orthodoxy could defensibly be dated. Mention can be made of the fall of Constantinople to the Turkish forces of Sultan </w:t>
      </w:r>
      <w:proofErr w:type="spellStart"/>
      <w:r w:rsidRPr="007D40B2">
        <w:rPr>
          <w:rFonts w:ascii="Palatino Linotype" w:hAnsi="Palatino Linotype"/>
        </w:rPr>
        <w:t>Mehmed</w:t>
      </w:r>
      <w:proofErr w:type="spellEnd"/>
      <w:r w:rsidRPr="007D40B2">
        <w:rPr>
          <w:rFonts w:ascii="Palatino Linotype" w:hAnsi="Palatino Linotype"/>
        </w:rPr>
        <w:t xml:space="preserve"> II (1453); the conformation of Russian liturgical practices to Greek standards by Nikon, patriarch of Moscow, and the resulting schism of ‘Old Believers’ or the </w:t>
      </w:r>
      <w:proofErr w:type="spellStart"/>
      <w:r w:rsidRPr="007D40B2">
        <w:rPr>
          <w:rFonts w:ascii="Palatino Linotype" w:hAnsi="Palatino Linotype"/>
          <w:i/>
          <w:iCs/>
        </w:rPr>
        <w:t>raskol</w:t>
      </w:r>
      <w:proofErr w:type="spellEnd"/>
      <w:r w:rsidRPr="007D40B2">
        <w:rPr>
          <w:rFonts w:ascii="Palatino Linotype" w:hAnsi="Palatino Linotype"/>
          <w:i/>
          <w:iCs/>
        </w:rPr>
        <w:t>’</w:t>
      </w:r>
      <w:r w:rsidRPr="007D40B2">
        <w:rPr>
          <w:rFonts w:ascii="Palatino Linotype" w:hAnsi="Palatino Linotype"/>
        </w:rPr>
        <w:t xml:space="preserve"> (1666-7); the social reforms instituted by Tsar Peter the Great, which impacted upon ecclesiastical structure and seminary education no less than on industry and commerce (c. 1696-1725); the publication in Venice of a major collection of ascetic texts, the </w:t>
      </w:r>
      <w:proofErr w:type="spellStart"/>
      <w:r w:rsidRPr="007D40B2">
        <w:rPr>
          <w:rFonts w:ascii="Palatino Linotype" w:hAnsi="Palatino Linotype"/>
          <w:i/>
          <w:iCs/>
        </w:rPr>
        <w:t>Philokalia</w:t>
      </w:r>
      <w:proofErr w:type="spellEnd"/>
      <w:r w:rsidRPr="007D40B2">
        <w:rPr>
          <w:rFonts w:ascii="Palatino Linotype" w:hAnsi="Palatino Linotype"/>
        </w:rPr>
        <w:t>, which prompted a renewal of the monastic impulse within Orthodox theology (1782); or even the Russian revolution, which terminated an Orthodox empire</w:t>
      </w:r>
      <w:r w:rsidRPr="007D40B2">
        <w:rPr>
          <w:rFonts w:ascii="Palatino Linotype" w:hAnsi="Palatino Linotype"/>
          <w:i/>
          <w:iCs/>
        </w:rPr>
        <w:t xml:space="preserve"> </w:t>
      </w:r>
      <w:r w:rsidRPr="007D40B2">
        <w:rPr>
          <w:rFonts w:ascii="Palatino Linotype" w:hAnsi="Palatino Linotype"/>
        </w:rPr>
        <w:t xml:space="preserve">that saw itself as the lineal successor of Constantine’s Christian Roman Empire (1917). These events were all watersheds within the cultural homelands of Orthodox Christianity and as such they could not but influence the theological climate of Orthodoxy. Serious arguments could be made for dating the beginnings of modern Orthodox theology to any one of them. Even so, there are two good reasons that it is appropriate for us to focus our study upon the Byzantine Orthodox tradition as expressed in near-contemporary writings. The first reason concerns Byzantine Orthodoxy; the second, the Twentieth Century (or, in one instance, the late Nineteenth Century). </w:t>
      </w:r>
    </w:p>
    <w:p w:rsidR="00E33D26" w:rsidRPr="007D40B2" w:rsidRDefault="00E33D26" w:rsidP="00E33D26">
      <w:pPr>
        <w:rPr>
          <w:rFonts w:ascii="Palatino Linotype" w:hAnsi="Palatino Linotype"/>
        </w:rPr>
      </w:pPr>
    </w:p>
    <w:p w:rsidR="00E33D26" w:rsidRPr="007D40B2" w:rsidRDefault="00E33D26" w:rsidP="00E33D26">
      <w:pPr>
        <w:rPr>
          <w:rFonts w:ascii="Palatino Linotype" w:hAnsi="Palatino Linotype"/>
        </w:rPr>
      </w:pPr>
      <w:r w:rsidRPr="007D40B2">
        <w:rPr>
          <w:rFonts w:ascii="Palatino Linotype" w:hAnsi="Palatino Linotype"/>
        </w:rPr>
        <w:t xml:space="preserve">First, theologians who belong to many different Orthodox traditions – e.g. the Armenian, the Byzantine, the Coptic, the Indian – have undoubtedly made recent contributions to such fields as ecclesiology, ecumenical theology, moral theology and systematic theology. Orthodox theology is manifestly </w:t>
      </w:r>
      <w:r w:rsidRPr="007D40B2">
        <w:rPr>
          <w:rFonts w:ascii="Palatino Linotype" w:hAnsi="Palatino Linotype"/>
          <w:i/>
          <w:iCs/>
        </w:rPr>
        <w:t xml:space="preserve">not </w:t>
      </w:r>
      <w:r w:rsidRPr="007D40B2">
        <w:rPr>
          <w:rFonts w:ascii="Palatino Linotype" w:hAnsi="Palatino Linotype"/>
        </w:rPr>
        <w:t>the preserve of the inheritors of Byzantine culture. However, it is the case that most of the Orthodox theological writings that are readily available in English come from the Byzantine tradition. Furthermore, the Byzantine tradition is actually quite broad based:</w:t>
      </w:r>
      <w:r w:rsidRPr="007D40B2">
        <w:rPr>
          <w:rFonts w:ascii="Palatino Linotype" w:hAnsi="Palatino Linotype"/>
          <w:b/>
          <w:bCs/>
        </w:rPr>
        <w:t xml:space="preserve"> </w:t>
      </w:r>
      <w:r w:rsidRPr="007D40B2">
        <w:rPr>
          <w:rFonts w:ascii="Palatino Linotype" w:hAnsi="Palatino Linotype"/>
        </w:rPr>
        <w:t xml:space="preserve">successors of the Byzantine tradition are found in Greece and Cyprus of course, and in the vestigial Greek communities in Turkey, but also in the modern-day areas that were historically part of the ‘Byzantine commonwealth,’ such as Bulgaria, Romania, Russia and Serbia; not to mention regions bordering the Byzantine commonwealth, into which Byzantine Christianity spread, with the result that there are indigenous Byzantine Orthodox populations in Finland and Poland (despite their sometimes strained relationships with Russia) and in several Arab countries. All of this is to say nothing of the populations of Christians in the Byzantine Orthodox tradition that have become established through Africa, </w:t>
      </w:r>
      <w:smartTag w:uri="urn:schemas-microsoft-com:office:smarttags" w:element="country-region">
        <w:r w:rsidRPr="007D40B2">
          <w:rPr>
            <w:rFonts w:ascii="Palatino Linotype" w:hAnsi="Palatino Linotype"/>
          </w:rPr>
          <w:t>Australia</w:t>
        </w:r>
      </w:smartTag>
      <w:r w:rsidRPr="007D40B2">
        <w:rPr>
          <w:rFonts w:ascii="Palatino Linotype" w:hAnsi="Palatino Linotype"/>
        </w:rPr>
        <w:t xml:space="preserve">, North and South America, and </w:t>
      </w:r>
      <w:smartTag w:uri="urn:schemas-microsoft-com:office:smarttags" w:element="country-region">
        <w:smartTag w:uri="urn:schemas-microsoft-com:office:smarttags" w:element="place">
          <w:r w:rsidRPr="007D40B2">
            <w:rPr>
              <w:rFonts w:ascii="Palatino Linotype" w:hAnsi="Palatino Linotype"/>
            </w:rPr>
            <w:lastRenderedPageBreak/>
            <w:t>Japan</w:t>
          </w:r>
        </w:smartTag>
      </w:smartTag>
      <w:r w:rsidRPr="007D40B2">
        <w:rPr>
          <w:rFonts w:ascii="Palatino Linotype" w:hAnsi="Palatino Linotype"/>
        </w:rPr>
        <w:t xml:space="preserve">, to name but a few places, as a result of emigration and mission. Within the Byzantine tradition, there is a great deal of diversity. </w:t>
      </w:r>
    </w:p>
    <w:p w:rsidR="00E33D26" w:rsidRPr="007D40B2" w:rsidRDefault="00E33D26" w:rsidP="00E33D26">
      <w:pPr>
        <w:rPr>
          <w:rFonts w:ascii="Palatino Linotype" w:hAnsi="Palatino Linotype"/>
        </w:rPr>
      </w:pPr>
    </w:p>
    <w:p w:rsidR="00E33D26" w:rsidRPr="007D40B2" w:rsidRDefault="00E33D26" w:rsidP="00E33D26">
      <w:pPr>
        <w:rPr>
          <w:rFonts w:ascii="Palatino Linotype" w:hAnsi="Palatino Linotype"/>
        </w:rPr>
      </w:pPr>
      <w:r w:rsidRPr="007D40B2">
        <w:rPr>
          <w:rFonts w:ascii="Palatino Linotype" w:hAnsi="Palatino Linotype"/>
        </w:rPr>
        <w:t xml:space="preserve">But, importantly, throughout this diversity we can reasonably assume doctrinal consensus. For what distinguishes the Byzantine Orthodox theological tradition from the others is adherence to a specifiable course of doctrinal developments and definitions. Consider iconography. In the </w:t>
      </w:r>
      <w:proofErr w:type="spellStart"/>
      <w:r w:rsidRPr="007D40B2">
        <w:rPr>
          <w:rFonts w:ascii="Palatino Linotype" w:hAnsi="Palatino Linotype"/>
        </w:rPr>
        <w:t>Eight</w:t>
      </w:r>
      <w:proofErr w:type="spellEnd"/>
      <w:r w:rsidRPr="007D40B2">
        <w:rPr>
          <w:rFonts w:ascii="Palatino Linotype" w:hAnsi="Palatino Linotype"/>
        </w:rPr>
        <w:t xml:space="preserve"> and Ninth Centuries, iconography became the subject of fierce cultural and theological debates in and around </w:t>
      </w:r>
      <w:smartTag w:uri="urn:schemas-microsoft-com:office:smarttags" w:element="place">
        <w:r w:rsidRPr="007D40B2">
          <w:rPr>
            <w:rFonts w:ascii="Palatino Linotype" w:hAnsi="Palatino Linotype"/>
          </w:rPr>
          <w:t>Constantinople</w:t>
        </w:r>
      </w:smartTag>
      <w:r w:rsidRPr="007D40B2">
        <w:rPr>
          <w:rFonts w:ascii="Palatino Linotype" w:hAnsi="Palatino Linotype"/>
        </w:rPr>
        <w:t xml:space="preserve">. But that was unusual. Amongst the Copts and Ethiopians, for example, the production and veneration of religious artwork was never disrupted in this way. As a result of these controversies in the Byzantine Orthodox tradition, iconography was restored on the basis of articulate and highly refined theological evaluations – and this, too, sets the Byzantine tradition apart, because those articulate theological positions cannot justifiably be presumed on the part of other Orthodox traditions. </w:t>
      </w:r>
    </w:p>
    <w:p w:rsidR="00E33D26" w:rsidRPr="007D40B2" w:rsidRDefault="00E33D26" w:rsidP="00E33D26">
      <w:pPr>
        <w:rPr>
          <w:rFonts w:ascii="Palatino Linotype" w:hAnsi="Palatino Linotype"/>
        </w:rPr>
      </w:pPr>
    </w:p>
    <w:p w:rsidR="00E33D26" w:rsidRPr="007D40B2" w:rsidRDefault="00E33D26" w:rsidP="00E33D26">
      <w:pPr>
        <w:rPr>
          <w:rFonts w:ascii="Palatino Linotype" w:hAnsi="Palatino Linotype"/>
        </w:rPr>
      </w:pPr>
      <w:r w:rsidRPr="007D40B2">
        <w:rPr>
          <w:rFonts w:ascii="Palatino Linotype" w:hAnsi="Palatino Linotype"/>
        </w:rPr>
        <w:t xml:space="preserve">Another example can be taken from the recent past. In fifteenth-century </w:t>
      </w:r>
      <w:smartTag w:uri="urn:schemas-microsoft-com:office:smarttags" w:element="place">
        <w:r w:rsidRPr="007D40B2">
          <w:rPr>
            <w:rFonts w:ascii="Palatino Linotype" w:hAnsi="Palatino Linotype"/>
          </w:rPr>
          <w:t>Constantinople</w:t>
        </w:r>
      </w:smartTag>
      <w:r w:rsidRPr="007D40B2">
        <w:rPr>
          <w:rFonts w:ascii="Palatino Linotype" w:hAnsi="Palatino Linotype"/>
        </w:rPr>
        <w:t xml:space="preserve"> and environs, a serious controversy raged over the question of whether it is possible to encounter God physically whilst one prays. What was at stake was the legitimacy of a distinct regimen of praying, known as ‘hesychasm,’ and an entire literature in support of that regimen. Hesychasm was ultimately vindicated, thanks not least to the writings of St Gregory </w:t>
      </w:r>
      <w:proofErr w:type="spellStart"/>
      <w:r w:rsidRPr="007D40B2">
        <w:rPr>
          <w:rFonts w:ascii="Palatino Linotype" w:hAnsi="Palatino Linotype"/>
        </w:rPr>
        <w:t>Palamas</w:t>
      </w:r>
      <w:proofErr w:type="spellEnd"/>
      <w:r w:rsidRPr="007D40B2">
        <w:rPr>
          <w:rFonts w:ascii="Palatino Linotype" w:hAnsi="Palatino Linotype"/>
        </w:rPr>
        <w:t xml:space="preserve">, later archbishop of Thessalonica. The hesychast controversy is a major episode in the history of Byzantine theology and so Byzantine theology is the natural home to </w:t>
      </w:r>
      <w:proofErr w:type="spellStart"/>
      <w:r w:rsidRPr="007D40B2">
        <w:rPr>
          <w:rFonts w:ascii="Palatino Linotype" w:hAnsi="Palatino Linotype"/>
        </w:rPr>
        <w:t>Palamite</w:t>
      </w:r>
      <w:proofErr w:type="spellEnd"/>
      <w:r w:rsidRPr="007D40B2">
        <w:rPr>
          <w:rFonts w:ascii="Palatino Linotype" w:hAnsi="Palatino Linotype"/>
        </w:rPr>
        <w:t xml:space="preserve"> theology (even if </w:t>
      </w:r>
      <w:proofErr w:type="spellStart"/>
      <w:r w:rsidRPr="007D40B2">
        <w:rPr>
          <w:rFonts w:ascii="Palatino Linotype" w:hAnsi="Palatino Linotype"/>
        </w:rPr>
        <w:t>Palamite</w:t>
      </w:r>
      <w:proofErr w:type="spellEnd"/>
      <w:r w:rsidRPr="007D40B2">
        <w:rPr>
          <w:rFonts w:ascii="Palatino Linotype" w:hAnsi="Palatino Linotype"/>
        </w:rPr>
        <w:t xml:space="preserve"> theology has in very recent years begun to captivate the imaginations of thinkers working in different theological cultures). Despite the fact that some Byzantine Orthodox theologians disagree on points of interpreting </w:t>
      </w:r>
      <w:proofErr w:type="spellStart"/>
      <w:r w:rsidRPr="007D40B2">
        <w:rPr>
          <w:rFonts w:ascii="Palatino Linotype" w:hAnsi="Palatino Linotype"/>
        </w:rPr>
        <w:t>Palamite</w:t>
      </w:r>
      <w:proofErr w:type="spellEnd"/>
      <w:r w:rsidRPr="007D40B2">
        <w:rPr>
          <w:rFonts w:ascii="Palatino Linotype" w:hAnsi="Palatino Linotype"/>
        </w:rPr>
        <w:t xml:space="preserve"> theology, St Gregory </w:t>
      </w:r>
      <w:proofErr w:type="spellStart"/>
      <w:r w:rsidRPr="007D40B2">
        <w:rPr>
          <w:rFonts w:ascii="Palatino Linotype" w:hAnsi="Palatino Linotype"/>
        </w:rPr>
        <w:t>Palamas</w:t>
      </w:r>
      <w:proofErr w:type="spellEnd"/>
      <w:r w:rsidRPr="007D40B2">
        <w:rPr>
          <w:rFonts w:ascii="Palatino Linotype" w:hAnsi="Palatino Linotype"/>
        </w:rPr>
        <w:t xml:space="preserve">’ writings are for all practical purposes universally accepted as definitive. These two examples illustrate the fact that theologians within the Byzantine tradition share a repertoire of terms, themes and practices. This common repertoire makes it possible – though not always easy! – </w:t>
      </w:r>
      <w:proofErr w:type="gramStart"/>
      <w:r w:rsidRPr="007D40B2">
        <w:rPr>
          <w:rFonts w:ascii="Palatino Linotype" w:hAnsi="Palatino Linotype"/>
        </w:rPr>
        <w:t>to</w:t>
      </w:r>
      <w:proofErr w:type="gramEnd"/>
      <w:r w:rsidRPr="007D40B2">
        <w:rPr>
          <w:rFonts w:ascii="Palatino Linotype" w:hAnsi="Palatino Linotype"/>
        </w:rPr>
        <w:t xml:space="preserve"> evaluate Byzantine Orthodox theologians against a common set of practices and beliefs.</w:t>
      </w:r>
    </w:p>
    <w:p w:rsidR="00E33D26" w:rsidRPr="007D40B2" w:rsidRDefault="00E33D26" w:rsidP="00E33D26">
      <w:pPr>
        <w:rPr>
          <w:rFonts w:ascii="Palatino Linotype" w:hAnsi="Palatino Linotype"/>
        </w:rPr>
      </w:pPr>
    </w:p>
    <w:p w:rsidR="00E33D26" w:rsidRPr="007D40B2" w:rsidRDefault="00E33D26" w:rsidP="00E33D26">
      <w:pPr>
        <w:rPr>
          <w:rFonts w:ascii="Palatino Linotype" w:hAnsi="Palatino Linotype"/>
        </w:rPr>
      </w:pPr>
      <w:r w:rsidRPr="007D40B2">
        <w:rPr>
          <w:rFonts w:ascii="Palatino Linotype" w:hAnsi="Palatino Linotype"/>
        </w:rPr>
        <w:t xml:space="preserve">Second, several important social and cultural transformations occurred, or came to fruition, during the Twentieth Century. For example, beginning in the late Nineteenth Century traditionally Orthodox societies are reconstituted into modern nation states such as </w:t>
      </w:r>
      <w:smartTag w:uri="urn:schemas-microsoft-com:office:smarttags" w:element="country-region">
        <w:r w:rsidRPr="007D40B2">
          <w:rPr>
            <w:rFonts w:ascii="Palatino Linotype" w:hAnsi="Palatino Linotype"/>
          </w:rPr>
          <w:t>Romania</w:t>
        </w:r>
      </w:smartTag>
      <w:r w:rsidRPr="007D40B2">
        <w:rPr>
          <w:rFonts w:ascii="Palatino Linotype" w:hAnsi="Palatino Linotype"/>
        </w:rPr>
        <w:t xml:space="preserve"> and </w:t>
      </w:r>
      <w:smartTag w:uri="urn:schemas-microsoft-com:office:smarttags" w:element="country-region">
        <w:smartTag w:uri="urn:schemas-microsoft-com:office:smarttags" w:element="place">
          <w:r w:rsidRPr="007D40B2">
            <w:rPr>
              <w:rFonts w:ascii="Palatino Linotype" w:hAnsi="Palatino Linotype"/>
            </w:rPr>
            <w:t>Greece</w:t>
          </w:r>
        </w:smartTag>
      </w:smartTag>
      <w:r w:rsidRPr="007D40B2">
        <w:rPr>
          <w:rFonts w:ascii="Palatino Linotype" w:hAnsi="Palatino Linotype"/>
        </w:rPr>
        <w:t xml:space="preserve">. Of equal importance is the fact that, in the early Twentieth Century, the last major Orthodox empire collapsed with the fall of the Romanov dynasty in </w:t>
      </w:r>
      <w:smartTag w:uri="urn:schemas-microsoft-com:office:smarttags" w:element="country-region">
        <w:smartTag w:uri="urn:schemas-microsoft-com:office:smarttags" w:element="place">
          <w:r w:rsidRPr="007D40B2">
            <w:rPr>
              <w:rFonts w:ascii="Palatino Linotype" w:hAnsi="Palatino Linotype"/>
            </w:rPr>
            <w:t>Russia</w:t>
          </w:r>
        </w:smartTag>
      </w:smartTag>
      <w:r w:rsidRPr="007D40B2">
        <w:rPr>
          <w:rFonts w:ascii="Palatino Linotype" w:hAnsi="Palatino Linotype"/>
        </w:rPr>
        <w:t xml:space="preserve">. The consequences of the Russian Revolution would, of course, be felt keenly throughout </w:t>
      </w:r>
      <w:smartTag w:uri="urn:schemas-microsoft-com:office:smarttags" w:element="place">
        <w:r w:rsidRPr="007D40B2">
          <w:rPr>
            <w:rFonts w:ascii="Palatino Linotype" w:hAnsi="Palatino Linotype"/>
          </w:rPr>
          <w:t>Eastern Europe</w:t>
        </w:r>
      </w:smartTag>
      <w:r w:rsidRPr="007D40B2">
        <w:rPr>
          <w:rFonts w:ascii="Palatino Linotype" w:hAnsi="Palatino Linotype"/>
        </w:rPr>
        <w:t xml:space="preserve"> and as a result huge numbers of Orthodox Christians were displaced from their native (if not ancestral) homelands. The so-called ‘Diaspora’ of Eastern European Orthodox dates to this period. Massive </w:t>
      </w:r>
      <w:r w:rsidRPr="007D40B2">
        <w:rPr>
          <w:rFonts w:ascii="Palatino Linotype" w:hAnsi="Palatino Linotype"/>
        </w:rPr>
        <w:lastRenderedPageBreak/>
        <w:t>social upheavals during the Twentieth Century also resulted in a marked shift in the complexion of Orthodox theology: for the first time, the theological presence of Orthodox monks is overshadowed by the sheer volume of publications by secular Orthodox theologians. The period is in many ways chaotic, but many Orthodox theologians responded to these changes in a profoundly creative way. The sources for this course are representative of that creativity.</w:t>
      </w:r>
    </w:p>
    <w:p w:rsidR="00E33D26" w:rsidRPr="007D40B2" w:rsidRDefault="00E33D26" w:rsidP="00E33D26">
      <w:pPr>
        <w:rPr>
          <w:rFonts w:ascii="Palatino Linotype" w:hAnsi="Palatino Linotype"/>
        </w:rPr>
      </w:pPr>
    </w:p>
    <w:p w:rsidR="00E33D26" w:rsidRPr="007D40B2" w:rsidRDefault="00E33D26" w:rsidP="00E33D26">
      <w:pPr>
        <w:rPr>
          <w:rFonts w:ascii="Palatino Linotype" w:hAnsi="Palatino Linotype"/>
        </w:rPr>
      </w:pPr>
      <w:r w:rsidRPr="007D40B2">
        <w:rPr>
          <w:rFonts w:ascii="Palatino Linotype" w:hAnsi="Palatino Linotype"/>
        </w:rPr>
        <w:t xml:space="preserve">One of the major catalysts of modern Orthodox theology has been the shock experienced by theologians whose religious identity was traditionally characterised by a weighty sense of timelessness but whose connection with the past had been dramatically disrupted. Across a range of topics, we will have the opportunity to study the ways in which modern Orthodox theologians have drawn on their heritage to respond to questions posed by, or to present themselves to, forms of Christianity that are strangely familiar but markedly different from their own. It would be misrepresentative, however, to suggest that Orthodox theology has been passive and merely responded to events that have overtaken it. That might arguably have been the case for Orthodox theologians in the late Byzantine period (who were sometimes obliged to facilitate reconciliation with the Catholic Church) or in the early modern periods (who frequently played Catholics and Protestants off against each other, but often lost their own sense of identity in the process). </w:t>
      </w:r>
    </w:p>
    <w:p w:rsidR="00E33D26" w:rsidRPr="007D40B2" w:rsidRDefault="00E33D26" w:rsidP="00E33D26">
      <w:pPr>
        <w:rPr>
          <w:rFonts w:ascii="Palatino Linotype" w:hAnsi="Palatino Linotype"/>
        </w:rPr>
      </w:pPr>
    </w:p>
    <w:p w:rsidR="00E33D26" w:rsidRPr="007D40B2" w:rsidRDefault="00E33D26" w:rsidP="00E33D26">
      <w:pPr>
        <w:rPr>
          <w:rFonts w:ascii="Palatino Linotype" w:hAnsi="Palatino Linotype"/>
        </w:rPr>
      </w:pPr>
      <w:r w:rsidRPr="007D40B2">
        <w:rPr>
          <w:rFonts w:ascii="Palatino Linotype" w:hAnsi="Palatino Linotype"/>
        </w:rPr>
        <w:t xml:space="preserve">But what is increasingly clear about Orthodox theology through the Twentieth Century is that it finds its own style and manner of expression. Frequently, the themes that are expressed in this particular style are foreign or unfamiliar to those whose theological background is culturally western. As a result, a survey of Orthodoxy can be sometimes surprising and sometimes frustrating: surprising because an Orthodox perspective can reveal new aspects of familiar themes; frustrating because its presuppositions and preoccupations are often deeply rooted in a cultural history that is only accessible to the modern Westerner with difficulty. The writings that follow have been selected for study precisely because they exemplify the styles of modern Orthodox theology and illustrate the following six major themes: the </w:t>
      </w:r>
      <w:proofErr w:type="spellStart"/>
      <w:r w:rsidRPr="007D40B2">
        <w:rPr>
          <w:rFonts w:ascii="Palatino Linotype" w:hAnsi="Palatino Linotype"/>
          <w:i/>
          <w:iCs/>
        </w:rPr>
        <w:t>Filioque</w:t>
      </w:r>
      <w:proofErr w:type="spellEnd"/>
      <w:r w:rsidRPr="007D40B2">
        <w:rPr>
          <w:rFonts w:ascii="Palatino Linotype" w:hAnsi="Palatino Linotype"/>
        </w:rPr>
        <w:t>; Divine Energies; universalism; the neo-patristic synthesis; liturgy; Orthodoxy in the late modern West. Two samples have been chosen to represent each of these six themes characteristic of modern Orthodoxy, for a total of twelve readings.</w:t>
      </w:r>
    </w:p>
    <w:p w:rsidR="00E33D26" w:rsidRPr="007D40B2" w:rsidRDefault="00E33D26" w:rsidP="00E33D26">
      <w:pPr>
        <w:rPr>
          <w:rFonts w:ascii="Palatino Linotype" w:hAnsi="Palatino Linotype"/>
        </w:rPr>
      </w:pPr>
    </w:p>
    <w:p w:rsidR="00E33D26" w:rsidRPr="007D40B2" w:rsidRDefault="00E33D26" w:rsidP="00E33D26">
      <w:pPr>
        <w:rPr>
          <w:rFonts w:ascii="Palatino Linotype" w:hAnsi="Palatino Linotype"/>
        </w:rPr>
      </w:pPr>
      <w:r w:rsidRPr="007D40B2">
        <w:rPr>
          <w:rFonts w:ascii="Palatino Linotype" w:hAnsi="Palatino Linotype"/>
        </w:rPr>
        <w:t xml:space="preserve">Various styles of modern Orthodox theology will become apparent in the selected passages, as they reveal the voices and typical concerns of some major Orthodox theologians from the period under study. Familiarity with major Orthodox theologians is basic to appreciating modern Orthodox theology: particular ‘buzzwords’ that have entered the general conversation are best understood from the context of the modern theologians whose writings gave them currency (or whose writings are summarized by the words, even if the theologians themselves did not </w:t>
      </w:r>
      <w:r w:rsidRPr="007D40B2">
        <w:rPr>
          <w:rFonts w:ascii="Palatino Linotype" w:hAnsi="Palatino Linotype"/>
        </w:rPr>
        <w:lastRenderedPageBreak/>
        <w:t>use them). For example, we frequently hear the phrase ‘</w:t>
      </w:r>
      <w:proofErr w:type="spellStart"/>
      <w:r w:rsidRPr="007D40B2">
        <w:rPr>
          <w:rFonts w:ascii="Palatino Linotype" w:hAnsi="Palatino Linotype"/>
        </w:rPr>
        <w:t>pseudomorphosis</w:t>
      </w:r>
      <w:proofErr w:type="spellEnd"/>
      <w:r w:rsidRPr="007D40B2">
        <w:rPr>
          <w:rFonts w:ascii="Palatino Linotype" w:hAnsi="Palatino Linotype"/>
        </w:rPr>
        <w:t xml:space="preserve"> of Orthodox theology’ used to describe – and, generally, to disparage – developments that have resulted when the Orthodox have internalised ideas taken typically from the Christian West. ‘</w:t>
      </w:r>
      <w:proofErr w:type="spellStart"/>
      <w:r w:rsidRPr="007D40B2">
        <w:rPr>
          <w:rFonts w:ascii="Palatino Linotype" w:hAnsi="Palatino Linotype"/>
        </w:rPr>
        <w:t>Pseudomorphosis</w:t>
      </w:r>
      <w:proofErr w:type="spellEnd"/>
      <w:r w:rsidRPr="007D40B2">
        <w:rPr>
          <w:rFonts w:ascii="Palatino Linotype" w:hAnsi="Palatino Linotype"/>
        </w:rPr>
        <w:t xml:space="preserve">’ is a key theme in the writings of Fr Georges </w:t>
      </w:r>
      <w:proofErr w:type="spellStart"/>
      <w:r w:rsidRPr="007D40B2">
        <w:rPr>
          <w:rFonts w:ascii="Palatino Linotype" w:hAnsi="Palatino Linotype"/>
        </w:rPr>
        <w:t>Florovsky</w:t>
      </w:r>
      <w:proofErr w:type="spellEnd"/>
      <w:r w:rsidRPr="007D40B2">
        <w:rPr>
          <w:rFonts w:ascii="Palatino Linotype" w:hAnsi="Palatino Linotype"/>
        </w:rPr>
        <w:t xml:space="preserve">, in which he promoted a return to the Hellenic Christian sources of Orthodoxy and a turn away from the philosophical influence of German idealism; in other words, in which </w:t>
      </w:r>
      <w:proofErr w:type="spellStart"/>
      <w:r w:rsidRPr="007D40B2">
        <w:rPr>
          <w:rFonts w:ascii="Palatino Linotype" w:hAnsi="Palatino Linotype"/>
        </w:rPr>
        <w:t>Florovsky</w:t>
      </w:r>
      <w:proofErr w:type="spellEnd"/>
      <w:r w:rsidRPr="007D40B2">
        <w:rPr>
          <w:rFonts w:ascii="Palatino Linotype" w:hAnsi="Palatino Linotype"/>
        </w:rPr>
        <w:t xml:space="preserve"> promoted the </w:t>
      </w:r>
      <w:r w:rsidRPr="007D40B2">
        <w:rPr>
          <w:rFonts w:ascii="Palatino Linotype" w:hAnsi="Palatino Linotype"/>
          <w:i/>
          <w:iCs/>
        </w:rPr>
        <w:t>neo-patristic synthesis</w:t>
      </w:r>
      <w:r w:rsidRPr="007D40B2">
        <w:rPr>
          <w:rFonts w:ascii="Palatino Linotype" w:hAnsi="Palatino Linotype"/>
        </w:rPr>
        <w:t xml:space="preserve">. The </w:t>
      </w:r>
      <w:r w:rsidRPr="007D40B2">
        <w:rPr>
          <w:rFonts w:ascii="Palatino Linotype" w:hAnsi="Palatino Linotype"/>
          <w:i/>
          <w:iCs/>
        </w:rPr>
        <w:t xml:space="preserve">neo-patristic synthesis </w:t>
      </w:r>
      <w:r w:rsidRPr="007D40B2">
        <w:rPr>
          <w:rFonts w:ascii="Palatino Linotype" w:hAnsi="Palatino Linotype"/>
        </w:rPr>
        <w:t xml:space="preserve">has been the characteristic form of ‘returning to the sources’ for the Orthodox since the last century. Another keyword that we will encounter in this course is </w:t>
      </w:r>
      <w:proofErr w:type="spellStart"/>
      <w:r w:rsidRPr="007D40B2">
        <w:rPr>
          <w:rFonts w:ascii="Palatino Linotype" w:hAnsi="Palatino Linotype"/>
          <w:i/>
          <w:iCs/>
        </w:rPr>
        <w:t>sobornost</w:t>
      </w:r>
      <w:proofErr w:type="spellEnd"/>
      <w:r w:rsidRPr="007D40B2">
        <w:rPr>
          <w:rFonts w:ascii="Palatino Linotype" w:hAnsi="Palatino Linotype"/>
          <w:i/>
          <w:iCs/>
        </w:rPr>
        <w:t xml:space="preserve"> </w:t>
      </w:r>
      <w:r w:rsidRPr="007D40B2">
        <w:rPr>
          <w:rFonts w:ascii="Palatino Linotype" w:hAnsi="Palatino Linotype"/>
        </w:rPr>
        <w:t>(or, as abstraction, ‘</w:t>
      </w:r>
      <w:proofErr w:type="spellStart"/>
      <w:r w:rsidRPr="007D40B2">
        <w:rPr>
          <w:rFonts w:ascii="Palatino Linotype" w:hAnsi="Palatino Linotype"/>
        </w:rPr>
        <w:t>sobornicity</w:t>
      </w:r>
      <w:proofErr w:type="spellEnd"/>
      <w:r w:rsidRPr="007D40B2">
        <w:rPr>
          <w:rFonts w:ascii="Palatino Linotype" w:hAnsi="Palatino Linotype"/>
        </w:rPr>
        <w:t>’), which is more or less equivalent in meaning to ‘</w:t>
      </w:r>
      <w:proofErr w:type="spellStart"/>
      <w:r w:rsidRPr="007D40B2">
        <w:rPr>
          <w:rFonts w:ascii="Palatino Linotype" w:hAnsi="Palatino Linotype"/>
        </w:rPr>
        <w:t>conciliar</w:t>
      </w:r>
      <w:proofErr w:type="spellEnd"/>
      <w:r w:rsidRPr="007D40B2">
        <w:rPr>
          <w:rFonts w:ascii="Palatino Linotype" w:hAnsi="Palatino Linotype"/>
        </w:rPr>
        <w:t>’ (or, respectively, ‘</w:t>
      </w:r>
      <w:proofErr w:type="spellStart"/>
      <w:r w:rsidRPr="007D40B2">
        <w:rPr>
          <w:rFonts w:ascii="Palatino Linotype" w:hAnsi="Palatino Linotype"/>
        </w:rPr>
        <w:t>conciliarity</w:t>
      </w:r>
      <w:proofErr w:type="spellEnd"/>
      <w:r w:rsidRPr="007D40B2">
        <w:rPr>
          <w:rFonts w:ascii="Palatino Linotype" w:hAnsi="Palatino Linotype"/>
        </w:rPr>
        <w:t xml:space="preserve">’), though naturally the concept has been coloured by the social history of </w:t>
      </w:r>
      <w:smartTag w:uri="urn:schemas-microsoft-com:office:smarttags" w:element="place">
        <w:r w:rsidRPr="007D40B2">
          <w:rPr>
            <w:rFonts w:ascii="Palatino Linotype" w:hAnsi="Palatino Linotype"/>
          </w:rPr>
          <w:t>Eastern Europe</w:t>
        </w:r>
      </w:smartTag>
      <w:r w:rsidRPr="007D40B2">
        <w:rPr>
          <w:rFonts w:ascii="Palatino Linotype" w:hAnsi="Palatino Linotype"/>
        </w:rPr>
        <w:t xml:space="preserve">. The word would seem to have originated in Slavic translations of the article from the Nicene-Constantinopolitan Creed where belief is confessed in ‘One, Holy, </w:t>
      </w:r>
      <w:r w:rsidRPr="007D40B2">
        <w:rPr>
          <w:rFonts w:ascii="Palatino Linotype" w:hAnsi="Palatino Linotype"/>
          <w:i/>
          <w:iCs/>
        </w:rPr>
        <w:t xml:space="preserve">Catholic </w:t>
      </w:r>
      <w:r w:rsidRPr="007D40B2">
        <w:rPr>
          <w:rFonts w:ascii="Palatino Linotype" w:hAnsi="Palatino Linotype"/>
        </w:rPr>
        <w:t xml:space="preserve">and </w:t>
      </w:r>
      <w:smartTag w:uri="urn:schemas-microsoft-com:office:smarttags" w:element="place">
        <w:smartTag w:uri="urn:schemas-microsoft-com:office:smarttags" w:element="PlaceName">
          <w:r w:rsidRPr="007D40B2">
            <w:rPr>
              <w:rFonts w:ascii="Palatino Linotype" w:hAnsi="Palatino Linotype"/>
            </w:rPr>
            <w:t>Apostolic</w:t>
          </w:r>
        </w:smartTag>
        <w:r w:rsidRPr="007D40B2">
          <w:rPr>
            <w:rFonts w:ascii="Palatino Linotype" w:hAnsi="Palatino Linotype"/>
          </w:rPr>
          <w:t xml:space="preserve"> </w:t>
        </w:r>
        <w:smartTag w:uri="urn:schemas-microsoft-com:office:smarttags" w:element="PlaceType">
          <w:r w:rsidRPr="007D40B2">
            <w:rPr>
              <w:rFonts w:ascii="Palatino Linotype" w:hAnsi="Palatino Linotype"/>
            </w:rPr>
            <w:t>Church</w:t>
          </w:r>
        </w:smartTag>
      </w:smartTag>
      <w:r w:rsidRPr="007D40B2">
        <w:rPr>
          <w:rFonts w:ascii="Palatino Linotype" w:hAnsi="Palatino Linotype"/>
        </w:rPr>
        <w:t xml:space="preserve">’. That origin already suggests that the word serves the Orthodox as a vehicle for expressing ideas about the sort of unity that the Church ideally exemplifies (and it also suggests that those ideas are consciously expressed as an alternative to western notions of catholicity, not to mention Catholicism). </w:t>
      </w:r>
      <w:proofErr w:type="spellStart"/>
      <w:r w:rsidRPr="007D40B2">
        <w:rPr>
          <w:rFonts w:ascii="Palatino Linotype" w:hAnsi="Palatino Linotype"/>
          <w:i/>
          <w:iCs/>
        </w:rPr>
        <w:t>Sobornost</w:t>
      </w:r>
      <w:proofErr w:type="spellEnd"/>
      <w:r w:rsidRPr="007D40B2">
        <w:rPr>
          <w:rFonts w:ascii="Palatino Linotype" w:hAnsi="Palatino Linotype"/>
          <w:i/>
          <w:iCs/>
        </w:rPr>
        <w:t xml:space="preserve"> </w:t>
      </w:r>
      <w:r w:rsidRPr="007D40B2">
        <w:rPr>
          <w:rFonts w:ascii="Palatino Linotype" w:hAnsi="Palatino Linotype"/>
        </w:rPr>
        <w:t xml:space="preserve">is an ideal that is felt in the ecclesiology of </w:t>
      </w:r>
      <w:proofErr w:type="spellStart"/>
      <w:r w:rsidRPr="007D40B2">
        <w:rPr>
          <w:rFonts w:ascii="Palatino Linotype" w:hAnsi="Palatino Linotype"/>
        </w:rPr>
        <w:t>Khomiakov</w:t>
      </w:r>
      <w:proofErr w:type="spellEnd"/>
      <w:r w:rsidRPr="007D40B2">
        <w:rPr>
          <w:rFonts w:ascii="Palatino Linotype" w:hAnsi="Palatino Linotype"/>
        </w:rPr>
        <w:t xml:space="preserve">, as we shall see in his ‘The Church is one,’ </w:t>
      </w:r>
      <w:proofErr w:type="spellStart"/>
      <w:r w:rsidRPr="007D40B2">
        <w:rPr>
          <w:rFonts w:ascii="Palatino Linotype" w:hAnsi="Palatino Linotype"/>
        </w:rPr>
        <w:t>Bulgakov</w:t>
      </w:r>
      <w:proofErr w:type="spellEnd"/>
      <w:r w:rsidRPr="007D40B2">
        <w:rPr>
          <w:rFonts w:ascii="Palatino Linotype" w:hAnsi="Palatino Linotype"/>
        </w:rPr>
        <w:t xml:space="preserve"> dedicates some time to explaining it in his ‘The Orthodox Church’ and </w:t>
      </w:r>
      <w:proofErr w:type="spellStart"/>
      <w:r w:rsidRPr="007D40B2">
        <w:rPr>
          <w:rFonts w:ascii="Palatino Linotype" w:hAnsi="Palatino Linotype"/>
        </w:rPr>
        <w:t>Stăniloae’s</w:t>
      </w:r>
      <w:proofErr w:type="spellEnd"/>
      <w:r w:rsidRPr="007D40B2">
        <w:rPr>
          <w:rFonts w:ascii="Palatino Linotype" w:hAnsi="Palatino Linotype"/>
        </w:rPr>
        <w:t xml:space="preserve"> ‘The Holy Spirit and the </w:t>
      </w:r>
      <w:proofErr w:type="spellStart"/>
      <w:r w:rsidRPr="007D40B2">
        <w:rPr>
          <w:rFonts w:ascii="Palatino Linotype" w:hAnsi="Palatino Linotype"/>
        </w:rPr>
        <w:t>Sobornicity</w:t>
      </w:r>
      <w:proofErr w:type="spellEnd"/>
      <w:r w:rsidRPr="007D40B2">
        <w:rPr>
          <w:rFonts w:ascii="Palatino Linotype" w:hAnsi="Palatino Linotype"/>
        </w:rPr>
        <w:t xml:space="preserve"> of the Church’ expresses it quite clearly.</w:t>
      </w:r>
    </w:p>
    <w:p w:rsidR="00E33D26" w:rsidRPr="007D40B2" w:rsidRDefault="00E33D26" w:rsidP="00E33D26">
      <w:pPr>
        <w:rPr>
          <w:rFonts w:ascii="Palatino Linotype" w:hAnsi="Palatino Linotype"/>
        </w:rPr>
      </w:pPr>
    </w:p>
    <w:p w:rsidR="00E33D26" w:rsidRPr="007D40B2" w:rsidRDefault="00E33D26" w:rsidP="00E33D26">
      <w:pPr>
        <w:rPr>
          <w:rFonts w:ascii="Palatino Linotype" w:hAnsi="Palatino Linotype"/>
        </w:rPr>
      </w:pPr>
      <w:r w:rsidRPr="007D40B2">
        <w:rPr>
          <w:rFonts w:ascii="Palatino Linotype" w:hAnsi="Palatino Linotype"/>
        </w:rPr>
        <w:t xml:space="preserve">Orthodoxy is sometimes crudely posed as a self-conscious alternative to Western Christianity, or more subtly as a catalyst to bring Western Christianity back to its own authentic tradition. Certainly it is not the case that all of the theologians studied here subscribe to that agenda, but engagement of some sort with the Christian West is typical of all of the theologians whom we will study in this course. A.S. </w:t>
      </w:r>
      <w:proofErr w:type="spellStart"/>
      <w:r w:rsidRPr="007D40B2">
        <w:rPr>
          <w:rFonts w:ascii="Palatino Linotype" w:hAnsi="Palatino Linotype"/>
        </w:rPr>
        <w:t>Khomiakov</w:t>
      </w:r>
      <w:proofErr w:type="spellEnd"/>
      <w:r w:rsidRPr="007D40B2">
        <w:rPr>
          <w:rFonts w:ascii="Palatino Linotype" w:hAnsi="Palatino Linotype"/>
        </w:rPr>
        <w:t xml:space="preserve"> corresponded with William Palmer, an Oxonian, about ecclesiology; </w:t>
      </w:r>
      <w:proofErr w:type="spellStart"/>
      <w:r w:rsidRPr="007D40B2">
        <w:rPr>
          <w:rFonts w:ascii="Palatino Linotype" w:hAnsi="Palatino Linotype"/>
        </w:rPr>
        <w:t>Pavel</w:t>
      </w:r>
      <w:proofErr w:type="spellEnd"/>
      <w:r w:rsidRPr="007D40B2">
        <w:rPr>
          <w:rFonts w:ascii="Palatino Linotype" w:hAnsi="Palatino Linotype"/>
        </w:rPr>
        <w:t xml:space="preserve"> </w:t>
      </w:r>
      <w:proofErr w:type="spellStart"/>
      <w:r w:rsidRPr="007D40B2">
        <w:rPr>
          <w:rFonts w:ascii="Palatino Linotype" w:hAnsi="Palatino Linotype"/>
        </w:rPr>
        <w:t>Florensky</w:t>
      </w:r>
      <w:proofErr w:type="spellEnd"/>
      <w:r w:rsidRPr="007D40B2">
        <w:rPr>
          <w:rFonts w:ascii="Palatino Linotype" w:hAnsi="Palatino Linotype"/>
        </w:rPr>
        <w:t xml:space="preserve"> dedicated an appendix in his </w:t>
      </w:r>
      <w:r w:rsidRPr="007D40B2">
        <w:rPr>
          <w:rFonts w:ascii="Palatino Linotype" w:hAnsi="Palatino Linotype"/>
          <w:i/>
          <w:iCs/>
        </w:rPr>
        <w:t xml:space="preserve">Pillar and Ground of Truth </w:t>
      </w:r>
      <w:r w:rsidRPr="007D40B2">
        <w:rPr>
          <w:rFonts w:ascii="Palatino Linotype" w:hAnsi="Palatino Linotype"/>
        </w:rPr>
        <w:t xml:space="preserve">to Pascal’s ‘Amulet’ and another to solving a logical conundrum posed by Charles Dodgson (better known as Lewis Carroll, the penname under which he authored </w:t>
      </w:r>
      <w:r w:rsidRPr="007D40B2">
        <w:rPr>
          <w:rFonts w:ascii="Palatino Linotype" w:hAnsi="Palatino Linotype"/>
          <w:i/>
          <w:iCs/>
        </w:rPr>
        <w:t>Alice’s Adventures in Wonderland</w:t>
      </w:r>
      <w:r w:rsidRPr="007D40B2">
        <w:rPr>
          <w:rFonts w:ascii="Palatino Linotype" w:hAnsi="Palatino Linotype"/>
        </w:rPr>
        <w:t xml:space="preserve">). Sergei </w:t>
      </w:r>
      <w:proofErr w:type="spellStart"/>
      <w:r w:rsidRPr="007D40B2">
        <w:rPr>
          <w:rFonts w:ascii="Palatino Linotype" w:hAnsi="Palatino Linotype"/>
        </w:rPr>
        <w:t>Bulgakov</w:t>
      </w:r>
      <w:proofErr w:type="spellEnd"/>
      <w:r w:rsidRPr="007D40B2">
        <w:rPr>
          <w:rFonts w:ascii="Palatino Linotype" w:hAnsi="Palatino Linotype"/>
        </w:rPr>
        <w:t xml:space="preserve"> and Vladimir </w:t>
      </w:r>
      <w:proofErr w:type="spellStart"/>
      <w:r w:rsidRPr="007D40B2">
        <w:rPr>
          <w:rFonts w:ascii="Palatino Linotype" w:hAnsi="Palatino Linotype"/>
        </w:rPr>
        <w:t>Lossky</w:t>
      </w:r>
      <w:proofErr w:type="spellEnd"/>
      <w:r w:rsidRPr="007D40B2">
        <w:rPr>
          <w:rFonts w:ascii="Palatino Linotype" w:hAnsi="Palatino Linotype"/>
        </w:rPr>
        <w:t xml:space="preserve"> taught in </w:t>
      </w:r>
      <w:smartTag w:uri="urn:schemas-microsoft-com:office:smarttags" w:element="City">
        <w:r w:rsidRPr="007D40B2">
          <w:rPr>
            <w:rFonts w:ascii="Palatino Linotype" w:hAnsi="Palatino Linotype"/>
          </w:rPr>
          <w:t>Paris</w:t>
        </w:r>
      </w:smartTag>
      <w:r w:rsidRPr="007D40B2">
        <w:rPr>
          <w:rFonts w:ascii="Palatino Linotype" w:hAnsi="Palatino Linotype"/>
        </w:rPr>
        <w:t xml:space="preserve">, as did Georges </w:t>
      </w:r>
      <w:proofErr w:type="spellStart"/>
      <w:r w:rsidRPr="007D40B2">
        <w:rPr>
          <w:rFonts w:ascii="Palatino Linotype" w:hAnsi="Palatino Linotype"/>
        </w:rPr>
        <w:t>Florovsky</w:t>
      </w:r>
      <w:proofErr w:type="spellEnd"/>
      <w:r w:rsidRPr="007D40B2">
        <w:rPr>
          <w:rFonts w:ascii="Palatino Linotype" w:hAnsi="Palatino Linotype"/>
        </w:rPr>
        <w:t xml:space="preserve"> before he moved to the </w:t>
      </w:r>
      <w:smartTag w:uri="urn:schemas-microsoft-com:office:smarttags" w:element="country-region">
        <w:smartTag w:uri="urn:schemas-microsoft-com:office:smarttags" w:element="place">
          <w:r w:rsidRPr="007D40B2">
            <w:rPr>
              <w:rFonts w:ascii="Palatino Linotype" w:hAnsi="Palatino Linotype"/>
            </w:rPr>
            <w:t>United States</w:t>
          </w:r>
        </w:smartTag>
      </w:smartTag>
      <w:r w:rsidRPr="007D40B2">
        <w:rPr>
          <w:rFonts w:ascii="Palatino Linotype" w:hAnsi="Palatino Linotype"/>
        </w:rPr>
        <w:t xml:space="preserve">. John </w:t>
      </w:r>
      <w:proofErr w:type="spellStart"/>
      <w:r w:rsidRPr="007D40B2">
        <w:rPr>
          <w:rFonts w:ascii="Palatino Linotype" w:hAnsi="Palatino Linotype"/>
        </w:rPr>
        <w:t>Meyendorff</w:t>
      </w:r>
      <w:proofErr w:type="spellEnd"/>
      <w:r w:rsidRPr="007D40B2">
        <w:rPr>
          <w:rFonts w:ascii="Palatino Linotype" w:hAnsi="Palatino Linotype"/>
        </w:rPr>
        <w:t xml:space="preserve"> and Alexander </w:t>
      </w:r>
      <w:proofErr w:type="spellStart"/>
      <w:r w:rsidRPr="007D40B2">
        <w:rPr>
          <w:rFonts w:ascii="Palatino Linotype" w:hAnsi="Palatino Linotype"/>
        </w:rPr>
        <w:t>Schmemann</w:t>
      </w:r>
      <w:proofErr w:type="spellEnd"/>
      <w:r w:rsidRPr="007D40B2">
        <w:rPr>
          <w:rFonts w:ascii="Palatino Linotype" w:hAnsi="Palatino Linotype"/>
        </w:rPr>
        <w:t xml:space="preserve"> were educated in </w:t>
      </w:r>
      <w:smartTag w:uri="urn:schemas-microsoft-com:office:smarttags" w:element="country-region">
        <w:r w:rsidRPr="007D40B2">
          <w:rPr>
            <w:rFonts w:ascii="Palatino Linotype" w:hAnsi="Palatino Linotype"/>
          </w:rPr>
          <w:t>France</w:t>
        </w:r>
      </w:smartTag>
      <w:r w:rsidRPr="007D40B2">
        <w:rPr>
          <w:rFonts w:ascii="Palatino Linotype" w:hAnsi="Palatino Linotype"/>
        </w:rPr>
        <w:t xml:space="preserve"> and taught in the </w:t>
      </w:r>
      <w:smartTag w:uri="urn:schemas-microsoft-com:office:smarttags" w:element="country-region">
        <w:smartTag w:uri="urn:schemas-microsoft-com:office:smarttags" w:element="place">
          <w:r w:rsidRPr="007D40B2">
            <w:rPr>
              <w:rFonts w:ascii="Palatino Linotype" w:hAnsi="Palatino Linotype"/>
            </w:rPr>
            <w:t>United States</w:t>
          </w:r>
        </w:smartTag>
      </w:smartTag>
      <w:r w:rsidRPr="007D40B2">
        <w:rPr>
          <w:rFonts w:ascii="Palatino Linotype" w:hAnsi="Palatino Linotype"/>
        </w:rPr>
        <w:t xml:space="preserve">. </w:t>
      </w:r>
      <w:proofErr w:type="spellStart"/>
      <w:r w:rsidRPr="007D40B2">
        <w:rPr>
          <w:rFonts w:ascii="Palatino Linotype" w:hAnsi="Palatino Linotype"/>
        </w:rPr>
        <w:t>Dumitru</w:t>
      </w:r>
      <w:proofErr w:type="spellEnd"/>
      <w:r w:rsidRPr="007D40B2">
        <w:rPr>
          <w:rFonts w:ascii="Palatino Linotype" w:hAnsi="Palatino Linotype"/>
        </w:rPr>
        <w:t xml:space="preserve"> </w:t>
      </w:r>
      <w:proofErr w:type="spellStart"/>
      <w:r w:rsidRPr="007D40B2">
        <w:rPr>
          <w:rFonts w:ascii="Palatino Linotype" w:hAnsi="Palatino Linotype"/>
        </w:rPr>
        <w:t>Stăniloae</w:t>
      </w:r>
      <w:proofErr w:type="spellEnd"/>
      <w:r w:rsidRPr="007D40B2">
        <w:rPr>
          <w:rFonts w:ascii="Palatino Linotype" w:hAnsi="Palatino Linotype"/>
        </w:rPr>
        <w:t xml:space="preserve"> studied in </w:t>
      </w:r>
      <w:smartTag w:uri="urn:schemas-microsoft-com:office:smarttags" w:element="City">
        <w:r w:rsidRPr="007D40B2">
          <w:rPr>
            <w:rFonts w:ascii="Palatino Linotype" w:hAnsi="Palatino Linotype"/>
          </w:rPr>
          <w:t>Paris</w:t>
        </w:r>
      </w:smartTag>
      <w:r w:rsidRPr="007D40B2">
        <w:rPr>
          <w:rFonts w:ascii="Palatino Linotype" w:hAnsi="Palatino Linotype"/>
        </w:rPr>
        <w:t xml:space="preserve"> for a time and occasionally delivered lectures, in French, to audiences in the </w:t>
      </w:r>
      <w:smartTag w:uri="urn:schemas-microsoft-com:office:smarttags" w:element="country-region">
        <w:smartTag w:uri="urn:schemas-microsoft-com:office:smarttags" w:element="place">
          <w:r w:rsidRPr="007D40B2">
            <w:rPr>
              <w:rFonts w:ascii="Palatino Linotype" w:hAnsi="Palatino Linotype"/>
            </w:rPr>
            <w:t>UK</w:t>
          </w:r>
        </w:smartTag>
      </w:smartTag>
      <w:r w:rsidRPr="007D40B2">
        <w:rPr>
          <w:rFonts w:ascii="Palatino Linotype" w:hAnsi="Palatino Linotype"/>
        </w:rPr>
        <w:t>. Elisabeth Behr-Sigel was herself French.</w:t>
      </w:r>
      <w:r w:rsidRPr="007D40B2">
        <w:rPr>
          <w:rStyle w:val="FootnoteReference"/>
          <w:rFonts w:ascii="Palatino Linotype" w:hAnsi="Palatino Linotype"/>
        </w:rPr>
        <w:footnoteReference w:id="1"/>
      </w:r>
      <w:r w:rsidRPr="007D40B2">
        <w:rPr>
          <w:rFonts w:ascii="Palatino Linotype" w:hAnsi="Palatino Linotype"/>
        </w:rPr>
        <w:t xml:space="preserve"> John </w:t>
      </w:r>
      <w:proofErr w:type="spellStart"/>
      <w:r w:rsidRPr="007D40B2">
        <w:rPr>
          <w:rFonts w:ascii="Palatino Linotype" w:hAnsi="Palatino Linotype"/>
        </w:rPr>
        <w:lastRenderedPageBreak/>
        <w:t>Romanides</w:t>
      </w:r>
      <w:proofErr w:type="spellEnd"/>
      <w:r w:rsidRPr="007D40B2">
        <w:rPr>
          <w:rFonts w:ascii="Palatino Linotype" w:hAnsi="Palatino Linotype"/>
        </w:rPr>
        <w:t xml:space="preserve">, born in </w:t>
      </w:r>
      <w:smartTag w:uri="urn:schemas-microsoft-com:office:smarttags" w:element="country-region">
        <w:r w:rsidRPr="007D40B2">
          <w:rPr>
            <w:rFonts w:ascii="Palatino Linotype" w:hAnsi="Palatino Linotype"/>
          </w:rPr>
          <w:t>Greece</w:t>
        </w:r>
      </w:smartTag>
      <w:r w:rsidRPr="007D40B2">
        <w:rPr>
          <w:rFonts w:ascii="Palatino Linotype" w:hAnsi="Palatino Linotype"/>
        </w:rPr>
        <w:t xml:space="preserve">, accompanied his family as a newborn to the </w:t>
      </w:r>
      <w:smartTag w:uri="urn:schemas-microsoft-com:office:smarttags" w:element="country-region">
        <w:r w:rsidRPr="007D40B2">
          <w:rPr>
            <w:rFonts w:ascii="Palatino Linotype" w:hAnsi="Palatino Linotype"/>
          </w:rPr>
          <w:t>United States</w:t>
        </w:r>
      </w:smartTag>
      <w:r w:rsidRPr="007D40B2">
        <w:rPr>
          <w:rFonts w:ascii="Palatino Linotype" w:hAnsi="Palatino Linotype"/>
        </w:rPr>
        <w:t xml:space="preserve">, where he grew up and was educated, before returning to </w:t>
      </w:r>
      <w:smartTag w:uri="urn:schemas-microsoft-com:office:smarttags" w:element="country-region">
        <w:smartTag w:uri="urn:schemas-microsoft-com:office:smarttags" w:element="place">
          <w:r w:rsidRPr="007D40B2">
            <w:rPr>
              <w:rFonts w:ascii="Palatino Linotype" w:hAnsi="Palatino Linotype"/>
            </w:rPr>
            <w:t>Greece</w:t>
          </w:r>
        </w:smartTag>
      </w:smartTag>
      <w:r w:rsidRPr="007D40B2">
        <w:rPr>
          <w:rFonts w:ascii="Palatino Linotype" w:hAnsi="Palatino Linotype"/>
        </w:rPr>
        <w:t xml:space="preserve"> to complete his studies and teach. Philip </w:t>
      </w:r>
      <w:proofErr w:type="spellStart"/>
      <w:r w:rsidRPr="007D40B2">
        <w:rPr>
          <w:rFonts w:ascii="Palatino Linotype" w:hAnsi="Palatino Linotype"/>
        </w:rPr>
        <w:t>Sherrard</w:t>
      </w:r>
      <w:proofErr w:type="spellEnd"/>
      <w:r w:rsidRPr="007D40B2">
        <w:rPr>
          <w:rFonts w:ascii="Palatino Linotype" w:hAnsi="Palatino Linotype"/>
        </w:rPr>
        <w:t xml:space="preserve"> was an Englishman who taught Modern Greek literature in </w:t>
      </w:r>
      <w:smartTag w:uri="urn:schemas-microsoft-com:office:smarttags" w:element="City">
        <w:r w:rsidRPr="007D40B2">
          <w:rPr>
            <w:rFonts w:ascii="Palatino Linotype" w:hAnsi="Palatino Linotype"/>
          </w:rPr>
          <w:t>London</w:t>
        </w:r>
      </w:smartTag>
      <w:r w:rsidRPr="007D40B2">
        <w:rPr>
          <w:rFonts w:ascii="Palatino Linotype" w:hAnsi="Palatino Linotype"/>
        </w:rPr>
        <w:t xml:space="preserve"> before decamping to the Greek islands, and John </w:t>
      </w:r>
      <w:proofErr w:type="spellStart"/>
      <w:r w:rsidRPr="007D40B2">
        <w:rPr>
          <w:rFonts w:ascii="Palatino Linotype" w:hAnsi="Palatino Linotype"/>
        </w:rPr>
        <w:t>Zizioulas</w:t>
      </w:r>
      <w:proofErr w:type="spellEnd"/>
      <w:r w:rsidRPr="007D40B2">
        <w:rPr>
          <w:rFonts w:ascii="Palatino Linotype" w:hAnsi="Palatino Linotype"/>
        </w:rPr>
        <w:t xml:space="preserve">, who is Greek, was Professor of Systematic Theology in the </w:t>
      </w:r>
      <w:smartTag w:uri="urn:schemas-microsoft-com:office:smarttags" w:element="place">
        <w:smartTag w:uri="urn:schemas-microsoft-com:office:smarttags" w:element="PlaceType">
          <w:r w:rsidRPr="007D40B2">
            <w:rPr>
              <w:rFonts w:ascii="Palatino Linotype" w:hAnsi="Palatino Linotype"/>
            </w:rPr>
            <w:t>University</w:t>
          </w:r>
        </w:smartTag>
        <w:r w:rsidRPr="007D40B2">
          <w:rPr>
            <w:rFonts w:ascii="Palatino Linotype" w:hAnsi="Palatino Linotype"/>
          </w:rPr>
          <w:t xml:space="preserve"> of </w:t>
        </w:r>
        <w:smartTag w:uri="urn:schemas-microsoft-com:office:smarttags" w:element="PlaceName">
          <w:r w:rsidRPr="007D40B2">
            <w:rPr>
              <w:rFonts w:ascii="Palatino Linotype" w:hAnsi="Palatino Linotype"/>
            </w:rPr>
            <w:t>Glasgow</w:t>
          </w:r>
        </w:smartTag>
      </w:smartTag>
      <w:r w:rsidRPr="007D40B2">
        <w:rPr>
          <w:rFonts w:ascii="Palatino Linotype" w:hAnsi="Palatino Linotype"/>
        </w:rPr>
        <w:t xml:space="preserve"> and visiting professor in King’s College London. Additional information about the theologians whose works will be read will be provided in the following pages, as an aid to understanding and to evaluating critically their theological writings. Writings by these people – along with others that we will not have the occasion to study closely in this course (e.g. </w:t>
      </w:r>
      <w:proofErr w:type="spellStart"/>
      <w:r w:rsidRPr="007D40B2">
        <w:rPr>
          <w:rFonts w:ascii="Palatino Linotype" w:hAnsi="Palatino Linotype"/>
        </w:rPr>
        <w:t>Afanasiev</w:t>
      </w:r>
      <w:proofErr w:type="spellEnd"/>
      <w:r w:rsidRPr="007D40B2">
        <w:rPr>
          <w:rFonts w:ascii="Palatino Linotype" w:hAnsi="Palatino Linotype"/>
        </w:rPr>
        <w:t xml:space="preserve">, </w:t>
      </w:r>
      <w:proofErr w:type="spellStart"/>
      <w:r w:rsidRPr="007D40B2">
        <w:rPr>
          <w:rFonts w:ascii="Palatino Linotype" w:hAnsi="Palatino Linotype"/>
        </w:rPr>
        <w:t>Arseniev</w:t>
      </w:r>
      <w:proofErr w:type="spellEnd"/>
      <w:r w:rsidRPr="007D40B2">
        <w:rPr>
          <w:rFonts w:ascii="Palatino Linotype" w:hAnsi="Palatino Linotype"/>
        </w:rPr>
        <w:t xml:space="preserve">, </w:t>
      </w:r>
      <w:proofErr w:type="spellStart"/>
      <w:r w:rsidRPr="007D40B2">
        <w:rPr>
          <w:rFonts w:ascii="Palatino Linotype" w:hAnsi="Palatino Linotype"/>
        </w:rPr>
        <w:t>Berdiaev</w:t>
      </w:r>
      <w:proofErr w:type="spellEnd"/>
      <w:r w:rsidRPr="007D40B2">
        <w:rPr>
          <w:rFonts w:ascii="Palatino Linotype" w:hAnsi="Palatino Linotype"/>
        </w:rPr>
        <w:t xml:space="preserve">, </w:t>
      </w:r>
      <w:proofErr w:type="spellStart"/>
      <w:r w:rsidRPr="007D40B2">
        <w:rPr>
          <w:rFonts w:ascii="Palatino Linotype" w:hAnsi="Palatino Linotype"/>
        </w:rPr>
        <w:t>Clément</w:t>
      </w:r>
      <w:proofErr w:type="spellEnd"/>
      <w:r w:rsidRPr="007D40B2">
        <w:rPr>
          <w:rFonts w:ascii="Palatino Linotype" w:hAnsi="Palatino Linotype"/>
        </w:rPr>
        <w:t xml:space="preserve">, </w:t>
      </w:r>
      <w:proofErr w:type="spellStart"/>
      <w:r w:rsidRPr="007D40B2">
        <w:rPr>
          <w:rFonts w:ascii="Palatino Linotype" w:hAnsi="Palatino Linotype"/>
        </w:rPr>
        <w:t>Kontoglou</w:t>
      </w:r>
      <w:proofErr w:type="spellEnd"/>
      <w:r w:rsidRPr="007D40B2">
        <w:rPr>
          <w:rFonts w:ascii="Palatino Linotype" w:hAnsi="Palatino Linotype"/>
        </w:rPr>
        <w:t xml:space="preserve">, </w:t>
      </w:r>
      <w:proofErr w:type="spellStart"/>
      <w:r w:rsidRPr="007D40B2">
        <w:rPr>
          <w:rFonts w:ascii="Palatino Linotype" w:hAnsi="Palatino Linotype"/>
        </w:rPr>
        <w:t>Mantzaridis</w:t>
      </w:r>
      <w:proofErr w:type="spellEnd"/>
      <w:r w:rsidRPr="007D40B2">
        <w:rPr>
          <w:rFonts w:ascii="Palatino Linotype" w:hAnsi="Palatino Linotype"/>
        </w:rPr>
        <w:t xml:space="preserve">, </w:t>
      </w:r>
      <w:proofErr w:type="spellStart"/>
      <w:r w:rsidRPr="007D40B2">
        <w:rPr>
          <w:rFonts w:ascii="Palatino Linotype" w:hAnsi="Palatino Linotype"/>
        </w:rPr>
        <w:t>Yannaras</w:t>
      </w:r>
      <w:proofErr w:type="spellEnd"/>
      <w:r w:rsidRPr="007D40B2">
        <w:rPr>
          <w:rFonts w:ascii="Palatino Linotype" w:hAnsi="Palatino Linotype"/>
        </w:rPr>
        <w:t>…) – exercise considerable influence within contemporary Byzantine Orthodox Christianity in the West and presumably will continue to do so as Orthodoxy is increasingly integrated into Western Christian theological conversations.</w:t>
      </w:r>
    </w:p>
    <w:p w:rsidR="00E33D26" w:rsidRPr="007D40B2" w:rsidRDefault="00E33D26" w:rsidP="00E33D26">
      <w:pPr>
        <w:rPr>
          <w:rFonts w:ascii="Palatino Linotype" w:hAnsi="Palatino Linotype"/>
          <w:b/>
          <w:bCs/>
        </w:rPr>
      </w:pPr>
    </w:p>
    <w:p w:rsidR="00E33D26" w:rsidRPr="007D40B2" w:rsidRDefault="00E33D26" w:rsidP="00E33D26">
      <w:pPr>
        <w:rPr>
          <w:rFonts w:ascii="Palatino Linotype" w:hAnsi="Palatino Linotype"/>
          <w:b/>
          <w:bCs/>
        </w:rPr>
      </w:pPr>
    </w:p>
    <w:p w:rsidR="00E33D26" w:rsidRDefault="00E33D26" w:rsidP="00E33D26">
      <w:pPr>
        <w:pStyle w:val="Heading1"/>
        <w:jc w:val="left"/>
        <w:rPr>
          <w:rFonts w:ascii="Palatino Linotype" w:hAnsi="Palatino Linotype"/>
          <w:i/>
          <w:iCs/>
        </w:rPr>
      </w:pPr>
      <w:r>
        <w:rPr>
          <w:rFonts w:ascii="Palatino Linotype" w:hAnsi="Palatino Linotype"/>
          <w:i/>
          <w:iCs/>
        </w:rPr>
        <w:br w:type="page"/>
      </w:r>
      <w:r>
        <w:rPr>
          <w:rFonts w:ascii="Palatino Linotype" w:hAnsi="Palatino Linotype"/>
          <w:i/>
          <w:iCs/>
        </w:rPr>
        <w:lastRenderedPageBreak/>
        <w:t>Additional bibliography</w:t>
      </w:r>
    </w:p>
    <w:p w:rsidR="00E33D26" w:rsidRPr="001A4A24" w:rsidRDefault="00E33D26" w:rsidP="00E33D26"/>
    <w:p w:rsidR="00E33D26" w:rsidRPr="007D40B2" w:rsidRDefault="00E33D26" w:rsidP="00E33D26">
      <w:pPr>
        <w:pStyle w:val="Heading1"/>
        <w:jc w:val="left"/>
        <w:rPr>
          <w:rFonts w:ascii="Palatino Linotype" w:hAnsi="Palatino Linotype"/>
        </w:rPr>
      </w:pPr>
      <w:r w:rsidRPr="007D40B2">
        <w:rPr>
          <w:rFonts w:ascii="Palatino Linotype" w:hAnsi="Palatino Linotype"/>
        </w:rPr>
        <w:t>Historical background</w:t>
      </w:r>
    </w:p>
    <w:p w:rsidR="00E33D26" w:rsidRPr="007D40B2" w:rsidRDefault="00E33D26" w:rsidP="00E33D26">
      <w:pPr>
        <w:rPr>
          <w:rFonts w:ascii="Palatino Linotype" w:hAnsi="Palatino Linotype"/>
        </w:rPr>
      </w:pPr>
    </w:p>
    <w:p w:rsidR="00E33D26" w:rsidRPr="007D40B2" w:rsidRDefault="00E33D26" w:rsidP="00E33D26">
      <w:pPr>
        <w:ind w:left="540" w:hanging="540"/>
        <w:rPr>
          <w:rFonts w:ascii="Palatino Linotype" w:hAnsi="Palatino Linotype"/>
          <w:highlight w:val="yellow"/>
        </w:rPr>
      </w:pPr>
      <w:r w:rsidRPr="007D40B2">
        <w:rPr>
          <w:rFonts w:ascii="Palatino Linotype" w:hAnsi="Palatino Linotype"/>
        </w:rPr>
        <w:t xml:space="preserve">Maloney, </w:t>
      </w:r>
      <w:r>
        <w:rPr>
          <w:rFonts w:ascii="Palatino Linotype" w:hAnsi="Palatino Linotype"/>
        </w:rPr>
        <w:t xml:space="preserve">G., </w:t>
      </w:r>
      <w:r w:rsidRPr="007D40B2">
        <w:rPr>
          <w:rFonts w:ascii="Palatino Linotype" w:hAnsi="Palatino Linotype"/>
        </w:rPr>
        <w:t xml:space="preserve">SJ, </w:t>
      </w:r>
      <w:r w:rsidRPr="007D40B2">
        <w:rPr>
          <w:rFonts w:ascii="Palatino Linotype" w:hAnsi="Palatino Linotype"/>
          <w:i/>
          <w:iCs/>
        </w:rPr>
        <w:t xml:space="preserve">A History of Orthodox Theology </w:t>
      </w:r>
      <w:proofErr w:type="gramStart"/>
      <w:r w:rsidRPr="007D40B2">
        <w:rPr>
          <w:rFonts w:ascii="Palatino Linotype" w:hAnsi="Palatino Linotype"/>
          <w:i/>
          <w:iCs/>
        </w:rPr>
        <w:t>Since</w:t>
      </w:r>
      <w:proofErr w:type="gramEnd"/>
      <w:r w:rsidRPr="007D40B2">
        <w:rPr>
          <w:rFonts w:ascii="Palatino Linotype" w:hAnsi="Palatino Linotype"/>
          <w:i/>
          <w:iCs/>
        </w:rPr>
        <w:t xml:space="preserve"> 1453</w:t>
      </w:r>
      <w:r>
        <w:rPr>
          <w:rFonts w:ascii="Palatino Linotype" w:hAnsi="Palatino Linotype"/>
        </w:rPr>
        <w:t xml:space="preserve">, </w:t>
      </w:r>
      <w:r w:rsidRPr="007D40B2">
        <w:rPr>
          <w:rFonts w:ascii="Palatino Linotype" w:hAnsi="Palatino Linotype"/>
        </w:rPr>
        <w:t xml:space="preserve">Belmont, MA: </w:t>
      </w:r>
      <w:proofErr w:type="spellStart"/>
      <w:r w:rsidRPr="007D40B2">
        <w:rPr>
          <w:rFonts w:ascii="Palatino Linotype" w:hAnsi="Palatino Linotype"/>
        </w:rPr>
        <w:t>Nordland</w:t>
      </w:r>
      <w:proofErr w:type="spellEnd"/>
      <w:r w:rsidRPr="007D40B2">
        <w:rPr>
          <w:rFonts w:ascii="Palatino Linotype" w:hAnsi="Palatino Linotype"/>
        </w:rPr>
        <w:t xml:space="preserve"> Publishing Company, 1976</w:t>
      </w:r>
      <w:r>
        <w:rPr>
          <w:rFonts w:ascii="Palatino Linotype" w:hAnsi="Palatino Linotype"/>
        </w:rPr>
        <w:t>.</w:t>
      </w:r>
    </w:p>
    <w:p w:rsidR="00E33D26" w:rsidRPr="007D40B2" w:rsidRDefault="00E33D26" w:rsidP="00E33D26">
      <w:pPr>
        <w:ind w:left="540" w:hanging="540"/>
        <w:jc w:val="both"/>
        <w:rPr>
          <w:rFonts w:ascii="Palatino Linotype" w:hAnsi="Palatino Linotype"/>
          <w:highlight w:val="yellow"/>
        </w:rPr>
      </w:pPr>
      <w:proofErr w:type="spellStart"/>
      <w:r w:rsidRPr="007D40B2">
        <w:rPr>
          <w:rFonts w:ascii="Palatino Linotype" w:hAnsi="Palatino Linotype"/>
        </w:rPr>
        <w:t>Pelikan</w:t>
      </w:r>
      <w:proofErr w:type="spellEnd"/>
      <w:r w:rsidRPr="007D40B2">
        <w:rPr>
          <w:rFonts w:ascii="Palatino Linotype" w:hAnsi="Palatino Linotype"/>
        </w:rPr>
        <w:t xml:space="preserve">, </w:t>
      </w:r>
      <w:r>
        <w:rPr>
          <w:rFonts w:ascii="Palatino Linotype" w:hAnsi="Palatino Linotype"/>
        </w:rPr>
        <w:t xml:space="preserve">J., </w:t>
      </w:r>
      <w:proofErr w:type="gramStart"/>
      <w:r w:rsidRPr="007D40B2">
        <w:rPr>
          <w:rFonts w:ascii="Palatino Linotype" w:hAnsi="Palatino Linotype"/>
          <w:i/>
          <w:iCs/>
        </w:rPr>
        <w:t>The</w:t>
      </w:r>
      <w:proofErr w:type="gramEnd"/>
      <w:r w:rsidRPr="007D40B2">
        <w:rPr>
          <w:rFonts w:ascii="Palatino Linotype" w:hAnsi="Palatino Linotype"/>
          <w:i/>
          <w:iCs/>
        </w:rPr>
        <w:t xml:space="preserve"> Christian Tradition: A History of the Development of Doctrine</w:t>
      </w:r>
      <w:r w:rsidRPr="007D40B2">
        <w:rPr>
          <w:rFonts w:ascii="Palatino Linotype" w:hAnsi="Palatino Linotype"/>
        </w:rPr>
        <w:t>, vol. 2: The Spirit of Eastern Christendom (600-1700)</w:t>
      </w:r>
      <w:r>
        <w:rPr>
          <w:rFonts w:ascii="Palatino Linotype" w:hAnsi="Palatino Linotype"/>
        </w:rPr>
        <w:t xml:space="preserve">, </w:t>
      </w:r>
      <w:r w:rsidRPr="007D40B2">
        <w:rPr>
          <w:rFonts w:ascii="Palatino Linotype" w:hAnsi="Palatino Linotype"/>
        </w:rPr>
        <w:t>Chicago: University of Chicago Press, 1974</w:t>
      </w:r>
      <w:r>
        <w:rPr>
          <w:rFonts w:ascii="Palatino Linotype" w:hAnsi="Palatino Linotype"/>
        </w:rPr>
        <w:t>.</w:t>
      </w:r>
    </w:p>
    <w:p w:rsidR="00E33D26" w:rsidRPr="007D40B2" w:rsidRDefault="00E33D26" w:rsidP="00E33D26">
      <w:pPr>
        <w:ind w:left="540" w:hanging="540"/>
        <w:rPr>
          <w:rFonts w:ascii="Palatino Linotype" w:hAnsi="Palatino Linotype"/>
        </w:rPr>
      </w:pPr>
      <w:proofErr w:type="spellStart"/>
      <w:r w:rsidRPr="007D40B2">
        <w:rPr>
          <w:rFonts w:ascii="Palatino Linotype" w:hAnsi="Palatino Linotype"/>
        </w:rPr>
        <w:t>Runciman</w:t>
      </w:r>
      <w:proofErr w:type="spellEnd"/>
      <w:r w:rsidRPr="007D40B2">
        <w:rPr>
          <w:rFonts w:ascii="Palatino Linotype" w:hAnsi="Palatino Linotype"/>
        </w:rPr>
        <w:t xml:space="preserve">, </w:t>
      </w:r>
      <w:r>
        <w:rPr>
          <w:rFonts w:ascii="Palatino Linotype" w:hAnsi="Palatino Linotype"/>
        </w:rPr>
        <w:t xml:space="preserve">S., </w:t>
      </w:r>
      <w:r w:rsidRPr="007D40B2">
        <w:rPr>
          <w:rFonts w:ascii="Palatino Linotype" w:hAnsi="Palatino Linotype"/>
          <w:i/>
          <w:iCs/>
        </w:rPr>
        <w:t>The Great Church in Captivity</w:t>
      </w:r>
      <w:r>
        <w:rPr>
          <w:rFonts w:ascii="Palatino Linotype" w:hAnsi="Palatino Linotype"/>
        </w:rPr>
        <w:t xml:space="preserve">, </w:t>
      </w:r>
      <w:r w:rsidRPr="007D40B2">
        <w:rPr>
          <w:rFonts w:ascii="Palatino Linotype" w:hAnsi="Palatino Linotype"/>
        </w:rPr>
        <w:t>Cambridge: Cambridge University Press, 1968</w:t>
      </w:r>
      <w:r>
        <w:rPr>
          <w:rFonts w:ascii="Palatino Linotype" w:hAnsi="Palatino Linotype"/>
        </w:rPr>
        <w:t>.</w:t>
      </w:r>
    </w:p>
    <w:p w:rsidR="00E33D26" w:rsidRPr="007D40B2" w:rsidRDefault="00E33D26" w:rsidP="00E33D26">
      <w:pPr>
        <w:ind w:left="540" w:hanging="540"/>
        <w:rPr>
          <w:rFonts w:ascii="Palatino Linotype" w:hAnsi="Palatino Linotype"/>
        </w:rPr>
      </w:pPr>
      <w:r w:rsidRPr="007D40B2">
        <w:rPr>
          <w:rFonts w:ascii="Palatino Linotype" w:hAnsi="Palatino Linotype"/>
        </w:rPr>
        <w:t>Ware,</w:t>
      </w:r>
      <w:r>
        <w:rPr>
          <w:rFonts w:ascii="Palatino Linotype" w:hAnsi="Palatino Linotype"/>
        </w:rPr>
        <w:t xml:space="preserve"> K.,</w:t>
      </w:r>
      <w:r w:rsidRPr="007D40B2">
        <w:rPr>
          <w:rFonts w:ascii="Palatino Linotype" w:hAnsi="Palatino Linotype"/>
        </w:rPr>
        <w:t xml:space="preserve"> </w:t>
      </w:r>
      <w:r w:rsidRPr="007D40B2">
        <w:rPr>
          <w:rFonts w:ascii="Palatino Linotype" w:hAnsi="Palatino Linotype"/>
          <w:i/>
          <w:iCs/>
        </w:rPr>
        <w:t>The Orthodox Church</w:t>
      </w:r>
      <w:r w:rsidRPr="007D40B2">
        <w:rPr>
          <w:rFonts w:ascii="Palatino Linotype" w:hAnsi="Palatino Linotype"/>
        </w:rPr>
        <w:t>, revised second edition</w:t>
      </w:r>
      <w:r>
        <w:rPr>
          <w:rFonts w:ascii="Palatino Linotype" w:hAnsi="Palatino Linotype"/>
        </w:rPr>
        <w:t xml:space="preserve">, </w:t>
      </w:r>
      <w:r w:rsidRPr="007D40B2">
        <w:rPr>
          <w:rFonts w:ascii="Palatino Linotype" w:hAnsi="Palatino Linotype"/>
        </w:rPr>
        <w:t>London: Penguin, 1997</w:t>
      </w:r>
      <w:r>
        <w:rPr>
          <w:rFonts w:ascii="Palatino Linotype" w:hAnsi="Palatino Linotype"/>
        </w:rPr>
        <w:t>.</w:t>
      </w:r>
    </w:p>
    <w:p w:rsidR="00E33D26" w:rsidRPr="007D40B2" w:rsidRDefault="00E33D26" w:rsidP="00E33D26">
      <w:pPr>
        <w:ind w:left="540" w:hanging="540"/>
        <w:rPr>
          <w:rFonts w:ascii="Palatino Linotype" w:hAnsi="Palatino Linotype"/>
          <w:i/>
          <w:iCs/>
        </w:rPr>
      </w:pPr>
    </w:p>
    <w:p w:rsidR="00E33D26" w:rsidRPr="007D40B2" w:rsidRDefault="00E33D26" w:rsidP="00E33D26">
      <w:pPr>
        <w:pStyle w:val="Heading2"/>
        <w:jc w:val="left"/>
        <w:rPr>
          <w:rFonts w:ascii="Palatino Linotype" w:hAnsi="Palatino Linotype"/>
        </w:rPr>
      </w:pPr>
      <w:r w:rsidRPr="007D40B2">
        <w:rPr>
          <w:rFonts w:ascii="Palatino Linotype" w:hAnsi="Palatino Linotype"/>
        </w:rPr>
        <w:t>Theological background</w:t>
      </w:r>
    </w:p>
    <w:p w:rsidR="00E33D26" w:rsidRPr="007D40B2" w:rsidRDefault="00E33D26" w:rsidP="00E33D26">
      <w:pPr>
        <w:ind w:left="540" w:hanging="540"/>
        <w:rPr>
          <w:rFonts w:ascii="Palatino Linotype" w:hAnsi="Palatino Linotype"/>
          <w:b/>
          <w:bCs/>
        </w:rPr>
      </w:pPr>
    </w:p>
    <w:p w:rsidR="00E33D26" w:rsidRPr="007D40B2" w:rsidRDefault="00E33D26" w:rsidP="00E33D26">
      <w:pPr>
        <w:pStyle w:val="BodyText"/>
        <w:jc w:val="left"/>
        <w:rPr>
          <w:rFonts w:ascii="Palatino Linotype" w:hAnsi="Palatino Linotype"/>
        </w:rPr>
      </w:pPr>
      <w:r w:rsidRPr="007D40B2">
        <w:rPr>
          <w:rFonts w:ascii="Palatino Linotype" w:hAnsi="Palatino Linotype"/>
        </w:rPr>
        <w:t xml:space="preserve">Several introductory presentations of Orthodox theology are readily available, though some are of dubious value (to put things charitably). </w:t>
      </w:r>
      <w:r>
        <w:rPr>
          <w:rFonts w:ascii="Palatino Linotype" w:hAnsi="Palatino Linotype"/>
        </w:rPr>
        <w:t xml:space="preserve">The titles appearing below are reliable and worthwhile. </w:t>
      </w:r>
      <w:r w:rsidRPr="007D40B2">
        <w:rPr>
          <w:rFonts w:ascii="Palatino Linotype" w:hAnsi="Palatino Linotype"/>
        </w:rPr>
        <w:t>Students are encouraged to familiarize themselves with at least one of the following:</w:t>
      </w:r>
    </w:p>
    <w:p w:rsidR="00E33D26" w:rsidRPr="007D40B2" w:rsidRDefault="00E33D26" w:rsidP="00E33D26">
      <w:pPr>
        <w:ind w:left="540" w:hanging="540"/>
        <w:rPr>
          <w:rFonts w:ascii="Palatino Linotype" w:hAnsi="Palatino Linotype"/>
        </w:rPr>
      </w:pPr>
    </w:p>
    <w:p w:rsidR="00E33D26" w:rsidRPr="007D40B2" w:rsidRDefault="00E33D26" w:rsidP="00E33D26">
      <w:pPr>
        <w:ind w:left="540" w:hanging="540"/>
        <w:rPr>
          <w:rFonts w:ascii="Palatino Linotype" w:hAnsi="Palatino Linotype"/>
        </w:rPr>
      </w:pPr>
      <w:r w:rsidRPr="007D40B2">
        <w:rPr>
          <w:rFonts w:ascii="Palatino Linotype" w:hAnsi="Palatino Linotype"/>
        </w:rPr>
        <w:t>Cunningham</w:t>
      </w:r>
      <w:r>
        <w:rPr>
          <w:rFonts w:ascii="Palatino Linotype" w:hAnsi="Palatino Linotype"/>
        </w:rPr>
        <w:t>, M.</w:t>
      </w:r>
      <w:r w:rsidRPr="007D40B2">
        <w:rPr>
          <w:rFonts w:ascii="Palatino Linotype" w:hAnsi="Palatino Linotype"/>
        </w:rPr>
        <w:t xml:space="preserve"> and </w:t>
      </w:r>
      <w:proofErr w:type="spellStart"/>
      <w:r w:rsidRPr="007D40B2">
        <w:rPr>
          <w:rFonts w:ascii="Palatino Linotype" w:hAnsi="Palatino Linotype"/>
        </w:rPr>
        <w:t>Theokritoff</w:t>
      </w:r>
      <w:proofErr w:type="spellEnd"/>
      <w:r w:rsidRPr="007D40B2">
        <w:rPr>
          <w:rFonts w:ascii="Palatino Linotype" w:hAnsi="Palatino Linotype"/>
        </w:rPr>
        <w:t>,</w:t>
      </w:r>
      <w:r>
        <w:rPr>
          <w:rFonts w:ascii="Palatino Linotype" w:hAnsi="Palatino Linotype"/>
        </w:rPr>
        <w:t xml:space="preserve"> E.,</w:t>
      </w:r>
      <w:r w:rsidRPr="007D40B2">
        <w:rPr>
          <w:rFonts w:ascii="Palatino Linotype" w:hAnsi="Palatino Linotype"/>
        </w:rPr>
        <w:t xml:space="preserve"> </w:t>
      </w:r>
      <w:proofErr w:type="spellStart"/>
      <w:proofErr w:type="gramStart"/>
      <w:r w:rsidRPr="007D40B2">
        <w:rPr>
          <w:rFonts w:ascii="Palatino Linotype" w:hAnsi="Palatino Linotype"/>
        </w:rPr>
        <w:t>eds</w:t>
      </w:r>
      <w:proofErr w:type="spellEnd"/>
      <w:proofErr w:type="gramEnd"/>
      <w:r w:rsidRPr="007D40B2">
        <w:rPr>
          <w:rFonts w:ascii="Palatino Linotype" w:hAnsi="Palatino Linotype"/>
        </w:rPr>
        <w:t xml:space="preserve">, </w:t>
      </w:r>
      <w:r w:rsidRPr="007D40B2">
        <w:rPr>
          <w:rFonts w:ascii="Palatino Linotype" w:hAnsi="Palatino Linotype"/>
          <w:i/>
          <w:iCs/>
        </w:rPr>
        <w:t>The Cambridge Companion to Orthodox Christian Theology</w:t>
      </w:r>
      <w:r>
        <w:rPr>
          <w:rFonts w:ascii="Palatino Linotype" w:hAnsi="Palatino Linotype"/>
        </w:rPr>
        <w:t xml:space="preserve">, </w:t>
      </w:r>
      <w:r w:rsidRPr="007D40B2">
        <w:rPr>
          <w:rFonts w:ascii="Palatino Linotype" w:hAnsi="Palatino Linotype"/>
        </w:rPr>
        <w:t>Cambridge: Cambridge University Press, 2008</w:t>
      </w:r>
      <w:r>
        <w:rPr>
          <w:rFonts w:ascii="Palatino Linotype" w:hAnsi="Palatino Linotype"/>
        </w:rPr>
        <w:t>. - This book is a collection of essays written by contemporary Orthodox scholars, on a variety of theological topics.</w:t>
      </w:r>
    </w:p>
    <w:p w:rsidR="00E33D26" w:rsidRPr="007D40B2" w:rsidRDefault="00E33D26" w:rsidP="00E33D26">
      <w:pPr>
        <w:ind w:left="540" w:hanging="540"/>
        <w:rPr>
          <w:rFonts w:ascii="Palatino Linotype" w:hAnsi="Palatino Linotype"/>
        </w:rPr>
      </w:pPr>
      <w:proofErr w:type="spellStart"/>
      <w:r w:rsidRPr="007D40B2">
        <w:rPr>
          <w:rFonts w:ascii="Palatino Linotype" w:hAnsi="Palatino Linotype"/>
        </w:rPr>
        <w:t>Stăniloae</w:t>
      </w:r>
      <w:proofErr w:type="spellEnd"/>
      <w:r w:rsidRPr="007D40B2">
        <w:rPr>
          <w:rFonts w:ascii="Palatino Linotype" w:hAnsi="Palatino Linotype"/>
        </w:rPr>
        <w:t>, D</w:t>
      </w:r>
      <w:r>
        <w:rPr>
          <w:rFonts w:ascii="Palatino Linotype" w:hAnsi="Palatino Linotype"/>
        </w:rPr>
        <w:t xml:space="preserve">., </w:t>
      </w:r>
      <w:r w:rsidRPr="007D40B2">
        <w:rPr>
          <w:rFonts w:ascii="Palatino Linotype" w:hAnsi="Palatino Linotype"/>
          <w:i/>
          <w:iCs/>
        </w:rPr>
        <w:t>The Experience of God: Orthodox Dogmatic Theology</w:t>
      </w:r>
      <w:r w:rsidRPr="007D40B2">
        <w:rPr>
          <w:rFonts w:ascii="Palatino Linotype" w:hAnsi="Palatino Linotype"/>
        </w:rPr>
        <w:t xml:space="preserve">, two </w:t>
      </w:r>
      <w:proofErr w:type="gramStart"/>
      <w:r w:rsidRPr="007D40B2">
        <w:rPr>
          <w:rFonts w:ascii="Palatino Linotype" w:hAnsi="Palatino Linotype"/>
        </w:rPr>
        <w:t>vols.</w:t>
      </w:r>
      <w:r>
        <w:rPr>
          <w:rFonts w:ascii="Palatino Linotype" w:hAnsi="Palatino Linotype"/>
        </w:rPr>
        <w:t>,</w:t>
      </w:r>
      <w:proofErr w:type="gramEnd"/>
      <w:r>
        <w:rPr>
          <w:rFonts w:ascii="Palatino Linotype" w:hAnsi="Palatino Linotype"/>
        </w:rPr>
        <w:t xml:space="preserve"> </w:t>
      </w:r>
      <w:r w:rsidRPr="007D40B2">
        <w:rPr>
          <w:rFonts w:ascii="Palatino Linotype" w:hAnsi="Palatino Linotype"/>
        </w:rPr>
        <w:t>Brookline, MA: Holy Cross Press, 1994-2000</w:t>
      </w:r>
      <w:r>
        <w:rPr>
          <w:rFonts w:ascii="Palatino Linotype" w:hAnsi="Palatino Linotype"/>
        </w:rPr>
        <w:t>.</w:t>
      </w:r>
      <w:r w:rsidRPr="007D40B2">
        <w:rPr>
          <w:rFonts w:ascii="Palatino Linotype" w:hAnsi="Palatino Linotype"/>
          <w:smallCaps/>
        </w:rPr>
        <w:t xml:space="preserve"> – </w:t>
      </w:r>
      <w:r>
        <w:rPr>
          <w:rFonts w:ascii="Palatino Linotype" w:hAnsi="Palatino Linotype"/>
        </w:rPr>
        <w:t>English translation of</w:t>
      </w:r>
      <w:r w:rsidRPr="001A4A24">
        <w:rPr>
          <w:rFonts w:ascii="Palatino Linotype" w:hAnsi="Palatino Linotype"/>
        </w:rPr>
        <w:t xml:space="preserve"> </w:t>
      </w:r>
      <w:proofErr w:type="spellStart"/>
      <w:r w:rsidRPr="001A4A24">
        <w:rPr>
          <w:rFonts w:ascii="Palatino Linotype" w:hAnsi="Palatino Linotype"/>
          <w:i/>
          <w:iCs/>
        </w:rPr>
        <w:t>Teologia</w:t>
      </w:r>
      <w:proofErr w:type="spellEnd"/>
      <w:r w:rsidRPr="001A4A24">
        <w:rPr>
          <w:rFonts w:ascii="Palatino Linotype" w:hAnsi="Palatino Linotype"/>
          <w:i/>
          <w:iCs/>
        </w:rPr>
        <w:t xml:space="preserve"> </w:t>
      </w:r>
      <w:proofErr w:type="spellStart"/>
      <w:r w:rsidRPr="001A4A24">
        <w:rPr>
          <w:rFonts w:ascii="Palatino Linotype" w:hAnsi="Palatino Linotype"/>
          <w:i/>
          <w:iCs/>
        </w:rPr>
        <w:t>dogmatică</w:t>
      </w:r>
      <w:proofErr w:type="spellEnd"/>
      <w:r w:rsidRPr="001A4A24">
        <w:rPr>
          <w:rFonts w:ascii="Palatino Linotype" w:hAnsi="Palatino Linotype"/>
        </w:rPr>
        <w:t xml:space="preserve"> </w:t>
      </w:r>
      <w:proofErr w:type="spellStart"/>
      <w:r w:rsidRPr="001A4A24">
        <w:rPr>
          <w:rFonts w:ascii="Palatino Linotype" w:hAnsi="Palatino Linotype"/>
          <w:i/>
          <w:iCs/>
        </w:rPr>
        <w:t>ortodoxă</w:t>
      </w:r>
      <w:proofErr w:type="spellEnd"/>
      <w:r w:rsidRPr="001A4A24">
        <w:rPr>
          <w:rFonts w:ascii="Palatino Linotype" w:hAnsi="Palatino Linotype"/>
        </w:rPr>
        <w:t xml:space="preserve">, t. 1, Bucharest: </w:t>
      </w:r>
      <w:r w:rsidRPr="001A4A24">
        <w:rPr>
          <w:rStyle w:val="apple-converted-space"/>
          <w:rFonts w:ascii="Palatino Linotype" w:eastAsia="Arial Unicode MS" w:hAnsi="Palatino Linotype" w:cs="Arial Unicode MS"/>
          <w:shd w:val="clear" w:color="auto" w:fill="FFFFFF"/>
        </w:rPr>
        <w:t> </w:t>
      </w:r>
      <w:proofErr w:type="spellStart"/>
      <w:r w:rsidRPr="001A4A24">
        <w:rPr>
          <w:rFonts w:ascii="Palatino Linotype" w:eastAsia="Arial Unicode MS" w:hAnsi="Palatino Linotype" w:cs="Arial Unicode MS"/>
          <w:shd w:val="clear" w:color="auto" w:fill="FFFFFF"/>
        </w:rPr>
        <w:t>Editura</w:t>
      </w:r>
      <w:proofErr w:type="spellEnd"/>
      <w:r w:rsidRPr="001A4A24">
        <w:rPr>
          <w:rFonts w:ascii="Palatino Linotype" w:eastAsia="Arial Unicode MS" w:hAnsi="Palatino Linotype" w:cs="Arial Unicode MS"/>
          <w:shd w:val="clear" w:color="auto" w:fill="FFFFFF"/>
        </w:rPr>
        <w:t xml:space="preserve"> </w:t>
      </w:r>
      <w:proofErr w:type="spellStart"/>
      <w:r w:rsidRPr="001A4A24">
        <w:rPr>
          <w:rFonts w:ascii="Palatino Linotype" w:eastAsia="Arial Unicode MS" w:hAnsi="Palatino Linotype" w:cs="Arial Unicode MS"/>
          <w:shd w:val="clear" w:color="auto" w:fill="FFFFFF"/>
        </w:rPr>
        <w:t>institutului</w:t>
      </w:r>
      <w:proofErr w:type="spellEnd"/>
      <w:r w:rsidRPr="001A4A24">
        <w:rPr>
          <w:rFonts w:ascii="Palatino Linotype" w:eastAsia="Arial Unicode MS" w:hAnsi="Palatino Linotype" w:cs="Arial Unicode MS"/>
          <w:shd w:val="clear" w:color="auto" w:fill="FFFFFF"/>
        </w:rPr>
        <w:t xml:space="preserve"> </w:t>
      </w:r>
      <w:proofErr w:type="spellStart"/>
      <w:r w:rsidRPr="001A4A24">
        <w:rPr>
          <w:rFonts w:ascii="Palatino Linotype" w:eastAsia="Arial Unicode MS" w:hAnsi="Palatino Linotype" w:cs="Arial Unicode MS"/>
          <w:shd w:val="clear" w:color="auto" w:fill="FFFFFF"/>
        </w:rPr>
        <w:t>biblic</w:t>
      </w:r>
      <w:proofErr w:type="spellEnd"/>
      <w:r w:rsidRPr="001A4A24">
        <w:rPr>
          <w:rFonts w:ascii="Palatino Linotype" w:eastAsia="Arial Unicode MS" w:hAnsi="Palatino Linotype" w:cs="Arial Unicode MS"/>
          <w:shd w:val="clear" w:color="auto" w:fill="FFFFFF"/>
        </w:rPr>
        <w:t xml:space="preserve"> </w:t>
      </w:r>
      <w:proofErr w:type="spellStart"/>
      <w:r w:rsidRPr="001A4A24">
        <w:rPr>
          <w:rFonts w:ascii="Palatino Linotype" w:eastAsia="Arial Unicode MS" w:hAnsi="Palatino Linotype" w:cs="Arial Unicode MS"/>
          <w:shd w:val="clear" w:color="auto" w:fill="FFFFFF"/>
        </w:rPr>
        <w:t>și</w:t>
      </w:r>
      <w:proofErr w:type="spellEnd"/>
      <w:r w:rsidRPr="001A4A24">
        <w:rPr>
          <w:rFonts w:ascii="Palatino Linotype" w:eastAsia="Arial Unicode MS" w:hAnsi="Palatino Linotype" w:cs="Arial Unicode MS"/>
          <w:shd w:val="clear" w:color="auto" w:fill="FFFFFF"/>
        </w:rPr>
        <w:t xml:space="preserve"> </w:t>
      </w:r>
      <w:proofErr w:type="spellStart"/>
      <w:r w:rsidRPr="001A4A24">
        <w:rPr>
          <w:rFonts w:ascii="Palatino Linotype" w:eastAsia="Arial Unicode MS" w:hAnsi="Palatino Linotype" w:cs="Arial Unicode MS"/>
          <w:shd w:val="clear" w:color="auto" w:fill="FFFFFF"/>
        </w:rPr>
        <w:t>misiune</w:t>
      </w:r>
      <w:proofErr w:type="spellEnd"/>
      <w:r w:rsidRPr="001A4A24">
        <w:rPr>
          <w:rFonts w:ascii="Palatino Linotype" w:eastAsia="Arial Unicode MS" w:hAnsi="Palatino Linotype" w:cs="Arial Unicode MS"/>
          <w:shd w:val="clear" w:color="auto" w:fill="FFFFFF"/>
        </w:rPr>
        <w:t xml:space="preserve"> al </w:t>
      </w:r>
      <w:proofErr w:type="spellStart"/>
      <w:r w:rsidRPr="001A4A24">
        <w:rPr>
          <w:rFonts w:ascii="Palatino Linotype" w:eastAsia="Arial Unicode MS" w:hAnsi="Palatino Linotype" w:cs="Arial Unicode MS"/>
          <w:shd w:val="clear" w:color="auto" w:fill="FFFFFF"/>
        </w:rPr>
        <w:t>bisericii</w:t>
      </w:r>
      <w:proofErr w:type="spellEnd"/>
      <w:r w:rsidRPr="001A4A24">
        <w:rPr>
          <w:rFonts w:ascii="Palatino Linotype" w:eastAsia="Arial Unicode MS" w:hAnsi="Palatino Linotype" w:cs="Arial Unicode MS"/>
          <w:shd w:val="clear" w:color="auto" w:fill="FFFFFF"/>
        </w:rPr>
        <w:t xml:space="preserve"> </w:t>
      </w:r>
      <w:proofErr w:type="spellStart"/>
      <w:r w:rsidRPr="001A4A24">
        <w:rPr>
          <w:rFonts w:ascii="Palatino Linotype" w:eastAsia="Arial Unicode MS" w:hAnsi="Palatino Linotype" w:cs="Arial Unicode MS"/>
          <w:shd w:val="clear" w:color="auto" w:fill="FFFFFF"/>
        </w:rPr>
        <w:t>ortodoxe</w:t>
      </w:r>
      <w:proofErr w:type="spellEnd"/>
      <w:r w:rsidRPr="001A4A24">
        <w:rPr>
          <w:rFonts w:ascii="Palatino Linotype" w:eastAsia="Arial Unicode MS" w:hAnsi="Palatino Linotype" w:cs="Arial Unicode MS"/>
          <w:shd w:val="clear" w:color="auto" w:fill="FFFFFF"/>
        </w:rPr>
        <w:t xml:space="preserve"> </w:t>
      </w:r>
      <w:proofErr w:type="spellStart"/>
      <w:r w:rsidRPr="001A4A24">
        <w:rPr>
          <w:rFonts w:ascii="Palatino Linotype" w:eastAsia="Arial Unicode MS" w:hAnsi="Palatino Linotype" w:cs="Arial Unicode MS"/>
          <w:shd w:val="clear" w:color="auto" w:fill="FFFFFF"/>
        </w:rPr>
        <w:t>roma</w:t>
      </w:r>
      <w:r w:rsidRPr="001A4A24">
        <w:rPr>
          <w:rFonts w:ascii="Arial Unicode MS" w:eastAsia="Arial Unicode MS" w:hAnsi="Arial Unicode MS" w:cs="Arial Unicode MS"/>
          <w:shd w:val="clear" w:color="auto" w:fill="FFFFFF"/>
        </w:rPr>
        <w:t>̂</w:t>
      </w:r>
      <w:r w:rsidRPr="001A4A24">
        <w:rPr>
          <w:rFonts w:ascii="Palatino Linotype" w:eastAsia="Arial Unicode MS" w:hAnsi="Palatino Linotype" w:cs="Arial Unicode MS"/>
          <w:shd w:val="clear" w:color="auto" w:fill="FFFFFF"/>
        </w:rPr>
        <w:t>ne</w:t>
      </w:r>
      <w:proofErr w:type="spellEnd"/>
      <w:r w:rsidRPr="001A4A24">
        <w:rPr>
          <w:rFonts w:ascii="Palatino Linotype" w:eastAsia="Arial Unicode MS" w:hAnsi="Palatino Linotype" w:cs="Arial Unicode MS"/>
          <w:color w:val="000000"/>
          <w:shd w:val="clear" w:color="auto" w:fill="FFFFFF"/>
        </w:rPr>
        <w:t>,</w:t>
      </w:r>
      <w:r>
        <w:rPr>
          <w:rFonts w:ascii="Palatino Linotype" w:hAnsi="Palatino Linotype"/>
        </w:rPr>
        <w:t xml:space="preserve"> 1978</w:t>
      </w:r>
      <w:r w:rsidRPr="007D40B2">
        <w:rPr>
          <w:rFonts w:ascii="Palatino Linotype" w:hAnsi="Palatino Linotype"/>
        </w:rPr>
        <w:t xml:space="preserve">; to date, </w:t>
      </w:r>
      <w:r>
        <w:rPr>
          <w:rFonts w:ascii="Palatino Linotype" w:hAnsi="Palatino Linotype"/>
        </w:rPr>
        <w:t>all three volumes of that book have</w:t>
      </w:r>
      <w:r w:rsidRPr="007D40B2">
        <w:rPr>
          <w:rFonts w:ascii="Palatino Linotype" w:hAnsi="Palatino Linotype"/>
        </w:rPr>
        <w:t xml:space="preserve"> been completely translated only into German: </w:t>
      </w:r>
      <w:proofErr w:type="spellStart"/>
      <w:r w:rsidRPr="007D40B2">
        <w:rPr>
          <w:rStyle w:val="Strong"/>
          <w:rFonts w:ascii="Palatino Linotype" w:hAnsi="Palatino Linotype"/>
          <w:i/>
          <w:iCs/>
        </w:rPr>
        <w:t>Orthodoxe</w:t>
      </w:r>
      <w:proofErr w:type="spellEnd"/>
      <w:r w:rsidRPr="007D40B2">
        <w:rPr>
          <w:rStyle w:val="Strong"/>
          <w:rFonts w:ascii="Palatino Linotype" w:hAnsi="Palatino Linotype"/>
          <w:i/>
          <w:iCs/>
        </w:rPr>
        <w:t xml:space="preserve"> </w:t>
      </w:r>
      <w:proofErr w:type="spellStart"/>
      <w:r w:rsidRPr="007D40B2">
        <w:rPr>
          <w:rStyle w:val="Strong"/>
          <w:rFonts w:ascii="Palatino Linotype" w:hAnsi="Palatino Linotype"/>
          <w:i/>
          <w:iCs/>
        </w:rPr>
        <w:t>Dogmatik</w:t>
      </w:r>
      <w:proofErr w:type="spellEnd"/>
      <w:r w:rsidRPr="007D40B2">
        <w:rPr>
          <w:rStyle w:val="Strong"/>
          <w:rFonts w:ascii="Palatino Linotype" w:hAnsi="Palatino Linotype"/>
          <w:i/>
          <w:iCs/>
        </w:rPr>
        <w:t>,</w:t>
      </w:r>
      <w:r w:rsidRPr="007D40B2">
        <w:rPr>
          <w:rFonts w:ascii="Palatino Linotype" w:hAnsi="Palatino Linotype"/>
        </w:rPr>
        <w:t xml:space="preserve"> </w:t>
      </w:r>
      <w:proofErr w:type="spellStart"/>
      <w:r w:rsidRPr="007D40B2">
        <w:rPr>
          <w:rFonts w:ascii="Palatino Linotype" w:hAnsi="Palatino Linotype"/>
        </w:rPr>
        <w:t>Ökumenische</w:t>
      </w:r>
      <w:proofErr w:type="spellEnd"/>
      <w:r w:rsidRPr="007D40B2">
        <w:rPr>
          <w:rFonts w:ascii="Palatino Linotype" w:hAnsi="Palatino Linotype"/>
        </w:rPr>
        <w:t xml:space="preserve"> </w:t>
      </w:r>
      <w:proofErr w:type="spellStart"/>
      <w:r w:rsidRPr="007D40B2">
        <w:rPr>
          <w:rFonts w:ascii="Palatino Linotype" w:hAnsi="Palatino Linotype"/>
        </w:rPr>
        <w:t>Theologie</w:t>
      </w:r>
      <w:proofErr w:type="spellEnd"/>
      <w:r w:rsidRPr="007D40B2">
        <w:rPr>
          <w:rFonts w:ascii="Palatino Linotype" w:hAnsi="Palatino Linotype"/>
        </w:rPr>
        <w:t xml:space="preserve"> 12, 15, 16</w:t>
      </w:r>
      <w:r>
        <w:rPr>
          <w:rFonts w:ascii="Palatino Linotype" w:hAnsi="Palatino Linotype"/>
        </w:rPr>
        <w:t xml:space="preserve">, </w:t>
      </w:r>
      <w:r w:rsidRPr="007D40B2">
        <w:rPr>
          <w:rFonts w:ascii="Palatino Linotype" w:hAnsi="Palatino Linotype"/>
        </w:rPr>
        <w:t xml:space="preserve">Zürich: </w:t>
      </w:r>
      <w:proofErr w:type="spellStart"/>
      <w:r w:rsidRPr="007D40B2">
        <w:rPr>
          <w:rFonts w:ascii="Palatino Linotype" w:hAnsi="Palatino Linotype"/>
        </w:rPr>
        <w:t>Benziger</w:t>
      </w:r>
      <w:proofErr w:type="spellEnd"/>
      <w:r w:rsidRPr="007D40B2">
        <w:rPr>
          <w:rFonts w:ascii="Palatino Linotype" w:hAnsi="Palatino Linotype"/>
        </w:rPr>
        <w:t>, 1985-</w:t>
      </w:r>
      <w:r>
        <w:rPr>
          <w:rFonts w:ascii="Palatino Linotype" w:hAnsi="Palatino Linotype"/>
        </w:rPr>
        <w:t>19</w:t>
      </w:r>
      <w:r w:rsidRPr="007D40B2">
        <w:rPr>
          <w:rFonts w:ascii="Palatino Linotype" w:hAnsi="Palatino Linotype"/>
        </w:rPr>
        <w:t>90</w:t>
      </w:r>
      <w:r>
        <w:rPr>
          <w:rFonts w:ascii="Palatino Linotype" w:hAnsi="Palatino Linotype"/>
        </w:rPr>
        <w:t>.</w:t>
      </w:r>
    </w:p>
    <w:p w:rsidR="00E33D26" w:rsidRPr="007D40B2" w:rsidRDefault="00E33D26" w:rsidP="00E33D26">
      <w:pPr>
        <w:ind w:left="540" w:hanging="540"/>
        <w:rPr>
          <w:rFonts w:ascii="Palatino Linotype" w:hAnsi="Palatino Linotype"/>
          <w:highlight w:val="yellow"/>
        </w:rPr>
      </w:pPr>
      <w:proofErr w:type="spellStart"/>
      <w:r w:rsidRPr="007D40B2">
        <w:rPr>
          <w:rFonts w:ascii="Palatino Linotype" w:hAnsi="Palatino Linotype"/>
        </w:rPr>
        <w:t>Yannaras</w:t>
      </w:r>
      <w:proofErr w:type="spellEnd"/>
      <w:r w:rsidRPr="007D40B2">
        <w:rPr>
          <w:rFonts w:ascii="Palatino Linotype" w:hAnsi="Palatino Linotype"/>
        </w:rPr>
        <w:t xml:space="preserve">, </w:t>
      </w:r>
      <w:r>
        <w:rPr>
          <w:rFonts w:ascii="Palatino Linotype" w:hAnsi="Palatino Linotype"/>
        </w:rPr>
        <w:t xml:space="preserve">C., </w:t>
      </w:r>
      <w:r w:rsidRPr="007D40B2">
        <w:rPr>
          <w:rFonts w:ascii="Palatino Linotype" w:hAnsi="Palatino Linotype"/>
          <w:i/>
          <w:iCs/>
        </w:rPr>
        <w:t>Elements of Faith</w:t>
      </w:r>
      <w:r>
        <w:rPr>
          <w:rFonts w:ascii="Palatino Linotype" w:hAnsi="Palatino Linotype"/>
        </w:rPr>
        <w:t xml:space="preserve">, </w:t>
      </w:r>
      <w:r w:rsidRPr="007D40B2">
        <w:rPr>
          <w:rFonts w:ascii="Palatino Linotype" w:hAnsi="Palatino Linotype"/>
        </w:rPr>
        <w:t>Edinburgh: T&amp;T Clark, 1991</w:t>
      </w:r>
      <w:r>
        <w:rPr>
          <w:rFonts w:ascii="Palatino Linotype" w:hAnsi="Palatino Linotype"/>
        </w:rPr>
        <w:t xml:space="preserve">. </w:t>
      </w:r>
      <w:r w:rsidRPr="007D40B2">
        <w:rPr>
          <w:rFonts w:ascii="Palatino Linotype" w:hAnsi="Palatino Linotype"/>
        </w:rPr>
        <w:t xml:space="preserve">English translation of </w:t>
      </w:r>
      <w:proofErr w:type="spellStart"/>
      <w:r w:rsidRPr="007D40B2">
        <w:rPr>
          <w:rFonts w:ascii="Palatino Linotype" w:hAnsi="Palatino Linotype"/>
          <w:i/>
        </w:rPr>
        <w:t>Ἀλφαβητάρι</w:t>
      </w:r>
      <w:proofErr w:type="spellEnd"/>
      <w:r w:rsidRPr="007D40B2">
        <w:rPr>
          <w:rFonts w:ascii="Palatino Linotype" w:hAnsi="Palatino Linotype"/>
          <w:i/>
        </w:rPr>
        <w:t xml:space="preserve"> </w:t>
      </w:r>
      <w:proofErr w:type="spellStart"/>
      <w:r w:rsidRPr="007D40B2">
        <w:rPr>
          <w:rFonts w:ascii="Palatino Linotype" w:hAnsi="Palatino Linotype"/>
          <w:i/>
        </w:rPr>
        <w:t>τῆς</w:t>
      </w:r>
      <w:proofErr w:type="spellEnd"/>
      <w:r w:rsidRPr="007D40B2">
        <w:rPr>
          <w:rFonts w:ascii="Palatino Linotype" w:hAnsi="Palatino Linotype"/>
          <w:i/>
        </w:rPr>
        <w:t xml:space="preserve"> </w:t>
      </w:r>
      <w:proofErr w:type="spellStart"/>
      <w:r w:rsidRPr="007D40B2">
        <w:rPr>
          <w:rFonts w:ascii="Palatino Linotype" w:hAnsi="Palatino Linotype"/>
          <w:i/>
        </w:rPr>
        <w:t>πίστης</w:t>
      </w:r>
      <w:proofErr w:type="spellEnd"/>
      <w:r w:rsidRPr="007D40B2">
        <w:rPr>
          <w:rFonts w:ascii="Palatino Linotype" w:hAnsi="Palatino Linotype"/>
        </w:rPr>
        <w:t xml:space="preserve"> (Athens: </w:t>
      </w:r>
      <w:proofErr w:type="spellStart"/>
      <w:r w:rsidRPr="007D40B2">
        <w:rPr>
          <w:rFonts w:ascii="Palatino Linotype" w:hAnsi="Palatino Linotype"/>
        </w:rPr>
        <w:t>Domos</w:t>
      </w:r>
      <w:proofErr w:type="spellEnd"/>
      <w:r w:rsidRPr="007D40B2">
        <w:rPr>
          <w:rFonts w:ascii="Palatino Linotype" w:hAnsi="Palatino Linotype"/>
        </w:rPr>
        <w:t xml:space="preserve">, 1984) – </w:t>
      </w:r>
      <w:r>
        <w:rPr>
          <w:rFonts w:ascii="Palatino Linotype" w:hAnsi="Palatino Linotype"/>
        </w:rPr>
        <w:t xml:space="preserve">This book is </w:t>
      </w:r>
      <w:r w:rsidRPr="007D40B2">
        <w:rPr>
          <w:rFonts w:ascii="Palatino Linotype" w:hAnsi="Palatino Linotype"/>
        </w:rPr>
        <w:t>primer on Orthodox theology by a prolific Greek philosopher</w:t>
      </w:r>
    </w:p>
    <w:p w:rsidR="00E33D26" w:rsidRPr="007D40B2" w:rsidRDefault="00E33D26" w:rsidP="00E33D26">
      <w:pPr>
        <w:ind w:left="540" w:hanging="540"/>
        <w:rPr>
          <w:rFonts w:ascii="Palatino Linotype" w:hAnsi="Palatino Linotype"/>
        </w:rPr>
      </w:pPr>
      <w:r w:rsidRPr="007D40B2">
        <w:rPr>
          <w:rFonts w:ascii="Palatino Linotype" w:hAnsi="Palatino Linotype"/>
        </w:rPr>
        <w:t>Ware, K</w:t>
      </w:r>
      <w:r>
        <w:rPr>
          <w:rFonts w:ascii="Palatino Linotype" w:hAnsi="Palatino Linotype"/>
        </w:rPr>
        <w:t xml:space="preserve">., </w:t>
      </w:r>
      <w:r w:rsidRPr="007D40B2">
        <w:rPr>
          <w:rFonts w:ascii="Palatino Linotype" w:hAnsi="Palatino Linotype"/>
          <w:i/>
          <w:iCs/>
        </w:rPr>
        <w:t>The Orthodox Way</w:t>
      </w:r>
      <w:r w:rsidRPr="007D40B2">
        <w:rPr>
          <w:rFonts w:ascii="Palatino Linotype" w:hAnsi="Palatino Linotype"/>
        </w:rPr>
        <w:t>, revised second edition</w:t>
      </w:r>
      <w:r>
        <w:rPr>
          <w:rFonts w:ascii="Palatino Linotype" w:hAnsi="Palatino Linotype"/>
        </w:rPr>
        <w:t xml:space="preserve">, </w:t>
      </w:r>
      <w:r w:rsidRPr="007D40B2">
        <w:rPr>
          <w:rFonts w:ascii="Palatino Linotype" w:hAnsi="Palatino Linotype"/>
        </w:rPr>
        <w:t>Crestwood, NY: SVS Press, 1995</w:t>
      </w:r>
      <w:r>
        <w:rPr>
          <w:rFonts w:ascii="Palatino Linotype" w:hAnsi="Palatino Linotype"/>
        </w:rPr>
        <w:t>.</w:t>
      </w:r>
      <w:r w:rsidRPr="007D40B2">
        <w:rPr>
          <w:rFonts w:ascii="Palatino Linotype" w:hAnsi="Palatino Linotype"/>
        </w:rPr>
        <w:t xml:space="preserve"> – </w:t>
      </w:r>
      <w:r>
        <w:rPr>
          <w:rFonts w:ascii="Palatino Linotype" w:hAnsi="Palatino Linotype"/>
        </w:rPr>
        <w:t>T</w:t>
      </w:r>
      <w:r w:rsidRPr="007D40B2">
        <w:rPr>
          <w:rFonts w:ascii="Palatino Linotype" w:hAnsi="Palatino Linotype"/>
        </w:rPr>
        <w:t xml:space="preserve">his popular book presents major themes in Orthodox </w:t>
      </w:r>
      <w:r>
        <w:rPr>
          <w:rFonts w:ascii="Palatino Linotype" w:hAnsi="Palatino Linotype"/>
        </w:rPr>
        <w:t>spirituality</w:t>
      </w:r>
      <w:r w:rsidRPr="007D40B2">
        <w:rPr>
          <w:rFonts w:ascii="Palatino Linotype" w:hAnsi="Palatino Linotype"/>
        </w:rPr>
        <w:t xml:space="preserve"> with generous samples of western history and literature</w:t>
      </w:r>
      <w:r>
        <w:rPr>
          <w:rFonts w:ascii="Palatino Linotype" w:hAnsi="Palatino Linotype"/>
        </w:rPr>
        <w:t>, so it provides an easy transition into thinking about Orthodox theology.</w:t>
      </w:r>
    </w:p>
    <w:p w:rsidR="00E33D26" w:rsidRPr="007D40B2" w:rsidRDefault="00E33D26" w:rsidP="00E33D26">
      <w:pPr>
        <w:pStyle w:val="Heading5"/>
        <w:jc w:val="left"/>
        <w:rPr>
          <w:rFonts w:ascii="Palatino Linotype" w:hAnsi="Palatino Linotype"/>
          <w:i w:val="0"/>
          <w:iCs w:val="0"/>
        </w:rPr>
      </w:pPr>
      <w:proofErr w:type="spellStart"/>
      <w:r w:rsidRPr="007D40B2">
        <w:rPr>
          <w:rFonts w:ascii="Palatino Linotype" w:hAnsi="Palatino Linotype"/>
          <w:i w:val="0"/>
          <w:iCs w:val="0"/>
        </w:rPr>
        <w:t>Slobodskoy</w:t>
      </w:r>
      <w:proofErr w:type="spellEnd"/>
      <w:r w:rsidRPr="007D40B2">
        <w:rPr>
          <w:rFonts w:ascii="Palatino Linotype" w:hAnsi="Palatino Linotype"/>
          <w:i w:val="0"/>
          <w:iCs w:val="0"/>
        </w:rPr>
        <w:t xml:space="preserve">, </w:t>
      </w:r>
      <w:r>
        <w:rPr>
          <w:rFonts w:ascii="Palatino Linotype" w:hAnsi="Palatino Linotype"/>
          <w:i w:val="0"/>
          <w:iCs w:val="0"/>
        </w:rPr>
        <w:t xml:space="preserve">S., </w:t>
      </w:r>
      <w:proofErr w:type="gramStart"/>
      <w:r w:rsidRPr="007D40B2">
        <w:rPr>
          <w:rFonts w:ascii="Palatino Linotype" w:hAnsi="Palatino Linotype"/>
        </w:rPr>
        <w:t>The</w:t>
      </w:r>
      <w:proofErr w:type="gramEnd"/>
      <w:r w:rsidRPr="007D40B2">
        <w:rPr>
          <w:rFonts w:ascii="Palatino Linotype" w:hAnsi="Palatino Linotype"/>
        </w:rPr>
        <w:t xml:space="preserve"> Law of God for Study at Home and School</w:t>
      </w:r>
      <w:r>
        <w:rPr>
          <w:rFonts w:ascii="Palatino Linotype" w:hAnsi="Palatino Linotype"/>
          <w:i w:val="0"/>
          <w:iCs w:val="0"/>
        </w:rPr>
        <w:t xml:space="preserve">, </w:t>
      </w:r>
      <w:proofErr w:type="spellStart"/>
      <w:r w:rsidRPr="007D40B2">
        <w:rPr>
          <w:rFonts w:ascii="Palatino Linotype" w:hAnsi="Palatino Linotype"/>
          <w:i w:val="0"/>
          <w:iCs w:val="0"/>
        </w:rPr>
        <w:t>Jordanville</w:t>
      </w:r>
      <w:proofErr w:type="spellEnd"/>
      <w:r w:rsidRPr="007D40B2">
        <w:rPr>
          <w:rFonts w:ascii="Palatino Linotype" w:hAnsi="Palatino Linotype"/>
          <w:i w:val="0"/>
          <w:iCs w:val="0"/>
        </w:rPr>
        <w:t xml:space="preserve">, NY: St Job of </w:t>
      </w:r>
      <w:proofErr w:type="spellStart"/>
      <w:r w:rsidRPr="007D40B2">
        <w:rPr>
          <w:rFonts w:ascii="Palatino Linotype" w:hAnsi="Palatino Linotype"/>
          <w:i w:val="0"/>
          <w:iCs w:val="0"/>
        </w:rPr>
        <w:t>Pochaev</w:t>
      </w:r>
      <w:proofErr w:type="spellEnd"/>
      <w:r w:rsidRPr="007D40B2">
        <w:rPr>
          <w:rFonts w:ascii="Palatino Linotype" w:hAnsi="Palatino Linotype"/>
          <w:i w:val="0"/>
          <w:iCs w:val="0"/>
        </w:rPr>
        <w:t xml:space="preserve"> Press, 1993</w:t>
      </w:r>
      <w:r>
        <w:rPr>
          <w:rFonts w:ascii="Palatino Linotype" w:hAnsi="Palatino Linotype"/>
          <w:i w:val="0"/>
          <w:iCs w:val="0"/>
        </w:rPr>
        <w:t>.</w:t>
      </w:r>
      <w:r w:rsidRPr="007D40B2">
        <w:rPr>
          <w:rFonts w:ascii="Palatino Linotype" w:hAnsi="Palatino Linotype"/>
          <w:i w:val="0"/>
          <w:iCs w:val="0"/>
        </w:rPr>
        <w:t xml:space="preserve"> English translation of </w:t>
      </w:r>
      <w:r w:rsidRPr="007D40B2">
        <w:rPr>
          <w:rFonts w:ascii="Palatino Linotype" w:eastAsia="Arial Unicode MS" w:hAnsi="Palatino Linotype" w:cs="Arial Unicode MS"/>
          <w:bCs/>
          <w:color w:val="000000"/>
          <w:kern w:val="36"/>
          <w:lang w:val="ru-RU"/>
        </w:rPr>
        <w:t xml:space="preserve">Закон Божий </w:t>
      </w:r>
      <w:r w:rsidRPr="007D40B2">
        <w:rPr>
          <w:rFonts w:ascii="Palatino Linotype" w:eastAsia="Arial Unicode MS" w:hAnsi="Palatino Linotype" w:cs="Arial Unicode MS"/>
          <w:bCs/>
          <w:i w:val="0"/>
          <w:color w:val="000000"/>
          <w:kern w:val="36"/>
        </w:rPr>
        <w:t>(</w:t>
      </w:r>
      <w:proofErr w:type="spellStart"/>
      <w:r w:rsidRPr="007D40B2">
        <w:rPr>
          <w:rFonts w:ascii="Palatino Linotype" w:eastAsia="Arial Unicode MS" w:hAnsi="Palatino Linotype" w:cs="Arial Unicode MS"/>
          <w:bCs/>
          <w:i w:val="0"/>
          <w:color w:val="000000"/>
          <w:kern w:val="36"/>
        </w:rPr>
        <w:t>Jordanville</w:t>
      </w:r>
      <w:proofErr w:type="spellEnd"/>
      <w:r w:rsidRPr="007D40B2">
        <w:rPr>
          <w:rFonts w:ascii="Palatino Linotype" w:eastAsia="Arial Unicode MS" w:hAnsi="Palatino Linotype" w:cs="Arial Unicode MS"/>
          <w:bCs/>
          <w:i w:val="0"/>
          <w:color w:val="000000"/>
          <w:kern w:val="36"/>
        </w:rPr>
        <w:t>, NY: Holy Trinity Monastery, 1957)</w:t>
      </w:r>
      <w:r w:rsidRPr="007D40B2">
        <w:rPr>
          <w:rFonts w:ascii="Palatino Linotype" w:eastAsia="Arial Unicode MS" w:hAnsi="Palatino Linotype" w:cs="Arial Unicode MS"/>
          <w:bCs/>
          <w:i w:val="0"/>
          <w:color w:val="000000"/>
          <w:kern w:val="36"/>
          <w:sz w:val="18"/>
          <w:szCs w:val="18"/>
        </w:rPr>
        <w:t xml:space="preserve"> </w:t>
      </w:r>
      <w:r w:rsidRPr="007D40B2">
        <w:rPr>
          <w:rFonts w:ascii="Palatino Linotype" w:hAnsi="Palatino Linotype"/>
          <w:i w:val="0"/>
          <w:iCs w:val="0"/>
        </w:rPr>
        <w:t xml:space="preserve">– </w:t>
      </w:r>
      <w:r>
        <w:rPr>
          <w:rFonts w:ascii="Palatino Linotype" w:hAnsi="Palatino Linotype"/>
          <w:i w:val="0"/>
          <w:iCs w:val="0"/>
        </w:rPr>
        <w:t xml:space="preserve">This book is </w:t>
      </w:r>
      <w:r w:rsidRPr="007D40B2">
        <w:rPr>
          <w:rFonts w:ascii="Palatino Linotype" w:hAnsi="Palatino Linotype"/>
          <w:i w:val="0"/>
          <w:iCs w:val="0"/>
        </w:rPr>
        <w:t>essentially a Russian catechism</w:t>
      </w:r>
      <w:r>
        <w:rPr>
          <w:rFonts w:ascii="Palatino Linotype" w:hAnsi="Palatino Linotype"/>
          <w:i w:val="0"/>
          <w:iCs w:val="0"/>
        </w:rPr>
        <w:t>.</w:t>
      </w:r>
    </w:p>
    <w:p w:rsidR="00E33D26" w:rsidRPr="007D40B2" w:rsidRDefault="00E33D26" w:rsidP="00E33D26">
      <w:pPr>
        <w:rPr>
          <w:rFonts w:ascii="Palatino Linotype" w:hAnsi="Palatino Linotype"/>
        </w:rPr>
      </w:pPr>
    </w:p>
    <w:p w:rsidR="00E33D26" w:rsidRPr="007D40B2" w:rsidRDefault="00E33D26" w:rsidP="00E33D26">
      <w:pPr>
        <w:rPr>
          <w:rFonts w:ascii="Palatino Linotype" w:hAnsi="Palatino Linotype"/>
        </w:rPr>
      </w:pPr>
      <w:r w:rsidRPr="007D40B2">
        <w:rPr>
          <w:rFonts w:ascii="Palatino Linotype" w:hAnsi="Palatino Linotype"/>
        </w:rPr>
        <w:lastRenderedPageBreak/>
        <w:t>N.B.: Students will note that, in a very few cases, the bibliographies below feature entries that are not in English. While by no means mandatory, they may be helpful for the students who can read them.</w:t>
      </w:r>
    </w:p>
    <w:p w:rsidR="008C3338" w:rsidRDefault="008C3338"/>
    <w:sectPr w:rsidR="008C3338" w:rsidSect="008C3338">
      <w:pgSz w:w="11906" w:h="16838"/>
      <w:pgMar w:top="1440" w:right="1440" w:bottom="1440" w:left="1440" w:header="708" w:footer="708" w:gutter="0"/>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3C3036" w:rsidRDefault="003C3036" w:rsidP="00E33D26">
      <w:r>
        <w:separator/>
      </w:r>
    </w:p>
  </w:endnote>
  <w:endnote w:type="continuationSeparator" w:id="0">
    <w:p w:rsidR="003C3036" w:rsidRDefault="003C3036" w:rsidP="00E33D26">
      <w:r>
        <w:continuationSeparator/>
      </w:r>
    </w:p>
  </w:endnote>
</w:endnotes>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10002FF" w:usb1="4000ACFF" w:usb2="00000009" w:usb3="00000000" w:csb0="0000019F" w:csb1="00000000"/>
  </w:font>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AFF" w:usb1="C0007841" w:usb2="00000009" w:usb3="00000000" w:csb0="000001FF" w:csb1="00000000"/>
  </w:font>
  <w:font w:name="Palatino Linotype">
    <w:panose1 w:val="02040502050505030304"/>
    <w:charset w:val="00"/>
    <w:family w:val="roman"/>
    <w:pitch w:val="variable"/>
    <w:sig w:usb0="E0000287" w:usb1="40000013" w:usb2="00000000" w:usb3="00000000" w:csb0="0000019F" w:csb1="00000000"/>
  </w:font>
  <w:font w:name="Arial Unicode MS">
    <w:panose1 w:val="020B0604020202020204"/>
    <w:charset w:val="80"/>
    <w:family w:val="swiss"/>
    <w:pitch w:val="variable"/>
    <w:sig w:usb0="F7FFAFFF" w:usb1="E9DFFFFF" w:usb2="0000003F" w:usb3="00000000" w:csb0="003F01FF" w:csb1="00000000"/>
  </w:font>
  <w:font w:name="Cambria">
    <w:panose1 w:val="02040503050406030204"/>
    <w:charset w:val="00"/>
    <w:family w:val="roman"/>
    <w:pitch w:val="variable"/>
    <w:sig w:usb0="E00002FF" w:usb1="400004FF" w:usb2="00000000" w:usb3="00000000" w:csb0="0000019F" w:csb1="00000000"/>
  </w:font>
</w:fonts>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3C3036" w:rsidRDefault="003C3036" w:rsidP="00E33D26">
      <w:r>
        <w:separator/>
      </w:r>
    </w:p>
  </w:footnote>
  <w:footnote w:type="continuationSeparator" w:id="0">
    <w:p w:rsidR="003C3036" w:rsidRDefault="003C3036" w:rsidP="00E33D26">
      <w:r>
        <w:continuationSeparator/>
      </w:r>
    </w:p>
  </w:footnote>
  <w:footnote w:id="1">
    <w:p w:rsidR="00E33D26" w:rsidRDefault="00E33D26" w:rsidP="00E33D26">
      <w:pPr>
        <w:pStyle w:val="FootnoteText"/>
        <w:jc w:val="both"/>
        <w:rPr>
          <w:rFonts w:ascii="Palatino Linotype" w:hAnsi="Palatino Linotype"/>
        </w:rPr>
      </w:pPr>
      <w:r>
        <w:rPr>
          <w:rStyle w:val="FootnoteReference"/>
          <w:rFonts w:ascii="Palatino Linotype" w:hAnsi="Palatino Linotype"/>
        </w:rPr>
        <w:footnoteRef/>
      </w:r>
      <w:r>
        <w:rPr>
          <w:rFonts w:ascii="Palatino Linotype" w:hAnsi="Palatino Linotype"/>
        </w:rPr>
        <w:t xml:space="preserve"> It will be noted that Mme Behr-Sigel is the only female Orthodox theologian to be studied in this course. This is a regrettably accurate reflection of the level of women’s participation in Orthodox theological discussions: Orthodox women have become scholars and saints over the last century, but Behr-Sigel is one of the precious few theologians. The situation is probably attributable, at least in part, to the fact that the traditional locus for Orthodox theological education is the seminary (rather than the university). It is to be hoped that women will increasingly play a visible role in Orthodox theology in the future, that Orthodox theological education will promote such a development, and indeed that Orthodox theological education will flourish in university settings.</w:t>
      </w:r>
    </w:p>
  </w:footnote>
</w:footnotes>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50"/>
  <w:proofState w:spelling="clean" w:grammar="clean"/>
  <w:defaultTabStop w:val="720"/>
  <w:characterSpacingControl w:val="doNotCompress"/>
  <w:footnotePr>
    <w:footnote w:id="-1"/>
    <w:footnote w:id="0"/>
  </w:footnotePr>
  <w:endnotePr>
    <w:endnote w:id="-1"/>
    <w:endnote w:id="0"/>
  </w:endnotePr>
  <w:compat/>
  <w:rsids>
    <w:rsidRoot w:val="00E33D26"/>
    <w:rsid w:val="003C3036"/>
    <w:rsid w:val="008C3338"/>
    <w:rsid w:val="00E33D26"/>
  </w:rsids>
  <m:mathPr>
    <m:mathFont m:val="Cambria Math"/>
    <m:brkBin m:val="before"/>
    <m:brkBinSub m:val="--"/>
    <m:smallFrac m:val="off"/>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martTagType w:namespaceuri="urn:schemas-microsoft-com:office:smarttags" w:name="City"/>
  <w:smartTagType w:namespaceuri="urn:schemas-microsoft-com:office:smarttags" w:name="PlaceType"/>
  <w:smartTagType w:namespaceuri="urn:schemas-microsoft-com:office:smarttags" w:name="PlaceName"/>
  <w:smartTagType w:namespaceuri="urn:schemas-microsoft-com:office:smarttags" w:name="place"/>
  <w:smartTagType w:namespaceuri="urn:schemas-microsoft-com:office:smarttags" w:name="country-region"/>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0" w:unhideWhenUsed="0" w:qFormat="1"/>
    <w:lsdException w:name="heading 2" w:uiPriority="0" w:qFormat="1"/>
    <w:lsdException w:name="heading 3" w:uiPriority="9" w:qFormat="1"/>
    <w:lsdException w:name="heading 4" w:uiPriority="9" w:qFormat="1"/>
    <w:lsdException w:name="heading 5" w:uiPriority="0"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footnote text" w:uiPriority="0"/>
    <w:lsdException w:name="caption" w:uiPriority="35" w:qFormat="1"/>
    <w:lsdException w:name="footnote reference" w:uiPriority="0"/>
    <w:lsdException w:name="Title" w:semiHidden="0" w:uiPriority="10" w:unhideWhenUsed="0" w:qFormat="1"/>
    <w:lsdException w:name="Default Paragraph Font" w:uiPriority="1"/>
    <w:lsdException w:name="Body Text" w:uiPriority="0"/>
    <w:lsdException w:name="Subtitle" w:semiHidden="0" w:uiPriority="11" w:unhideWhenUsed="0" w:qFormat="1"/>
    <w:lsdException w:name="Strong" w:semiHidden="0" w:uiPriority="0"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E33D26"/>
    <w:pPr>
      <w:spacing w:after="0" w:line="240" w:lineRule="auto"/>
    </w:pPr>
    <w:rPr>
      <w:rFonts w:ascii="Times New Roman" w:eastAsia="Times New Roman" w:hAnsi="Times New Roman" w:cs="Times New Roman"/>
      <w:sz w:val="24"/>
      <w:szCs w:val="24"/>
    </w:rPr>
  </w:style>
  <w:style w:type="paragraph" w:styleId="Heading1">
    <w:name w:val="heading 1"/>
    <w:basedOn w:val="Normal"/>
    <w:next w:val="Normal"/>
    <w:link w:val="Heading1Char"/>
    <w:qFormat/>
    <w:rsid w:val="00E33D26"/>
    <w:pPr>
      <w:keepNext/>
      <w:jc w:val="both"/>
      <w:outlineLvl w:val="0"/>
    </w:pPr>
    <w:rPr>
      <w:b/>
      <w:bCs/>
    </w:rPr>
  </w:style>
  <w:style w:type="paragraph" w:styleId="Heading2">
    <w:name w:val="heading 2"/>
    <w:basedOn w:val="Normal"/>
    <w:next w:val="Normal"/>
    <w:link w:val="Heading2Char"/>
    <w:qFormat/>
    <w:rsid w:val="00E33D26"/>
    <w:pPr>
      <w:keepNext/>
      <w:ind w:left="540" w:hanging="540"/>
      <w:jc w:val="both"/>
      <w:outlineLvl w:val="1"/>
    </w:pPr>
    <w:rPr>
      <w:b/>
      <w:bCs/>
    </w:rPr>
  </w:style>
  <w:style w:type="paragraph" w:styleId="Heading5">
    <w:name w:val="heading 5"/>
    <w:basedOn w:val="Normal"/>
    <w:next w:val="Normal"/>
    <w:link w:val="Heading5Char"/>
    <w:qFormat/>
    <w:rsid w:val="00E33D26"/>
    <w:pPr>
      <w:keepNext/>
      <w:ind w:left="540" w:hanging="540"/>
      <w:jc w:val="both"/>
      <w:outlineLvl w:val="4"/>
    </w:pPr>
    <w:rPr>
      <w:i/>
      <w:i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rsid w:val="00E33D26"/>
    <w:rPr>
      <w:rFonts w:ascii="Times New Roman" w:eastAsia="Times New Roman" w:hAnsi="Times New Roman" w:cs="Times New Roman"/>
      <w:b/>
      <w:bCs/>
      <w:sz w:val="24"/>
      <w:szCs w:val="24"/>
    </w:rPr>
  </w:style>
  <w:style w:type="character" w:customStyle="1" w:styleId="Heading2Char">
    <w:name w:val="Heading 2 Char"/>
    <w:basedOn w:val="DefaultParagraphFont"/>
    <w:link w:val="Heading2"/>
    <w:rsid w:val="00E33D26"/>
    <w:rPr>
      <w:rFonts w:ascii="Times New Roman" w:eastAsia="Times New Roman" w:hAnsi="Times New Roman" w:cs="Times New Roman"/>
      <w:b/>
      <w:bCs/>
      <w:sz w:val="24"/>
      <w:szCs w:val="24"/>
    </w:rPr>
  </w:style>
  <w:style w:type="character" w:customStyle="1" w:styleId="Heading5Char">
    <w:name w:val="Heading 5 Char"/>
    <w:basedOn w:val="DefaultParagraphFont"/>
    <w:link w:val="Heading5"/>
    <w:rsid w:val="00E33D26"/>
    <w:rPr>
      <w:rFonts w:ascii="Times New Roman" w:eastAsia="Times New Roman" w:hAnsi="Times New Roman" w:cs="Times New Roman"/>
      <w:i/>
      <w:iCs/>
      <w:sz w:val="24"/>
      <w:szCs w:val="24"/>
    </w:rPr>
  </w:style>
  <w:style w:type="paragraph" w:styleId="FootnoteText">
    <w:name w:val="footnote text"/>
    <w:basedOn w:val="Normal"/>
    <w:link w:val="FootnoteTextChar"/>
    <w:semiHidden/>
    <w:rsid w:val="00E33D26"/>
    <w:rPr>
      <w:sz w:val="20"/>
      <w:szCs w:val="20"/>
    </w:rPr>
  </w:style>
  <w:style w:type="character" w:customStyle="1" w:styleId="FootnoteTextChar">
    <w:name w:val="Footnote Text Char"/>
    <w:basedOn w:val="DefaultParagraphFont"/>
    <w:link w:val="FootnoteText"/>
    <w:semiHidden/>
    <w:rsid w:val="00E33D26"/>
    <w:rPr>
      <w:rFonts w:ascii="Times New Roman" w:eastAsia="Times New Roman" w:hAnsi="Times New Roman" w:cs="Times New Roman"/>
      <w:sz w:val="20"/>
      <w:szCs w:val="20"/>
    </w:rPr>
  </w:style>
  <w:style w:type="character" w:styleId="FootnoteReference">
    <w:name w:val="footnote reference"/>
    <w:basedOn w:val="DefaultParagraphFont"/>
    <w:semiHidden/>
    <w:rsid w:val="00E33D26"/>
    <w:rPr>
      <w:vertAlign w:val="superscript"/>
    </w:rPr>
  </w:style>
  <w:style w:type="paragraph" w:styleId="BodyText">
    <w:name w:val="Body Text"/>
    <w:basedOn w:val="Normal"/>
    <w:link w:val="BodyTextChar"/>
    <w:rsid w:val="00E33D26"/>
    <w:pPr>
      <w:jc w:val="both"/>
    </w:pPr>
  </w:style>
  <w:style w:type="character" w:customStyle="1" w:styleId="BodyTextChar">
    <w:name w:val="Body Text Char"/>
    <w:basedOn w:val="DefaultParagraphFont"/>
    <w:link w:val="BodyText"/>
    <w:rsid w:val="00E33D26"/>
    <w:rPr>
      <w:rFonts w:ascii="Times New Roman" w:eastAsia="Times New Roman" w:hAnsi="Times New Roman" w:cs="Times New Roman"/>
      <w:sz w:val="24"/>
      <w:szCs w:val="24"/>
    </w:rPr>
  </w:style>
  <w:style w:type="character" w:styleId="Strong">
    <w:name w:val="Strong"/>
    <w:basedOn w:val="DefaultParagraphFont"/>
    <w:qFormat/>
    <w:rsid w:val="00E33D26"/>
    <w:rPr>
      <w:b/>
      <w:bCs/>
    </w:rPr>
  </w:style>
  <w:style w:type="character" w:customStyle="1" w:styleId="apple-converted-space">
    <w:name w:val="apple-converted-space"/>
    <w:basedOn w:val="DefaultParagraphFont"/>
    <w:rsid w:val="00E33D26"/>
  </w:style>
</w:styles>
</file>

<file path=word/webSettings.xml><?xml version="1.0" encoding="utf-8"?>
<w:webSettings xmlns:r="http://schemas.openxmlformats.org/officeDocument/2006/relationships" xmlns:w="http://schemas.openxmlformats.org/wordprocessingml/2006/main">
  <w:optimizeForBrowser/>
  <w:doNotSaveAsSingleFile/>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TotalTime>
  <Pages>7</Pages>
  <Words>2351</Words>
  <Characters>13407</Characters>
  <Application>Microsoft Office Word</Application>
  <DocSecurity>0</DocSecurity>
  <Lines>111</Lines>
  <Paragraphs>31</Paragraphs>
  <ScaleCrop>false</ScaleCrop>
  <Company/>
  <LinksUpToDate>false</LinksUpToDate>
  <CharactersWithSpaces>15727</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Augustine Casiday</dc:creator>
  <cp:lastModifiedBy>Augustine Casiday</cp:lastModifiedBy>
  <cp:revision>1</cp:revision>
  <dcterms:created xsi:type="dcterms:W3CDTF">2012-01-23T13:25:00Z</dcterms:created>
  <dcterms:modified xsi:type="dcterms:W3CDTF">2012-01-23T13:26:00Z</dcterms:modified>
</cp:coreProperties>
</file>