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BE726F" wp14:paraId="0EDDB86E" wp14:textId="2E743E8E">
      <w:pPr>
        <w:pStyle w:val="Normal"/>
        <w:keepNext w:val="0"/>
        <w:keepLines w:val="0"/>
        <w:spacing w:line="360" w:lineRule="auto"/>
        <w:rPr>
          <w:rFonts w:ascii="Arial" w:hAnsi="Arial" w:eastAsia="Arial" w:cs="Arial"/>
          <w:noProof w:val="0"/>
          <w:sz w:val="22"/>
          <w:szCs w:val="22"/>
          <w:lang w:val="en-GB"/>
        </w:rPr>
      </w:pPr>
      <w:r w:rsidR="716CE3A7">
        <w:drawing>
          <wp:inline xmlns:wp14="http://schemas.microsoft.com/office/word/2010/wordprocessingDrawing" wp14:editId="2E690597" wp14:anchorId="5836FB6E">
            <wp:extent cx="5724524" cy="2857500"/>
            <wp:effectExtent l="0" t="0" r="0" b="0"/>
            <wp:docPr id="1587076336" name="" title=""/>
            <wp:cNvGraphicFramePr>
              <a:graphicFrameLocks noChangeAspect="1"/>
            </wp:cNvGraphicFramePr>
            <a:graphic>
              <a:graphicData uri="http://schemas.openxmlformats.org/drawingml/2006/picture">
                <pic:pic>
                  <pic:nvPicPr>
                    <pic:cNvPr id="0" name=""/>
                    <pic:cNvPicPr/>
                  </pic:nvPicPr>
                  <pic:blipFill>
                    <a:blip r:embed="R98004733a68246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00"/>
                    </a:xfrm>
                    <a:prstGeom prst="rect">
                      <a:avLst/>
                    </a:prstGeom>
                  </pic:spPr>
                </pic:pic>
              </a:graphicData>
            </a:graphic>
          </wp:inline>
        </w:drawing>
      </w:r>
    </w:p>
    <w:p w:rsidR="45BE726F" w:rsidP="45BE726F" w:rsidRDefault="45BE726F" w14:paraId="44125388" w14:textId="4CB5FB1B">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45BE726F" w:rsidP="45BE726F" w:rsidRDefault="45BE726F" w14:paraId="31585960" w14:textId="7E59D4BC">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5BE726F" wp14:paraId="636923DE" wp14:textId="515D0C2D">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Name – Rebecca Travers</w:t>
      </w:r>
    </w:p>
    <w:p xmlns:wp14="http://schemas.microsoft.com/office/word/2010/wordml" w:rsidP="45BE726F" wp14:paraId="4C6B28CC" wp14:textId="4A64A01E">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Student number – 2128316</w:t>
      </w:r>
    </w:p>
    <w:p xmlns:wp14="http://schemas.microsoft.com/office/word/2010/wordml" w:rsidP="45BE726F" wp14:paraId="400A4E82" wp14:textId="668E9DC6">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E036A94">
        <w:rPr>
          <w:rFonts w:ascii="Arial" w:hAnsi="Arial" w:eastAsia="Arial" w:cs="Arial"/>
          <w:b w:val="0"/>
          <w:bCs w:val="0"/>
          <w:i w:val="0"/>
          <w:iCs w:val="0"/>
          <w:caps w:val="0"/>
          <w:smallCaps w:val="0"/>
          <w:noProof w:val="0"/>
          <w:color w:val="000000" w:themeColor="text1" w:themeTint="FF" w:themeShade="FF"/>
          <w:sz w:val="22"/>
          <w:szCs w:val="22"/>
          <w:lang w:val="en-GB"/>
        </w:rPr>
        <w:t>Module code- BMSW6105 – Coaching and Mentoring Skills for the workplace.</w:t>
      </w:r>
    </w:p>
    <w:p xmlns:wp14="http://schemas.microsoft.com/office/word/2010/wordml" w:rsidP="45BE726F" wp14:paraId="2714FC94" wp14:textId="1B5CA4FC">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Lecturer</w:t>
      </w: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 xml:space="preserve"> – Dr Sujeewa Herath</w:t>
      </w:r>
    </w:p>
    <w:p xmlns:wp14="http://schemas.microsoft.com/office/word/2010/wordml" w:rsidP="45BE726F" wp14:paraId="6CD8E392" wp14:textId="08985388">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20B7AC62" wp14:textId="739F7BD2">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xmlns:wp14="http://schemas.microsoft.com/office/word/2010/wordml" w:rsidP="45BE726F" wp14:paraId="526AC370" wp14:textId="543F9E5F">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2A50A7FA" wp14:textId="27D10014">
      <w:pPr>
        <w:pStyle w:val="Normal"/>
        <w:keepNext w:val="0"/>
        <w:keepLines w:val="0"/>
        <w:spacing w:line="360" w:lineRule="auto"/>
        <w:rPr>
          <w:rFonts w:ascii="Arial" w:hAnsi="Arial" w:eastAsia="Arial" w:cs="Arial"/>
          <w:noProof w:val="0"/>
          <w:sz w:val="22"/>
          <w:szCs w:val="22"/>
          <w:lang w:val="en-GB"/>
        </w:rPr>
      </w:pPr>
      <w:r w:rsidRPr="45BE726F" w:rsidR="22A81A23">
        <w:rPr>
          <w:rFonts w:ascii="Arial" w:hAnsi="Arial" w:eastAsia="Arial" w:cs="Arial"/>
          <w:noProof w:val="0"/>
          <w:sz w:val="22"/>
          <w:szCs w:val="22"/>
          <w:lang w:val="en-GB"/>
        </w:rPr>
        <w:t>Table of content</w:t>
      </w:r>
    </w:p>
    <w:p xmlns:wp14="http://schemas.microsoft.com/office/word/2010/wordml" w:rsidP="45BE726F" wp14:paraId="45913FAA" wp14:textId="32C6F805">
      <w:pPr>
        <w:pStyle w:val="Normal"/>
        <w:keepNext w:val="0"/>
        <w:keepLines w:val="0"/>
        <w:spacing w:line="360" w:lineRule="auto"/>
        <w:rPr>
          <w:rFonts w:ascii="Arial" w:hAnsi="Arial" w:eastAsia="Arial" w:cs="Arial"/>
          <w:noProof w:val="0"/>
          <w:sz w:val="22"/>
          <w:szCs w:val="22"/>
          <w:lang w:val="en-GB"/>
        </w:rPr>
      </w:pPr>
    </w:p>
    <w:sdt>
      <w:sdtPr>
        <w:id w:val="1358266483"/>
        <w:docPartObj>
          <w:docPartGallery w:val="Table of Contents"/>
          <w:docPartUnique/>
        </w:docPartObj>
      </w:sdtPr>
      <w:sdtContent>
        <w:p xmlns:wp14="http://schemas.microsoft.com/office/word/2010/wordml" w:rsidP="4A1F2B86" wp14:paraId="10256F3B" wp14:textId="3A6D65F3">
          <w:pPr>
            <w:pStyle w:val="TOC1"/>
            <w:keepNext w:val="0"/>
            <w:keepLines w:val="0"/>
            <w:tabs>
              <w:tab w:val="right" w:leader="dot" w:pos="9015"/>
            </w:tabs>
            <w:bidi w:val="0"/>
            <w:rPr>
              <w:rStyle w:val="Hyperlink"/>
            </w:rPr>
          </w:pPr>
          <w:r>
            <w:fldChar w:fldCharType="begin"/>
          </w:r>
          <w:r>
            <w:instrText xml:space="preserve">TOC \o "1-9" \z \u \h</w:instrText>
          </w:r>
          <w:r>
            <w:fldChar w:fldCharType="separate"/>
          </w:r>
          <w:hyperlink w:anchor="_Toc1812667426">
            <w:r w:rsidRPr="4A1F2B86" w:rsidR="4A1F2B86">
              <w:rPr>
                <w:rStyle w:val="Hyperlink"/>
              </w:rPr>
              <w:t>Introduction</w:t>
            </w:r>
            <w:r>
              <w:tab/>
            </w:r>
            <w:r>
              <w:fldChar w:fldCharType="begin"/>
            </w:r>
            <w:r>
              <w:instrText xml:space="preserve">PAGEREF _Toc1812667426 \h</w:instrText>
            </w:r>
            <w:r>
              <w:fldChar w:fldCharType="separate"/>
            </w:r>
            <w:r w:rsidRPr="4A1F2B86" w:rsidR="4A1F2B86">
              <w:rPr>
                <w:rStyle w:val="Hyperlink"/>
              </w:rPr>
              <w:t>2</w:t>
            </w:r>
            <w:r>
              <w:fldChar w:fldCharType="end"/>
            </w:r>
          </w:hyperlink>
        </w:p>
        <w:p xmlns:wp14="http://schemas.microsoft.com/office/word/2010/wordml" w:rsidP="4A1F2B86" wp14:paraId="3E00397B" wp14:textId="2FB3137A">
          <w:pPr>
            <w:pStyle w:val="TOC1"/>
            <w:keepNext w:val="0"/>
            <w:keepLines w:val="0"/>
            <w:tabs>
              <w:tab w:val="right" w:leader="dot" w:pos="9015"/>
            </w:tabs>
            <w:bidi w:val="0"/>
            <w:rPr>
              <w:rStyle w:val="Hyperlink"/>
            </w:rPr>
          </w:pPr>
          <w:hyperlink w:anchor="_Toc2034566746">
            <w:r w:rsidRPr="4A1F2B86" w:rsidR="4A1F2B86">
              <w:rPr>
                <w:rStyle w:val="Hyperlink"/>
              </w:rPr>
              <w:t>Evaluation of coaching and mentoring</w:t>
            </w:r>
            <w:r>
              <w:tab/>
            </w:r>
            <w:r>
              <w:fldChar w:fldCharType="begin"/>
            </w:r>
            <w:r>
              <w:instrText xml:space="preserve">PAGEREF _Toc2034566746 \h</w:instrText>
            </w:r>
            <w:r>
              <w:fldChar w:fldCharType="separate"/>
            </w:r>
            <w:r w:rsidRPr="4A1F2B86" w:rsidR="4A1F2B86">
              <w:rPr>
                <w:rStyle w:val="Hyperlink"/>
              </w:rPr>
              <w:t>3</w:t>
            </w:r>
            <w:r>
              <w:fldChar w:fldCharType="end"/>
            </w:r>
          </w:hyperlink>
        </w:p>
        <w:p xmlns:wp14="http://schemas.microsoft.com/office/word/2010/wordml" w:rsidP="4A1F2B86" wp14:paraId="522134A1" wp14:textId="75CCB2D1">
          <w:pPr>
            <w:pStyle w:val="TOC1"/>
            <w:keepNext w:val="0"/>
            <w:keepLines w:val="0"/>
            <w:tabs>
              <w:tab w:val="right" w:leader="dot" w:pos="9015"/>
            </w:tabs>
            <w:bidi w:val="0"/>
            <w:rPr>
              <w:rStyle w:val="Hyperlink"/>
            </w:rPr>
          </w:pPr>
          <w:hyperlink w:anchor="_Toc1876736433">
            <w:r w:rsidRPr="4A1F2B86" w:rsidR="4A1F2B86">
              <w:rPr>
                <w:rStyle w:val="Hyperlink"/>
              </w:rPr>
              <w:t>Coaching models</w:t>
            </w:r>
            <w:r>
              <w:tab/>
            </w:r>
            <w:r>
              <w:fldChar w:fldCharType="begin"/>
            </w:r>
            <w:r>
              <w:instrText xml:space="preserve">PAGEREF _Toc1876736433 \h</w:instrText>
            </w:r>
            <w:r>
              <w:fldChar w:fldCharType="separate"/>
            </w:r>
            <w:r w:rsidRPr="4A1F2B86" w:rsidR="4A1F2B86">
              <w:rPr>
                <w:rStyle w:val="Hyperlink"/>
              </w:rPr>
              <w:t>5</w:t>
            </w:r>
            <w:r>
              <w:fldChar w:fldCharType="end"/>
            </w:r>
          </w:hyperlink>
        </w:p>
        <w:p w:rsidR="2FAF0265" w:rsidP="4A1F2B86" w:rsidRDefault="2FAF0265" w14:paraId="35D2CD6F" w14:textId="7DFDF985">
          <w:pPr>
            <w:pStyle w:val="TOC1"/>
            <w:keepNext w:val="0"/>
            <w:keepLines w:val="0"/>
            <w:tabs>
              <w:tab w:val="right" w:leader="dot" w:pos="9015"/>
            </w:tabs>
            <w:bidi w:val="0"/>
            <w:rPr>
              <w:rStyle w:val="Hyperlink"/>
            </w:rPr>
          </w:pPr>
          <w:hyperlink w:anchor="_Toc46238039">
            <w:r w:rsidRPr="4A1F2B86" w:rsidR="4A1F2B86">
              <w:rPr>
                <w:rStyle w:val="Hyperlink"/>
              </w:rPr>
              <w:t>Reflection of coaching</w:t>
            </w:r>
            <w:r>
              <w:tab/>
            </w:r>
            <w:r>
              <w:fldChar w:fldCharType="begin"/>
            </w:r>
            <w:r>
              <w:instrText xml:space="preserve">PAGEREF _Toc46238039 \h</w:instrText>
            </w:r>
            <w:r>
              <w:fldChar w:fldCharType="separate"/>
            </w:r>
            <w:r w:rsidRPr="4A1F2B86" w:rsidR="4A1F2B86">
              <w:rPr>
                <w:rStyle w:val="Hyperlink"/>
              </w:rPr>
              <w:t>7</w:t>
            </w:r>
            <w:r>
              <w:fldChar w:fldCharType="end"/>
            </w:r>
          </w:hyperlink>
        </w:p>
        <w:p w:rsidR="2FAF0265" w:rsidP="4A1F2B86" w:rsidRDefault="2FAF0265" w14:paraId="29D81D8B" w14:textId="02696FAD">
          <w:pPr>
            <w:pStyle w:val="TOC1"/>
            <w:keepNext w:val="0"/>
            <w:keepLines w:val="0"/>
            <w:tabs>
              <w:tab w:val="right" w:leader="dot" w:pos="9015"/>
            </w:tabs>
            <w:bidi w:val="0"/>
            <w:rPr>
              <w:rStyle w:val="Hyperlink"/>
            </w:rPr>
          </w:pPr>
          <w:hyperlink w:anchor="_Toc1716766336">
            <w:r w:rsidRPr="4A1F2B86" w:rsidR="4A1F2B86">
              <w:rPr>
                <w:rStyle w:val="Hyperlink"/>
              </w:rPr>
              <w:t>Reflection of practical part 2</w:t>
            </w:r>
            <w:r>
              <w:tab/>
            </w:r>
            <w:r>
              <w:fldChar w:fldCharType="begin"/>
            </w:r>
            <w:r>
              <w:instrText xml:space="preserve">PAGEREF _Toc1716766336 \h</w:instrText>
            </w:r>
            <w:r>
              <w:fldChar w:fldCharType="separate"/>
            </w:r>
            <w:r w:rsidRPr="4A1F2B86" w:rsidR="4A1F2B86">
              <w:rPr>
                <w:rStyle w:val="Hyperlink"/>
              </w:rPr>
              <w:t>8</w:t>
            </w:r>
            <w:r>
              <w:fldChar w:fldCharType="end"/>
            </w:r>
          </w:hyperlink>
        </w:p>
        <w:p w:rsidR="2FAF0265" w:rsidP="4A1F2B86" w:rsidRDefault="2FAF0265" w14:paraId="2F9FCC5C" w14:textId="0CAB377F">
          <w:pPr>
            <w:pStyle w:val="TOC1"/>
            <w:keepNext w:val="0"/>
            <w:keepLines w:val="0"/>
            <w:tabs>
              <w:tab w:val="right" w:leader="dot" w:pos="9015"/>
            </w:tabs>
            <w:bidi w:val="0"/>
            <w:rPr>
              <w:rStyle w:val="Hyperlink"/>
            </w:rPr>
          </w:pPr>
          <w:hyperlink w:anchor="_Toc339586220">
            <w:r w:rsidRPr="4A1F2B86" w:rsidR="4A1F2B86">
              <w:rPr>
                <w:rStyle w:val="Hyperlink"/>
              </w:rPr>
              <w:t>Conclusion</w:t>
            </w:r>
            <w:r>
              <w:tab/>
            </w:r>
            <w:r>
              <w:fldChar w:fldCharType="begin"/>
            </w:r>
            <w:r>
              <w:instrText xml:space="preserve">PAGEREF _Toc339586220 \h</w:instrText>
            </w:r>
            <w:r>
              <w:fldChar w:fldCharType="separate"/>
            </w:r>
            <w:r w:rsidRPr="4A1F2B86" w:rsidR="4A1F2B86">
              <w:rPr>
                <w:rStyle w:val="Hyperlink"/>
              </w:rPr>
              <w:t>11</w:t>
            </w:r>
            <w:r>
              <w:fldChar w:fldCharType="end"/>
            </w:r>
          </w:hyperlink>
        </w:p>
        <w:p w:rsidR="2FAF0265" w:rsidP="4A1F2B86" w:rsidRDefault="2FAF0265" w14:paraId="3E8F764E" w14:textId="1C091AFC">
          <w:pPr>
            <w:pStyle w:val="TOC1"/>
            <w:keepNext w:val="0"/>
            <w:keepLines w:val="0"/>
            <w:tabs>
              <w:tab w:val="right" w:leader="dot" w:pos="9015"/>
            </w:tabs>
            <w:bidi w:val="0"/>
            <w:rPr>
              <w:rStyle w:val="Hyperlink"/>
            </w:rPr>
          </w:pPr>
          <w:hyperlink w:anchor="_Toc76675490">
            <w:r w:rsidRPr="4A1F2B86" w:rsidR="4A1F2B86">
              <w:rPr>
                <w:rStyle w:val="Hyperlink"/>
              </w:rPr>
              <w:t>References</w:t>
            </w:r>
            <w:r>
              <w:tab/>
            </w:r>
            <w:r>
              <w:fldChar w:fldCharType="begin"/>
            </w:r>
            <w:r>
              <w:instrText xml:space="preserve">PAGEREF _Toc76675490 \h</w:instrText>
            </w:r>
            <w:r>
              <w:fldChar w:fldCharType="separate"/>
            </w:r>
            <w:r w:rsidRPr="4A1F2B86" w:rsidR="4A1F2B86">
              <w:rPr>
                <w:rStyle w:val="Hyperlink"/>
              </w:rPr>
              <w:t>12</w:t>
            </w:r>
            <w:r>
              <w:fldChar w:fldCharType="end"/>
            </w:r>
          </w:hyperlink>
          <w:r>
            <w:fldChar w:fldCharType="end"/>
          </w:r>
        </w:p>
      </w:sdtContent>
    </w:sdt>
    <w:p xmlns:wp14="http://schemas.microsoft.com/office/word/2010/wordml" w:rsidP="45BE726F" wp14:paraId="5AB669ED" wp14:textId="57F9DB98">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39D9987A" wp14:textId="2F8A0F85">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xmlns:wp14="http://schemas.microsoft.com/office/word/2010/wordml" w:rsidP="4A1F2B86" wp14:paraId="0B7B2FA1" wp14:textId="16DB215F">
      <w:pPr>
        <w:pStyle w:val="Heading1"/>
        <w:keepNext w:val="0"/>
        <w:keepLines w:val="0"/>
        <w:spacing w:line="360" w:lineRule="auto"/>
        <w:jc w:val="both"/>
        <w:rPr>
          <w:rFonts w:ascii="Arial" w:hAnsi="Arial" w:eastAsia="Arial" w:cs="Arial"/>
          <w:noProof w:val="0"/>
          <w:sz w:val="22"/>
          <w:szCs w:val="22"/>
          <w:lang w:val="en-GB"/>
        </w:rPr>
      </w:pPr>
      <w:bookmarkStart w:name="_Toc1812667426" w:id="945013872"/>
      <w:r w:rsidRPr="4A1F2B86" w:rsidR="48E58729">
        <w:rPr>
          <w:rFonts w:ascii="Arial" w:hAnsi="Arial" w:eastAsia="Arial" w:cs="Arial"/>
          <w:noProof w:val="0"/>
          <w:sz w:val="22"/>
          <w:szCs w:val="22"/>
          <w:lang w:val="en-GB"/>
        </w:rPr>
        <w:t>Introduction</w:t>
      </w:r>
      <w:bookmarkEnd w:id="945013872"/>
    </w:p>
    <w:p xmlns:wp14="http://schemas.microsoft.com/office/word/2010/wordml" w:rsidP="45BE726F" wp14:paraId="2FBE0B02" wp14:textId="6EE59488">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Coaching and mentoring staff in the 21st </w:t>
      </w:r>
      <w:r w:rsidRPr="4A1F2B86" w:rsidR="5335D0B3">
        <w:rPr>
          <w:rFonts w:ascii="Arial" w:hAnsi="Arial" w:eastAsia="Arial" w:cs="Arial"/>
          <w:noProof w:val="0"/>
          <w:sz w:val="22"/>
          <w:szCs w:val="22"/>
          <w:lang w:val="en-GB"/>
        </w:rPr>
        <w:t>century</w:t>
      </w:r>
      <w:r w:rsidRPr="4A1F2B86" w:rsidR="5F464929">
        <w:rPr>
          <w:rFonts w:ascii="Arial" w:hAnsi="Arial" w:eastAsia="Arial" w:cs="Arial"/>
          <w:noProof w:val="0"/>
          <w:sz w:val="22"/>
          <w:szCs w:val="22"/>
          <w:lang w:val="en-GB"/>
        </w:rPr>
        <w:t xml:space="preserve"> is particularly important to employ </w:t>
      </w:r>
      <w:r w:rsidRPr="4A1F2B86" w:rsidR="5F464929">
        <w:rPr>
          <w:rFonts w:ascii="Arial" w:hAnsi="Arial" w:eastAsia="Arial" w:cs="Arial"/>
          <w:noProof w:val="0"/>
          <w:sz w:val="22"/>
          <w:szCs w:val="22"/>
          <w:lang w:val="en-GB"/>
        </w:rPr>
        <w:t>optimum</w:t>
      </w:r>
      <w:r w:rsidRPr="4A1F2B86" w:rsidR="5F464929">
        <w:rPr>
          <w:rFonts w:ascii="Arial" w:hAnsi="Arial" w:eastAsia="Arial" w:cs="Arial"/>
          <w:noProof w:val="0"/>
          <w:sz w:val="22"/>
          <w:szCs w:val="22"/>
          <w:lang w:val="en-GB"/>
        </w:rPr>
        <w:t xml:space="preserve"> productivity and employee retention.</w:t>
      </w:r>
      <w:r w:rsidRPr="4A1F2B86" w:rsidR="5F464929">
        <w:rPr>
          <w:rFonts w:ascii="Arial" w:hAnsi="Arial" w:eastAsia="Arial" w:cs="Arial"/>
          <w:noProof w:val="0"/>
          <w:sz w:val="22"/>
          <w:szCs w:val="22"/>
          <w:lang w:val="en-GB"/>
        </w:rPr>
        <w:t xml:space="preserve"> Coaching, as defined by Whitmore (2009), involves a process where a coach helps the </w:t>
      </w:r>
      <w:r w:rsidRPr="4A1F2B86" w:rsidR="5F464929">
        <w:rPr>
          <w:rFonts w:ascii="Arial" w:hAnsi="Arial" w:eastAsia="Arial" w:cs="Arial"/>
          <w:noProof w:val="0"/>
          <w:sz w:val="22"/>
          <w:szCs w:val="22"/>
          <w:lang w:val="en-GB"/>
        </w:rPr>
        <w:t>coachee</w:t>
      </w:r>
      <w:r w:rsidRPr="4A1F2B86" w:rsidR="5F464929">
        <w:rPr>
          <w:rFonts w:ascii="Arial" w:hAnsi="Arial" w:eastAsia="Arial" w:cs="Arial"/>
          <w:noProof w:val="0"/>
          <w:sz w:val="22"/>
          <w:szCs w:val="22"/>
          <w:lang w:val="en-GB"/>
        </w:rPr>
        <w:t xml:space="preserve"> </w:t>
      </w:r>
      <w:r w:rsidRPr="4A1F2B86" w:rsidR="5F464929">
        <w:rPr>
          <w:rFonts w:ascii="Arial" w:hAnsi="Arial" w:eastAsia="Arial" w:cs="Arial"/>
          <w:noProof w:val="0"/>
          <w:sz w:val="22"/>
          <w:szCs w:val="22"/>
          <w:lang w:val="en-GB"/>
        </w:rPr>
        <w:t>identify</w:t>
      </w:r>
      <w:r w:rsidRPr="4A1F2B86" w:rsidR="5F464929">
        <w:rPr>
          <w:rFonts w:ascii="Arial" w:hAnsi="Arial" w:eastAsia="Arial" w:cs="Arial"/>
          <w:noProof w:val="0"/>
          <w:sz w:val="22"/>
          <w:szCs w:val="22"/>
          <w:lang w:val="en-GB"/>
        </w:rPr>
        <w:t xml:space="preserve"> and achieve their own goals through self-reflection, questions, and a collaborative relationship. In contrast, mentoring often includes a more experienced individual guiding and </w:t>
      </w:r>
      <w:r w:rsidRPr="4A1F2B86" w:rsidR="5F464929">
        <w:rPr>
          <w:rFonts w:ascii="Arial" w:hAnsi="Arial" w:eastAsia="Arial" w:cs="Arial"/>
          <w:noProof w:val="0"/>
          <w:sz w:val="22"/>
          <w:szCs w:val="22"/>
          <w:lang w:val="en-GB"/>
        </w:rPr>
        <w:t>advising</w:t>
      </w:r>
      <w:r w:rsidRPr="4A1F2B86" w:rsidR="5F464929">
        <w:rPr>
          <w:rFonts w:ascii="Arial" w:hAnsi="Arial" w:eastAsia="Arial" w:cs="Arial"/>
          <w:noProof w:val="0"/>
          <w:sz w:val="22"/>
          <w:szCs w:val="22"/>
          <w:lang w:val="en-GB"/>
        </w:rPr>
        <w:t xml:space="preserve"> a less experienced mentee, typically in a more directive manner (Heppner, 2017; Torbjørn Waaland, 2023). While both practices aim to develop individuals, coaching focuses on empowering clients to solve their own problems, while mentoring provides direct advice and guidance from the mentor's experience.</w:t>
      </w:r>
    </w:p>
    <w:p xmlns:wp14="http://schemas.microsoft.com/office/word/2010/wordml" w:rsidP="45BE726F" wp14:paraId="38EBC433" wp14:textId="119CC1CB">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This report explores the concepts of coaching and mentoring, </w:t>
      </w:r>
      <w:r w:rsidRPr="4A1F2B86" w:rsidR="5F464929">
        <w:rPr>
          <w:rFonts w:ascii="Arial" w:hAnsi="Arial" w:eastAsia="Arial" w:cs="Arial"/>
          <w:noProof w:val="0"/>
          <w:sz w:val="22"/>
          <w:szCs w:val="22"/>
          <w:lang w:val="en-GB"/>
        </w:rPr>
        <w:t>comparing</w:t>
      </w:r>
      <w:r w:rsidRPr="4A1F2B86" w:rsidR="5F464929">
        <w:rPr>
          <w:rFonts w:ascii="Arial" w:hAnsi="Arial" w:eastAsia="Arial" w:cs="Arial"/>
          <w:noProof w:val="0"/>
          <w:sz w:val="22"/>
          <w:szCs w:val="22"/>
          <w:lang w:val="en-GB"/>
        </w:rPr>
        <w:t xml:space="preserve"> and contrasting the two practices while examining their roles in personal and professional development. The report will reflect on the characteristics, skills, and approaches that define an effective coach or mentor.</w:t>
      </w:r>
    </w:p>
    <w:p xmlns:wp14="http://schemas.microsoft.com/office/word/2010/wordml" w:rsidP="45BE726F" wp14:paraId="1F8EBADA" wp14:textId="7A892CC3">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The key attributes of an effective coach include empathy, active listening, emotional intelligence, and the ability to ask powerful questions that provoke self-reflection (</w:t>
      </w:r>
      <w:r w:rsidRPr="4A1F2B86" w:rsidR="552376B0">
        <w:rPr>
          <w:rFonts w:ascii="Arial" w:hAnsi="Arial" w:eastAsia="Arial" w:cs="Arial"/>
          <w:noProof w:val="0"/>
          <w:sz w:val="22"/>
          <w:szCs w:val="22"/>
          <w:lang w:val="en-GB"/>
        </w:rPr>
        <w:t xml:space="preserve">Batson and Yoder, 2012; </w:t>
      </w:r>
      <w:r w:rsidRPr="4A1F2B86" w:rsidR="5F464929">
        <w:rPr>
          <w:rFonts w:ascii="Arial" w:hAnsi="Arial" w:eastAsia="Arial" w:cs="Arial"/>
          <w:noProof w:val="0"/>
          <w:sz w:val="22"/>
          <w:szCs w:val="22"/>
          <w:lang w:val="en-GB"/>
        </w:rPr>
        <w:t>Panchal, and Riddell, 2020). A coach should also be skilled in creating a safe and supportive environment that fosters trust and growth</w:t>
      </w:r>
      <w:r w:rsidRPr="4A1F2B86" w:rsidR="41AE2DA0">
        <w:rPr>
          <w:rFonts w:ascii="Arial" w:hAnsi="Arial" w:eastAsia="Arial" w:cs="Arial"/>
          <w:noProof w:val="0"/>
          <w:sz w:val="22"/>
          <w:szCs w:val="22"/>
          <w:lang w:val="en-GB"/>
        </w:rPr>
        <w:t xml:space="preserve"> (Park, McLean, &amp; Yang, 2021; Whitmore, 2009</w:t>
      </w:r>
      <w:r w:rsidRPr="4A1F2B86" w:rsidR="6871289A">
        <w:rPr>
          <w:rFonts w:ascii="Arial" w:hAnsi="Arial" w:eastAsia="Arial" w:cs="Arial"/>
          <w:noProof w:val="0"/>
          <w:sz w:val="22"/>
          <w:szCs w:val="22"/>
          <w:lang w:val="en-GB"/>
        </w:rPr>
        <w:t>)</w:t>
      </w:r>
    </w:p>
    <w:p xmlns:wp14="http://schemas.microsoft.com/office/word/2010/wordml" w:rsidP="45BE726F" wp14:paraId="21019AC9" wp14:textId="3CA17C83">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This report will adopt Driscoll's 'What' model of reflection (2007), which </w:t>
      </w:r>
      <w:r w:rsidRPr="4A1F2B86" w:rsidR="5F464929">
        <w:rPr>
          <w:rFonts w:ascii="Arial" w:hAnsi="Arial" w:eastAsia="Arial" w:cs="Arial"/>
          <w:noProof w:val="0"/>
          <w:sz w:val="22"/>
          <w:szCs w:val="22"/>
          <w:lang w:val="en-GB"/>
        </w:rPr>
        <w:t>facilitates</w:t>
      </w:r>
      <w:r w:rsidRPr="4A1F2B86" w:rsidR="5F464929">
        <w:rPr>
          <w:rFonts w:ascii="Arial" w:hAnsi="Arial" w:eastAsia="Arial" w:cs="Arial"/>
          <w:noProof w:val="0"/>
          <w:sz w:val="22"/>
          <w:szCs w:val="22"/>
          <w:lang w:val="en-GB"/>
        </w:rPr>
        <w:t xml:space="preserve"> critical reflection through a structured approach. The model consists of three stages: 'What' describes the event in detail, 'So What' provides an in-depth analysis of the event, and 'What Now' outlines the steps for improvement and future action. The report will also discuss various coaching models, such as the GROW model (Whitmore, 2009), and theories that inform coaching practice, providing a comprehensive understanding of the skills and knowledge </w:t>
      </w:r>
      <w:r w:rsidRPr="4A1F2B86" w:rsidR="5F464929">
        <w:rPr>
          <w:rFonts w:ascii="Arial" w:hAnsi="Arial" w:eastAsia="Arial" w:cs="Arial"/>
          <w:noProof w:val="0"/>
          <w:sz w:val="22"/>
          <w:szCs w:val="22"/>
          <w:lang w:val="en-GB"/>
        </w:rPr>
        <w:t>required</w:t>
      </w:r>
      <w:r w:rsidRPr="4A1F2B86" w:rsidR="5F464929">
        <w:rPr>
          <w:rFonts w:ascii="Arial" w:hAnsi="Arial" w:eastAsia="Arial" w:cs="Arial"/>
          <w:noProof w:val="0"/>
          <w:sz w:val="22"/>
          <w:szCs w:val="22"/>
          <w:lang w:val="en-GB"/>
        </w:rPr>
        <w:t xml:space="preserve"> for effective coaching and mentoring.</w:t>
      </w:r>
    </w:p>
    <w:p xmlns:wp14="http://schemas.microsoft.com/office/word/2010/wordml" w:rsidP="45BE726F" wp14:paraId="4C2492D9" wp14:textId="3215A340">
      <w:pPr>
        <w:pStyle w:val="Normal"/>
        <w:keepNext w:val="0"/>
        <w:keepLines w:val="0"/>
        <w:spacing w:line="360" w:lineRule="auto"/>
        <w:jc w:val="both"/>
        <w:rPr>
          <w:rFonts w:ascii="Arial" w:hAnsi="Arial" w:eastAsia="Arial" w:cs="Arial"/>
          <w:noProof w:val="0"/>
          <w:sz w:val="22"/>
          <w:szCs w:val="22"/>
          <w:lang w:val="en-GB"/>
        </w:rPr>
      </w:pPr>
    </w:p>
    <w:p w:rsidR="62A9A2FA" w:rsidP="45BE726F" w:rsidRDefault="62A9A2FA" w14:paraId="7B29DD05" w14:textId="7377A2A1">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29CF7449" wp14:textId="7FED3EF8">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0161B7A9" wp14:textId="0B51FAF6">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3AC743D3" wp14:textId="1072D820">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5A6DDE52" wp14:textId="1439F8F1">
      <w:pPr>
        <w:pStyle w:val="Heading1"/>
        <w:keepNext w:val="0"/>
        <w:keepLines w:val="0"/>
        <w:spacing w:line="360" w:lineRule="auto"/>
        <w:jc w:val="both"/>
        <w:rPr>
          <w:rFonts w:ascii="Arial" w:hAnsi="Arial" w:eastAsia="Arial" w:cs="Arial"/>
          <w:noProof w:val="0"/>
          <w:sz w:val="22"/>
          <w:szCs w:val="22"/>
          <w:lang w:val="en-GB"/>
        </w:rPr>
      </w:pPr>
      <w:bookmarkStart w:name="_Toc2034566746" w:id="1312246558"/>
      <w:r w:rsidRPr="4A1F2B86" w:rsidR="6AA9F082">
        <w:rPr>
          <w:rFonts w:ascii="Arial" w:hAnsi="Arial" w:eastAsia="Arial" w:cs="Arial"/>
          <w:noProof w:val="0"/>
          <w:sz w:val="22"/>
          <w:szCs w:val="22"/>
          <w:lang w:val="en-GB"/>
        </w:rPr>
        <w:t>Evaluation of coaching and mentoring</w:t>
      </w:r>
      <w:bookmarkEnd w:id="1312246558"/>
    </w:p>
    <w:p xmlns:wp14="http://schemas.microsoft.com/office/word/2010/wordml" w:rsidP="45BE726F" wp14:paraId="0F55BD64" wp14:textId="31177C21">
      <w:pPr>
        <w:pStyle w:val="Normal"/>
        <w:keepNext w:val="0"/>
        <w:keepLines w:val="0"/>
        <w:spacing w:line="360" w:lineRule="auto"/>
        <w:jc w:val="both"/>
        <w:rPr>
          <w:rFonts w:ascii="Arial" w:hAnsi="Arial" w:eastAsia="Arial" w:cs="Arial"/>
          <w:noProof w:val="0"/>
          <w:sz w:val="22"/>
          <w:szCs w:val="22"/>
          <w:lang w:val="en-GB"/>
        </w:rPr>
      </w:pPr>
      <w:r w:rsidRPr="4A1F2B86" w:rsidR="223D01B7">
        <w:rPr>
          <w:rFonts w:ascii="Arial" w:hAnsi="Arial" w:eastAsia="Arial" w:cs="Arial"/>
          <w:noProof w:val="0"/>
          <w:sz w:val="22"/>
          <w:szCs w:val="22"/>
          <w:lang w:val="en-GB"/>
        </w:rPr>
        <w:t>As businesses continue to evolve, leaders and managers are increasingly expected to take on development-oriented roles.</w:t>
      </w:r>
      <w:r w:rsidRPr="4A1F2B86" w:rsidR="223D01B7">
        <w:rPr>
          <w:rFonts w:ascii="Arial" w:hAnsi="Arial" w:eastAsia="Arial" w:cs="Arial"/>
          <w:noProof w:val="0"/>
          <w:sz w:val="22"/>
          <w:szCs w:val="22"/>
          <w:lang w:val="en-GB"/>
        </w:rPr>
        <w:t xml:space="preserve"> In this shift, coaching has become a vital tool for enhancing employee growth and performance (Park, McLean, &amp; Yang, 2021). Coaching focuses on improving performance through structured guidance, goal setting, and ongoing feedback. It involves </w:t>
      </w:r>
      <w:r w:rsidRPr="4A1F2B86" w:rsidR="223D01B7">
        <w:rPr>
          <w:rFonts w:ascii="Arial" w:hAnsi="Arial" w:eastAsia="Arial" w:cs="Arial"/>
          <w:noProof w:val="0"/>
          <w:sz w:val="22"/>
          <w:szCs w:val="22"/>
          <w:lang w:val="en-GB"/>
        </w:rPr>
        <w:t>identifying</w:t>
      </w:r>
      <w:r w:rsidRPr="4A1F2B86" w:rsidR="223D01B7">
        <w:rPr>
          <w:rFonts w:ascii="Arial" w:hAnsi="Arial" w:eastAsia="Arial" w:cs="Arial"/>
          <w:noProof w:val="0"/>
          <w:sz w:val="22"/>
          <w:szCs w:val="22"/>
          <w:lang w:val="en-GB"/>
        </w:rPr>
        <w:t xml:space="preserve"> specific skill areas, setting short-term </w:t>
      </w:r>
      <w:r w:rsidRPr="4A1F2B86" w:rsidR="223D01B7">
        <w:rPr>
          <w:rFonts w:ascii="Arial" w:hAnsi="Arial" w:eastAsia="Arial" w:cs="Arial"/>
          <w:noProof w:val="0"/>
          <w:sz w:val="22"/>
          <w:szCs w:val="22"/>
          <w:lang w:val="en-GB"/>
        </w:rPr>
        <w:t>objectives</w:t>
      </w:r>
      <w:r w:rsidRPr="4A1F2B86" w:rsidR="223D01B7">
        <w:rPr>
          <w:rFonts w:ascii="Arial" w:hAnsi="Arial" w:eastAsia="Arial" w:cs="Arial"/>
          <w:noProof w:val="0"/>
          <w:sz w:val="22"/>
          <w:szCs w:val="22"/>
          <w:lang w:val="en-GB"/>
        </w:rPr>
        <w:t>, and regularly assessing progress to refine and enhance abilities. By fostering a supportive environment, coaching helps employees develop their potential, increase</w:t>
      </w:r>
      <w:r w:rsidRPr="4A1F2B86" w:rsidR="223D01B7">
        <w:rPr>
          <w:rFonts w:ascii="Arial" w:hAnsi="Arial" w:eastAsia="Arial" w:cs="Arial"/>
          <w:noProof w:val="0"/>
          <w:sz w:val="22"/>
          <w:szCs w:val="22"/>
          <w:lang w:val="en-GB"/>
        </w:rPr>
        <w:t xml:space="preserve"> productivity, and contribute more effectively to organizational success (Park, McLean, &amp; Yang, 2021; Batson and Yoder, 2012). This approach strengthens leadership, promotes continuous learning, and drives overall workplace improvement.</w:t>
      </w:r>
    </w:p>
    <w:p xmlns:wp14="http://schemas.microsoft.com/office/word/2010/wordml" w:rsidP="45BE726F" wp14:paraId="2E048309" wp14:textId="7546EF31">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 xml:space="preserve"> </w:t>
      </w:r>
    </w:p>
    <w:p xmlns:wp14="http://schemas.microsoft.com/office/word/2010/wordml" w:rsidP="45BE726F" wp14:paraId="338BCC88" wp14:textId="0EC91245">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Mentoring is a long-term process focused on nurturing an individual’s potential through guidance, support, and shared experience.</w:t>
      </w:r>
      <w:r w:rsidRPr="4A1F2B86" w:rsidR="6AA4A742">
        <w:rPr>
          <w:rFonts w:ascii="Arial" w:hAnsi="Arial" w:eastAsia="Arial" w:cs="Arial"/>
          <w:noProof w:val="0"/>
          <w:sz w:val="22"/>
          <w:szCs w:val="22"/>
          <w:lang w:val="en-GB"/>
        </w:rPr>
        <w:t xml:space="preserve"> A mentor </w:t>
      </w:r>
      <w:r w:rsidRPr="4A1F2B86" w:rsidR="6AA4A742">
        <w:rPr>
          <w:rFonts w:ascii="Arial" w:hAnsi="Arial" w:eastAsia="Arial" w:cs="Arial"/>
          <w:noProof w:val="0"/>
          <w:sz w:val="22"/>
          <w:szCs w:val="22"/>
          <w:lang w:val="en-GB"/>
        </w:rPr>
        <w:t>provides</w:t>
      </w:r>
      <w:r w:rsidRPr="4A1F2B86" w:rsidR="6AA4A742">
        <w:rPr>
          <w:rFonts w:ascii="Arial" w:hAnsi="Arial" w:eastAsia="Arial" w:cs="Arial"/>
          <w:noProof w:val="0"/>
          <w:sz w:val="22"/>
          <w:szCs w:val="22"/>
          <w:lang w:val="en-GB"/>
        </w:rPr>
        <w:t xml:space="preserve"> valuable insights based on their own knowledge to help the mentee excel in their role. Beyond offering advice, mentors play a strategic role in developing innovative teaching and instructional structures that create real-world learning experiences. These experiences help mentees build cultural awareness, knowledge, and skills, enabling them to positively </w:t>
      </w:r>
      <w:r w:rsidRPr="4A1F2B86" w:rsidR="6AA4A742">
        <w:rPr>
          <w:rFonts w:ascii="Arial" w:hAnsi="Arial" w:eastAsia="Arial" w:cs="Arial"/>
          <w:noProof w:val="0"/>
          <w:sz w:val="22"/>
          <w:szCs w:val="22"/>
          <w:lang w:val="en-GB"/>
        </w:rPr>
        <w:t>impact</w:t>
      </w:r>
      <w:r w:rsidRPr="4A1F2B86" w:rsidR="6AA4A742">
        <w:rPr>
          <w:rFonts w:ascii="Arial" w:hAnsi="Arial" w:eastAsia="Arial" w:cs="Arial"/>
          <w:noProof w:val="0"/>
          <w:sz w:val="22"/>
          <w:szCs w:val="22"/>
          <w:lang w:val="en-GB"/>
        </w:rPr>
        <w:t xml:space="preserve"> diverse populations, including children, college students, and community members. Through mentorship, individuals gain the tools needed for personal and professional growth, fostering meaningful contributions to society (Heppner, 2017; Torbjørn Waaland, 2023).</w:t>
      </w:r>
    </w:p>
    <w:p w:rsidR="64B6623C" w:rsidP="64B6623C" w:rsidRDefault="64B6623C" w14:paraId="0D40F49B" w14:textId="631F622C">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tbl>
      <w:tblPr>
        <w:tblStyle w:val="TableGrid"/>
        <w:tblW w:w="0" w:type="auto"/>
        <w:tblLayout w:type="fixed"/>
        <w:tblLook w:val="06A0" w:firstRow="1" w:lastRow="0" w:firstColumn="1" w:lastColumn="0" w:noHBand="1" w:noVBand="1"/>
      </w:tblPr>
      <w:tblGrid>
        <w:gridCol w:w="1440"/>
        <w:gridCol w:w="3615"/>
        <w:gridCol w:w="3960"/>
      </w:tblGrid>
      <w:tr w:rsidR="64B6623C" w:rsidTr="4A1F2B86" w14:paraId="3B4866E1">
        <w:trPr>
          <w:trHeight w:val="300"/>
        </w:trPr>
        <w:tc>
          <w:tcPr>
            <w:tcW w:w="1440" w:type="dxa"/>
            <w:shd w:val="clear" w:color="auto" w:fill="DAE9F7" w:themeFill="text2" w:themeFillTint="1A"/>
            <w:tcMar/>
            <w:vAlign w:val="top"/>
          </w:tcPr>
          <w:p w:rsidR="2A23B1DD" w:rsidP="4A1F2B86" w:rsidRDefault="2A23B1DD" w14:paraId="0F3BC404" w14:textId="3F0E57E3">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Aspect</w:t>
            </w:r>
          </w:p>
        </w:tc>
        <w:tc>
          <w:tcPr>
            <w:tcW w:w="3615" w:type="dxa"/>
            <w:shd w:val="clear" w:color="auto" w:fill="DAE9F7" w:themeFill="text2" w:themeFillTint="1A"/>
            <w:tcMar/>
            <w:vAlign w:val="top"/>
          </w:tcPr>
          <w:p w:rsidR="2A23B1DD" w:rsidP="4A1F2B86" w:rsidRDefault="2A23B1DD" w14:paraId="03391C31" w14:textId="0B8DF3CF">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Coaching</w:t>
            </w:r>
          </w:p>
        </w:tc>
        <w:tc>
          <w:tcPr>
            <w:tcW w:w="3960" w:type="dxa"/>
            <w:shd w:val="clear" w:color="auto" w:fill="DAE9F7" w:themeFill="text2" w:themeFillTint="1A"/>
            <w:tcMar/>
            <w:vAlign w:val="top"/>
          </w:tcPr>
          <w:p w:rsidR="2A23B1DD" w:rsidP="4A1F2B86" w:rsidRDefault="2A23B1DD" w14:paraId="7B55416F" w14:textId="3DA6902A">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Mentoring</w:t>
            </w:r>
          </w:p>
        </w:tc>
      </w:tr>
      <w:tr w:rsidR="64B6623C" w:rsidTr="4A1F2B86" w14:paraId="54F8ABC5">
        <w:trPr>
          <w:trHeight w:val="300"/>
        </w:trPr>
        <w:tc>
          <w:tcPr>
            <w:tcW w:w="1440" w:type="dxa"/>
            <w:tcMar/>
          </w:tcPr>
          <w:p w:rsidR="2A23B1DD" w:rsidP="4A1F2B86" w:rsidRDefault="2A23B1DD" w14:paraId="33798B87" w14:textId="3964DB2D">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Definition</w:t>
            </w:r>
          </w:p>
        </w:tc>
        <w:tc>
          <w:tcPr>
            <w:tcW w:w="3615" w:type="dxa"/>
            <w:tcMar/>
          </w:tcPr>
          <w:p w:rsidR="4A7956F5" w:rsidP="4A1F2B86" w:rsidRDefault="4A7956F5" w14:paraId="0B468D87" w14:textId="08CBBEEF">
            <w:pPr>
              <w:pStyle w:val="Normal"/>
              <w:spacing w:line="360" w:lineRule="auto"/>
              <w:jc w:val="both"/>
              <w:rPr>
                <w:rFonts w:ascii="Arial" w:hAnsi="Arial" w:eastAsia="Arial" w:cs="Arial"/>
                <w:noProof w:val="0"/>
                <w:sz w:val="22"/>
                <w:szCs w:val="22"/>
                <w:lang w:val="en-GB"/>
              </w:rPr>
            </w:pPr>
            <w:r w:rsidRPr="4A1F2B86" w:rsidR="4DB7A7D4">
              <w:rPr>
                <w:rFonts w:ascii="Arial" w:hAnsi="Arial" w:eastAsia="Arial" w:cs="Arial"/>
                <w:noProof w:val="0"/>
                <w:sz w:val="22"/>
                <w:szCs w:val="22"/>
                <w:lang w:val="en-GB"/>
              </w:rPr>
              <w:t>A systematic approach focused on developing skills and achieving goals</w:t>
            </w:r>
          </w:p>
        </w:tc>
        <w:tc>
          <w:tcPr>
            <w:tcW w:w="3960" w:type="dxa"/>
            <w:tcMar/>
          </w:tcPr>
          <w:p w:rsidR="6883360C" w:rsidP="4A1F2B86" w:rsidRDefault="6883360C" w14:paraId="4F0447EE" w14:textId="3A9B647E">
            <w:pPr>
              <w:pStyle w:val="Normal"/>
              <w:spacing w:line="360" w:lineRule="auto"/>
              <w:jc w:val="both"/>
              <w:rPr>
                <w:rFonts w:ascii="Arial" w:hAnsi="Arial" w:eastAsia="Arial" w:cs="Arial"/>
                <w:noProof w:val="0"/>
                <w:sz w:val="22"/>
                <w:szCs w:val="22"/>
                <w:lang w:val="en-GB"/>
              </w:rPr>
            </w:pPr>
            <w:r w:rsidRPr="4A1F2B86" w:rsidR="46BC013F">
              <w:rPr>
                <w:rFonts w:ascii="Arial" w:hAnsi="Arial" w:eastAsia="Arial" w:cs="Arial"/>
                <w:noProof w:val="0"/>
                <w:sz w:val="22"/>
                <w:szCs w:val="22"/>
                <w:lang w:val="en-GB"/>
              </w:rPr>
              <w:t>A long-term relationship focusing on advancing personal and professional growth.</w:t>
            </w:r>
          </w:p>
        </w:tc>
      </w:tr>
      <w:tr w:rsidR="64B6623C" w:rsidTr="4A1F2B86" w14:paraId="7EC59F22">
        <w:trPr>
          <w:trHeight w:val="300"/>
        </w:trPr>
        <w:tc>
          <w:tcPr>
            <w:tcW w:w="1440" w:type="dxa"/>
            <w:tcMar/>
          </w:tcPr>
          <w:p w:rsidR="35571F9A" w:rsidP="4A1F2B86" w:rsidRDefault="35571F9A" w14:paraId="162E48A5" w14:textId="54112ED4">
            <w:pPr>
              <w:pStyle w:val="Normal"/>
              <w:spacing w:line="360" w:lineRule="auto"/>
              <w:jc w:val="both"/>
              <w:rPr>
                <w:rFonts w:ascii="Arial" w:hAnsi="Arial" w:eastAsia="Arial" w:cs="Arial"/>
                <w:noProof w:val="0"/>
                <w:sz w:val="22"/>
                <w:szCs w:val="22"/>
                <w:lang w:val="en-GB"/>
              </w:rPr>
            </w:pPr>
            <w:r w:rsidRPr="4A1F2B86" w:rsidR="25C6A7E7">
              <w:rPr>
                <w:rFonts w:ascii="Arial" w:hAnsi="Arial" w:eastAsia="Arial" w:cs="Arial"/>
                <w:noProof w:val="0"/>
                <w:sz w:val="22"/>
                <w:szCs w:val="22"/>
                <w:lang w:val="en-GB"/>
              </w:rPr>
              <w:t xml:space="preserve">Focus </w:t>
            </w:r>
          </w:p>
        </w:tc>
        <w:tc>
          <w:tcPr>
            <w:tcW w:w="3615" w:type="dxa"/>
            <w:tcMar/>
          </w:tcPr>
          <w:p w:rsidR="35571F9A" w:rsidP="4A1F2B86" w:rsidRDefault="35571F9A" w14:paraId="7E39C14E" w14:textId="1AB4D69F">
            <w:pPr>
              <w:pStyle w:val="Normal"/>
              <w:spacing w:line="360" w:lineRule="auto"/>
              <w:jc w:val="both"/>
              <w:rPr>
                <w:rFonts w:ascii="Arial" w:hAnsi="Arial" w:eastAsia="Arial" w:cs="Arial"/>
                <w:noProof w:val="0"/>
                <w:sz w:val="22"/>
                <w:szCs w:val="22"/>
                <w:lang w:val="en-GB"/>
              </w:rPr>
            </w:pPr>
            <w:r w:rsidRPr="4A1F2B86" w:rsidR="25C6A7E7">
              <w:rPr>
                <w:rFonts w:ascii="Arial" w:hAnsi="Arial" w:eastAsia="Arial" w:cs="Arial"/>
                <w:noProof w:val="0"/>
                <w:sz w:val="22"/>
                <w:szCs w:val="22"/>
                <w:lang w:val="en-GB"/>
              </w:rPr>
              <w:t xml:space="preserve">Developing skills, achieving </w:t>
            </w:r>
            <w:r w:rsidRPr="4A1F2B86" w:rsidR="25C6A7E7">
              <w:rPr>
                <w:rFonts w:ascii="Arial" w:hAnsi="Arial" w:eastAsia="Arial" w:cs="Arial"/>
                <w:noProof w:val="0"/>
                <w:sz w:val="22"/>
                <w:szCs w:val="22"/>
                <w:lang w:val="en-GB"/>
              </w:rPr>
              <w:t>goals</w:t>
            </w:r>
            <w:r w:rsidRPr="4A1F2B86" w:rsidR="25C6A7E7">
              <w:rPr>
                <w:rFonts w:ascii="Arial" w:hAnsi="Arial" w:eastAsia="Arial" w:cs="Arial"/>
                <w:noProof w:val="0"/>
                <w:sz w:val="22"/>
                <w:szCs w:val="22"/>
                <w:lang w:val="en-GB"/>
              </w:rPr>
              <w:t xml:space="preserve"> </w:t>
            </w:r>
            <w:r w:rsidRPr="4A1F2B86" w:rsidR="7466515D">
              <w:rPr>
                <w:rFonts w:ascii="Arial" w:hAnsi="Arial" w:eastAsia="Arial" w:cs="Arial"/>
                <w:noProof w:val="0"/>
                <w:sz w:val="22"/>
                <w:szCs w:val="22"/>
                <w:lang w:val="en-GB"/>
              </w:rPr>
              <w:t>and improving performance</w:t>
            </w:r>
            <w:r w:rsidRPr="4A1F2B86" w:rsidR="25C6A7E7">
              <w:rPr>
                <w:rFonts w:ascii="Arial" w:hAnsi="Arial" w:eastAsia="Arial" w:cs="Arial"/>
                <w:noProof w:val="0"/>
                <w:sz w:val="22"/>
                <w:szCs w:val="22"/>
                <w:lang w:val="en-GB"/>
              </w:rPr>
              <w:t xml:space="preserve"> </w:t>
            </w:r>
          </w:p>
        </w:tc>
        <w:tc>
          <w:tcPr>
            <w:tcW w:w="3960" w:type="dxa"/>
            <w:tcMar/>
          </w:tcPr>
          <w:p w:rsidR="5230B7EB" w:rsidP="4A1F2B86" w:rsidRDefault="5230B7EB" w14:paraId="630D9816" w14:textId="5B6A15F5">
            <w:pPr>
              <w:pStyle w:val="Normal"/>
              <w:spacing w:line="360" w:lineRule="auto"/>
              <w:jc w:val="both"/>
              <w:rPr>
                <w:rFonts w:ascii="Arial" w:hAnsi="Arial" w:eastAsia="Arial" w:cs="Arial"/>
                <w:noProof w:val="0"/>
                <w:sz w:val="22"/>
                <w:szCs w:val="22"/>
                <w:lang w:val="en-GB"/>
              </w:rPr>
            </w:pPr>
            <w:r w:rsidRPr="4A1F2B86" w:rsidR="01D77173">
              <w:rPr>
                <w:rFonts w:ascii="Arial" w:hAnsi="Arial" w:eastAsia="Arial" w:cs="Arial"/>
                <w:noProof w:val="0"/>
                <w:sz w:val="22"/>
                <w:szCs w:val="22"/>
                <w:lang w:val="en-GB"/>
              </w:rPr>
              <w:t>Guiding career advancement and personal growth</w:t>
            </w:r>
          </w:p>
        </w:tc>
      </w:tr>
      <w:tr w:rsidR="64B6623C" w:rsidTr="4A1F2B86" w14:paraId="4624B3D8">
        <w:trPr>
          <w:trHeight w:val="300"/>
        </w:trPr>
        <w:tc>
          <w:tcPr>
            <w:tcW w:w="1440" w:type="dxa"/>
            <w:tcMar/>
          </w:tcPr>
          <w:p w:rsidR="562060DF" w:rsidP="4A1F2B86" w:rsidRDefault="562060DF" w14:paraId="100E351B" w14:textId="4975E0B4">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Duration</w:t>
            </w:r>
          </w:p>
        </w:tc>
        <w:tc>
          <w:tcPr>
            <w:tcW w:w="3615" w:type="dxa"/>
            <w:tcMar/>
          </w:tcPr>
          <w:p w:rsidR="562060DF" w:rsidP="4A1F2B86" w:rsidRDefault="562060DF" w14:paraId="43425760" w14:textId="25259FE0">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Short term or for defined periods</w:t>
            </w:r>
          </w:p>
        </w:tc>
        <w:tc>
          <w:tcPr>
            <w:tcW w:w="3960" w:type="dxa"/>
            <w:tcMar/>
          </w:tcPr>
          <w:p w:rsidR="562060DF" w:rsidP="4A1F2B86" w:rsidRDefault="562060DF" w14:paraId="57C1D309" w14:textId="57DF738E">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Long term</w:t>
            </w:r>
            <w:r w:rsidRPr="4A1F2B86" w:rsidR="39C08682">
              <w:rPr>
                <w:rFonts w:ascii="Arial" w:hAnsi="Arial" w:eastAsia="Arial" w:cs="Arial"/>
                <w:noProof w:val="0"/>
                <w:sz w:val="22"/>
                <w:szCs w:val="22"/>
                <w:lang w:val="en-GB"/>
              </w:rPr>
              <w:t xml:space="preserve"> relationship spanning over years</w:t>
            </w:r>
          </w:p>
        </w:tc>
      </w:tr>
      <w:tr w:rsidR="64B6623C" w:rsidTr="4A1F2B86" w14:paraId="4B16F7E8">
        <w:trPr>
          <w:trHeight w:val="300"/>
        </w:trPr>
        <w:tc>
          <w:tcPr>
            <w:tcW w:w="1440" w:type="dxa"/>
            <w:tcMar/>
          </w:tcPr>
          <w:p w:rsidR="6F90CDA9" w:rsidP="4A1F2B86" w:rsidRDefault="6F90CDA9" w14:paraId="1937A01C" w14:textId="5E82E0C2">
            <w:pPr>
              <w:pStyle w:val="Normal"/>
              <w:spacing w:line="360" w:lineRule="auto"/>
              <w:jc w:val="both"/>
              <w:rPr>
                <w:rFonts w:ascii="Arial" w:hAnsi="Arial" w:eastAsia="Arial" w:cs="Arial"/>
                <w:noProof w:val="0"/>
                <w:sz w:val="22"/>
                <w:szCs w:val="22"/>
                <w:lang w:val="en-GB"/>
              </w:rPr>
            </w:pPr>
            <w:r w:rsidRPr="4A1F2B86" w:rsidR="1AA29919">
              <w:rPr>
                <w:rFonts w:ascii="Arial" w:hAnsi="Arial" w:eastAsia="Arial" w:cs="Arial"/>
                <w:noProof w:val="0"/>
                <w:sz w:val="22"/>
                <w:szCs w:val="22"/>
                <w:lang w:val="en-GB"/>
              </w:rPr>
              <w:t>Approach</w:t>
            </w:r>
          </w:p>
        </w:tc>
        <w:tc>
          <w:tcPr>
            <w:tcW w:w="3615" w:type="dxa"/>
            <w:tcMar/>
          </w:tcPr>
          <w:p w:rsidR="6F90CDA9" w:rsidP="4A1F2B86" w:rsidRDefault="6F90CDA9" w14:paraId="6BB38D4A" w14:textId="69A2C028">
            <w:pPr>
              <w:pStyle w:val="Normal"/>
              <w:spacing w:line="360" w:lineRule="auto"/>
              <w:jc w:val="both"/>
              <w:rPr>
                <w:rFonts w:ascii="Arial" w:hAnsi="Arial" w:eastAsia="Arial" w:cs="Arial"/>
                <w:noProof w:val="0"/>
                <w:sz w:val="22"/>
                <w:szCs w:val="22"/>
                <w:lang w:val="en-GB"/>
              </w:rPr>
            </w:pPr>
            <w:r w:rsidRPr="4A1F2B86" w:rsidR="1AA29919">
              <w:rPr>
                <w:rFonts w:ascii="Arial" w:hAnsi="Arial" w:eastAsia="Arial" w:cs="Arial"/>
                <w:noProof w:val="0"/>
                <w:sz w:val="22"/>
                <w:szCs w:val="22"/>
                <w:lang w:val="en-GB"/>
              </w:rPr>
              <w:t>Structured meetings using models such as GROW, CBC with measurable</w:t>
            </w:r>
            <w:r w:rsidRPr="4A1F2B86" w:rsidR="16BECE6E">
              <w:rPr>
                <w:rFonts w:ascii="Arial" w:hAnsi="Arial" w:eastAsia="Arial" w:cs="Arial"/>
                <w:noProof w:val="0"/>
                <w:sz w:val="22"/>
                <w:szCs w:val="22"/>
                <w:lang w:val="en-GB"/>
              </w:rPr>
              <w:t xml:space="preserve"> outcomes</w:t>
            </w:r>
          </w:p>
        </w:tc>
        <w:tc>
          <w:tcPr>
            <w:tcW w:w="3960" w:type="dxa"/>
            <w:tcMar/>
          </w:tcPr>
          <w:p w:rsidR="03C7DF27" w:rsidP="4A1F2B86" w:rsidRDefault="03C7DF27" w14:paraId="03A350E3" w14:textId="1C02D57F">
            <w:pPr>
              <w:pStyle w:val="Normal"/>
              <w:spacing w:line="360" w:lineRule="auto"/>
              <w:jc w:val="both"/>
              <w:rPr>
                <w:rFonts w:ascii="Arial" w:hAnsi="Arial" w:eastAsia="Arial" w:cs="Arial"/>
                <w:noProof w:val="0"/>
                <w:sz w:val="22"/>
                <w:szCs w:val="22"/>
                <w:lang w:val="en-GB"/>
              </w:rPr>
            </w:pPr>
            <w:r w:rsidRPr="4A1F2B86" w:rsidR="4BD72EC2">
              <w:rPr>
                <w:rFonts w:ascii="Arial" w:hAnsi="Arial" w:eastAsia="Arial" w:cs="Arial"/>
                <w:noProof w:val="0"/>
                <w:sz w:val="22"/>
                <w:szCs w:val="22"/>
                <w:lang w:val="en-GB"/>
              </w:rPr>
              <w:t>Flexible informal meetings with discussions focusing on the Mentee’s needs.</w:t>
            </w:r>
          </w:p>
        </w:tc>
      </w:tr>
      <w:tr w:rsidR="64B6623C" w:rsidTr="4A1F2B86" w14:paraId="1DE2B7EC">
        <w:trPr>
          <w:trHeight w:val="300"/>
        </w:trPr>
        <w:tc>
          <w:tcPr>
            <w:tcW w:w="1440" w:type="dxa"/>
            <w:tcMar/>
          </w:tcPr>
          <w:p w:rsidR="4D6CE9A3" w:rsidP="4A1F2B86" w:rsidRDefault="4D6CE9A3" w14:paraId="14D8D0BB" w14:textId="5939BB8D">
            <w:pPr>
              <w:pStyle w:val="Normal"/>
              <w:spacing w:line="360" w:lineRule="auto"/>
              <w:jc w:val="both"/>
              <w:rPr>
                <w:rFonts w:ascii="Arial" w:hAnsi="Arial" w:eastAsia="Arial" w:cs="Arial"/>
                <w:noProof w:val="0"/>
                <w:sz w:val="22"/>
                <w:szCs w:val="22"/>
                <w:lang w:val="en-GB"/>
              </w:rPr>
            </w:pPr>
            <w:r w:rsidRPr="4A1F2B86" w:rsidR="2036B6A8">
              <w:rPr>
                <w:rFonts w:ascii="Arial" w:hAnsi="Arial" w:eastAsia="Arial" w:cs="Arial"/>
                <w:noProof w:val="0"/>
                <w:sz w:val="22"/>
                <w:szCs w:val="22"/>
                <w:lang w:val="en-GB"/>
              </w:rPr>
              <w:t>Nature of interaction</w:t>
            </w:r>
          </w:p>
        </w:tc>
        <w:tc>
          <w:tcPr>
            <w:tcW w:w="3615" w:type="dxa"/>
            <w:tcMar/>
          </w:tcPr>
          <w:p w:rsidR="4D6CE9A3" w:rsidP="4A1F2B86" w:rsidRDefault="4D6CE9A3" w14:paraId="60E27F0C" w14:textId="23C62E37">
            <w:pPr>
              <w:pStyle w:val="Normal"/>
              <w:spacing w:line="360" w:lineRule="auto"/>
              <w:jc w:val="both"/>
              <w:rPr>
                <w:rFonts w:ascii="Arial" w:hAnsi="Arial" w:eastAsia="Arial" w:cs="Arial"/>
                <w:noProof w:val="0"/>
                <w:sz w:val="22"/>
                <w:szCs w:val="22"/>
                <w:lang w:val="en-GB"/>
              </w:rPr>
            </w:pPr>
            <w:r w:rsidRPr="4A1F2B86" w:rsidR="2036B6A8">
              <w:rPr>
                <w:rFonts w:ascii="Arial" w:hAnsi="Arial" w:eastAsia="Arial" w:cs="Arial"/>
                <w:noProof w:val="0"/>
                <w:sz w:val="22"/>
                <w:szCs w:val="22"/>
                <w:lang w:val="en-GB"/>
              </w:rPr>
              <w:t xml:space="preserve">Goal orientated, task-focused </w:t>
            </w:r>
            <w:r w:rsidRPr="4A1F2B86" w:rsidR="75BBB6CC">
              <w:rPr>
                <w:rFonts w:ascii="Arial" w:hAnsi="Arial" w:eastAsia="Arial" w:cs="Arial"/>
                <w:noProof w:val="0"/>
                <w:sz w:val="22"/>
                <w:szCs w:val="22"/>
                <w:lang w:val="en-GB"/>
              </w:rPr>
              <w:t>based on performance</w:t>
            </w:r>
          </w:p>
        </w:tc>
        <w:tc>
          <w:tcPr>
            <w:tcW w:w="3960" w:type="dxa"/>
            <w:tcMar/>
          </w:tcPr>
          <w:p w:rsidR="7E0086B7" w:rsidP="4A1F2B86" w:rsidRDefault="7E0086B7" w14:paraId="62A17DAC" w14:textId="1ED2064B">
            <w:pPr>
              <w:pStyle w:val="Normal"/>
              <w:spacing w:line="360" w:lineRule="auto"/>
              <w:jc w:val="both"/>
              <w:rPr>
                <w:rFonts w:ascii="Arial" w:hAnsi="Arial" w:eastAsia="Arial" w:cs="Arial"/>
                <w:noProof w:val="0"/>
                <w:sz w:val="22"/>
                <w:szCs w:val="22"/>
                <w:lang w:val="en-GB"/>
              </w:rPr>
            </w:pPr>
            <w:r w:rsidRPr="4A1F2B86" w:rsidR="75BBB6CC">
              <w:rPr>
                <w:rFonts w:ascii="Arial" w:hAnsi="Arial" w:eastAsia="Arial" w:cs="Arial"/>
                <w:noProof w:val="0"/>
                <w:sz w:val="22"/>
                <w:szCs w:val="22"/>
                <w:lang w:val="en-GB"/>
              </w:rPr>
              <w:t>Relationship-based, offering career advice and personal advice</w:t>
            </w:r>
          </w:p>
        </w:tc>
      </w:tr>
    </w:tbl>
    <w:p w:rsidR="0975D9C9" w:rsidP="4A1F2B86" w:rsidRDefault="0975D9C9" w14:paraId="488014C5" w14:textId="225C7A72">
      <w:pPr>
        <w:spacing w:line="360" w:lineRule="auto"/>
        <w:ind w:left="5760" w:firstLine="0"/>
        <w:jc w:val="both"/>
        <w:rPr>
          <w:rFonts w:ascii="Arial" w:hAnsi="Arial" w:eastAsia="Arial" w:cs="Arial"/>
          <w:sz w:val="22"/>
          <w:szCs w:val="22"/>
        </w:rPr>
      </w:pPr>
      <w:r w:rsidRPr="4A1F2B86" w:rsidR="0975D9C9">
        <w:rPr>
          <w:rFonts w:ascii="Arial" w:hAnsi="Arial" w:eastAsia="Arial" w:cs="Arial"/>
          <w:sz w:val="22"/>
          <w:szCs w:val="22"/>
        </w:rPr>
        <w:t>Table 1 – source - Author</w:t>
      </w:r>
    </w:p>
    <w:p xmlns:wp14="http://schemas.microsoft.com/office/word/2010/wordml" w:rsidP="45BE726F" wp14:paraId="6ECDDA9D" wp14:textId="36DFF2F1">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 xml:space="preserve">Both coaching and mentoring are essential development tools used to enhance individual and organizational performance, yet they differ in their approach, duration, and </w:t>
      </w:r>
      <w:r w:rsidRPr="4A1F2B86" w:rsidR="6AA4A742">
        <w:rPr>
          <w:rFonts w:ascii="Arial" w:hAnsi="Arial" w:eastAsia="Arial" w:cs="Arial"/>
          <w:noProof w:val="0"/>
          <w:sz w:val="22"/>
          <w:szCs w:val="22"/>
          <w:lang w:val="en-GB"/>
        </w:rPr>
        <w:t>objectives</w:t>
      </w:r>
      <w:r w:rsidRPr="4A1F2B86" w:rsidR="776D7621">
        <w:rPr>
          <w:rFonts w:ascii="Arial" w:hAnsi="Arial" w:eastAsia="Arial" w:cs="Arial"/>
          <w:noProof w:val="0"/>
          <w:sz w:val="22"/>
          <w:szCs w:val="22"/>
          <w:lang w:val="en-GB"/>
        </w:rPr>
        <w:t xml:space="preserve"> as described in table 1</w:t>
      </w:r>
      <w:r w:rsidRPr="4A1F2B86" w:rsidR="6AA4A742">
        <w:rPr>
          <w:rFonts w:ascii="Arial" w:hAnsi="Arial" w:eastAsia="Arial" w:cs="Arial"/>
          <w:noProof w:val="0"/>
          <w:sz w:val="22"/>
          <w:szCs w:val="22"/>
          <w:lang w:val="en-GB"/>
        </w:rPr>
        <w:t>.</w:t>
      </w:r>
      <w:r w:rsidRPr="4A1F2B86" w:rsidR="46B81580">
        <w:rPr>
          <w:rFonts w:ascii="Arial" w:hAnsi="Arial" w:eastAsia="Arial" w:cs="Arial"/>
          <w:noProof w:val="0"/>
          <w:sz w:val="22"/>
          <w:szCs w:val="22"/>
          <w:lang w:val="en-GB"/>
        </w:rPr>
        <w:t xml:space="preserve"> </w:t>
      </w:r>
      <w:r w:rsidRPr="4A1F2B86" w:rsidR="6AA4A742">
        <w:rPr>
          <w:rFonts w:ascii="Arial" w:hAnsi="Arial" w:eastAsia="Arial" w:cs="Arial"/>
          <w:noProof w:val="0"/>
          <w:sz w:val="22"/>
          <w:szCs w:val="22"/>
          <w:lang w:val="en-GB"/>
        </w:rPr>
        <w:t>Coaching is primarily a short-term, structured process aimed at improving specific skills and performance outcomes (Park, McLean, &amp; Yang, 2021). It involves setting goals, providing ongoing feedback, and assessing progress to enhance an employee’s effectiveness in their current role. Coaching is typically task-oriented, focusing on measurable achievements and immediate workplace improvements (Batson &amp; Yoder, 2012). Through structured guidance, coaching strengthens leadership, fosters continuous learning, and boosts productivity within organizations.</w:t>
      </w:r>
    </w:p>
    <w:p xmlns:wp14="http://schemas.microsoft.com/office/word/2010/wordml" w:rsidP="45BE726F" wp14:paraId="38837E92" wp14:textId="072F7AA6">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p xmlns:wp14="http://schemas.microsoft.com/office/word/2010/wordml" w:rsidP="45BE726F" wp14:paraId="1DBF87EC" wp14:textId="390CB48C">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Mentoring, in contrast, is a long-term developmental relationship that focuses on nurturing an individual’s overall potential (Heppner, 2017). Unlike coaching, which targets skill improvement, mentoring is more holistic, involving knowledge transfer, personal growth, and professional development. Mentors offer guidance based on their own experiences, shaping mentees’ broader career and personal aspirations (Torbjørn Waaland, 2023). Additionally, mentors play a strategic role in developing pedagogical structures that provide real-world learning experiences, fostering cultural awareness and a deeper understanding of various societal contexts.</w:t>
      </w:r>
      <w:r w:rsidRPr="4A1F2B86" w:rsidR="5D6061F9">
        <w:rPr>
          <w:rFonts w:ascii="Arial" w:hAnsi="Arial" w:eastAsia="Arial" w:cs="Arial"/>
          <w:noProof w:val="0"/>
          <w:sz w:val="22"/>
          <w:szCs w:val="22"/>
          <w:lang w:val="en-GB"/>
        </w:rPr>
        <w:t xml:space="preserve"> </w:t>
      </w:r>
    </w:p>
    <w:p xmlns:wp14="http://schemas.microsoft.com/office/word/2010/wordml" w:rsidP="45BE726F" wp14:paraId="6D8C041B" wp14:textId="2AA1472B">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p w:rsidR="223D01B7" w:rsidP="45BE726F" w:rsidRDefault="223D01B7" w14:paraId="10169B48" w14:textId="38DFB9D2">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223D01B7">
        <w:rPr>
          <w:rFonts w:ascii="Arial" w:hAnsi="Arial" w:eastAsia="Arial" w:cs="Arial"/>
          <w:noProof w:val="0"/>
          <w:sz w:val="22"/>
          <w:szCs w:val="22"/>
          <w:lang w:val="en-GB"/>
        </w:rPr>
        <w:t xml:space="preserve">While both coaching and mentoring contribute to personal and professional growth, coaching is often performance-driven with defined goals and timelines, </w:t>
      </w:r>
      <w:r w:rsidRPr="4A1F2B86" w:rsidR="223D01B7">
        <w:rPr>
          <w:rFonts w:ascii="Arial" w:hAnsi="Arial" w:eastAsia="Arial" w:cs="Arial"/>
          <w:noProof w:val="0"/>
          <w:sz w:val="22"/>
          <w:szCs w:val="22"/>
          <w:lang w:val="en-GB"/>
        </w:rPr>
        <w:t>whereas</w:t>
      </w:r>
      <w:r w:rsidRPr="4A1F2B86" w:rsidR="223D01B7">
        <w:rPr>
          <w:rFonts w:ascii="Arial" w:hAnsi="Arial" w:eastAsia="Arial" w:cs="Arial"/>
          <w:noProof w:val="0"/>
          <w:sz w:val="22"/>
          <w:szCs w:val="22"/>
          <w:lang w:val="en-GB"/>
        </w:rPr>
        <w:t xml:space="preserve"> mentoring emphasizes long-term development, experience-sharing, and broader career advancement. Coaching typically occurs within an organizational setting with a focus on immediate results, </w:t>
      </w:r>
      <w:r w:rsidRPr="4A1F2B86" w:rsidR="223D01B7">
        <w:rPr>
          <w:rFonts w:ascii="Arial" w:hAnsi="Arial" w:eastAsia="Arial" w:cs="Arial"/>
          <w:noProof w:val="0"/>
          <w:sz w:val="22"/>
          <w:szCs w:val="22"/>
          <w:lang w:val="en-GB"/>
        </w:rPr>
        <w:t>whereas</w:t>
      </w:r>
      <w:r w:rsidRPr="4A1F2B86" w:rsidR="223D01B7">
        <w:rPr>
          <w:rFonts w:ascii="Arial" w:hAnsi="Arial" w:eastAsia="Arial" w:cs="Arial"/>
          <w:noProof w:val="0"/>
          <w:sz w:val="22"/>
          <w:szCs w:val="22"/>
          <w:lang w:val="en-GB"/>
        </w:rPr>
        <w:t xml:space="preserve"> mentoring extends beyond workplace </w:t>
      </w:r>
      <w:r w:rsidRPr="4A1F2B86" w:rsidR="223D01B7">
        <w:rPr>
          <w:rFonts w:ascii="Arial" w:hAnsi="Arial" w:eastAsia="Arial" w:cs="Arial"/>
          <w:noProof w:val="0"/>
          <w:sz w:val="22"/>
          <w:szCs w:val="22"/>
          <w:lang w:val="en-GB"/>
        </w:rPr>
        <w:t>objectives</w:t>
      </w:r>
      <w:r w:rsidRPr="4A1F2B86" w:rsidR="223D01B7">
        <w:rPr>
          <w:rFonts w:ascii="Arial" w:hAnsi="Arial" w:eastAsia="Arial" w:cs="Arial"/>
          <w:noProof w:val="0"/>
          <w:sz w:val="22"/>
          <w:szCs w:val="22"/>
          <w:lang w:val="en-GB"/>
        </w:rPr>
        <w:t xml:space="preserve"> to influence personal and professional aspirations. Together, they complement one another, helping individuals and organizations thrive in an evolving business landscape.</w:t>
      </w:r>
    </w:p>
    <w:p xmlns:wp14="http://schemas.microsoft.com/office/word/2010/wordml" w:rsidP="45BE726F" wp14:paraId="34B032D5" wp14:textId="61BB3D9C">
      <w:pPr>
        <w:pStyle w:val="Heading1"/>
        <w:keepNext w:val="0"/>
        <w:keepLines w:val="0"/>
        <w:spacing w:line="360" w:lineRule="auto"/>
        <w:jc w:val="both"/>
        <w:rPr>
          <w:rFonts w:ascii="Arial" w:hAnsi="Arial" w:eastAsia="Arial" w:cs="Arial"/>
          <w:noProof w:val="0"/>
          <w:sz w:val="22"/>
          <w:szCs w:val="22"/>
          <w:lang w:val="en-GB"/>
        </w:rPr>
      </w:pPr>
      <w:bookmarkStart w:name="_Toc1876736433" w:id="1175012304"/>
      <w:r w:rsidRPr="4A1F2B86" w:rsidR="47BF4637">
        <w:rPr>
          <w:rFonts w:ascii="Arial" w:hAnsi="Arial" w:eastAsia="Arial" w:cs="Arial"/>
          <w:noProof w:val="0"/>
          <w:sz w:val="22"/>
          <w:szCs w:val="22"/>
          <w:lang w:val="en-GB"/>
        </w:rPr>
        <w:t>Coaching models</w:t>
      </w:r>
      <w:bookmarkEnd w:id="1175012304"/>
    </w:p>
    <w:tbl>
      <w:tblPr>
        <w:tblStyle w:val="TableGrid"/>
        <w:tblW w:w="9015" w:type="dxa"/>
        <w:tblLayout w:type="fixed"/>
        <w:tblLook w:val="06A0" w:firstRow="1" w:lastRow="0" w:firstColumn="1" w:lastColumn="0" w:noHBand="1" w:noVBand="1"/>
      </w:tblPr>
      <w:tblGrid>
        <w:gridCol w:w="1575"/>
        <w:gridCol w:w="3690"/>
        <w:gridCol w:w="3750"/>
      </w:tblGrid>
      <w:tr w:rsidR="62A9A2FA" w:rsidTr="4A1F2B86" w14:paraId="1FA620A4">
        <w:trPr>
          <w:trHeight w:val="300"/>
        </w:trPr>
        <w:tc>
          <w:tcPr>
            <w:tcW w:w="1575" w:type="dxa"/>
            <w:tcMar/>
          </w:tcPr>
          <w:p w:rsidR="6ABEE75A" w:rsidP="4A1F2B86" w:rsidRDefault="6ABEE75A" w14:paraId="7672C99B" w14:textId="3D4452BD">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Coaching Models</w:t>
            </w:r>
          </w:p>
        </w:tc>
        <w:tc>
          <w:tcPr>
            <w:tcW w:w="3690" w:type="dxa"/>
            <w:tcMar/>
          </w:tcPr>
          <w:p w:rsidR="6ABEE75A" w:rsidP="4A1F2B86" w:rsidRDefault="6ABEE75A" w14:paraId="7002AE98" w14:textId="31B488E3">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Cognitive behaviour coaching (CBC)</w:t>
            </w:r>
          </w:p>
        </w:tc>
        <w:tc>
          <w:tcPr>
            <w:tcW w:w="3750" w:type="dxa"/>
            <w:tcMar/>
          </w:tcPr>
          <w:p w:rsidR="6ABEE75A" w:rsidP="4A1F2B86" w:rsidRDefault="6ABEE75A" w14:paraId="2646557D" w14:textId="2CE2FC8B">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GROW coaching model</w:t>
            </w:r>
          </w:p>
        </w:tc>
      </w:tr>
      <w:tr w:rsidR="62A9A2FA" w:rsidTr="4A1F2B86" w14:paraId="178284E5">
        <w:trPr>
          <w:trHeight w:val="300"/>
        </w:trPr>
        <w:tc>
          <w:tcPr>
            <w:tcW w:w="1575" w:type="dxa"/>
            <w:tcMar/>
          </w:tcPr>
          <w:p w:rsidR="2DA4A714" w:rsidP="4A1F2B86" w:rsidRDefault="2DA4A714" w14:paraId="5A6018DF" w14:textId="325684FE">
            <w:pPr>
              <w:pStyle w:val="Normal"/>
              <w:keepNext w:val="0"/>
              <w:keepLines w:val="0"/>
              <w:spacing w:line="360" w:lineRule="auto"/>
              <w:jc w:val="both"/>
              <w:rPr>
                <w:rFonts w:ascii="Arial" w:hAnsi="Arial" w:eastAsia="Arial" w:cs="Arial"/>
                <w:sz w:val="22"/>
                <w:szCs w:val="22"/>
              </w:rPr>
            </w:pPr>
            <w:r w:rsidRPr="4A1F2B86" w:rsidR="363DE443">
              <w:rPr>
                <w:rFonts w:ascii="Arial" w:hAnsi="Arial" w:eastAsia="Arial" w:cs="Arial"/>
                <w:sz w:val="22"/>
                <w:szCs w:val="22"/>
              </w:rPr>
              <w:t>Focus</w:t>
            </w:r>
          </w:p>
        </w:tc>
        <w:tc>
          <w:tcPr>
            <w:tcW w:w="3690" w:type="dxa"/>
            <w:tcMar/>
          </w:tcPr>
          <w:p w:rsidR="2DA4A714" w:rsidP="4A1F2B86" w:rsidRDefault="2DA4A714" w14:paraId="1681B2D6" w14:textId="7837F359">
            <w:pPr>
              <w:pStyle w:val="Normal"/>
              <w:keepNext w:val="0"/>
              <w:keepLines w:val="0"/>
              <w:spacing w:line="360" w:lineRule="auto"/>
              <w:jc w:val="both"/>
              <w:rPr>
                <w:rFonts w:ascii="Arial" w:hAnsi="Arial" w:eastAsia="Arial" w:cs="Arial"/>
                <w:sz w:val="22"/>
                <w:szCs w:val="22"/>
              </w:rPr>
            </w:pPr>
            <w:r w:rsidRPr="4A1F2B86" w:rsidR="363DE443">
              <w:rPr>
                <w:rFonts w:ascii="Arial" w:hAnsi="Arial" w:eastAsia="Arial" w:cs="Arial"/>
                <w:sz w:val="22"/>
                <w:szCs w:val="22"/>
              </w:rPr>
              <w:t>Changing negative thought patterns that influence emotions and actions.</w:t>
            </w:r>
          </w:p>
        </w:tc>
        <w:tc>
          <w:tcPr>
            <w:tcW w:w="3750" w:type="dxa"/>
            <w:tcMar/>
          </w:tcPr>
          <w:p w:rsidR="1ED63798" w:rsidP="4A1F2B86" w:rsidRDefault="1ED63798" w14:paraId="47738A17" w14:textId="4BDF8E78">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 xml:space="preserve">Setting and achieving goals based on </w:t>
            </w:r>
            <w:r w:rsidRPr="4A1F2B86" w:rsidR="26B632D1">
              <w:rPr>
                <w:rFonts w:ascii="Arial" w:hAnsi="Arial" w:eastAsia="Arial" w:cs="Arial"/>
                <w:sz w:val="22"/>
                <w:szCs w:val="22"/>
              </w:rPr>
              <w:t>self-reflection</w:t>
            </w:r>
            <w:r w:rsidRPr="4A1F2B86" w:rsidR="26B632D1">
              <w:rPr>
                <w:rFonts w:ascii="Arial" w:hAnsi="Arial" w:eastAsia="Arial" w:cs="Arial"/>
                <w:sz w:val="22"/>
                <w:szCs w:val="22"/>
              </w:rPr>
              <w:t>.</w:t>
            </w:r>
          </w:p>
        </w:tc>
      </w:tr>
      <w:tr w:rsidR="62A9A2FA" w:rsidTr="4A1F2B86" w14:paraId="6012C3D0">
        <w:trPr>
          <w:trHeight w:val="300"/>
        </w:trPr>
        <w:tc>
          <w:tcPr>
            <w:tcW w:w="1575" w:type="dxa"/>
            <w:tcMar/>
          </w:tcPr>
          <w:p w:rsidR="1ED63798" w:rsidP="4A1F2B86" w:rsidRDefault="1ED63798" w14:paraId="3F8EACDD" w14:textId="2D3969DB">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Approach</w:t>
            </w:r>
          </w:p>
        </w:tc>
        <w:tc>
          <w:tcPr>
            <w:tcW w:w="3690" w:type="dxa"/>
            <w:tcMar/>
          </w:tcPr>
          <w:p w:rsidR="1ED63798" w:rsidP="4A1F2B86" w:rsidRDefault="1ED63798" w14:paraId="71E45B12" w14:textId="68B2F8C3">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Uses theoretical psychological techniques</w:t>
            </w:r>
            <w:r w:rsidRPr="4A1F2B86" w:rsidR="1AA0F918">
              <w:rPr>
                <w:rFonts w:ascii="Arial" w:hAnsi="Arial" w:eastAsia="Arial" w:cs="Arial"/>
                <w:sz w:val="22"/>
                <w:szCs w:val="22"/>
              </w:rPr>
              <w:t xml:space="preserve"> such as reconstruction of emotional triggers</w:t>
            </w:r>
          </w:p>
        </w:tc>
        <w:tc>
          <w:tcPr>
            <w:tcW w:w="3750" w:type="dxa"/>
            <w:tcMar/>
          </w:tcPr>
          <w:p w:rsidR="1ED63798" w:rsidP="4A1F2B86" w:rsidRDefault="1ED63798" w14:paraId="5894DF2E" w14:textId="5D34CB4D">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 xml:space="preserve">Uses coaching dialogue to stimulate </w:t>
            </w:r>
            <w:r w:rsidRPr="4A1F2B86" w:rsidR="26B632D1">
              <w:rPr>
                <w:rFonts w:ascii="Arial" w:hAnsi="Arial" w:eastAsia="Arial" w:cs="Arial"/>
                <w:sz w:val="22"/>
                <w:szCs w:val="22"/>
              </w:rPr>
              <w:t>self-reflection</w:t>
            </w:r>
            <w:r w:rsidRPr="4A1F2B86" w:rsidR="26B632D1">
              <w:rPr>
                <w:rFonts w:ascii="Arial" w:hAnsi="Arial" w:eastAsia="Arial" w:cs="Arial"/>
                <w:sz w:val="22"/>
                <w:szCs w:val="22"/>
              </w:rPr>
              <w:t xml:space="preserve"> and decision making.</w:t>
            </w:r>
          </w:p>
        </w:tc>
      </w:tr>
      <w:tr w:rsidR="62A9A2FA" w:rsidTr="4A1F2B86" w14:paraId="1B767DDA">
        <w:trPr>
          <w:trHeight w:val="300"/>
        </w:trPr>
        <w:tc>
          <w:tcPr>
            <w:tcW w:w="1575" w:type="dxa"/>
            <w:tcMar/>
          </w:tcPr>
          <w:p w:rsidR="62A9A2FA" w:rsidP="4A1F2B86" w:rsidRDefault="62A9A2FA" w14:paraId="1651017F" w14:textId="064A725E">
            <w:pPr>
              <w:pStyle w:val="Normal"/>
              <w:keepNext w:val="0"/>
              <w:keepLines w:val="0"/>
              <w:spacing w:line="360" w:lineRule="auto"/>
              <w:jc w:val="both"/>
              <w:rPr>
                <w:rFonts w:ascii="Arial" w:hAnsi="Arial" w:eastAsia="Arial" w:cs="Arial"/>
                <w:sz w:val="22"/>
                <w:szCs w:val="22"/>
              </w:rPr>
            </w:pPr>
            <w:r w:rsidRPr="4A1F2B86" w:rsidR="6B68FC0F">
              <w:rPr>
                <w:rFonts w:ascii="Arial" w:hAnsi="Arial" w:eastAsia="Arial" w:cs="Arial"/>
                <w:sz w:val="22"/>
                <w:szCs w:val="22"/>
              </w:rPr>
              <w:t>Strengths</w:t>
            </w:r>
          </w:p>
        </w:tc>
        <w:tc>
          <w:tcPr>
            <w:tcW w:w="3690" w:type="dxa"/>
            <w:tcMar/>
          </w:tcPr>
          <w:p w:rsidR="62A9A2FA" w:rsidP="4A1F2B86" w:rsidRDefault="62A9A2FA" w14:paraId="2F76159F" w14:textId="12C29D95">
            <w:pPr>
              <w:pStyle w:val="ListParagraph"/>
              <w:keepNext w:val="0"/>
              <w:keepLines w:val="0"/>
              <w:numPr>
                <w:ilvl w:val="0"/>
                <w:numId w:val="7"/>
              </w:numPr>
              <w:spacing w:line="360" w:lineRule="auto"/>
              <w:jc w:val="both"/>
              <w:rPr>
                <w:rFonts w:ascii="Arial" w:hAnsi="Arial" w:eastAsia="Arial" w:cs="Arial"/>
                <w:sz w:val="22"/>
                <w:szCs w:val="22"/>
              </w:rPr>
            </w:pPr>
            <w:r w:rsidRPr="4A1F2B86" w:rsidR="00A111F5">
              <w:rPr>
                <w:rFonts w:ascii="Arial" w:hAnsi="Arial" w:eastAsia="Arial" w:cs="Arial"/>
                <w:sz w:val="22"/>
                <w:szCs w:val="22"/>
              </w:rPr>
              <w:t>Addresses cognitive distortions</w:t>
            </w:r>
            <w:r w:rsidRPr="4A1F2B86" w:rsidR="6962B650">
              <w:rPr>
                <w:rFonts w:ascii="Arial" w:hAnsi="Arial" w:eastAsia="Arial" w:cs="Arial"/>
                <w:sz w:val="22"/>
                <w:szCs w:val="22"/>
              </w:rPr>
              <w:t xml:space="preserve">, irrational </w:t>
            </w:r>
            <w:r w:rsidRPr="4A1F2B86" w:rsidR="6962B650">
              <w:rPr>
                <w:rFonts w:ascii="Arial" w:hAnsi="Arial" w:eastAsia="Arial" w:cs="Arial"/>
                <w:sz w:val="22"/>
                <w:szCs w:val="22"/>
              </w:rPr>
              <w:t>thoughts</w:t>
            </w:r>
            <w:r w:rsidRPr="4A1F2B86" w:rsidR="6962B650">
              <w:rPr>
                <w:rFonts w:ascii="Arial" w:hAnsi="Arial" w:eastAsia="Arial" w:cs="Arial"/>
                <w:sz w:val="22"/>
                <w:szCs w:val="22"/>
              </w:rPr>
              <w:t xml:space="preserve"> and self-defeating tendencies</w:t>
            </w:r>
          </w:p>
          <w:p w:rsidR="62A9A2FA" w:rsidP="4A1F2B86" w:rsidRDefault="62A9A2FA" w14:paraId="608C4689" w14:textId="332BF05D">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Scientifically supported due to being formulated from cognitive behavioural therapy</w:t>
            </w:r>
          </w:p>
          <w:p w:rsidR="62A9A2FA" w:rsidP="4A1F2B86" w:rsidRDefault="62A9A2FA" w14:paraId="4DFE88BA" w14:textId="1C6CBDB7">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Helps to develop long term self-awareness and stress management skills</w:t>
            </w:r>
          </w:p>
          <w:p w:rsidR="62A9A2FA" w:rsidP="4A1F2B86" w:rsidRDefault="62A9A2FA" w14:paraId="4B55CA0B" w14:textId="43673B2A">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Focuses on mind shift instead of just goal setting</w:t>
            </w:r>
            <w:r w:rsidRPr="4A1F2B86" w:rsidR="6962B650">
              <w:rPr>
                <w:rFonts w:ascii="Arial" w:hAnsi="Arial" w:eastAsia="Arial" w:cs="Arial"/>
                <w:sz w:val="22"/>
                <w:szCs w:val="22"/>
              </w:rPr>
              <w:t xml:space="preserve"> </w:t>
            </w:r>
          </w:p>
        </w:tc>
        <w:tc>
          <w:tcPr>
            <w:tcW w:w="3750" w:type="dxa"/>
            <w:tcMar/>
          </w:tcPr>
          <w:p w:rsidR="62A9A2FA" w:rsidP="4A1F2B86" w:rsidRDefault="62A9A2FA" w14:paraId="05ACC5B8" w14:textId="27B1DD88">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Easy to use in leadership coaching and personal development</w:t>
            </w:r>
          </w:p>
          <w:p w:rsidR="62A9A2FA" w:rsidP="4A1F2B86" w:rsidRDefault="62A9A2FA" w14:paraId="67ECFA8B" w14:textId="164D7A1C">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Being goal orientated means clear goals can be set and progress is measurable</w:t>
            </w:r>
          </w:p>
          <w:p w:rsidR="62A9A2FA" w:rsidP="4A1F2B86" w:rsidRDefault="62A9A2FA" w14:paraId="302ED823" w14:textId="0E1CFEA5">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 xml:space="preserve">Can be adapted in business, </w:t>
            </w:r>
            <w:r w:rsidRPr="4A1F2B86" w:rsidR="561E06DB">
              <w:rPr>
                <w:rFonts w:ascii="Arial" w:hAnsi="Arial" w:eastAsia="Arial" w:cs="Arial"/>
                <w:sz w:val="22"/>
                <w:szCs w:val="22"/>
              </w:rPr>
              <w:t>sports</w:t>
            </w:r>
            <w:r w:rsidRPr="4A1F2B86" w:rsidR="561E06DB">
              <w:rPr>
                <w:rFonts w:ascii="Arial" w:hAnsi="Arial" w:eastAsia="Arial" w:cs="Arial"/>
                <w:sz w:val="22"/>
                <w:szCs w:val="22"/>
              </w:rPr>
              <w:t xml:space="preserve"> and education</w:t>
            </w:r>
          </w:p>
          <w:p w:rsidR="62A9A2FA" w:rsidP="4A1F2B86" w:rsidRDefault="62A9A2FA" w14:paraId="5FC78705" w14:textId="77C6E697">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Is an empowering approach that encourages self-reflection to explore solutions</w:t>
            </w:r>
          </w:p>
        </w:tc>
      </w:tr>
      <w:tr w:rsidR="62A9A2FA" w:rsidTr="4A1F2B86" w14:paraId="02DD81F4">
        <w:trPr>
          <w:trHeight w:val="300"/>
        </w:trPr>
        <w:tc>
          <w:tcPr>
            <w:tcW w:w="1575" w:type="dxa"/>
            <w:tcMar/>
          </w:tcPr>
          <w:p w:rsidR="62A9A2FA" w:rsidP="4A1F2B86" w:rsidRDefault="62A9A2FA" w14:paraId="2DB7D272" w14:textId="0C8204FF">
            <w:pPr>
              <w:pStyle w:val="Normal"/>
              <w:keepNext w:val="0"/>
              <w:keepLines w:val="0"/>
              <w:spacing w:line="360" w:lineRule="auto"/>
              <w:jc w:val="both"/>
              <w:rPr>
                <w:rFonts w:ascii="Arial" w:hAnsi="Arial" w:eastAsia="Arial" w:cs="Arial"/>
                <w:sz w:val="22"/>
                <w:szCs w:val="22"/>
              </w:rPr>
            </w:pPr>
            <w:r w:rsidRPr="4A1F2B86" w:rsidR="561E06DB">
              <w:rPr>
                <w:rFonts w:ascii="Arial" w:hAnsi="Arial" w:eastAsia="Arial" w:cs="Arial"/>
                <w:sz w:val="22"/>
                <w:szCs w:val="22"/>
              </w:rPr>
              <w:t>Weaknesses</w:t>
            </w:r>
          </w:p>
        </w:tc>
        <w:tc>
          <w:tcPr>
            <w:tcW w:w="3690" w:type="dxa"/>
            <w:tcMar/>
          </w:tcPr>
          <w:p w:rsidR="62A9A2FA" w:rsidP="4A1F2B86" w:rsidRDefault="62A9A2FA" w14:paraId="4025A76D" w14:textId="7A4B9C15">
            <w:pPr>
              <w:pStyle w:val="ListParagraph"/>
              <w:keepNext w:val="0"/>
              <w:keepLines w:val="0"/>
              <w:numPr>
                <w:ilvl w:val="0"/>
                <w:numId w:val="6"/>
              </w:numPr>
              <w:spacing w:line="360" w:lineRule="auto"/>
              <w:jc w:val="both"/>
              <w:rPr>
                <w:rFonts w:ascii="Arial" w:hAnsi="Arial" w:eastAsia="Arial" w:cs="Arial"/>
                <w:sz w:val="22"/>
                <w:szCs w:val="22"/>
              </w:rPr>
            </w:pPr>
            <w:r w:rsidRPr="4A1F2B86" w:rsidR="7B9D1ED8">
              <w:rPr>
                <w:rFonts w:ascii="Arial" w:hAnsi="Arial" w:eastAsia="Arial" w:cs="Arial"/>
                <w:sz w:val="22"/>
                <w:szCs w:val="22"/>
              </w:rPr>
              <w:t xml:space="preserve">Less accessible compared to the GROW model due to the need for coaches to be psychologically trained to implement the model </w:t>
            </w:r>
            <w:r w:rsidRPr="4A1F2B86" w:rsidR="7B9D1ED8">
              <w:rPr>
                <w:rFonts w:ascii="Arial" w:hAnsi="Arial" w:eastAsia="Arial" w:cs="Arial"/>
                <w:sz w:val="22"/>
                <w:szCs w:val="22"/>
              </w:rPr>
              <w:t>sufficiently</w:t>
            </w:r>
            <w:r w:rsidRPr="4A1F2B86" w:rsidR="7B9D1ED8">
              <w:rPr>
                <w:rFonts w:ascii="Arial" w:hAnsi="Arial" w:eastAsia="Arial" w:cs="Arial"/>
                <w:sz w:val="22"/>
                <w:szCs w:val="22"/>
              </w:rPr>
              <w:t>.</w:t>
            </w:r>
          </w:p>
          <w:p w:rsidR="62A9A2FA" w:rsidP="4A1F2B86" w:rsidRDefault="62A9A2FA" w14:paraId="128AC1D1" w14:textId="0181D9D1">
            <w:pPr>
              <w:pStyle w:val="ListParagraph"/>
              <w:keepNext w:val="0"/>
              <w:keepLines w:val="0"/>
              <w:numPr>
                <w:ilvl w:val="0"/>
                <w:numId w:val="6"/>
              </w:numPr>
              <w:spacing w:line="360" w:lineRule="auto"/>
              <w:jc w:val="both"/>
              <w:rPr>
                <w:rFonts w:ascii="Arial" w:hAnsi="Arial" w:eastAsia="Arial" w:cs="Arial"/>
                <w:sz w:val="22"/>
                <w:szCs w:val="22"/>
              </w:rPr>
            </w:pPr>
            <w:r w:rsidRPr="4A1F2B86" w:rsidR="194EB38D">
              <w:rPr>
                <w:rFonts w:ascii="Arial" w:hAnsi="Arial" w:eastAsia="Arial" w:cs="Arial"/>
                <w:sz w:val="22"/>
                <w:szCs w:val="22"/>
              </w:rPr>
              <w:t>Requires longer periods of time to change thought processes</w:t>
            </w:r>
          </w:p>
          <w:p w:rsidR="62A9A2FA" w:rsidP="4A1F2B86" w:rsidRDefault="62A9A2FA" w14:paraId="04E610EE" w14:textId="5E237BAF">
            <w:pPr>
              <w:pStyle w:val="ListParagraph"/>
              <w:keepNext w:val="0"/>
              <w:keepLines w:val="0"/>
              <w:numPr>
                <w:ilvl w:val="0"/>
                <w:numId w:val="6"/>
              </w:numPr>
              <w:spacing w:line="360" w:lineRule="auto"/>
              <w:jc w:val="both"/>
              <w:rPr>
                <w:rFonts w:ascii="Arial" w:hAnsi="Arial" w:eastAsia="Arial" w:cs="Arial"/>
                <w:sz w:val="22"/>
                <w:szCs w:val="22"/>
              </w:rPr>
            </w:pPr>
            <w:r w:rsidRPr="4A1F2B86" w:rsidR="194EB38D">
              <w:rPr>
                <w:rFonts w:ascii="Arial" w:hAnsi="Arial" w:eastAsia="Arial" w:cs="Arial"/>
                <w:sz w:val="22"/>
                <w:szCs w:val="22"/>
              </w:rPr>
              <w:t xml:space="preserve">Can be </w:t>
            </w:r>
            <w:r w:rsidRPr="4A1F2B86" w:rsidR="194EB38D">
              <w:rPr>
                <w:rFonts w:ascii="Arial" w:hAnsi="Arial" w:eastAsia="Arial" w:cs="Arial"/>
                <w:sz w:val="22"/>
                <w:szCs w:val="22"/>
              </w:rPr>
              <w:t>overwhelming</w:t>
            </w:r>
            <w:r w:rsidRPr="4A1F2B86" w:rsidR="194EB38D">
              <w:rPr>
                <w:rFonts w:ascii="Arial" w:hAnsi="Arial" w:eastAsia="Arial" w:cs="Arial"/>
                <w:sz w:val="22"/>
                <w:szCs w:val="22"/>
              </w:rPr>
              <w:t xml:space="preserve"> for clients to self-assess.</w:t>
            </w:r>
          </w:p>
        </w:tc>
        <w:tc>
          <w:tcPr>
            <w:tcW w:w="3750" w:type="dxa"/>
            <w:tcMar/>
          </w:tcPr>
          <w:p w:rsidR="62A9A2FA" w:rsidP="4A1F2B86" w:rsidRDefault="62A9A2FA" w14:paraId="2933EC6D" w14:textId="4B37B42E">
            <w:pPr>
              <w:pStyle w:val="ListParagraph"/>
              <w:keepNext w:val="0"/>
              <w:keepLines w:val="0"/>
              <w:numPr>
                <w:ilvl w:val="0"/>
                <w:numId w:val="6"/>
              </w:numPr>
              <w:spacing w:line="360" w:lineRule="auto"/>
              <w:jc w:val="both"/>
              <w:rPr>
                <w:rFonts w:ascii="Arial" w:hAnsi="Arial" w:eastAsia="Arial" w:cs="Arial"/>
                <w:sz w:val="22"/>
                <w:szCs w:val="22"/>
              </w:rPr>
            </w:pPr>
            <w:r w:rsidRPr="4A1F2B86" w:rsidR="20AE3C60">
              <w:rPr>
                <w:rFonts w:ascii="Arial" w:hAnsi="Arial" w:eastAsia="Arial" w:cs="Arial"/>
                <w:sz w:val="22"/>
                <w:szCs w:val="22"/>
              </w:rPr>
              <w:t>It’s</w:t>
            </w:r>
            <w:r w:rsidRPr="4A1F2B86" w:rsidR="20AE3C60">
              <w:rPr>
                <w:rFonts w:ascii="Arial" w:hAnsi="Arial" w:eastAsia="Arial" w:cs="Arial"/>
                <w:sz w:val="22"/>
                <w:szCs w:val="22"/>
              </w:rPr>
              <w:t xml:space="preserve"> primary focus is on action planning and may not explore the feelings behind the issue.</w:t>
            </w:r>
          </w:p>
          <w:p w:rsidR="62A9A2FA" w:rsidP="4A1F2B86" w:rsidRDefault="62A9A2FA" w14:paraId="080C9498" w14:textId="5C14711E">
            <w:pPr>
              <w:pStyle w:val="ListParagraph"/>
              <w:keepNext w:val="0"/>
              <w:keepLines w:val="0"/>
              <w:numPr>
                <w:ilvl w:val="0"/>
                <w:numId w:val="6"/>
              </w:numPr>
              <w:spacing w:line="360" w:lineRule="auto"/>
              <w:jc w:val="both"/>
              <w:rPr>
                <w:rFonts w:ascii="Arial" w:hAnsi="Arial" w:eastAsia="Arial" w:cs="Arial"/>
                <w:sz w:val="22"/>
                <w:szCs w:val="22"/>
              </w:rPr>
            </w:pPr>
            <w:r w:rsidRPr="4A1F2B86" w:rsidR="20AE3C60">
              <w:rPr>
                <w:rFonts w:ascii="Arial" w:hAnsi="Arial" w:eastAsia="Arial" w:cs="Arial"/>
                <w:sz w:val="22"/>
                <w:szCs w:val="22"/>
              </w:rPr>
              <w:t xml:space="preserve">Grow, </w:t>
            </w:r>
            <w:r w:rsidRPr="4A1F2B86" w:rsidR="20AE3C60">
              <w:rPr>
                <w:rFonts w:ascii="Arial" w:hAnsi="Arial" w:eastAsia="Arial" w:cs="Arial"/>
                <w:sz w:val="22"/>
                <w:szCs w:val="22"/>
              </w:rPr>
              <w:t>doesn't</w:t>
            </w:r>
            <w:r w:rsidRPr="4A1F2B86" w:rsidR="20AE3C60">
              <w:rPr>
                <w:rFonts w:ascii="Arial" w:hAnsi="Arial" w:eastAsia="Arial" w:cs="Arial"/>
                <w:sz w:val="22"/>
                <w:szCs w:val="22"/>
              </w:rPr>
              <w:t xml:space="preserve"> address emotional </w:t>
            </w:r>
            <w:r w:rsidRPr="4A1F2B86" w:rsidR="20AE3C60">
              <w:rPr>
                <w:rFonts w:ascii="Arial" w:hAnsi="Arial" w:eastAsia="Arial" w:cs="Arial"/>
                <w:sz w:val="22"/>
                <w:szCs w:val="22"/>
              </w:rPr>
              <w:t>barriers or</w:t>
            </w:r>
            <w:r w:rsidRPr="4A1F2B86" w:rsidR="20AE3C60">
              <w:rPr>
                <w:rFonts w:ascii="Arial" w:hAnsi="Arial" w:eastAsia="Arial" w:cs="Arial"/>
                <w:sz w:val="22"/>
                <w:szCs w:val="22"/>
              </w:rPr>
              <w:t xml:space="preserve"> cognitive distortions</w:t>
            </w:r>
          </w:p>
          <w:p w:rsidR="62A9A2FA" w:rsidP="4A1F2B86" w:rsidRDefault="62A9A2FA" w14:paraId="2FB2B00E" w14:textId="7E4BDFB5">
            <w:pPr>
              <w:pStyle w:val="ListParagraph"/>
              <w:keepNext w:val="0"/>
              <w:keepLines w:val="0"/>
              <w:numPr>
                <w:ilvl w:val="0"/>
                <w:numId w:val="6"/>
              </w:numPr>
              <w:spacing w:line="360" w:lineRule="auto"/>
              <w:jc w:val="both"/>
              <w:rPr>
                <w:rFonts w:ascii="Arial" w:hAnsi="Arial" w:eastAsia="Arial" w:cs="Arial"/>
                <w:sz w:val="22"/>
                <w:szCs w:val="22"/>
              </w:rPr>
            </w:pPr>
            <w:r w:rsidRPr="4A1F2B86" w:rsidR="68C537E2">
              <w:rPr>
                <w:rFonts w:ascii="Arial" w:hAnsi="Arial" w:eastAsia="Arial" w:cs="Arial"/>
                <w:sz w:val="22"/>
                <w:szCs w:val="22"/>
              </w:rPr>
              <w:t xml:space="preserve">The effectiveness of the model relies on the </w:t>
            </w:r>
            <w:r w:rsidRPr="4A1F2B86" w:rsidR="53B058DA">
              <w:rPr>
                <w:rFonts w:ascii="Arial" w:hAnsi="Arial" w:eastAsia="Arial" w:cs="Arial"/>
                <w:sz w:val="22"/>
                <w:szCs w:val="22"/>
              </w:rPr>
              <w:t>coach's</w:t>
            </w:r>
            <w:r w:rsidRPr="4A1F2B86" w:rsidR="68C537E2">
              <w:rPr>
                <w:rFonts w:ascii="Arial" w:hAnsi="Arial" w:eastAsia="Arial" w:cs="Arial"/>
                <w:sz w:val="22"/>
                <w:szCs w:val="22"/>
              </w:rPr>
              <w:t xml:space="preserve"> ability to guide the </w:t>
            </w:r>
            <w:r w:rsidRPr="4A1F2B86" w:rsidR="68C537E2">
              <w:rPr>
                <w:rFonts w:ascii="Arial" w:hAnsi="Arial" w:eastAsia="Arial" w:cs="Arial"/>
                <w:sz w:val="22"/>
                <w:szCs w:val="22"/>
              </w:rPr>
              <w:t>choachee</w:t>
            </w:r>
            <w:r w:rsidRPr="4A1F2B86" w:rsidR="68C537E2">
              <w:rPr>
                <w:rFonts w:ascii="Arial" w:hAnsi="Arial" w:eastAsia="Arial" w:cs="Arial"/>
                <w:sz w:val="22"/>
                <w:szCs w:val="22"/>
              </w:rPr>
              <w:t>.</w:t>
            </w:r>
            <w:r w:rsidRPr="4A1F2B86" w:rsidR="20AE3C60">
              <w:rPr>
                <w:rFonts w:ascii="Arial" w:hAnsi="Arial" w:eastAsia="Arial" w:cs="Arial"/>
                <w:sz w:val="22"/>
                <w:szCs w:val="22"/>
              </w:rPr>
              <w:t xml:space="preserve"> </w:t>
            </w:r>
          </w:p>
        </w:tc>
      </w:tr>
      <w:tr w:rsidR="62A9A2FA" w:rsidTr="4A1F2B86" w14:paraId="3ED47C4F">
        <w:trPr>
          <w:trHeight w:val="300"/>
        </w:trPr>
        <w:tc>
          <w:tcPr>
            <w:tcW w:w="1575" w:type="dxa"/>
            <w:tcMar/>
          </w:tcPr>
          <w:p w:rsidR="62A9A2FA" w:rsidP="4A1F2B86" w:rsidRDefault="62A9A2FA" w14:paraId="69C54985" w14:textId="1284E16D">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Effectiveness</w:t>
            </w:r>
          </w:p>
        </w:tc>
        <w:tc>
          <w:tcPr>
            <w:tcW w:w="3690" w:type="dxa"/>
            <w:tcMar/>
          </w:tcPr>
          <w:p w:rsidR="62A9A2FA" w:rsidP="4A1F2B86" w:rsidRDefault="62A9A2FA" w14:paraId="5A392338" w14:textId="3692F688">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Works best for people suffering from a negative mindset</w:t>
            </w:r>
          </w:p>
        </w:tc>
        <w:tc>
          <w:tcPr>
            <w:tcW w:w="3750" w:type="dxa"/>
            <w:tcMar/>
          </w:tcPr>
          <w:p w:rsidR="62A9A2FA" w:rsidP="4A1F2B86" w:rsidRDefault="62A9A2FA" w14:paraId="2101C726" w14:textId="259AAC1A">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Works well for motivated individuals</w:t>
            </w:r>
          </w:p>
        </w:tc>
      </w:tr>
      <w:tr w:rsidR="62A9A2FA" w:rsidTr="4A1F2B86" w14:paraId="05198F73">
        <w:trPr>
          <w:trHeight w:val="300"/>
        </w:trPr>
        <w:tc>
          <w:tcPr>
            <w:tcW w:w="1575" w:type="dxa"/>
            <w:tcMar/>
          </w:tcPr>
          <w:p w:rsidR="62A9A2FA" w:rsidP="4A1F2B86" w:rsidRDefault="62A9A2FA" w14:paraId="140C8EDF" w14:textId="761F7E6D">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 xml:space="preserve">Time </w:t>
            </w:r>
            <w:r w:rsidRPr="4A1F2B86" w:rsidR="2DB0A8A6">
              <w:rPr>
                <w:rFonts w:ascii="Arial" w:hAnsi="Arial" w:eastAsia="Arial" w:cs="Arial"/>
                <w:sz w:val="22"/>
                <w:szCs w:val="22"/>
              </w:rPr>
              <w:t>required</w:t>
            </w:r>
          </w:p>
        </w:tc>
        <w:tc>
          <w:tcPr>
            <w:tcW w:w="3690" w:type="dxa"/>
            <w:tcMar/>
          </w:tcPr>
          <w:p w:rsidR="62A9A2FA" w:rsidP="4A1F2B86" w:rsidRDefault="62A9A2FA" w14:paraId="70345F8A" w14:textId="764233FC">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Long-term and a sustainable mindset change</w:t>
            </w:r>
          </w:p>
        </w:tc>
        <w:tc>
          <w:tcPr>
            <w:tcW w:w="3750" w:type="dxa"/>
            <w:tcMar/>
          </w:tcPr>
          <w:p w:rsidR="62A9A2FA" w:rsidP="4A1F2B86" w:rsidRDefault="62A9A2FA" w14:paraId="68D96619" w14:textId="1CF53849">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Short term with fast impact</w:t>
            </w:r>
          </w:p>
        </w:tc>
      </w:tr>
    </w:tbl>
    <w:p w:rsidR="74224C21" w:rsidP="4A1F2B86" w:rsidRDefault="74224C21" w14:paraId="00785064" w14:textId="0F38B326">
      <w:pPr>
        <w:keepNext w:val="0"/>
        <w:keepLines w:val="0"/>
        <w:spacing w:before="0" w:beforeAutospacing="off" w:after="0" w:afterAutospacing="off" w:line="360" w:lineRule="auto"/>
        <w:ind w:left="5760" w:firstLine="0"/>
        <w:jc w:val="both"/>
        <w:rPr>
          <w:rFonts w:ascii="Arial" w:hAnsi="Arial" w:eastAsia="Arial" w:cs="Arial"/>
          <w:noProof w:val="0"/>
          <w:color w:val="0E101A"/>
          <w:sz w:val="22"/>
          <w:szCs w:val="22"/>
          <w:lang w:val="en-GB"/>
        </w:rPr>
      </w:pPr>
      <w:r w:rsidRPr="4A1F2B86" w:rsidR="74224C21">
        <w:rPr>
          <w:rFonts w:ascii="Arial" w:hAnsi="Arial" w:eastAsia="Arial" w:cs="Arial"/>
          <w:noProof w:val="0"/>
          <w:color w:val="0E101A"/>
          <w:sz w:val="22"/>
          <w:szCs w:val="22"/>
          <w:lang w:val="en-GB"/>
        </w:rPr>
        <w:t xml:space="preserve">Table </w:t>
      </w:r>
      <w:r w:rsidRPr="4A1F2B86" w:rsidR="7F47AC6B">
        <w:rPr>
          <w:rFonts w:ascii="Arial" w:hAnsi="Arial" w:eastAsia="Arial" w:cs="Arial"/>
          <w:noProof w:val="0"/>
          <w:color w:val="0E101A"/>
          <w:sz w:val="22"/>
          <w:szCs w:val="22"/>
          <w:lang w:val="en-GB"/>
        </w:rPr>
        <w:t xml:space="preserve">2 </w:t>
      </w:r>
      <w:r w:rsidRPr="4A1F2B86" w:rsidR="74224C21">
        <w:rPr>
          <w:rFonts w:ascii="Arial" w:hAnsi="Arial" w:eastAsia="Arial" w:cs="Arial"/>
          <w:noProof w:val="0"/>
          <w:color w:val="0E101A"/>
          <w:sz w:val="22"/>
          <w:szCs w:val="22"/>
          <w:lang w:val="en-GB"/>
        </w:rPr>
        <w:t>– Source</w:t>
      </w:r>
      <w:r w:rsidRPr="4A1F2B86" w:rsidR="213A4517">
        <w:rPr>
          <w:rFonts w:ascii="Arial" w:hAnsi="Arial" w:eastAsia="Arial" w:cs="Arial"/>
          <w:noProof w:val="0"/>
          <w:color w:val="0E101A"/>
          <w:sz w:val="22"/>
          <w:szCs w:val="22"/>
          <w:lang w:val="en-GB"/>
        </w:rPr>
        <w:t xml:space="preserve"> – </w:t>
      </w:r>
      <w:r w:rsidRPr="4A1F2B86" w:rsidR="74224C21">
        <w:rPr>
          <w:rFonts w:ascii="Arial" w:hAnsi="Arial" w:eastAsia="Arial" w:cs="Arial"/>
          <w:noProof w:val="0"/>
          <w:color w:val="0E101A"/>
          <w:sz w:val="22"/>
          <w:szCs w:val="22"/>
          <w:lang w:val="en-GB"/>
        </w:rPr>
        <w:t>Author</w:t>
      </w:r>
    </w:p>
    <w:p w:rsidR="4A1F2B86" w:rsidP="4A1F2B86" w:rsidRDefault="4A1F2B86" w14:paraId="753E112E" w14:textId="581EAF63">
      <w:pPr>
        <w:keepNext w:val="0"/>
        <w:keepLines w:val="0"/>
        <w:spacing w:before="0" w:beforeAutospacing="off" w:after="0" w:afterAutospacing="off" w:line="360" w:lineRule="auto"/>
        <w:ind w:left="5760" w:firstLine="0"/>
        <w:jc w:val="both"/>
        <w:rPr>
          <w:rFonts w:ascii="Arial" w:hAnsi="Arial" w:eastAsia="Arial" w:cs="Arial"/>
          <w:noProof w:val="0"/>
          <w:color w:val="0E101A"/>
          <w:sz w:val="22"/>
          <w:szCs w:val="22"/>
          <w:lang w:val="en-GB"/>
        </w:rPr>
      </w:pPr>
    </w:p>
    <w:p w:rsidR="34B2AFF8" w:rsidP="4A1F2B86" w:rsidRDefault="34B2AFF8" w14:paraId="1DB0975A" w14:textId="5C1DD7BC">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Cognitive Behavioural Coaching (CBC) stands out as a highly effective method for individuals dealing with self-limiting beliefs, anxiety, and negative thought patterns</w:t>
      </w:r>
      <w:r w:rsidRPr="4A1F2B86" w:rsidR="2479B305">
        <w:rPr>
          <w:rFonts w:ascii="Arial" w:hAnsi="Arial" w:eastAsia="Arial" w:cs="Arial"/>
          <w:noProof w:val="0"/>
          <w:color w:val="0E101A"/>
          <w:sz w:val="22"/>
          <w:szCs w:val="22"/>
          <w:lang w:val="en-GB"/>
        </w:rPr>
        <w:t xml:space="preserve"> as noted in table 2</w:t>
      </w:r>
      <w:r w:rsidRPr="4A1F2B86" w:rsidR="34B2AFF8">
        <w:rPr>
          <w:rFonts w:ascii="Arial" w:hAnsi="Arial" w:eastAsia="Arial" w:cs="Arial"/>
          <w:noProof w:val="0"/>
          <w:color w:val="0E101A"/>
          <w:sz w:val="22"/>
          <w:szCs w:val="22"/>
          <w:lang w:val="en-GB"/>
        </w:rPr>
        <w:t xml:space="preserve">. By integrating principles from Cognitive Behavioural Therapy (CBT), CBC </w:t>
      </w:r>
      <w:r w:rsidRPr="4A1F2B86" w:rsidR="34B2AFF8">
        <w:rPr>
          <w:rFonts w:ascii="Arial" w:hAnsi="Arial" w:eastAsia="Arial" w:cs="Arial"/>
          <w:noProof w:val="0"/>
          <w:color w:val="0E101A"/>
          <w:sz w:val="22"/>
          <w:szCs w:val="22"/>
          <w:lang w:val="en-GB"/>
        </w:rPr>
        <w:t>facilitates</w:t>
      </w:r>
      <w:r w:rsidRPr="4A1F2B86" w:rsidR="34B2AFF8">
        <w:rPr>
          <w:rFonts w:ascii="Arial" w:hAnsi="Arial" w:eastAsia="Arial" w:cs="Arial"/>
          <w:noProof w:val="0"/>
          <w:color w:val="0E101A"/>
          <w:sz w:val="22"/>
          <w:szCs w:val="22"/>
          <w:lang w:val="en-GB"/>
        </w:rPr>
        <w:t xml:space="preserve"> </w:t>
      </w:r>
      <w:r w:rsidRPr="4A1F2B86" w:rsidR="34B2AFF8">
        <w:rPr>
          <w:rFonts w:ascii="Arial" w:hAnsi="Arial" w:eastAsia="Arial" w:cs="Arial"/>
          <w:noProof w:val="0"/>
          <w:color w:val="0E101A"/>
          <w:sz w:val="22"/>
          <w:szCs w:val="22"/>
          <w:lang w:val="en-GB"/>
        </w:rPr>
        <w:t>substantial</w:t>
      </w:r>
      <w:r w:rsidRPr="4A1F2B86" w:rsidR="34B2AFF8">
        <w:rPr>
          <w:rFonts w:ascii="Arial" w:hAnsi="Arial" w:eastAsia="Arial" w:cs="Arial"/>
          <w:noProof w:val="0"/>
          <w:color w:val="0E101A"/>
          <w:sz w:val="22"/>
          <w:szCs w:val="22"/>
          <w:lang w:val="en-GB"/>
        </w:rPr>
        <w:t xml:space="preserve">, lasting shifts in mindset, </w:t>
      </w:r>
      <w:r w:rsidRPr="4A1F2B86" w:rsidR="34B2AFF8">
        <w:rPr>
          <w:rFonts w:ascii="Arial" w:hAnsi="Arial" w:eastAsia="Arial" w:cs="Arial"/>
          <w:noProof w:val="0"/>
          <w:color w:val="0E101A"/>
          <w:sz w:val="22"/>
          <w:szCs w:val="22"/>
          <w:lang w:val="en-GB"/>
        </w:rPr>
        <w:t>ultimately enhancing</w:t>
      </w:r>
      <w:r w:rsidRPr="4A1F2B86" w:rsidR="34B2AFF8">
        <w:rPr>
          <w:rFonts w:ascii="Arial" w:hAnsi="Arial" w:eastAsia="Arial" w:cs="Arial"/>
          <w:noProof w:val="0"/>
          <w:color w:val="0E101A"/>
          <w:sz w:val="22"/>
          <w:szCs w:val="22"/>
          <w:lang w:val="en-GB"/>
        </w:rPr>
        <w:t xml:space="preserve"> resilience and self-</w:t>
      </w:r>
      <w:r w:rsidRPr="4A1F2B86" w:rsidR="4DEFB89F">
        <w:rPr>
          <w:rFonts w:ascii="Arial" w:hAnsi="Arial" w:eastAsia="Arial" w:cs="Arial"/>
          <w:noProof w:val="0"/>
          <w:color w:val="0E101A"/>
          <w:sz w:val="22"/>
          <w:szCs w:val="22"/>
          <w:lang w:val="en-GB"/>
        </w:rPr>
        <w:t>awareness (Ololo</w:t>
      </w:r>
      <w:r w:rsidRPr="4A1F2B86" w:rsidR="34B2AFF8">
        <w:rPr>
          <w:rFonts w:ascii="Arial" w:hAnsi="Arial" w:eastAsia="Arial" w:cs="Arial"/>
          <w:noProof w:val="0"/>
          <w:color w:val="0E101A"/>
          <w:sz w:val="22"/>
          <w:szCs w:val="22"/>
          <w:lang w:val="en-GB"/>
        </w:rPr>
        <w:t xml:space="preserve">, K. </w:t>
      </w:r>
      <w:r w:rsidRPr="4A1F2B86" w:rsidR="34B2AFF8">
        <w:rPr>
          <w:rFonts w:ascii="Arial" w:hAnsi="Arial" w:eastAsia="Arial" w:cs="Arial"/>
          <w:i w:val="1"/>
          <w:iCs w:val="1"/>
          <w:noProof w:val="0"/>
          <w:color w:val="0E101A"/>
          <w:sz w:val="22"/>
          <w:szCs w:val="22"/>
          <w:lang w:val="en-GB"/>
        </w:rPr>
        <w:t>et al.</w:t>
      </w:r>
      <w:r w:rsidRPr="4A1F2B86" w:rsidR="34B2AFF8">
        <w:rPr>
          <w:rFonts w:ascii="Arial" w:hAnsi="Arial" w:eastAsia="Arial" w:cs="Arial"/>
          <w:noProof w:val="0"/>
          <w:color w:val="0E101A"/>
          <w:sz w:val="22"/>
          <w:szCs w:val="22"/>
          <w:lang w:val="en-GB"/>
        </w:rPr>
        <w:t xml:space="preserve"> 2024). However, </w:t>
      </w:r>
      <w:r w:rsidRPr="4A1F2B86" w:rsidR="34B2AFF8">
        <w:rPr>
          <w:rFonts w:ascii="Arial" w:hAnsi="Arial" w:eastAsia="Arial" w:cs="Arial"/>
          <w:noProof w:val="0"/>
          <w:color w:val="0E101A"/>
          <w:sz w:val="22"/>
          <w:szCs w:val="22"/>
          <w:lang w:val="en-GB"/>
        </w:rPr>
        <w:t>it’s</w:t>
      </w:r>
      <w:r w:rsidRPr="4A1F2B86" w:rsidR="34B2AFF8">
        <w:rPr>
          <w:rFonts w:ascii="Arial" w:hAnsi="Arial" w:eastAsia="Arial" w:cs="Arial"/>
          <w:noProof w:val="0"/>
          <w:color w:val="0E101A"/>
          <w:sz w:val="22"/>
          <w:szCs w:val="22"/>
          <w:lang w:val="en-GB"/>
        </w:rPr>
        <w:t xml:space="preserve"> important to acknowledge its limitations.</w:t>
      </w:r>
    </w:p>
    <w:p w:rsidR="45BE726F" w:rsidP="4A1F2B86" w:rsidRDefault="45BE726F" w14:paraId="5D7CAE3D" w14:textId="3FE39629">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041C4078" w14:textId="638EDBBF">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Firstly, CBC is a time-intensive approach that may overwhelm clients who are looking for quick and structured solutions. In contrast to the GROW model, which focuses on </w:t>
      </w:r>
      <w:r w:rsidRPr="4A1F2B86" w:rsidR="273D0824">
        <w:rPr>
          <w:rFonts w:ascii="Arial" w:hAnsi="Arial" w:eastAsia="Arial" w:cs="Arial"/>
          <w:noProof w:val="0"/>
          <w:color w:val="0E101A"/>
          <w:sz w:val="22"/>
          <w:szCs w:val="22"/>
          <w:lang w:val="en-GB"/>
        </w:rPr>
        <w:t>goal setting</w:t>
      </w:r>
      <w:r w:rsidRPr="4A1F2B86" w:rsidR="34B2AFF8">
        <w:rPr>
          <w:rFonts w:ascii="Arial" w:hAnsi="Arial" w:eastAsia="Arial" w:cs="Arial"/>
          <w:noProof w:val="0"/>
          <w:color w:val="0E101A"/>
          <w:sz w:val="22"/>
          <w:szCs w:val="22"/>
          <w:lang w:val="en-GB"/>
        </w:rPr>
        <w:t xml:space="preserve">, CBC delves deeper into psychological barriers, making it more comprehensive than necessary for individuals who </w:t>
      </w:r>
      <w:r w:rsidRPr="4A1F2B86" w:rsidR="34B2AFF8">
        <w:rPr>
          <w:rFonts w:ascii="Arial" w:hAnsi="Arial" w:eastAsia="Arial" w:cs="Arial"/>
          <w:noProof w:val="0"/>
          <w:color w:val="0E101A"/>
          <w:sz w:val="22"/>
          <w:szCs w:val="22"/>
          <w:lang w:val="en-GB"/>
        </w:rPr>
        <w:t>don’t</w:t>
      </w:r>
      <w:r w:rsidRPr="4A1F2B86" w:rsidR="34B2AFF8">
        <w:rPr>
          <w:rFonts w:ascii="Arial" w:hAnsi="Arial" w:eastAsia="Arial" w:cs="Arial"/>
          <w:noProof w:val="0"/>
          <w:color w:val="0E101A"/>
          <w:sz w:val="22"/>
          <w:szCs w:val="22"/>
          <w:lang w:val="en-GB"/>
        </w:rPr>
        <w:t xml:space="preserve"> need such an in-depth exploration.</w:t>
      </w:r>
    </w:p>
    <w:p w:rsidR="34B2AFF8" w:rsidP="4A1F2B86" w:rsidRDefault="34B2AFF8" w14:paraId="06C32D6C" w14:textId="1145C32B">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Moreover, CBC </w:t>
      </w:r>
      <w:r w:rsidRPr="4A1F2B86" w:rsidR="34B2AFF8">
        <w:rPr>
          <w:rFonts w:ascii="Arial" w:hAnsi="Arial" w:eastAsia="Arial" w:cs="Arial"/>
          <w:noProof w:val="0"/>
          <w:color w:val="0E101A"/>
          <w:sz w:val="22"/>
          <w:szCs w:val="22"/>
          <w:lang w:val="en-GB"/>
        </w:rPr>
        <w:t>requires</w:t>
      </w:r>
      <w:r w:rsidRPr="4A1F2B86" w:rsidR="34B2AFF8">
        <w:rPr>
          <w:rFonts w:ascii="Arial" w:hAnsi="Arial" w:eastAsia="Arial" w:cs="Arial"/>
          <w:noProof w:val="0"/>
          <w:color w:val="0E101A"/>
          <w:sz w:val="22"/>
          <w:szCs w:val="22"/>
          <w:lang w:val="en-GB"/>
        </w:rPr>
        <w:t xml:space="preserve"> specialized knowledge, meaning coaches must have psychological </w:t>
      </w:r>
      <w:r w:rsidRPr="4A1F2B86" w:rsidR="34B2AFF8">
        <w:rPr>
          <w:rFonts w:ascii="Arial" w:hAnsi="Arial" w:eastAsia="Arial" w:cs="Arial"/>
          <w:noProof w:val="0"/>
          <w:color w:val="0E101A"/>
          <w:sz w:val="22"/>
          <w:szCs w:val="22"/>
          <w:lang w:val="en-GB"/>
        </w:rPr>
        <w:t>expertise</w:t>
      </w:r>
      <w:r w:rsidRPr="4A1F2B86" w:rsidR="34B2AFF8">
        <w:rPr>
          <w:rFonts w:ascii="Arial" w:hAnsi="Arial" w:eastAsia="Arial" w:cs="Arial"/>
          <w:noProof w:val="0"/>
          <w:color w:val="0E101A"/>
          <w:sz w:val="22"/>
          <w:szCs w:val="22"/>
          <w:lang w:val="en-GB"/>
        </w:rPr>
        <w:t>, which can limit its accessibility. This necessity presents a barrier for non-therapist coaches and can elevate coaching costs. While CBC excels at addressing deep-seated cognitive challenges, its complexity and resource demands can make it impractical in certain coaching environments—especially when a simpler, action-driven model is adequate.</w:t>
      </w:r>
    </w:p>
    <w:p w:rsidR="45BE726F" w:rsidP="4A1F2B86" w:rsidRDefault="45BE726F" w14:paraId="26B02E46" w14:textId="14B45AC9">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7669DF3F" w14:textId="15740DE4">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Conversely, the GROW model is a proven coaching framework that provides a structured and goal-oriented approach to personal and professional development. Its simplicity makes it accessible and adaptable across </w:t>
      </w:r>
      <w:r w:rsidRPr="4A1F2B86" w:rsidR="34B2AFF8">
        <w:rPr>
          <w:rFonts w:ascii="Arial" w:hAnsi="Arial" w:eastAsia="Arial" w:cs="Arial"/>
          <w:noProof w:val="0"/>
          <w:color w:val="0E101A"/>
          <w:sz w:val="22"/>
          <w:szCs w:val="22"/>
          <w:lang w:val="en-GB"/>
        </w:rPr>
        <w:t>numerous</w:t>
      </w:r>
      <w:r w:rsidRPr="4A1F2B86" w:rsidR="34B2AFF8">
        <w:rPr>
          <w:rFonts w:ascii="Arial" w:hAnsi="Arial" w:eastAsia="Arial" w:cs="Arial"/>
          <w:noProof w:val="0"/>
          <w:color w:val="0E101A"/>
          <w:sz w:val="22"/>
          <w:szCs w:val="22"/>
          <w:lang w:val="en-GB"/>
        </w:rPr>
        <w:t xml:space="preserve"> contexts, from leadership coaching to performance enhancement (Panchal, and Riddell, 2020). By concentrating on Goal, Reality, Options, and Will, it empowers individuals to take charge of their progress.</w:t>
      </w:r>
    </w:p>
    <w:p w:rsidR="45BE726F" w:rsidP="4A1F2B86" w:rsidRDefault="45BE726F" w14:paraId="3B3070FA" w14:textId="14426ED7">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4352D21C" w14:textId="1A08B465">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Nevertheless, the GROW model also has its shortcomings. It primarily focuses on external actions and often overlooks the internal psychological barriers that can obstruct progress. Individuals struggling with self-limiting beliefs, negative thinking, or emotional challenges often find GROW inadequate, lacking the depth needed to address cognitive distortions.</w:t>
      </w:r>
    </w:p>
    <w:p w:rsidR="34B2AFF8" w:rsidP="4A1F2B86" w:rsidRDefault="34B2AFF8" w14:paraId="48C58ED8" w14:textId="3A2C314E">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Additionally, the effectiveness of the GROW model is heavily dependent on the coach’s questioning skills, which can lead to variability in outcomes. When deeper mindset shifts are </w:t>
      </w:r>
      <w:r w:rsidRPr="4A1F2B86" w:rsidR="34B2AFF8">
        <w:rPr>
          <w:rFonts w:ascii="Arial" w:hAnsi="Arial" w:eastAsia="Arial" w:cs="Arial"/>
          <w:noProof w:val="0"/>
          <w:color w:val="0E101A"/>
          <w:sz w:val="22"/>
          <w:szCs w:val="22"/>
          <w:lang w:val="en-GB"/>
        </w:rPr>
        <w:t>required</w:t>
      </w:r>
      <w:r w:rsidRPr="4A1F2B86" w:rsidR="34B2AFF8">
        <w:rPr>
          <w:rFonts w:ascii="Arial" w:hAnsi="Arial" w:eastAsia="Arial" w:cs="Arial"/>
          <w:noProof w:val="0"/>
          <w:color w:val="0E101A"/>
          <w:sz w:val="22"/>
          <w:szCs w:val="22"/>
          <w:lang w:val="en-GB"/>
        </w:rPr>
        <w:t xml:space="preserve">, a more psychologically informed approach such as Cognitive Behavioural Coaching is often the more effective choice. Thus, while GROW is an excellent tool for structured </w:t>
      </w:r>
      <w:r w:rsidRPr="4A1F2B86" w:rsidR="052EA321">
        <w:rPr>
          <w:rFonts w:ascii="Arial" w:hAnsi="Arial" w:eastAsia="Arial" w:cs="Arial"/>
          <w:noProof w:val="0"/>
          <w:color w:val="0E101A"/>
          <w:sz w:val="22"/>
          <w:szCs w:val="22"/>
          <w:lang w:val="en-GB"/>
        </w:rPr>
        <w:t>goal setting</w:t>
      </w:r>
      <w:r w:rsidRPr="4A1F2B86" w:rsidR="34B2AFF8">
        <w:rPr>
          <w:rFonts w:ascii="Arial" w:hAnsi="Arial" w:eastAsia="Arial" w:cs="Arial"/>
          <w:noProof w:val="0"/>
          <w:color w:val="0E101A"/>
          <w:sz w:val="22"/>
          <w:szCs w:val="22"/>
          <w:lang w:val="en-GB"/>
        </w:rPr>
        <w:t>, it may not adequately serve clients facing underlying mental obstacles.</w:t>
      </w:r>
    </w:p>
    <w:p w:rsidR="4084F6B3" w:rsidP="4A1F2B86" w:rsidRDefault="4084F6B3" w14:paraId="19B9BF4E" w14:textId="2094BB75">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4084F6B3">
        <w:rPr>
          <w:rFonts w:ascii="Arial" w:hAnsi="Arial" w:eastAsia="Arial" w:cs="Arial"/>
          <w:noProof w:val="0"/>
          <w:color w:val="0E101A"/>
          <w:sz w:val="22"/>
          <w:szCs w:val="22"/>
          <w:lang w:val="en-GB"/>
        </w:rPr>
        <w:t xml:space="preserve">After conducting a critical evaluation of both models, the GROW model will be employed in the practical assessment to </w:t>
      </w:r>
      <w:r w:rsidRPr="4A1F2B86" w:rsidR="4084F6B3">
        <w:rPr>
          <w:rFonts w:ascii="Arial" w:hAnsi="Arial" w:eastAsia="Arial" w:cs="Arial"/>
          <w:noProof w:val="0"/>
          <w:color w:val="0E101A"/>
          <w:sz w:val="22"/>
          <w:szCs w:val="22"/>
          <w:lang w:val="en-GB"/>
        </w:rPr>
        <w:t>identify</w:t>
      </w:r>
      <w:r w:rsidRPr="4A1F2B86" w:rsidR="4084F6B3">
        <w:rPr>
          <w:rFonts w:ascii="Arial" w:hAnsi="Arial" w:eastAsia="Arial" w:cs="Arial"/>
          <w:noProof w:val="0"/>
          <w:color w:val="0E101A"/>
          <w:sz w:val="22"/>
          <w:szCs w:val="22"/>
          <w:lang w:val="en-GB"/>
        </w:rPr>
        <w:t xml:space="preserve"> short-term targets, while incorporating specific questions aimed at understanding the </w:t>
      </w:r>
      <w:r w:rsidRPr="4A1F2B86" w:rsidR="4084F6B3">
        <w:rPr>
          <w:rFonts w:ascii="Arial" w:hAnsi="Arial" w:eastAsia="Arial" w:cs="Arial"/>
          <w:noProof w:val="0"/>
          <w:color w:val="0E101A"/>
          <w:sz w:val="22"/>
          <w:szCs w:val="22"/>
          <w:lang w:val="en-GB"/>
        </w:rPr>
        <w:t>coachee’s</w:t>
      </w:r>
      <w:r w:rsidRPr="4A1F2B86" w:rsidR="4084F6B3">
        <w:rPr>
          <w:rFonts w:ascii="Arial" w:hAnsi="Arial" w:eastAsia="Arial" w:cs="Arial"/>
          <w:noProof w:val="0"/>
          <w:color w:val="0E101A"/>
          <w:sz w:val="22"/>
          <w:szCs w:val="22"/>
          <w:lang w:val="en-GB"/>
        </w:rPr>
        <w:t xml:space="preserve"> emotions. This </w:t>
      </w:r>
      <w:r w:rsidRPr="4A1F2B86" w:rsidR="4084F6B3">
        <w:rPr>
          <w:rFonts w:ascii="Arial" w:hAnsi="Arial" w:eastAsia="Arial" w:cs="Arial"/>
          <w:noProof w:val="0"/>
          <w:color w:val="0E101A"/>
          <w:sz w:val="22"/>
          <w:szCs w:val="22"/>
          <w:lang w:val="en-GB"/>
        </w:rPr>
        <w:t>methodology</w:t>
      </w:r>
      <w:r w:rsidRPr="4A1F2B86" w:rsidR="4084F6B3">
        <w:rPr>
          <w:rFonts w:ascii="Arial" w:hAnsi="Arial" w:eastAsia="Arial" w:cs="Arial"/>
          <w:noProof w:val="0"/>
          <w:color w:val="0E101A"/>
          <w:sz w:val="22"/>
          <w:szCs w:val="22"/>
          <w:lang w:val="en-GB"/>
        </w:rPr>
        <w:t xml:space="preserve"> provides a structured framework while subtly integrating elements of Cognitive Behavioural Coaching (CBC) to </w:t>
      </w:r>
      <w:r w:rsidRPr="4A1F2B86" w:rsidR="4084F6B3">
        <w:rPr>
          <w:rFonts w:ascii="Arial" w:hAnsi="Arial" w:eastAsia="Arial" w:cs="Arial"/>
          <w:noProof w:val="0"/>
          <w:color w:val="0E101A"/>
          <w:sz w:val="22"/>
          <w:szCs w:val="22"/>
          <w:lang w:val="en-GB"/>
        </w:rPr>
        <w:t>identify</w:t>
      </w:r>
      <w:r w:rsidRPr="4A1F2B86" w:rsidR="4084F6B3">
        <w:rPr>
          <w:rFonts w:ascii="Arial" w:hAnsi="Arial" w:eastAsia="Arial" w:cs="Arial"/>
          <w:noProof w:val="0"/>
          <w:color w:val="0E101A"/>
          <w:sz w:val="22"/>
          <w:szCs w:val="22"/>
          <w:lang w:val="en-GB"/>
        </w:rPr>
        <w:t xml:space="preserve"> areas where the service receiver may </w:t>
      </w:r>
      <w:r w:rsidRPr="4A1F2B86" w:rsidR="4084F6B3">
        <w:rPr>
          <w:rFonts w:ascii="Arial" w:hAnsi="Arial" w:eastAsia="Arial" w:cs="Arial"/>
          <w:noProof w:val="0"/>
          <w:color w:val="0E101A"/>
          <w:sz w:val="22"/>
          <w:szCs w:val="22"/>
          <w:lang w:val="en-GB"/>
        </w:rPr>
        <w:t>require</w:t>
      </w:r>
      <w:r w:rsidRPr="4A1F2B86" w:rsidR="4084F6B3">
        <w:rPr>
          <w:rFonts w:ascii="Arial" w:hAnsi="Arial" w:eastAsia="Arial" w:cs="Arial"/>
          <w:noProof w:val="0"/>
          <w:color w:val="0E101A"/>
          <w:sz w:val="22"/>
          <w:szCs w:val="22"/>
          <w:lang w:val="en-GB"/>
        </w:rPr>
        <w:t xml:space="preserve"> </w:t>
      </w:r>
      <w:r w:rsidRPr="4A1F2B86" w:rsidR="4084F6B3">
        <w:rPr>
          <w:rFonts w:ascii="Arial" w:hAnsi="Arial" w:eastAsia="Arial" w:cs="Arial"/>
          <w:noProof w:val="0"/>
          <w:color w:val="0E101A"/>
          <w:sz w:val="22"/>
          <w:szCs w:val="22"/>
          <w:lang w:val="en-GB"/>
        </w:rPr>
        <w:t>additional</w:t>
      </w:r>
      <w:r w:rsidRPr="4A1F2B86" w:rsidR="4084F6B3">
        <w:rPr>
          <w:rFonts w:ascii="Arial" w:hAnsi="Arial" w:eastAsia="Arial" w:cs="Arial"/>
          <w:noProof w:val="0"/>
          <w:color w:val="0E101A"/>
          <w:sz w:val="22"/>
          <w:szCs w:val="22"/>
          <w:lang w:val="en-GB"/>
        </w:rPr>
        <w:t xml:space="preserve"> support. By adopting this approach, the coaching process </w:t>
      </w:r>
      <w:r w:rsidRPr="4A1F2B86" w:rsidR="4084F6B3">
        <w:rPr>
          <w:rFonts w:ascii="Arial" w:hAnsi="Arial" w:eastAsia="Arial" w:cs="Arial"/>
          <w:noProof w:val="0"/>
          <w:color w:val="0E101A"/>
          <w:sz w:val="22"/>
          <w:szCs w:val="22"/>
          <w:lang w:val="en-GB"/>
        </w:rPr>
        <w:t>remains</w:t>
      </w:r>
      <w:r w:rsidRPr="4A1F2B86" w:rsidR="4084F6B3">
        <w:rPr>
          <w:rFonts w:ascii="Arial" w:hAnsi="Arial" w:eastAsia="Arial" w:cs="Arial"/>
          <w:noProof w:val="0"/>
          <w:color w:val="0E101A"/>
          <w:sz w:val="22"/>
          <w:szCs w:val="22"/>
          <w:lang w:val="en-GB"/>
        </w:rPr>
        <w:t xml:space="preserve"> focused on goals while also addressing potential psychological barriers. This blended strategy ensures a harmonious balance between action-oriented techniques and heightened self-awareness, </w:t>
      </w:r>
      <w:r w:rsidRPr="4A1F2B86" w:rsidR="4084F6B3">
        <w:rPr>
          <w:rFonts w:ascii="Arial" w:hAnsi="Arial" w:eastAsia="Arial" w:cs="Arial"/>
          <w:noProof w:val="0"/>
          <w:color w:val="0E101A"/>
          <w:sz w:val="22"/>
          <w:szCs w:val="22"/>
          <w:lang w:val="en-GB"/>
        </w:rPr>
        <w:t>ultimately making</w:t>
      </w:r>
      <w:r w:rsidRPr="4A1F2B86" w:rsidR="4084F6B3">
        <w:rPr>
          <w:rFonts w:ascii="Arial" w:hAnsi="Arial" w:eastAsia="Arial" w:cs="Arial"/>
          <w:noProof w:val="0"/>
          <w:color w:val="0E101A"/>
          <w:sz w:val="22"/>
          <w:szCs w:val="22"/>
          <w:lang w:val="en-GB"/>
        </w:rPr>
        <w:t xml:space="preserve"> the coaching experience more effective and tailored to the individual's unique needs.</w:t>
      </w:r>
    </w:p>
    <w:p w:rsidR="2FAF0265" w:rsidP="45BE726F" w:rsidRDefault="2FAF0265" w14:paraId="5FE3CFCE" w14:textId="0D85DF0D">
      <w:pPr>
        <w:pStyle w:val="Heading1"/>
        <w:keepNext w:val="0"/>
        <w:keepLines w:val="0"/>
        <w:spacing w:line="360" w:lineRule="auto"/>
        <w:jc w:val="both"/>
        <w:rPr>
          <w:rFonts w:ascii="Arial" w:hAnsi="Arial" w:eastAsia="Arial" w:cs="Arial"/>
          <w:sz w:val="22"/>
          <w:szCs w:val="22"/>
        </w:rPr>
      </w:pPr>
      <w:bookmarkStart w:name="_Toc46238039" w:id="612425921"/>
      <w:r w:rsidRPr="4A1F2B86" w:rsidR="153F8DAF">
        <w:rPr>
          <w:rFonts w:ascii="Arial" w:hAnsi="Arial" w:eastAsia="Arial" w:cs="Arial"/>
          <w:sz w:val="22"/>
          <w:szCs w:val="22"/>
        </w:rPr>
        <w:t>Reflection</w:t>
      </w:r>
      <w:r w:rsidRPr="4A1F2B86" w:rsidR="153F8DAF">
        <w:rPr>
          <w:rFonts w:ascii="Arial" w:hAnsi="Arial" w:eastAsia="Arial" w:cs="Arial"/>
          <w:sz w:val="22"/>
          <w:szCs w:val="22"/>
        </w:rPr>
        <w:t xml:space="preserve"> of coaching</w:t>
      </w:r>
      <w:bookmarkEnd w:id="612425921"/>
    </w:p>
    <w:p w:rsidR="7228B067" w:rsidP="4A1F2B86" w:rsidRDefault="7228B067" w14:paraId="04B824D4" w14:textId="306C0223">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In reflecting on the first coaching session, I employed Driscoll's 'What' model of reflection, which </w:t>
      </w:r>
      <w:r w:rsidRPr="4A1F2B86" w:rsidR="7228B067">
        <w:rPr>
          <w:rFonts w:ascii="Arial" w:hAnsi="Arial" w:eastAsia="Arial" w:cs="Arial"/>
          <w:b w:val="0"/>
          <w:bCs w:val="0"/>
          <w:noProof w:val="0"/>
          <w:color w:val="0E101A"/>
          <w:sz w:val="22"/>
          <w:szCs w:val="22"/>
          <w:lang w:val="en-GB"/>
        </w:rPr>
        <w:t>comprises</w:t>
      </w:r>
      <w:r w:rsidRPr="4A1F2B86" w:rsidR="7228B067">
        <w:rPr>
          <w:rFonts w:ascii="Arial" w:hAnsi="Arial" w:eastAsia="Arial" w:cs="Arial"/>
          <w:b w:val="0"/>
          <w:bCs w:val="0"/>
          <w:noProof w:val="0"/>
          <w:color w:val="0E101A"/>
          <w:sz w:val="22"/>
          <w:szCs w:val="22"/>
          <w:lang w:val="en-GB"/>
        </w:rPr>
        <w:t xml:space="preserve"> three essential stages: 'What,' 'So What,' and 'Now What' (Driscoll, 2007). This structured framework provides a comprehensive approach for dissecting the event at hand, </w:t>
      </w:r>
      <w:r w:rsidRPr="4A1F2B86" w:rsidR="7228B067">
        <w:rPr>
          <w:rFonts w:ascii="Arial" w:hAnsi="Arial" w:eastAsia="Arial" w:cs="Arial"/>
          <w:b w:val="0"/>
          <w:bCs w:val="0"/>
          <w:noProof w:val="0"/>
          <w:color w:val="0E101A"/>
          <w:sz w:val="22"/>
          <w:szCs w:val="22"/>
          <w:lang w:val="en-GB"/>
        </w:rPr>
        <w:t>facilitating</w:t>
      </w:r>
      <w:r w:rsidRPr="4A1F2B86" w:rsidR="7228B067">
        <w:rPr>
          <w:rFonts w:ascii="Arial" w:hAnsi="Arial" w:eastAsia="Arial" w:cs="Arial"/>
          <w:b w:val="0"/>
          <w:bCs w:val="0"/>
          <w:noProof w:val="0"/>
          <w:color w:val="0E101A"/>
          <w:sz w:val="22"/>
          <w:szCs w:val="22"/>
          <w:lang w:val="en-GB"/>
        </w:rPr>
        <w:t xml:space="preserve"> a deeper understanding of its implications, and developing actionable strategies for future growth. Kaur (2023) aptly notes that such an approach fosters a thorough examination of behavioural impacts and aids in evaluating best practices moving forward.</w:t>
      </w:r>
    </w:p>
    <w:p w:rsidR="7228B067" w:rsidP="4A1F2B86" w:rsidRDefault="7228B067" w14:paraId="6AA0D0F9" w14:textId="04540B64">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w:t>
      </w:r>
      <w:r w:rsidRPr="4A1F2B86" w:rsidR="7228B067">
        <w:rPr>
          <w:rFonts w:ascii="Arial" w:hAnsi="Arial" w:eastAsia="Arial" w:cs="Arial"/>
          <w:b w:val="0"/>
          <w:bCs w:val="0"/>
          <w:noProof w:val="0"/>
          <w:color w:val="0E101A"/>
          <w:sz w:val="22"/>
          <w:szCs w:val="22"/>
          <w:lang w:val="en-GB"/>
        </w:rPr>
        <w:t>WHAT:*</w:t>
      </w:r>
      <w:r w:rsidRPr="4A1F2B86" w:rsidR="7228B067">
        <w:rPr>
          <w:rFonts w:ascii="Arial" w:hAnsi="Arial" w:eastAsia="Arial" w:cs="Arial"/>
          <w:b w:val="0"/>
          <w:bCs w:val="0"/>
          <w:noProof w:val="0"/>
          <w:color w:val="0E101A"/>
          <w:sz w:val="22"/>
          <w:szCs w:val="22"/>
          <w:lang w:val="en-GB"/>
        </w:rPr>
        <w:t xml:space="preserve">*  </w:t>
      </w:r>
    </w:p>
    <w:p w:rsidR="7228B067" w:rsidP="4A1F2B86" w:rsidRDefault="7228B067" w14:paraId="0C0F5F32" w14:textId="36F82122">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During the coaching session, we </w:t>
      </w:r>
      <w:r w:rsidRPr="4A1F2B86" w:rsidR="7228B067">
        <w:rPr>
          <w:rFonts w:ascii="Arial" w:hAnsi="Arial" w:eastAsia="Arial" w:cs="Arial"/>
          <w:b w:val="0"/>
          <w:bCs w:val="0"/>
          <w:noProof w:val="0"/>
          <w:color w:val="0E101A"/>
          <w:sz w:val="22"/>
          <w:szCs w:val="22"/>
          <w:lang w:val="en-GB"/>
        </w:rPr>
        <w:t>utilized</w:t>
      </w:r>
      <w:r w:rsidRPr="4A1F2B86" w:rsidR="7228B067">
        <w:rPr>
          <w:rFonts w:ascii="Arial" w:hAnsi="Arial" w:eastAsia="Arial" w:cs="Arial"/>
          <w:b w:val="0"/>
          <w:bCs w:val="0"/>
          <w:noProof w:val="0"/>
          <w:color w:val="0E101A"/>
          <w:sz w:val="22"/>
          <w:szCs w:val="22"/>
          <w:lang w:val="en-GB"/>
        </w:rPr>
        <w:t xml:space="preserve"> the GROW (Goal, Reality, Options, Will) model (Whitmore, 2009), with my role as the </w:t>
      </w:r>
      <w:r w:rsidRPr="4A1F2B86" w:rsidR="7228B067">
        <w:rPr>
          <w:rFonts w:ascii="Arial" w:hAnsi="Arial" w:eastAsia="Arial" w:cs="Arial"/>
          <w:b w:val="0"/>
          <w:bCs w:val="0"/>
          <w:noProof w:val="0"/>
          <w:color w:val="0E101A"/>
          <w:sz w:val="22"/>
          <w:szCs w:val="22"/>
          <w:lang w:val="en-GB"/>
        </w:rPr>
        <w:t>coachee</w:t>
      </w:r>
      <w:r w:rsidRPr="4A1F2B86" w:rsidR="7228B067">
        <w:rPr>
          <w:rFonts w:ascii="Arial" w:hAnsi="Arial" w:eastAsia="Arial" w:cs="Arial"/>
          <w:b w:val="0"/>
          <w:bCs w:val="0"/>
          <w:noProof w:val="0"/>
          <w:color w:val="0E101A"/>
          <w:sz w:val="22"/>
          <w:szCs w:val="22"/>
          <w:lang w:val="en-GB"/>
        </w:rPr>
        <w:t xml:space="preserve">. Our primary </w:t>
      </w:r>
      <w:r w:rsidRPr="4A1F2B86" w:rsidR="7228B067">
        <w:rPr>
          <w:rFonts w:ascii="Arial" w:hAnsi="Arial" w:eastAsia="Arial" w:cs="Arial"/>
          <w:b w:val="0"/>
          <w:bCs w:val="0"/>
          <w:noProof w:val="0"/>
          <w:color w:val="0E101A"/>
          <w:sz w:val="22"/>
          <w:szCs w:val="22"/>
          <w:lang w:val="en-GB"/>
        </w:rPr>
        <w:t>objective</w:t>
      </w:r>
      <w:r w:rsidRPr="4A1F2B86" w:rsidR="7228B067">
        <w:rPr>
          <w:rFonts w:ascii="Arial" w:hAnsi="Arial" w:eastAsia="Arial" w:cs="Arial"/>
          <w:b w:val="0"/>
          <w:bCs w:val="0"/>
          <w:noProof w:val="0"/>
          <w:color w:val="0E101A"/>
          <w:sz w:val="22"/>
          <w:szCs w:val="22"/>
          <w:lang w:val="en-GB"/>
        </w:rPr>
        <w:t xml:space="preserve"> was to bolster my confidence in navigating challenging customer interactions. In the Reality phase, we explored various workplace scenarios, elucidating the importance of addressing this goal. The Options stage involved brainstorming potential solutions, including shadowing personnel in the complaints department, engaging in role-playing exercises, and practicing techniques to </w:t>
      </w:r>
      <w:r w:rsidRPr="4A1F2B86" w:rsidR="7228B067">
        <w:rPr>
          <w:rFonts w:ascii="Arial" w:hAnsi="Arial" w:eastAsia="Arial" w:cs="Arial"/>
          <w:b w:val="0"/>
          <w:bCs w:val="0"/>
          <w:noProof w:val="0"/>
          <w:color w:val="0E101A"/>
          <w:sz w:val="22"/>
          <w:szCs w:val="22"/>
          <w:lang w:val="en-GB"/>
        </w:rPr>
        <w:t>maintain</w:t>
      </w:r>
      <w:r w:rsidRPr="4A1F2B86" w:rsidR="7228B067">
        <w:rPr>
          <w:rFonts w:ascii="Arial" w:hAnsi="Arial" w:eastAsia="Arial" w:cs="Arial"/>
          <w:b w:val="0"/>
          <w:bCs w:val="0"/>
          <w:noProof w:val="0"/>
          <w:color w:val="0E101A"/>
          <w:sz w:val="22"/>
          <w:szCs w:val="22"/>
          <w:lang w:val="en-GB"/>
        </w:rPr>
        <w:t xml:space="preserve"> composure under pressure. Finally, in the Will phase, we defined clear success criteria, </w:t>
      </w:r>
      <w:r w:rsidRPr="4A1F2B86" w:rsidR="7228B067">
        <w:rPr>
          <w:rFonts w:ascii="Arial" w:hAnsi="Arial" w:eastAsia="Arial" w:cs="Arial"/>
          <w:b w:val="0"/>
          <w:bCs w:val="0"/>
          <w:noProof w:val="0"/>
          <w:color w:val="0E101A"/>
          <w:sz w:val="22"/>
          <w:szCs w:val="22"/>
          <w:lang w:val="en-GB"/>
        </w:rPr>
        <w:t>established</w:t>
      </w:r>
      <w:r w:rsidRPr="4A1F2B86" w:rsidR="7228B067">
        <w:rPr>
          <w:rFonts w:ascii="Arial" w:hAnsi="Arial" w:eastAsia="Arial" w:cs="Arial"/>
          <w:b w:val="0"/>
          <w:bCs w:val="0"/>
          <w:noProof w:val="0"/>
          <w:color w:val="0E101A"/>
          <w:sz w:val="22"/>
          <w:szCs w:val="22"/>
          <w:lang w:val="en-GB"/>
        </w:rPr>
        <w:t xml:space="preserve"> a timeline for achieving my </w:t>
      </w:r>
      <w:r w:rsidRPr="4A1F2B86" w:rsidR="7228B067">
        <w:rPr>
          <w:rFonts w:ascii="Arial" w:hAnsi="Arial" w:eastAsia="Arial" w:cs="Arial"/>
          <w:b w:val="0"/>
          <w:bCs w:val="0"/>
          <w:noProof w:val="0"/>
          <w:color w:val="0E101A"/>
          <w:sz w:val="22"/>
          <w:szCs w:val="22"/>
          <w:lang w:val="en-GB"/>
        </w:rPr>
        <w:t>objective</w:t>
      </w:r>
      <w:r w:rsidRPr="4A1F2B86" w:rsidR="7228B067">
        <w:rPr>
          <w:rFonts w:ascii="Arial" w:hAnsi="Arial" w:eastAsia="Arial" w:cs="Arial"/>
          <w:b w:val="0"/>
          <w:bCs w:val="0"/>
          <w:noProof w:val="0"/>
          <w:color w:val="0E101A"/>
          <w:sz w:val="22"/>
          <w:szCs w:val="22"/>
          <w:lang w:val="en-GB"/>
        </w:rPr>
        <w:t xml:space="preserve">, and </w:t>
      </w:r>
      <w:r w:rsidRPr="4A1F2B86" w:rsidR="7228B067">
        <w:rPr>
          <w:rFonts w:ascii="Arial" w:hAnsi="Arial" w:eastAsia="Arial" w:cs="Arial"/>
          <w:b w:val="0"/>
          <w:bCs w:val="0"/>
          <w:noProof w:val="0"/>
          <w:color w:val="0E101A"/>
          <w:sz w:val="22"/>
          <w:szCs w:val="22"/>
          <w:lang w:val="en-GB"/>
        </w:rPr>
        <w:t>identified</w:t>
      </w:r>
      <w:r w:rsidRPr="4A1F2B86" w:rsidR="7228B067">
        <w:rPr>
          <w:rFonts w:ascii="Arial" w:hAnsi="Arial" w:eastAsia="Arial" w:cs="Arial"/>
          <w:b w:val="0"/>
          <w:bCs w:val="0"/>
          <w:noProof w:val="0"/>
          <w:color w:val="0E101A"/>
          <w:sz w:val="22"/>
          <w:szCs w:val="22"/>
          <w:lang w:val="en-GB"/>
        </w:rPr>
        <w:t xml:space="preserve"> the professional benefits connected to enhancing this critical skill.</w:t>
      </w:r>
    </w:p>
    <w:p w:rsidR="7228B067" w:rsidP="4A1F2B86" w:rsidRDefault="7228B067" w14:paraId="39F81F97" w14:textId="3B5B49D6">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w:t>
      </w:r>
      <w:r w:rsidRPr="4A1F2B86" w:rsidR="7228B067">
        <w:rPr>
          <w:rFonts w:ascii="Arial" w:hAnsi="Arial" w:eastAsia="Arial" w:cs="Arial"/>
          <w:b w:val="0"/>
          <w:bCs w:val="0"/>
          <w:noProof w:val="0"/>
          <w:color w:val="0E101A"/>
          <w:sz w:val="22"/>
          <w:szCs w:val="22"/>
          <w:lang w:val="en-GB"/>
        </w:rPr>
        <w:t>SO</w:t>
      </w:r>
      <w:r w:rsidRPr="4A1F2B86" w:rsidR="7228B067">
        <w:rPr>
          <w:rFonts w:ascii="Arial" w:hAnsi="Arial" w:eastAsia="Arial" w:cs="Arial"/>
          <w:b w:val="0"/>
          <w:bCs w:val="0"/>
          <w:noProof w:val="0"/>
          <w:color w:val="0E101A"/>
          <w:sz w:val="22"/>
          <w:szCs w:val="22"/>
          <w:lang w:val="en-GB"/>
        </w:rPr>
        <w:t xml:space="preserve"> </w:t>
      </w:r>
      <w:r w:rsidRPr="4A1F2B86" w:rsidR="7228B067">
        <w:rPr>
          <w:rFonts w:ascii="Arial" w:hAnsi="Arial" w:eastAsia="Arial" w:cs="Arial"/>
          <w:b w:val="0"/>
          <w:bCs w:val="0"/>
          <w:noProof w:val="0"/>
          <w:color w:val="0E101A"/>
          <w:sz w:val="22"/>
          <w:szCs w:val="22"/>
          <w:lang w:val="en-GB"/>
        </w:rPr>
        <w:t>WHAT:*</w:t>
      </w:r>
      <w:r w:rsidRPr="4A1F2B86" w:rsidR="7228B067">
        <w:rPr>
          <w:rFonts w:ascii="Arial" w:hAnsi="Arial" w:eastAsia="Arial" w:cs="Arial"/>
          <w:b w:val="0"/>
          <w:bCs w:val="0"/>
          <w:noProof w:val="0"/>
          <w:color w:val="0E101A"/>
          <w:sz w:val="22"/>
          <w:szCs w:val="22"/>
          <w:lang w:val="en-GB"/>
        </w:rPr>
        <w:t xml:space="preserve">*  </w:t>
      </w:r>
    </w:p>
    <w:p w:rsidR="7228B067" w:rsidP="4A1F2B86" w:rsidRDefault="7228B067" w14:paraId="793EBCB6" w14:textId="1A794F9C">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Feedback from the coaching session underscored my active engagement, reflective practice, and commitment to continuous improvement. Scoring an 8/10 in Knowledge and Understanding Skills affirmed my effective application of the GROW model. My active participation in discussions, coupled with my willingness to share insights and embrace constructive feedback, significantly contributed to the session's productivity. Nevertheless, I recognized that refining my goals to include measurable criteria, such as specific timelines or success indicators, would further enhance this process.</w:t>
      </w:r>
    </w:p>
    <w:p w:rsidR="7228B067" w:rsidP="4A1F2B86" w:rsidRDefault="7228B067" w14:paraId="62BF652A" w14:textId="2E7A876F">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In terms of Practical Application Skills, I was proficient in defining my goal and acknowledging its significance within my role; however, increasing the specificity and measurability of this goal would foster greater clarity. In the Reality phase, a deeper reflection on instances where my confidence falters, alongside an acknowledgment of past successes, could fortify my developmental journey. During the exploration of Options, while I </w:t>
      </w:r>
      <w:r w:rsidRPr="4A1F2B86" w:rsidR="7228B067">
        <w:rPr>
          <w:rFonts w:ascii="Arial" w:hAnsi="Arial" w:eastAsia="Arial" w:cs="Arial"/>
          <w:b w:val="0"/>
          <w:bCs w:val="0"/>
          <w:noProof w:val="0"/>
          <w:color w:val="0E101A"/>
          <w:sz w:val="22"/>
          <w:szCs w:val="22"/>
          <w:lang w:val="en-GB"/>
        </w:rPr>
        <w:t>remained</w:t>
      </w:r>
      <w:r w:rsidRPr="4A1F2B86" w:rsidR="7228B067">
        <w:rPr>
          <w:rFonts w:ascii="Arial" w:hAnsi="Arial" w:eastAsia="Arial" w:cs="Arial"/>
          <w:b w:val="0"/>
          <w:bCs w:val="0"/>
          <w:noProof w:val="0"/>
          <w:color w:val="0E101A"/>
          <w:sz w:val="22"/>
          <w:szCs w:val="22"/>
          <w:lang w:val="en-GB"/>
        </w:rPr>
        <w:t xml:space="preserve"> receptive to various strategies, assessing the advantages and disadvantages of each would refine my decision-making process. </w:t>
      </w:r>
      <w:r w:rsidRPr="4A1F2B86" w:rsidR="7228B067">
        <w:rPr>
          <w:rFonts w:ascii="Arial" w:hAnsi="Arial" w:eastAsia="Arial" w:cs="Arial"/>
          <w:b w:val="0"/>
          <w:bCs w:val="0"/>
          <w:noProof w:val="0"/>
          <w:color w:val="0E101A"/>
          <w:sz w:val="22"/>
          <w:szCs w:val="22"/>
          <w:lang w:val="en-GB"/>
        </w:rPr>
        <w:t>Ultimately, in</w:t>
      </w:r>
      <w:r w:rsidRPr="4A1F2B86" w:rsidR="7228B067">
        <w:rPr>
          <w:rFonts w:ascii="Arial" w:hAnsi="Arial" w:eastAsia="Arial" w:cs="Arial"/>
          <w:b w:val="0"/>
          <w:bCs w:val="0"/>
          <w:noProof w:val="0"/>
          <w:color w:val="0E101A"/>
          <w:sz w:val="22"/>
          <w:szCs w:val="22"/>
          <w:lang w:val="en-GB"/>
        </w:rPr>
        <w:t xml:space="preserve"> the Will phase, ensuring that my action steps are both specific and realistic will be paramount in </w:t>
      </w:r>
      <w:r w:rsidRPr="4A1F2B86" w:rsidR="7228B067">
        <w:rPr>
          <w:rFonts w:ascii="Arial" w:hAnsi="Arial" w:eastAsia="Arial" w:cs="Arial"/>
          <w:b w:val="0"/>
          <w:bCs w:val="0"/>
          <w:noProof w:val="0"/>
          <w:color w:val="0E101A"/>
          <w:sz w:val="22"/>
          <w:szCs w:val="22"/>
          <w:lang w:val="en-GB"/>
        </w:rPr>
        <w:t>maintaining</w:t>
      </w:r>
      <w:r w:rsidRPr="4A1F2B86" w:rsidR="7228B067">
        <w:rPr>
          <w:rFonts w:ascii="Arial" w:hAnsi="Arial" w:eastAsia="Arial" w:cs="Arial"/>
          <w:b w:val="0"/>
          <w:bCs w:val="0"/>
          <w:noProof w:val="0"/>
          <w:color w:val="0E101A"/>
          <w:sz w:val="22"/>
          <w:szCs w:val="22"/>
          <w:lang w:val="en-GB"/>
        </w:rPr>
        <w:t xml:space="preserve"> momentum. Seeking mentorship support and documenting my confidence levels in a reflective journal </w:t>
      </w:r>
      <w:r w:rsidRPr="4A1F2B86" w:rsidR="7228B067">
        <w:rPr>
          <w:rFonts w:ascii="Arial" w:hAnsi="Arial" w:eastAsia="Arial" w:cs="Arial"/>
          <w:b w:val="0"/>
          <w:bCs w:val="0"/>
          <w:noProof w:val="0"/>
          <w:color w:val="0E101A"/>
          <w:sz w:val="22"/>
          <w:szCs w:val="22"/>
          <w:lang w:val="en-GB"/>
        </w:rPr>
        <w:t>emerge</w:t>
      </w:r>
      <w:r w:rsidRPr="4A1F2B86" w:rsidR="7228B067">
        <w:rPr>
          <w:rFonts w:ascii="Arial" w:hAnsi="Arial" w:eastAsia="Arial" w:cs="Arial"/>
          <w:b w:val="0"/>
          <w:bCs w:val="0"/>
          <w:noProof w:val="0"/>
          <w:color w:val="0E101A"/>
          <w:sz w:val="22"/>
          <w:szCs w:val="22"/>
          <w:lang w:val="en-GB"/>
        </w:rPr>
        <w:t xml:space="preserve"> as pivotal next steps in my growth trajectory.</w:t>
      </w:r>
    </w:p>
    <w:p w:rsidR="7228B067" w:rsidP="4A1F2B86" w:rsidRDefault="7228B067" w14:paraId="2DBEBBE5" w14:textId="76B62B9E">
      <w:pPr>
        <w:pStyle w:val="Normal"/>
        <w:spacing w:line="360" w:lineRule="auto"/>
        <w:rPr>
          <w:rFonts w:ascii="Arial" w:hAnsi="Arial" w:eastAsia="Arial" w:cs="Arial"/>
          <w:b w:val="0"/>
          <w:bCs w:val="0"/>
          <w:noProof w:val="0"/>
          <w:color w:val="0E101A"/>
          <w:sz w:val="22"/>
          <w:szCs w:val="22"/>
          <w:lang w:val="en-GB"/>
        </w:rPr>
      </w:pPr>
      <w:r w:rsidRPr="4A1F2B86" w:rsidR="7228B067">
        <w:rPr>
          <w:rFonts w:ascii="Arial" w:hAnsi="Arial" w:eastAsia="Arial" w:cs="Arial"/>
          <w:noProof w:val="0"/>
          <w:sz w:val="22"/>
          <w:szCs w:val="22"/>
          <w:lang w:val="en-GB"/>
        </w:rPr>
        <w:t xml:space="preserve">**NOW </w:t>
      </w:r>
      <w:r w:rsidRPr="4A1F2B86" w:rsidR="7228B067">
        <w:rPr>
          <w:rFonts w:ascii="Arial" w:hAnsi="Arial" w:eastAsia="Arial" w:cs="Arial"/>
          <w:noProof w:val="0"/>
          <w:sz w:val="22"/>
          <w:szCs w:val="22"/>
          <w:lang w:val="en-GB"/>
        </w:rPr>
        <w:t>WHAT:*</w:t>
      </w:r>
      <w:r w:rsidRPr="4A1F2B86" w:rsidR="7228B067">
        <w:rPr>
          <w:rFonts w:ascii="Arial" w:hAnsi="Arial" w:eastAsia="Arial" w:cs="Arial"/>
          <w:noProof w:val="0"/>
          <w:sz w:val="22"/>
          <w:szCs w:val="22"/>
          <w:lang w:val="en-GB"/>
        </w:rPr>
        <w:t xml:space="preserve">*  </w:t>
      </w:r>
    </w:p>
    <w:p w:rsidR="7228B067" w:rsidP="4A1F2B86" w:rsidRDefault="7228B067" w14:paraId="0D9B14F2" w14:textId="0A8EE879">
      <w:pPr>
        <w:pStyle w:val="Normal"/>
        <w:spacing w:line="360" w:lineRule="auto"/>
        <w:rPr>
          <w:rFonts w:ascii="Arial" w:hAnsi="Arial" w:eastAsia="Arial" w:cs="Arial"/>
          <w:b w:val="0"/>
          <w:bCs w:val="0"/>
          <w:noProof w:val="0"/>
          <w:color w:val="0E101A"/>
          <w:sz w:val="22"/>
          <w:szCs w:val="22"/>
          <w:lang w:val="en-GB"/>
        </w:rPr>
      </w:pPr>
      <w:r w:rsidRPr="4A1F2B86" w:rsidR="7228B067">
        <w:rPr>
          <w:rFonts w:ascii="Arial" w:hAnsi="Arial" w:eastAsia="Arial" w:cs="Arial"/>
          <w:noProof w:val="0"/>
          <w:sz w:val="22"/>
          <w:szCs w:val="22"/>
          <w:lang w:val="en-GB"/>
        </w:rPr>
        <w:t xml:space="preserve">Looking forward to the next coaching session, I intend to implement the SMART goal framework, which will </w:t>
      </w:r>
      <w:r w:rsidRPr="4A1F2B86" w:rsidR="7228B067">
        <w:rPr>
          <w:rFonts w:ascii="Arial" w:hAnsi="Arial" w:eastAsia="Arial" w:cs="Arial"/>
          <w:noProof w:val="0"/>
          <w:sz w:val="22"/>
          <w:szCs w:val="22"/>
          <w:lang w:val="en-GB"/>
        </w:rPr>
        <w:t>facilitate</w:t>
      </w:r>
      <w:r w:rsidRPr="4A1F2B86" w:rsidR="7228B067">
        <w:rPr>
          <w:rFonts w:ascii="Arial" w:hAnsi="Arial" w:eastAsia="Arial" w:cs="Arial"/>
          <w:noProof w:val="0"/>
          <w:sz w:val="22"/>
          <w:szCs w:val="22"/>
          <w:lang w:val="en-GB"/>
        </w:rPr>
        <w:t xml:space="preserve"> the establishment of clear and actionable </w:t>
      </w:r>
      <w:r w:rsidRPr="4A1F2B86" w:rsidR="7228B067">
        <w:rPr>
          <w:rFonts w:ascii="Arial" w:hAnsi="Arial" w:eastAsia="Arial" w:cs="Arial"/>
          <w:noProof w:val="0"/>
          <w:sz w:val="22"/>
          <w:szCs w:val="22"/>
          <w:lang w:val="en-GB"/>
        </w:rPr>
        <w:t>objectives</w:t>
      </w:r>
      <w:r w:rsidRPr="4A1F2B86" w:rsidR="7228B067">
        <w:rPr>
          <w:rFonts w:ascii="Arial" w:hAnsi="Arial" w:eastAsia="Arial" w:cs="Arial"/>
          <w:noProof w:val="0"/>
          <w:sz w:val="22"/>
          <w:szCs w:val="22"/>
          <w:lang w:val="en-GB"/>
        </w:rPr>
        <w:t xml:space="preserve">—ensuring that goals are Specific, Measurable, Achievable, Realistic, and Timed. This approach is </w:t>
      </w:r>
      <w:r w:rsidRPr="4A1F2B86" w:rsidR="7228B067">
        <w:rPr>
          <w:rFonts w:ascii="Arial" w:hAnsi="Arial" w:eastAsia="Arial" w:cs="Arial"/>
          <w:noProof w:val="0"/>
          <w:sz w:val="22"/>
          <w:szCs w:val="22"/>
          <w:lang w:val="en-GB"/>
        </w:rPr>
        <w:t>anticipated</w:t>
      </w:r>
      <w:r w:rsidRPr="4A1F2B86" w:rsidR="7228B067">
        <w:rPr>
          <w:rFonts w:ascii="Arial" w:hAnsi="Arial" w:eastAsia="Arial" w:cs="Arial"/>
          <w:noProof w:val="0"/>
          <w:sz w:val="22"/>
          <w:szCs w:val="22"/>
          <w:lang w:val="en-GB"/>
        </w:rPr>
        <w:t xml:space="preserve"> to engender greater focus and direction for the </w:t>
      </w:r>
      <w:r w:rsidRPr="4A1F2B86" w:rsidR="7228B067">
        <w:rPr>
          <w:rFonts w:ascii="Arial" w:hAnsi="Arial" w:eastAsia="Arial" w:cs="Arial"/>
          <w:noProof w:val="0"/>
          <w:sz w:val="22"/>
          <w:szCs w:val="22"/>
          <w:lang w:val="en-GB"/>
        </w:rPr>
        <w:t>coachee</w:t>
      </w:r>
      <w:r w:rsidRPr="4A1F2B86" w:rsidR="7228B067">
        <w:rPr>
          <w:rFonts w:ascii="Arial" w:hAnsi="Arial" w:eastAsia="Arial" w:cs="Arial"/>
          <w:noProof w:val="0"/>
          <w:sz w:val="22"/>
          <w:szCs w:val="22"/>
          <w:lang w:val="en-GB"/>
        </w:rPr>
        <w:t xml:space="preserve">. Furthermore, I plan to incorporate reflections on both positive and negative experiences to heighten self-awareness and instigate learning from past occurrences. Encouraging an evaluation of the pros and cons of potential solutions will also be a focus, leading to more informed decision-making processes. By adhering to this structured </w:t>
      </w:r>
      <w:r w:rsidRPr="4A1F2B86" w:rsidR="7228B067">
        <w:rPr>
          <w:rFonts w:ascii="Arial" w:hAnsi="Arial" w:eastAsia="Arial" w:cs="Arial"/>
          <w:noProof w:val="0"/>
          <w:sz w:val="22"/>
          <w:szCs w:val="22"/>
          <w:lang w:val="en-GB"/>
        </w:rPr>
        <w:t>methodology</w:t>
      </w:r>
      <w:r w:rsidRPr="4A1F2B86" w:rsidR="7228B067">
        <w:rPr>
          <w:rFonts w:ascii="Arial" w:hAnsi="Arial" w:eastAsia="Arial" w:cs="Arial"/>
          <w:noProof w:val="0"/>
          <w:sz w:val="22"/>
          <w:szCs w:val="22"/>
          <w:lang w:val="en-GB"/>
        </w:rPr>
        <w:t xml:space="preserve">, I aspire to support balanced growth and enhance the overall effectiveness of the coaching process, thereby enriching my own development as a </w:t>
      </w:r>
      <w:r w:rsidRPr="4A1F2B86" w:rsidR="7228B067">
        <w:rPr>
          <w:rFonts w:ascii="Arial" w:hAnsi="Arial" w:eastAsia="Arial" w:cs="Arial"/>
          <w:noProof w:val="0"/>
          <w:sz w:val="22"/>
          <w:szCs w:val="22"/>
          <w:lang w:val="en-GB"/>
        </w:rPr>
        <w:t>coachee</w:t>
      </w:r>
      <w:r w:rsidRPr="4A1F2B86" w:rsidR="7228B067">
        <w:rPr>
          <w:rFonts w:ascii="Arial" w:hAnsi="Arial" w:eastAsia="Arial" w:cs="Arial"/>
          <w:noProof w:val="0"/>
          <w:sz w:val="22"/>
          <w:szCs w:val="22"/>
          <w:lang w:val="en-GB"/>
        </w:rPr>
        <w:t>.</w:t>
      </w:r>
    </w:p>
    <w:p w:rsidR="64B6623C" w:rsidP="4A1F2B86" w:rsidRDefault="64B6623C" w14:paraId="4A2CC710" w14:textId="78D336DB">
      <w:pPr>
        <w:pStyle w:val="Normal"/>
        <w:keepNext w:val="0"/>
        <w:keepLines w:val="0"/>
        <w:spacing w:line="360" w:lineRule="auto"/>
        <w:rPr>
          <w:rFonts w:ascii="Arial" w:hAnsi="Arial" w:eastAsia="Arial" w:cs="Arial"/>
          <w:sz w:val="22"/>
          <w:szCs w:val="22"/>
        </w:rPr>
      </w:pPr>
    </w:p>
    <w:p w:rsidR="34A10372" w:rsidP="4A1F2B86" w:rsidRDefault="34A10372" w14:paraId="14C40FF2" w14:textId="69098921">
      <w:pPr>
        <w:pStyle w:val="Heading1"/>
        <w:keepNext w:val="0"/>
        <w:keepLines w:val="0"/>
        <w:spacing w:line="360" w:lineRule="auto"/>
        <w:jc w:val="both"/>
        <w:rPr>
          <w:rFonts w:ascii="Arial" w:hAnsi="Arial" w:eastAsia="Arial" w:cs="Arial"/>
          <w:b w:val="0"/>
          <w:bCs w:val="0"/>
          <w:sz w:val="22"/>
          <w:szCs w:val="22"/>
        </w:rPr>
      </w:pPr>
      <w:bookmarkStart w:name="_Toc1716766336" w:id="664586187"/>
      <w:r w:rsidRPr="4A1F2B86" w:rsidR="153F8DAF">
        <w:rPr>
          <w:rFonts w:ascii="Arial" w:hAnsi="Arial" w:eastAsia="Arial" w:cs="Arial"/>
          <w:b w:val="0"/>
          <w:bCs w:val="0"/>
          <w:sz w:val="22"/>
          <w:szCs w:val="22"/>
        </w:rPr>
        <w:t xml:space="preserve">Reflection of </w:t>
      </w:r>
      <w:r w:rsidRPr="4A1F2B86" w:rsidR="12898B18">
        <w:rPr>
          <w:rFonts w:ascii="Arial" w:hAnsi="Arial" w:eastAsia="Arial" w:cs="Arial"/>
          <w:b w:val="0"/>
          <w:bCs w:val="0"/>
          <w:sz w:val="22"/>
          <w:szCs w:val="22"/>
        </w:rPr>
        <w:t>practical part 2</w:t>
      </w:r>
      <w:bookmarkEnd w:id="664586187"/>
    </w:p>
    <w:p w:rsidR="2FAF0265" w:rsidP="4A1F2B86" w:rsidRDefault="2FAF0265" w14:paraId="036815A7" w14:textId="0B6DC8C3">
      <w:pPr>
        <w:pStyle w:val="Normal"/>
        <w:keepNext w:val="0"/>
        <w:keepLines w:val="0"/>
        <w:spacing w:line="360" w:lineRule="auto"/>
        <w:jc w:val="both"/>
        <w:rPr>
          <w:rFonts w:ascii="Arial" w:hAnsi="Arial" w:eastAsia="Arial" w:cs="Arial"/>
          <w:sz w:val="22"/>
          <w:szCs w:val="22"/>
        </w:rPr>
      </w:pPr>
      <w:r w:rsidRPr="4A1F2B86" w:rsidR="1811093F">
        <w:rPr>
          <w:rFonts w:ascii="Arial" w:hAnsi="Arial" w:eastAsia="Arial" w:cs="Arial"/>
          <w:sz w:val="22"/>
          <w:szCs w:val="22"/>
        </w:rPr>
        <w:t>What:</w:t>
      </w:r>
    </w:p>
    <w:p w:rsidR="2FAF0265" w:rsidP="4A1F2B86" w:rsidRDefault="2FAF0265" w14:paraId="7B39AF19" w14:textId="5131181F">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During the second practical session, I assumed the role of coach, starting with a review of the </w:t>
      </w:r>
      <w:r w:rsidRPr="4A1F2B86" w:rsidR="2F10623E">
        <w:rPr>
          <w:rFonts w:ascii="Arial" w:hAnsi="Arial" w:eastAsia="Arial" w:cs="Arial"/>
          <w:sz w:val="22"/>
          <w:szCs w:val="22"/>
        </w:rPr>
        <w:t>previous</w:t>
      </w:r>
      <w:r w:rsidRPr="4A1F2B86" w:rsidR="2F10623E">
        <w:rPr>
          <w:rFonts w:ascii="Arial" w:hAnsi="Arial" w:eastAsia="Arial" w:cs="Arial"/>
          <w:sz w:val="22"/>
          <w:szCs w:val="22"/>
        </w:rPr>
        <w:t xml:space="preserve"> coaching session and </w:t>
      </w:r>
      <w:r w:rsidRPr="4A1F2B86" w:rsidR="2F10623E">
        <w:rPr>
          <w:rFonts w:ascii="Arial" w:hAnsi="Arial" w:eastAsia="Arial" w:cs="Arial"/>
          <w:sz w:val="22"/>
          <w:szCs w:val="22"/>
        </w:rPr>
        <w:t>soliciting</w:t>
      </w:r>
      <w:r w:rsidRPr="4A1F2B86" w:rsidR="2F10623E">
        <w:rPr>
          <w:rFonts w:ascii="Arial" w:hAnsi="Arial" w:eastAsia="Arial" w:cs="Arial"/>
          <w:sz w:val="22"/>
          <w:szCs w:val="22"/>
        </w:rPr>
        <w:t xml:space="preserve"> feedback to assess progress. To </w:t>
      </w:r>
      <w:r w:rsidRPr="4A1F2B86" w:rsidR="2F10623E">
        <w:rPr>
          <w:rFonts w:ascii="Arial" w:hAnsi="Arial" w:eastAsia="Arial" w:cs="Arial"/>
          <w:sz w:val="22"/>
          <w:szCs w:val="22"/>
        </w:rPr>
        <w:t>analyze</w:t>
      </w:r>
      <w:r w:rsidRPr="4A1F2B86" w:rsidR="2F10623E">
        <w:rPr>
          <w:rFonts w:ascii="Arial" w:hAnsi="Arial" w:eastAsia="Arial" w:cs="Arial"/>
          <w:sz w:val="22"/>
          <w:szCs w:val="22"/>
        </w:rPr>
        <w:t xml:space="preserve"> this feedback effectively, I </w:t>
      </w:r>
      <w:r w:rsidRPr="4A1F2B86" w:rsidR="2F10623E">
        <w:rPr>
          <w:rFonts w:ascii="Arial" w:hAnsi="Arial" w:eastAsia="Arial" w:cs="Arial"/>
          <w:sz w:val="22"/>
          <w:szCs w:val="22"/>
        </w:rPr>
        <w:t>utilized</w:t>
      </w:r>
      <w:r w:rsidRPr="4A1F2B86" w:rsidR="2F10623E">
        <w:rPr>
          <w:rFonts w:ascii="Arial" w:hAnsi="Arial" w:eastAsia="Arial" w:cs="Arial"/>
          <w:sz w:val="22"/>
          <w:szCs w:val="22"/>
        </w:rPr>
        <w:t xml:space="preserve"> Kurt Lewin’s Force Field Analysis, which helped to </w:t>
      </w:r>
      <w:r w:rsidRPr="4A1F2B86" w:rsidR="2F10623E">
        <w:rPr>
          <w:rFonts w:ascii="Arial" w:hAnsi="Arial" w:eastAsia="Arial" w:cs="Arial"/>
          <w:sz w:val="22"/>
          <w:szCs w:val="22"/>
        </w:rPr>
        <w:t>identify</w:t>
      </w:r>
      <w:r w:rsidRPr="4A1F2B86" w:rsidR="2F10623E">
        <w:rPr>
          <w:rFonts w:ascii="Arial" w:hAnsi="Arial" w:eastAsia="Arial" w:cs="Arial"/>
          <w:sz w:val="22"/>
          <w:szCs w:val="22"/>
        </w:rPr>
        <w:t xml:space="preserve"> both driving forces that </w:t>
      </w:r>
      <w:r w:rsidRPr="4A1F2B86" w:rsidR="2F10623E">
        <w:rPr>
          <w:rFonts w:ascii="Arial" w:hAnsi="Arial" w:eastAsia="Arial" w:cs="Arial"/>
          <w:sz w:val="22"/>
          <w:szCs w:val="22"/>
        </w:rPr>
        <w:t>facilitated</w:t>
      </w:r>
      <w:r w:rsidRPr="4A1F2B86" w:rsidR="2F10623E">
        <w:rPr>
          <w:rFonts w:ascii="Arial" w:hAnsi="Arial" w:eastAsia="Arial" w:cs="Arial"/>
          <w:sz w:val="22"/>
          <w:szCs w:val="22"/>
        </w:rPr>
        <w:t xml:space="preserve"> growth and resisting forces that presented obstacles</w:t>
      </w:r>
      <w:r w:rsidRPr="4A1F2B86" w:rsidR="35E52238">
        <w:rPr>
          <w:rFonts w:ascii="Arial" w:hAnsi="Arial" w:eastAsia="Arial" w:cs="Arial"/>
          <w:sz w:val="22"/>
          <w:szCs w:val="22"/>
        </w:rPr>
        <w:t xml:space="preserve"> (</w:t>
      </w:r>
      <w:r w:rsidRPr="4A1F2B86" w:rsidR="35E52238">
        <w:rPr>
          <w:rFonts w:ascii="Arial" w:hAnsi="Arial" w:eastAsia="Arial" w:cs="Arial"/>
          <w:noProof w:val="0"/>
          <w:sz w:val="22"/>
          <w:szCs w:val="22"/>
          <w:lang w:val="en-GB"/>
        </w:rPr>
        <w:t>Burnes, and Cooke, 2013)</w:t>
      </w:r>
      <w:r w:rsidRPr="4A1F2B86" w:rsidR="2F10623E">
        <w:rPr>
          <w:rFonts w:ascii="Arial" w:hAnsi="Arial" w:eastAsia="Arial" w:cs="Arial"/>
          <w:sz w:val="22"/>
          <w:szCs w:val="22"/>
        </w:rPr>
        <w:t>.</w:t>
      </w:r>
    </w:p>
    <w:p w:rsidR="2FAF0265" w:rsidP="4A1F2B86" w:rsidRDefault="2FAF0265" w14:paraId="0A37D66E" w14:textId="6AE5AE1C">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 </w:t>
      </w:r>
    </w:p>
    <w:p w:rsidR="2FAF0265" w:rsidP="4A1F2B86" w:rsidRDefault="2FAF0265" w14:paraId="578EC15E" w14:textId="0C4CC4DC">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One significant driving force was the effectiveness of the previously established goals in fostering confidence, particularly </w:t>
      </w:r>
      <w:bookmarkStart w:name="_Int_k7jlw2Vg" w:id="1398473849"/>
      <w:r w:rsidRPr="4A1F2B86" w:rsidR="2F10623E">
        <w:rPr>
          <w:rFonts w:ascii="Arial" w:hAnsi="Arial" w:eastAsia="Arial" w:cs="Arial"/>
          <w:sz w:val="22"/>
          <w:szCs w:val="22"/>
        </w:rPr>
        <w:t>through the use of</w:t>
      </w:r>
      <w:bookmarkEnd w:id="1398473849"/>
      <w:r w:rsidRPr="4A1F2B86" w:rsidR="2F10623E">
        <w:rPr>
          <w:rFonts w:ascii="Arial" w:hAnsi="Arial" w:eastAsia="Arial" w:cs="Arial"/>
          <w:sz w:val="22"/>
          <w:szCs w:val="22"/>
        </w:rPr>
        <w:t xml:space="preserve"> specific phrases that addressed common misconceptions within the job role. This approach enhanced clarity and communication, leading to smoother interactions. However, a notable resisting force was the challenge of recognizing unhappy body language before customers verbally expressed dissatisfaction. This gap in awareness posed challenges in responding proactively.</w:t>
      </w:r>
    </w:p>
    <w:p w:rsidR="2FAF0265" w:rsidP="4A1F2B86" w:rsidRDefault="2FAF0265" w14:paraId="5F762C56" w14:textId="5F7EEC8E">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 </w:t>
      </w:r>
    </w:p>
    <w:p w:rsidR="2FAF0265" w:rsidP="4A1F2B86" w:rsidRDefault="2FAF0265" w14:paraId="4FD8056F" w14:textId="27F137DD">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To tackle these issues, we implemented the GROW model, which provided a structured approach to </w:t>
      </w:r>
      <w:r w:rsidRPr="4A1F2B86" w:rsidR="2F10623E">
        <w:rPr>
          <w:rFonts w:ascii="Arial" w:hAnsi="Arial" w:eastAsia="Arial" w:cs="Arial"/>
          <w:sz w:val="22"/>
          <w:szCs w:val="22"/>
        </w:rPr>
        <w:t>goal-setting</w:t>
      </w:r>
      <w:r w:rsidRPr="4A1F2B86" w:rsidR="2F10623E">
        <w:rPr>
          <w:rFonts w:ascii="Arial" w:hAnsi="Arial" w:eastAsia="Arial" w:cs="Arial"/>
          <w:sz w:val="22"/>
          <w:szCs w:val="22"/>
        </w:rPr>
        <w:t>. Additionally, we integrated elements of Cognitive Behavioural Coaching (CBC) to explore emotional barriers. This combination improved self-awareness and adaptability, resulting in a more effective coaching experience focused on overcoming challenges and enhancing performance.</w:t>
      </w:r>
    </w:p>
    <w:p w:rsidR="2FAF0265" w:rsidP="4A1F2B86" w:rsidRDefault="2FAF0265" w14:paraId="0CBDA198" w14:textId="084E9E79">
      <w:pPr>
        <w:pStyle w:val="Normal"/>
        <w:keepNext w:val="0"/>
        <w:keepLines w:val="0"/>
        <w:spacing w:line="360" w:lineRule="auto"/>
        <w:jc w:val="both"/>
        <w:rPr>
          <w:rFonts w:ascii="Arial" w:hAnsi="Arial" w:eastAsia="Arial" w:cs="Arial"/>
          <w:sz w:val="22"/>
          <w:szCs w:val="22"/>
        </w:rPr>
      </w:pPr>
      <w:r w:rsidRPr="4A1F2B86" w:rsidR="1811093F">
        <w:rPr>
          <w:rFonts w:ascii="Arial" w:hAnsi="Arial" w:eastAsia="Arial" w:cs="Arial"/>
          <w:sz w:val="22"/>
          <w:szCs w:val="22"/>
        </w:rPr>
        <w:t>So</w:t>
      </w:r>
      <w:r w:rsidRPr="4A1F2B86" w:rsidR="1811093F">
        <w:rPr>
          <w:rFonts w:ascii="Arial" w:hAnsi="Arial" w:eastAsia="Arial" w:cs="Arial"/>
          <w:sz w:val="22"/>
          <w:szCs w:val="22"/>
        </w:rPr>
        <w:t xml:space="preserve"> WHAT:</w:t>
      </w:r>
    </w:p>
    <w:p w:rsidR="7622334C" w:rsidP="4A1F2B86" w:rsidRDefault="7622334C" w14:paraId="11916E2C" w14:textId="2CD76926">
      <w:pPr>
        <w:pStyle w:val="Normal"/>
        <w:keepNext w:val="0"/>
        <w:keepLines w:val="0"/>
        <w:spacing w:line="360" w:lineRule="auto"/>
        <w:jc w:val="both"/>
        <w:rPr>
          <w:rFonts w:ascii="Arial" w:hAnsi="Arial" w:eastAsia="Arial" w:cs="Arial"/>
          <w:noProof w:val="0"/>
          <w:sz w:val="22"/>
          <w:szCs w:val="22"/>
          <w:lang w:val="en-GB"/>
        </w:rPr>
      </w:pPr>
      <w:r w:rsidRPr="4A1F2B86" w:rsidR="7622334C">
        <w:rPr>
          <w:rFonts w:ascii="Arial" w:hAnsi="Arial" w:eastAsia="Arial" w:cs="Arial"/>
          <w:noProof w:val="0"/>
          <w:sz w:val="22"/>
          <w:szCs w:val="22"/>
          <w:lang w:val="en-GB"/>
        </w:rPr>
        <w:t xml:space="preserve">The feedback from the second practical assessment has been organized into a SWOT analysis, highlighting key strengths, weaknesses, opportunities, and threats. This method provides a clear framework for </w:t>
      </w:r>
      <w:r w:rsidRPr="4A1F2B86" w:rsidR="7622334C">
        <w:rPr>
          <w:rFonts w:ascii="Arial" w:hAnsi="Arial" w:eastAsia="Arial" w:cs="Arial"/>
          <w:noProof w:val="0"/>
          <w:sz w:val="22"/>
          <w:szCs w:val="22"/>
          <w:lang w:val="en-GB"/>
        </w:rPr>
        <w:t>identifying</w:t>
      </w:r>
      <w:r w:rsidRPr="4A1F2B86" w:rsidR="7622334C">
        <w:rPr>
          <w:rFonts w:ascii="Arial" w:hAnsi="Arial" w:eastAsia="Arial" w:cs="Arial"/>
          <w:noProof w:val="0"/>
          <w:sz w:val="22"/>
          <w:szCs w:val="22"/>
          <w:lang w:val="en-GB"/>
        </w:rPr>
        <w:t xml:space="preserve"> both successful aspects and those that need improvement. The SWOT analysis is particularly valuable as it enhances decision-making, offering insights that support strategic planning and personal development (Popescu &amp; Scarlat, 2015).</w:t>
      </w:r>
    </w:p>
    <w:p w:rsidR="41CB2A96" w:rsidP="4A1F2B86" w:rsidRDefault="41CB2A96" w14:paraId="565B11DF" w14:textId="1587144D">
      <w:pPr>
        <w:pStyle w:val="Normal"/>
        <w:keepNext w:val="0"/>
        <w:keepLines w:val="0"/>
        <w:spacing w:line="360" w:lineRule="auto"/>
        <w:jc w:val="both"/>
        <w:rPr>
          <w:rFonts w:ascii="Arial" w:hAnsi="Arial" w:eastAsia="Arial" w:cs="Arial"/>
          <w:sz w:val="22"/>
          <w:szCs w:val="22"/>
        </w:rPr>
      </w:pPr>
      <w:r w:rsidR="41CB2A96">
        <w:drawing>
          <wp:inline wp14:editId="4D678000" wp14:anchorId="7FB50DC0">
            <wp:extent cx="5349542" cy="3182531"/>
            <wp:effectExtent l="0" t="0" r="0" b="0"/>
            <wp:docPr id="1915291385" name="" title=""/>
            <wp:cNvGraphicFramePr>
              <a:graphicFrameLocks noChangeAspect="1"/>
            </wp:cNvGraphicFramePr>
            <a:graphic>
              <a:graphicData uri="http://schemas.openxmlformats.org/drawingml/2006/picture">
                <pic:pic>
                  <pic:nvPicPr>
                    <pic:cNvPr id="0" name=""/>
                    <pic:cNvPicPr/>
                  </pic:nvPicPr>
                  <pic:blipFill>
                    <a:blip r:embed="Rc5d7a55ef95242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49542" cy="3182531"/>
                    </a:xfrm>
                    <a:prstGeom prst="rect">
                      <a:avLst/>
                    </a:prstGeom>
                  </pic:spPr>
                </pic:pic>
              </a:graphicData>
            </a:graphic>
          </wp:inline>
        </w:drawing>
      </w:r>
      <w:r>
        <w:tab/>
      </w:r>
      <w:r>
        <w:tab/>
      </w:r>
      <w:r>
        <w:tab/>
      </w:r>
      <w:r>
        <w:tab/>
      </w:r>
      <w:r>
        <w:tab/>
      </w:r>
      <w:r>
        <w:tab/>
      </w:r>
      <w:r>
        <w:tab/>
      </w:r>
      <w:r>
        <w:tab/>
      </w:r>
      <w:r w:rsidRPr="4A1F2B86" w:rsidR="76D18CEB">
        <w:rPr>
          <w:rFonts w:ascii="Arial" w:hAnsi="Arial" w:eastAsia="Arial" w:cs="Arial"/>
          <w:sz w:val="22"/>
          <w:szCs w:val="22"/>
        </w:rPr>
        <w:t>Figure 1 – Source - Author</w:t>
      </w:r>
    </w:p>
    <w:p w:rsidR="6F9C97FE" w:rsidP="4A1F2B86" w:rsidRDefault="6F9C97FE" w14:paraId="3099B735" w14:textId="3DEB43FB">
      <w:pPr>
        <w:pStyle w:val="Normal"/>
        <w:keepNext w:val="0"/>
        <w:keepLines w:val="0"/>
        <w:spacing w:line="360" w:lineRule="auto"/>
        <w:jc w:val="both"/>
        <w:rPr>
          <w:rFonts w:ascii="Arial" w:hAnsi="Arial" w:eastAsia="Arial" w:cs="Arial"/>
          <w:sz w:val="22"/>
          <w:szCs w:val="22"/>
        </w:rPr>
      </w:pPr>
      <w:r w:rsidRPr="4A1F2B86" w:rsidR="6F9C97FE">
        <w:rPr>
          <w:rFonts w:ascii="Arial" w:hAnsi="Arial" w:eastAsia="Arial" w:cs="Arial"/>
          <w:sz w:val="22"/>
          <w:szCs w:val="22"/>
        </w:rPr>
        <w:t xml:space="preserve">The practical assessment </w:t>
      </w:r>
      <w:r w:rsidRPr="4A1F2B86" w:rsidR="6F9C97FE">
        <w:rPr>
          <w:rFonts w:ascii="Arial" w:hAnsi="Arial" w:eastAsia="Arial" w:cs="Arial"/>
          <w:sz w:val="22"/>
          <w:szCs w:val="22"/>
        </w:rPr>
        <w:t>showcased</w:t>
      </w:r>
      <w:r w:rsidRPr="4A1F2B86" w:rsidR="6F9C97FE">
        <w:rPr>
          <w:rFonts w:ascii="Arial" w:hAnsi="Arial" w:eastAsia="Arial" w:cs="Arial"/>
          <w:sz w:val="22"/>
          <w:szCs w:val="22"/>
        </w:rPr>
        <w:t xml:space="preserve"> a well-organized and professional approach that effectively integrated key coaching principles alongside critical thinking skills to navigate the session. The presenter's ability to </w:t>
      </w:r>
      <w:r w:rsidRPr="4A1F2B86" w:rsidR="6F9C97FE">
        <w:rPr>
          <w:rFonts w:ascii="Arial" w:hAnsi="Arial" w:eastAsia="Arial" w:cs="Arial"/>
          <w:sz w:val="22"/>
          <w:szCs w:val="22"/>
        </w:rPr>
        <w:t>establish</w:t>
      </w:r>
      <w:r w:rsidRPr="4A1F2B86" w:rsidR="6F9C97FE">
        <w:rPr>
          <w:rFonts w:ascii="Arial" w:hAnsi="Arial" w:eastAsia="Arial" w:cs="Arial"/>
          <w:sz w:val="22"/>
          <w:szCs w:val="22"/>
        </w:rPr>
        <w:t xml:space="preserve"> </w:t>
      </w:r>
      <w:r w:rsidRPr="4A1F2B86" w:rsidR="6F9C97FE">
        <w:rPr>
          <w:rFonts w:ascii="Arial" w:hAnsi="Arial" w:eastAsia="Arial" w:cs="Arial"/>
          <w:sz w:val="22"/>
          <w:szCs w:val="22"/>
        </w:rPr>
        <w:t>strong communication</w:t>
      </w:r>
      <w:r w:rsidRPr="4A1F2B86" w:rsidR="6F9C97FE">
        <w:rPr>
          <w:rFonts w:ascii="Arial" w:hAnsi="Arial" w:eastAsia="Arial" w:cs="Arial"/>
          <w:sz w:val="22"/>
          <w:szCs w:val="22"/>
        </w:rPr>
        <w:t xml:space="preserve"> and build interpersonal relationships was pivotal in fostering a welcoming environment. This foundation allowed for clarity in discussions and encouraged an open exchange of ideas. The </w:t>
      </w:r>
      <w:r w:rsidRPr="4A1F2B86" w:rsidR="6F9C97FE">
        <w:rPr>
          <w:rFonts w:ascii="Arial" w:hAnsi="Arial" w:eastAsia="Arial" w:cs="Arial"/>
          <w:sz w:val="22"/>
          <w:szCs w:val="22"/>
        </w:rPr>
        <w:t>skillful</w:t>
      </w:r>
      <w:r w:rsidRPr="4A1F2B86" w:rsidR="6F9C97FE">
        <w:rPr>
          <w:rFonts w:ascii="Arial" w:hAnsi="Arial" w:eastAsia="Arial" w:cs="Arial"/>
          <w:sz w:val="22"/>
          <w:szCs w:val="22"/>
        </w:rPr>
        <w:t xml:space="preserve"> use of active listening techniques, combined with thoughtful and constructive feedback, </w:t>
      </w:r>
      <w:r w:rsidRPr="4A1F2B86" w:rsidR="6F9C97FE">
        <w:rPr>
          <w:rFonts w:ascii="Arial" w:hAnsi="Arial" w:eastAsia="Arial" w:cs="Arial"/>
          <w:sz w:val="22"/>
          <w:szCs w:val="22"/>
        </w:rPr>
        <w:t>greatly enhanced</w:t>
      </w:r>
      <w:r w:rsidRPr="4A1F2B86" w:rsidR="6F9C97FE">
        <w:rPr>
          <w:rFonts w:ascii="Arial" w:hAnsi="Arial" w:eastAsia="Arial" w:cs="Arial"/>
          <w:sz w:val="22"/>
          <w:szCs w:val="22"/>
        </w:rPr>
        <w:t xml:space="preserve"> the overall coaching experience, making it more impactful for the service receiver.</w:t>
      </w:r>
    </w:p>
    <w:p w:rsidR="6F9C97FE" w:rsidP="4A1F2B86" w:rsidRDefault="6F9C97FE" w14:paraId="4CE858F3" w14:textId="4E6F23C5">
      <w:pPr>
        <w:pStyle w:val="Normal"/>
        <w:keepNext w:val="0"/>
        <w:keepLines w:val="0"/>
        <w:spacing w:line="360" w:lineRule="auto"/>
        <w:jc w:val="both"/>
        <w:rPr>
          <w:rFonts w:ascii="Arial" w:hAnsi="Arial" w:eastAsia="Arial" w:cs="Arial"/>
          <w:sz w:val="22"/>
          <w:szCs w:val="22"/>
        </w:rPr>
      </w:pPr>
      <w:r w:rsidRPr="4A1F2B86" w:rsidR="6F9C97FE">
        <w:rPr>
          <w:rFonts w:ascii="Arial" w:hAnsi="Arial" w:eastAsia="Arial" w:cs="Arial"/>
          <w:sz w:val="22"/>
          <w:szCs w:val="22"/>
        </w:rPr>
        <w:t xml:space="preserve">Nevertheless, certain aspects of the session could have </w:t>
      </w:r>
      <w:r w:rsidRPr="4A1F2B86" w:rsidR="6F9C97FE">
        <w:rPr>
          <w:rFonts w:ascii="Arial" w:hAnsi="Arial" w:eastAsia="Arial" w:cs="Arial"/>
          <w:sz w:val="22"/>
          <w:szCs w:val="22"/>
        </w:rPr>
        <w:t>benefitted</w:t>
      </w:r>
      <w:r w:rsidRPr="4A1F2B86" w:rsidR="6F9C97FE">
        <w:rPr>
          <w:rFonts w:ascii="Arial" w:hAnsi="Arial" w:eastAsia="Arial" w:cs="Arial"/>
          <w:sz w:val="22"/>
          <w:szCs w:val="22"/>
        </w:rPr>
        <w:t xml:space="preserve"> from a deeper exploration. This observation highlights potential opportunities to delve into alternative strategies that could yield more significant outcomes. By broadening the repertoire of coaching techniques employed during the session, the overall approach might have been more holistic, particularly in addressing the specific challenges </w:t>
      </w:r>
      <w:r w:rsidRPr="4A1F2B86" w:rsidR="6F9C97FE">
        <w:rPr>
          <w:rFonts w:ascii="Arial" w:hAnsi="Arial" w:eastAsia="Arial" w:cs="Arial"/>
          <w:sz w:val="22"/>
          <w:szCs w:val="22"/>
        </w:rPr>
        <w:t>encountered</w:t>
      </w:r>
      <w:r w:rsidRPr="4A1F2B86" w:rsidR="6F9C97FE">
        <w:rPr>
          <w:rFonts w:ascii="Arial" w:hAnsi="Arial" w:eastAsia="Arial" w:cs="Arial"/>
          <w:sz w:val="22"/>
          <w:szCs w:val="22"/>
        </w:rPr>
        <w:t xml:space="preserve"> by the service receiver. Furthermore, increasing adaptability in response to various coaching scenarios would </w:t>
      </w:r>
      <w:r w:rsidRPr="4A1F2B86" w:rsidR="6F9C97FE">
        <w:rPr>
          <w:rFonts w:ascii="Arial" w:hAnsi="Arial" w:eastAsia="Arial" w:cs="Arial"/>
          <w:sz w:val="22"/>
          <w:szCs w:val="22"/>
        </w:rPr>
        <w:t>likely enhance</w:t>
      </w:r>
      <w:r w:rsidRPr="4A1F2B86" w:rsidR="6F9C97FE">
        <w:rPr>
          <w:rFonts w:ascii="Arial" w:hAnsi="Arial" w:eastAsia="Arial" w:cs="Arial"/>
          <w:sz w:val="22"/>
          <w:szCs w:val="22"/>
        </w:rPr>
        <w:t xml:space="preserve"> the effectiveness of the coaching sessions, allowing for a tailored experience that better meets the needs of individuals in diverse situations.</w:t>
      </w:r>
    </w:p>
    <w:p w:rsidR="6D33E1F8" w:rsidP="4A1F2B86" w:rsidRDefault="6D33E1F8" w14:paraId="65C48619" w14:textId="6643A596">
      <w:pPr>
        <w:pStyle w:val="Normal"/>
        <w:keepNext w:val="0"/>
        <w:keepLines w:val="0"/>
        <w:spacing w:line="360" w:lineRule="auto"/>
        <w:jc w:val="both"/>
        <w:rPr>
          <w:rFonts w:ascii="Arial" w:hAnsi="Arial" w:eastAsia="Arial" w:cs="Arial"/>
          <w:sz w:val="22"/>
          <w:szCs w:val="22"/>
        </w:rPr>
      </w:pPr>
      <w:r w:rsidRPr="4A1F2B86" w:rsidR="6D33E1F8">
        <w:rPr>
          <w:rFonts w:ascii="Arial" w:hAnsi="Arial" w:eastAsia="Arial" w:cs="Arial"/>
          <w:sz w:val="22"/>
          <w:szCs w:val="22"/>
        </w:rPr>
        <w:t xml:space="preserve">NOW WHAT: </w:t>
      </w:r>
    </w:p>
    <w:p w:rsidR="44643EA8" w:rsidP="4A1F2B86" w:rsidRDefault="44643EA8" w14:paraId="6666124A" w14:textId="1BA7F7F1">
      <w:pPr>
        <w:pStyle w:val="Normal"/>
        <w:keepNext w:val="0"/>
        <w:keepLines w:val="0"/>
        <w:spacing w:line="360" w:lineRule="auto"/>
        <w:jc w:val="both"/>
        <w:rPr>
          <w:rFonts w:ascii="Arial" w:hAnsi="Arial" w:eastAsia="Arial" w:cs="Arial"/>
          <w:sz w:val="22"/>
          <w:szCs w:val="22"/>
        </w:rPr>
      </w:pPr>
      <w:r w:rsidRPr="4A1F2B86" w:rsidR="44643EA8">
        <w:rPr>
          <w:rFonts w:ascii="Arial" w:hAnsi="Arial" w:eastAsia="Arial" w:cs="Arial"/>
          <w:sz w:val="22"/>
          <w:szCs w:val="22"/>
        </w:rPr>
        <w:t xml:space="preserve">The opportunities section of Figure 1 underscores vital areas for enhancing coaching skills moving forward. It highlights the significance of </w:t>
      </w:r>
      <w:r w:rsidRPr="4A1F2B86" w:rsidR="44643EA8">
        <w:rPr>
          <w:rFonts w:ascii="Arial" w:hAnsi="Arial" w:eastAsia="Arial" w:cs="Arial"/>
          <w:sz w:val="22"/>
          <w:szCs w:val="22"/>
        </w:rPr>
        <w:t>acquiring</w:t>
      </w:r>
      <w:r w:rsidRPr="4A1F2B86" w:rsidR="44643EA8">
        <w:rPr>
          <w:rFonts w:ascii="Arial" w:hAnsi="Arial" w:eastAsia="Arial" w:cs="Arial"/>
          <w:sz w:val="22"/>
          <w:szCs w:val="22"/>
        </w:rPr>
        <w:t xml:space="preserve"> hands-on experience, incorporating real-world examples, and further refining problem-solving abilities. Engaging in practical coaching scenarios will bolster adaptability and confidence, while the integration of real-life case studies will enhance understanding. Expanding these problem-solving skills will improve the ability to navigate challenges effectively, </w:t>
      </w:r>
      <w:r w:rsidRPr="4A1F2B86" w:rsidR="44643EA8">
        <w:rPr>
          <w:rFonts w:ascii="Arial" w:hAnsi="Arial" w:eastAsia="Arial" w:cs="Arial"/>
          <w:sz w:val="22"/>
          <w:szCs w:val="22"/>
        </w:rPr>
        <w:t>ultimately elevating</w:t>
      </w:r>
      <w:r w:rsidRPr="4A1F2B86" w:rsidR="44643EA8">
        <w:rPr>
          <w:rFonts w:ascii="Arial" w:hAnsi="Arial" w:eastAsia="Arial" w:cs="Arial"/>
          <w:sz w:val="22"/>
          <w:szCs w:val="22"/>
        </w:rPr>
        <w:t xml:space="preserve"> overall coaching effectiveness and fostering professional growth.</w:t>
      </w:r>
    </w:p>
    <w:p w:rsidR="38BFDD14" w:rsidP="45BE726F" w:rsidRDefault="38BFDD14" w14:paraId="661D3295" w14:textId="32CA2DE5">
      <w:pPr>
        <w:pStyle w:val="Heading1"/>
        <w:keepNext w:val="0"/>
        <w:keepLines w:val="0"/>
        <w:spacing w:line="360" w:lineRule="auto"/>
        <w:rPr>
          <w:rFonts w:ascii="Arial" w:hAnsi="Arial" w:eastAsia="Arial" w:cs="Arial"/>
          <w:sz w:val="22"/>
          <w:szCs w:val="22"/>
        </w:rPr>
      </w:pPr>
      <w:bookmarkStart w:name="_Toc339586220" w:id="1080485864"/>
      <w:r w:rsidRPr="4A1F2B86" w:rsidR="70446D67">
        <w:rPr>
          <w:rFonts w:ascii="Arial" w:hAnsi="Arial" w:eastAsia="Arial" w:cs="Arial"/>
          <w:sz w:val="22"/>
          <w:szCs w:val="22"/>
        </w:rPr>
        <w:t>Conclusion</w:t>
      </w:r>
      <w:bookmarkEnd w:id="1080485864"/>
    </w:p>
    <w:p w:rsidR="49189F6C" w:rsidP="4A1F2B86" w:rsidRDefault="49189F6C" w14:paraId="47AB416E" w14:textId="2040E7F9">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Coaching and mentoring are vital for both personal and professional growth, offering individuals the guidance and support necessary to enhance their skills and build confidence (Batson &amp; Yoder, 2012; Panchal &amp; Riddell, 2020; Whitmore, 2009). Although both approaches aim to foster learning and development, researchers have noted their distinct differences, particularly </w:t>
      </w:r>
      <w:r w:rsidRPr="4A1F2B86" w:rsidR="49189F6C">
        <w:rPr>
          <w:rFonts w:ascii="Arial" w:hAnsi="Arial" w:eastAsia="Arial" w:cs="Arial"/>
          <w:noProof w:val="0"/>
          <w:sz w:val="22"/>
          <w:szCs w:val="22"/>
          <w:lang w:val="en-GB"/>
        </w:rPr>
        <w:t>regarding</w:t>
      </w:r>
      <w:r w:rsidRPr="4A1F2B86" w:rsidR="49189F6C">
        <w:rPr>
          <w:rFonts w:ascii="Arial" w:hAnsi="Arial" w:eastAsia="Arial" w:cs="Arial"/>
          <w:noProof w:val="0"/>
          <w:sz w:val="22"/>
          <w:szCs w:val="22"/>
          <w:lang w:val="en-GB"/>
        </w:rPr>
        <w:t xml:space="preserve"> structure and </w:t>
      </w:r>
      <w:r w:rsidRPr="4A1F2B86" w:rsidR="49189F6C">
        <w:rPr>
          <w:rFonts w:ascii="Arial" w:hAnsi="Arial" w:eastAsia="Arial" w:cs="Arial"/>
          <w:noProof w:val="0"/>
          <w:sz w:val="22"/>
          <w:szCs w:val="22"/>
          <w:lang w:val="en-GB"/>
        </w:rPr>
        <w:t>methodology</w:t>
      </w:r>
      <w:r w:rsidRPr="4A1F2B86" w:rsidR="49189F6C">
        <w:rPr>
          <w:rFonts w:ascii="Arial" w:hAnsi="Arial" w:eastAsia="Arial" w:cs="Arial"/>
          <w:noProof w:val="0"/>
          <w:sz w:val="22"/>
          <w:szCs w:val="22"/>
          <w:lang w:val="en-GB"/>
        </w:rPr>
        <w:t>.</w:t>
      </w:r>
    </w:p>
    <w:p w:rsidR="49189F6C" w:rsidP="4A1F2B86" w:rsidRDefault="49189F6C" w14:paraId="5F0D0B0B" w14:textId="2D8F9A97">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 </w:t>
      </w:r>
    </w:p>
    <w:p w:rsidR="49189F6C" w:rsidP="4A1F2B86" w:rsidRDefault="49189F6C" w14:paraId="7EC35C7C" w14:textId="3539F620">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Coaching is characterized by its structured framework and goal-driven methodologies, making it a widely recognized tool for improving performance and skill development (Batson &amp; Yoder, 2012; Park, McLean, &amp; Yang, 2021). The application of models like GROW and CBC further enhances its effectiveness in various professional contexts. In contrast, mentoring is highly regarded for its emphasis on long-term guidance, focusing on holistic personal development and career advancement (Heppner, 2017; Torbjørn Waaland, 2023).</w:t>
      </w:r>
    </w:p>
    <w:p w:rsidR="49189F6C" w:rsidP="4A1F2B86" w:rsidRDefault="49189F6C" w14:paraId="34C3F322" w14:textId="30D10A47">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 </w:t>
      </w:r>
    </w:p>
    <w:p w:rsidR="49189F6C" w:rsidP="4A1F2B86" w:rsidRDefault="49189F6C" w14:paraId="789CF595" w14:textId="7D8F5BF2">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This text aims to clarify the distinctions between coaching and mentoring, highlighting their respective benefits and practical applications. By understanding these differences and integrating both approaches when </w:t>
      </w:r>
      <w:r w:rsidRPr="4A1F2B86" w:rsidR="49189F6C">
        <w:rPr>
          <w:rFonts w:ascii="Arial" w:hAnsi="Arial" w:eastAsia="Arial" w:cs="Arial"/>
          <w:noProof w:val="0"/>
          <w:sz w:val="22"/>
          <w:szCs w:val="22"/>
          <w:lang w:val="en-GB"/>
        </w:rPr>
        <w:t>appropriate</w:t>
      </w:r>
      <w:r w:rsidRPr="4A1F2B86" w:rsidR="49189F6C">
        <w:rPr>
          <w:rFonts w:ascii="Arial" w:hAnsi="Arial" w:eastAsia="Arial" w:cs="Arial"/>
          <w:noProof w:val="0"/>
          <w:sz w:val="22"/>
          <w:szCs w:val="22"/>
          <w:lang w:val="en-GB"/>
        </w:rPr>
        <w:t xml:space="preserve">, individuals can </w:t>
      </w:r>
      <w:r w:rsidRPr="4A1F2B86" w:rsidR="49189F6C">
        <w:rPr>
          <w:rFonts w:ascii="Arial" w:hAnsi="Arial" w:eastAsia="Arial" w:cs="Arial"/>
          <w:noProof w:val="0"/>
          <w:sz w:val="22"/>
          <w:szCs w:val="22"/>
          <w:lang w:val="en-GB"/>
        </w:rPr>
        <w:t>optimize</w:t>
      </w:r>
      <w:r w:rsidRPr="4A1F2B86" w:rsidR="49189F6C">
        <w:rPr>
          <w:rFonts w:ascii="Arial" w:hAnsi="Arial" w:eastAsia="Arial" w:cs="Arial"/>
          <w:noProof w:val="0"/>
          <w:sz w:val="22"/>
          <w:szCs w:val="22"/>
          <w:lang w:val="en-GB"/>
        </w:rPr>
        <w:t xml:space="preserve"> their learning, adaptability, and professional success. </w:t>
      </w:r>
      <w:r w:rsidRPr="4A1F2B86" w:rsidR="49189F6C">
        <w:rPr>
          <w:rFonts w:ascii="Arial" w:hAnsi="Arial" w:eastAsia="Arial" w:cs="Arial"/>
          <w:noProof w:val="0"/>
          <w:sz w:val="22"/>
          <w:szCs w:val="22"/>
          <w:lang w:val="en-GB"/>
        </w:rPr>
        <w:t>Ultimately, the</w:t>
      </w:r>
      <w:r w:rsidRPr="4A1F2B86" w:rsidR="49189F6C">
        <w:rPr>
          <w:rFonts w:ascii="Arial" w:hAnsi="Arial" w:eastAsia="Arial" w:cs="Arial"/>
          <w:noProof w:val="0"/>
          <w:sz w:val="22"/>
          <w:szCs w:val="22"/>
          <w:lang w:val="en-GB"/>
        </w:rPr>
        <w:t xml:space="preserve"> support derived from coaching and mentoring plays a crucial role in shaping future growth and achievements.</w:t>
      </w:r>
    </w:p>
    <w:p w:rsidR="2FAF0265" w:rsidP="45BE726F" w:rsidRDefault="2FAF0265" w14:paraId="7826D335" w14:textId="037C2450">
      <w:pPr>
        <w:pStyle w:val="Normal"/>
        <w:keepNext w:val="0"/>
        <w:keepLines w:val="0"/>
        <w:spacing w:line="360" w:lineRule="auto"/>
        <w:rPr>
          <w:rFonts w:ascii="Arial" w:hAnsi="Arial" w:eastAsia="Arial" w:cs="Arial"/>
          <w:sz w:val="22"/>
          <w:szCs w:val="22"/>
        </w:rPr>
      </w:pPr>
    </w:p>
    <w:p w:rsidR="45BE726F" w:rsidP="45BE726F" w:rsidRDefault="45BE726F" w14:paraId="45EA0526" w14:textId="3B0F4860">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w:rsidR="2FAF0265" w:rsidP="45BE726F" w:rsidRDefault="2FAF0265" w14:paraId="7EF26A51" w14:textId="7C9071C6">
      <w:pPr>
        <w:pStyle w:val="Normal"/>
        <w:keepNext w:val="0"/>
        <w:keepLines w:val="0"/>
        <w:spacing w:line="360" w:lineRule="auto"/>
        <w:rPr>
          <w:rFonts w:ascii="Arial" w:hAnsi="Arial" w:eastAsia="Arial" w:cs="Arial"/>
          <w:sz w:val="22"/>
          <w:szCs w:val="22"/>
        </w:rPr>
      </w:pPr>
    </w:p>
    <w:p xmlns:wp14="http://schemas.microsoft.com/office/word/2010/wordml" w:rsidP="45BE726F" wp14:paraId="12D667DD" wp14:textId="17C9F30B">
      <w:pPr>
        <w:pStyle w:val="Heading1"/>
        <w:keepNext w:val="0"/>
        <w:keepLines w:val="0"/>
        <w:spacing w:line="360" w:lineRule="auto"/>
        <w:rPr>
          <w:rFonts w:ascii="Arial" w:hAnsi="Arial" w:eastAsia="Arial" w:cs="Arial"/>
          <w:noProof w:val="0"/>
          <w:sz w:val="22"/>
          <w:szCs w:val="22"/>
          <w:lang w:val="en-GB"/>
        </w:rPr>
      </w:pPr>
      <w:bookmarkStart w:name="_Toc310675940" w:id="76334398"/>
      <w:bookmarkStart w:name="_Toc754270464" w:id="1080359556"/>
      <w:bookmarkStart w:name="_Toc76675490" w:id="356245924"/>
      <w:r w:rsidRPr="4A1F2B86" w:rsidR="6DB53FBF">
        <w:rPr>
          <w:rFonts w:ascii="Arial" w:hAnsi="Arial" w:eastAsia="Arial" w:cs="Arial"/>
          <w:noProof w:val="0"/>
          <w:sz w:val="22"/>
          <w:szCs w:val="22"/>
          <w:lang w:val="en-GB"/>
        </w:rPr>
        <w:t>References</w:t>
      </w:r>
      <w:bookmarkEnd w:id="76334398"/>
      <w:bookmarkEnd w:id="1080359556"/>
      <w:bookmarkEnd w:id="356245924"/>
    </w:p>
    <w:p xmlns:wp14="http://schemas.microsoft.com/office/word/2010/wordml" w:rsidP="45BE726F" wp14:paraId="70A14746" wp14:textId="62A6A825">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4FF32E10" wp14:textId="5528885E">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1C93FA9D" wp14:textId="29CFB895">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26A94B29">
        <w:rPr>
          <w:rFonts w:ascii="Arial" w:hAnsi="Arial" w:eastAsia="Arial" w:cs="Arial"/>
          <w:noProof w:val="0"/>
          <w:sz w:val="22"/>
          <w:szCs w:val="22"/>
          <w:lang w:val="en-GB"/>
        </w:rPr>
        <w:t xml:space="preserve">Batson, V.D. and Yoder, L.H. (2012) ‘Managerial coaching: a concept analysis’, </w:t>
      </w:r>
      <w:r w:rsidRPr="45BE726F" w:rsidR="26A94B29">
        <w:rPr>
          <w:rFonts w:ascii="Arial" w:hAnsi="Arial" w:eastAsia="Arial" w:cs="Arial"/>
          <w:i w:val="1"/>
          <w:iCs w:val="1"/>
          <w:noProof w:val="0"/>
          <w:sz w:val="22"/>
          <w:szCs w:val="22"/>
          <w:lang w:val="en-GB"/>
        </w:rPr>
        <w:t>Journal of advanced nursing</w:t>
      </w:r>
      <w:r w:rsidRPr="45BE726F" w:rsidR="26A94B29">
        <w:rPr>
          <w:rFonts w:ascii="Arial" w:hAnsi="Arial" w:eastAsia="Arial" w:cs="Arial"/>
          <w:noProof w:val="0"/>
          <w:sz w:val="22"/>
          <w:szCs w:val="22"/>
          <w:lang w:val="en-GB"/>
        </w:rPr>
        <w:t xml:space="preserve">, 68(7), pp. 1658–1669. Available at: </w:t>
      </w:r>
      <w:hyperlink r:id="R76728896e7564db7">
        <w:r w:rsidRPr="45BE726F" w:rsidR="26A94B29">
          <w:rPr>
            <w:rStyle w:val="Hyperlink"/>
            <w:rFonts w:ascii="Arial" w:hAnsi="Arial" w:eastAsia="Arial" w:cs="Arial"/>
            <w:noProof w:val="0"/>
            <w:sz w:val="22"/>
            <w:szCs w:val="22"/>
            <w:lang w:val="en-GB"/>
          </w:rPr>
          <w:t>https://doi.org/10.1111/j.1365-2648.2011.05840.x</w:t>
        </w:r>
      </w:hyperlink>
      <w:r w:rsidRPr="45BE726F" w:rsidR="26A94B29">
        <w:rPr>
          <w:rFonts w:ascii="Arial" w:hAnsi="Arial" w:eastAsia="Arial" w:cs="Arial"/>
          <w:noProof w:val="0"/>
          <w:sz w:val="22"/>
          <w:szCs w:val="22"/>
          <w:lang w:val="en-GB"/>
        </w:rPr>
        <w:t>.</w:t>
      </w:r>
    </w:p>
    <w:p w:rsidR="2F63BE11" w:rsidP="45BE726F" w:rsidRDefault="2F63BE11" w14:paraId="26387376" w14:textId="731F63DC">
      <w:pPr>
        <w:keepNext w:val="0"/>
        <w:keepLines w:val="0"/>
        <w:spacing w:before="0" w:beforeAutospacing="off" w:after="0" w:afterAutospacing="off" w:line="360" w:lineRule="auto"/>
        <w:rPr>
          <w:rFonts w:ascii="Arial" w:hAnsi="Arial" w:eastAsia="Arial" w:cs="Arial"/>
          <w:noProof w:val="0"/>
          <w:sz w:val="22"/>
          <w:szCs w:val="22"/>
          <w:lang w:val="en-GB"/>
        </w:rPr>
      </w:pPr>
    </w:p>
    <w:p w:rsidR="162F32FD" w:rsidP="4A1F2B86" w:rsidRDefault="162F32FD" w14:paraId="019F0BC2" w14:textId="019637F6">
      <w:pPr>
        <w:spacing w:before="0" w:beforeAutospacing="off" w:after="0" w:afterAutospacing="off"/>
      </w:pPr>
      <w:r w:rsidRPr="4A1F2B86" w:rsidR="162F32FD">
        <w:rPr>
          <w:rFonts w:ascii="Arial" w:hAnsi="Arial" w:eastAsia="Arial" w:cs="Arial"/>
          <w:noProof w:val="0"/>
          <w:sz w:val="22"/>
          <w:szCs w:val="22"/>
          <w:lang w:val="en-GB"/>
        </w:rPr>
        <w:t xml:space="preserve">Burnes, B. and Cooke, B. (2013) ‘Kurt Lewin’s Field Theory: A Review and Re-evaluation’, </w:t>
      </w:r>
      <w:r w:rsidRPr="4A1F2B86" w:rsidR="162F32FD">
        <w:rPr>
          <w:rFonts w:ascii="Arial" w:hAnsi="Arial" w:eastAsia="Arial" w:cs="Arial"/>
          <w:i w:val="1"/>
          <w:iCs w:val="1"/>
          <w:noProof w:val="0"/>
          <w:sz w:val="22"/>
          <w:szCs w:val="22"/>
          <w:lang w:val="en-GB"/>
        </w:rPr>
        <w:t>International journal of management reviews : IJMR</w:t>
      </w:r>
      <w:r w:rsidRPr="4A1F2B86" w:rsidR="162F32FD">
        <w:rPr>
          <w:rFonts w:ascii="Arial" w:hAnsi="Arial" w:eastAsia="Arial" w:cs="Arial"/>
          <w:noProof w:val="0"/>
          <w:sz w:val="22"/>
          <w:szCs w:val="22"/>
          <w:lang w:val="en-GB"/>
        </w:rPr>
        <w:t xml:space="preserve">, 15(4), pp. 408–425. Available at: </w:t>
      </w:r>
      <w:hyperlink r:id="Rabdb29b763bf42d7">
        <w:r w:rsidRPr="4A1F2B86" w:rsidR="162F32FD">
          <w:rPr>
            <w:rStyle w:val="Hyperlink"/>
            <w:rFonts w:ascii="Arial" w:hAnsi="Arial" w:eastAsia="Arial" w:cs="Arial"/>
            <w:noProof w:val="0"/>
            <w:sz w:val="22"/>
            <w:szCs w:val="22"/>
            <w:lang w:val="en-GB"/>
          </w:rPr>
          <w:t>https://doi.org/10.1111/j.1468-2370.2012.00348.x</w:t>
        </w:r>
      </w:hyperlink>
      <w:r w:rsidRPr="4A1F2B86" w:rsidR="162F32FD">
        <w:rPr>
          <w:rFonts w:ascii="Arial" w:hAnsi="Arial" w:eastAsia="Arial" w:cs="Arial"/>
          <w:noProof w:val="0"/>
          <w:sz w:val="22"/>
          <w:szCs w:val="22"/>
          <w:lang w:val="en-GB"/>
        </w:rPr>
        <w:t>.</w:t>
      </w:r>
    </w:p>
    <w:p w:rsidR="4A1F2B86" w:rsidP="4A1F2B86" w:rsidRDefault="4A1F2B86" w14:paraId="5E5F9296" w14:textId="79DFA88B">
      <w:pPr>
        <w:keepNext w:val="0"/>
        <w:keepLines w:val="0"/>
        <w:spacing w:before="0" w:beforeAutospacing="off" w:after="0" w:afterAutospacing="off" w:line="360" w:lineRule="auto"/>
        <w:rPr>
          <w:rFonts w:ascii="Arial" w:hAnsi="Arial" w:eastAsia="Arial" w:cs="Arial"/>
          <w:noProof w:val="0"/>
          <w:sz w:val="22"/>
          <w:szCs w:val="22"/>
          <w:lang w:val="en-GB"/>
        </w:rPr>
      </w:pPr>
    </w:p>
    <w:p w:rsidR="7513092C" w:rsidP="45BE726F" w:rsidRDefault="7513092C" w14:paraId="6DB79DF6" w14:textId="4065A384">
      <w:pPr>
        <w:pStyle w:val="Normal"/>
        <w:keepNext w:val="0"/>
        <w:keepLines w:val="0"/>
        <w:spacing w:before="0" w:beforeAutospacing="off" w:after="0" w:afterAutospacing="off" w:line="360" w:lineRule="auto"/>
        <w:rPr>
          <w:rFonts w:ascii="Arial" w:hAnsi="Arial" w:eastAsia="Arial" w:cs="Arial"/>
          <w:noProof w:val="0"/>
          <w:sz w:val="22"/>
          <w:szCs w:val="22"/>
          <w:lang w:val="en-GB"/>
        </w:rPr>
      </w:pPr>
      <w:r w:rsidRPr="45BE726F" w:rsidR="7513092C">
        <w:rPr>
          <w:rFonts w:ascii="Arial" w:hAnsi="Arial" w:eastAsia="Arial" w:cs="Arial"/>
          <w:noProof w:val="0"/>
          <w:color w:val="0E101A"/>
          <w:sz w:val="22"/>
          <w:szCs w:val="22"/>
          <w:lang w:val="en-GB"/>
        </w:rPr>
        <w:t xml:space="preserve">Driscoll, J (2007) </w:t>
      </w:r>
      <w:r w:rsidRPr="45BE726F" w:rsidR="7513092C">
        <w:rPr>
          <w:rFonts w:ascii="Arial" w:hAnsi="Arial" w:eastAsia="Arial" w:cs="Arial"/>
          <w:i w:val="1"/>
          <w:iCs w:val="1"/>
          <w:noProof w:val="0"/>
          <w:color w:val="0E101A"/>
          <w:sz w:val="22"/>
          <w:szCs w:val="22"/>
          <w:lang w:val="en-GB"/>
        </w:rPr>
        <w:t>Practising Clinical Supervision: A reflective approach for healthcare professionals</w:t>
      </w:r>
      <w:r w:rsidRPr="45BE726F" w:rsidR="7513092C">
        <w:rPr>
          <w:rFonts w:ascii="Arial" w:hAnsi="Arial" w:eastAsia="Arial" w:cs="Arial"/>
          <w:noProof w:val="0"/>
          <w:color w:val="0E101A"/>
          <w:sz w:val="22"/>
          <w:szCs w:val="22"/>
          <w:lang w:val="en-GB"/>
        </w:rPr>
        <w:t xml:space="preserve">, Edinburgh: </w:t>
      </w:r>
      <w:r w:rsidRPr="45BE726F" w:rsidR="7513092C">
        <w:rPr>
          <w:rFonts w:ascii="Arial" w:hAnsi="Arial" w:eastAsia="Arial" w:cs="Arial"/>
          <w:noProof w:val="0"/>
          <w:color w:val="0E101A"/>
          <w:sz w:val="22"/>
          <w:szCs w:val="22"/>
          <w:lang w:val="en-GB"/>
        </w:rPr>
        <w:t>Balliere</w:t>
      </w:r>
      <w:r w:rsidRPr="45BE726F" w:rsidR="7513092C">
        <w:rPr>
          <w:rFonts w:ascii="Arial" w:hAnsi="Arial" w:eastAsia="Arial" w:cs="Arial"/>
          <w:noProof w:val="0"/>
          <w:color w:val="0E101A"/>
          <w:sz w:val="22"/>
          <w:szCs w:val="22"/>
          <w:lang w:val="en-GB"/>
        </w:rPr>
        <w:t xml:space="preserve"> Tindall, Elsevier</w:t>
      </w:r>
    </w:p>
    <w:p xmlns:wp14="http://schemas.microsoft.com/office/word/2010/wordml" w:rsidP="45BE726F" wp14:paraId="18E51691" wp14:textId="53A43F97">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29007E49" wp14:textId="080AB20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25A1D44">
        <w:rPr>
          <w:rFonts w:ascii="Arial" w:hAnsi="Arial" w:eastAsia="Arial" w:cs="Arial"/>
          <w:noProof w:val="0"/>
          <w:sz w:val="22"/>
          <w:szCs w:val="22"/>
          <w:lang w:val="en-GB"/>
        </w:rPr>
        <w:t xml:space="preserve">Heppner, P.P. (2017) ‘Creating Mentoring Opportunities to Promote Cultural Competencies and Social Justice’, </w:t>
      </w:r>
      <w:r w:rsidRPr="45BE726F" w:rsidR="325A1D44">
        <w:rPr>
          <w:rFonts w:ascii="Arial" w:hAnsi="Arial" w:eastAsia="Arial" w:cs="Arial"/>
          <w:i w:val="1"/>
          <w:iCs w:val="1"/>
          <w:noProof w:val="0"/>
          <w:sz w:val="22"/>
          <w:szCs w:val="22"/>
          <w:lang w:val="en-GB"/>
        </w:rPr>
        <w:t xml:space="preserve">The </w:t>
      </w:r>
      <w:r w:rsidRPr="45BE726F" w:rsidR="325A1D44">
        <w:rPr>
          <w:rFonts w:ascii="Arial" w:hAnsi="Arial" w:eastAsia="Arial" w:cs="Arial"/>
          <w:i w:val="1"/>
          <w:iCs w:val="1"/>
          <w:noProof w:val="0"/>
          <w:sz w:val="22"/>
          <w:szCs w:val="22"/>
          <w:lang w:val="en-GB"/>
        </w:rPr>
        <w:t>Counseling</w:t>
      </w:r>
      <w:r w:rsidRPr="45BE726F" w:rsidR="325A1D44">
        <w:rPr>
          <w:rFonts w:ascii="Arial" w:hAnsi="Arial" w:eastAsia="Arial" w:cs="Arial"/>
          <w:i w:val="1"/>
          <w:iCs w:val="1"/>
          <w:noProof w:val="0"/>
          <w:sz w:val="22"/>
          <w:szCs w:val="22"/>
          <w:lang w:val="en-GB"/>
        </w:rPr>
        <w:t xml:space="preserve"> psychologist</w:t>
      </w:r>
      <w:r w:rsidRPr="45BE726F" w:rsidR="325A1D44">
        <w:rPr>
          <w:rFonts w:ascii="Arial" w:hAnsi="Arial" w:eastAsia="Arial" w:cs="Arial"/>
          <w:noProof w:val="0"/>
          <w:sz w:val="22"/>
          <w:szCs w:val="22"/>
          <w:lang w:val="en-GB"/>
        </w:rPr>
        <w:t xml:space="preserve">, 45(1), pp. 137–157. Available at: </w:t>
      </w:r>
      <w:hyperlink r:id="R3469686189f2481d">
        <w:r w:rsidRPr="45BE726F" w:rsidR="325A1D44">
          <w:rPr>
            <w:rStyle w:val="Hyperlink"/>
            <w:rFonts w:ascii="Arial" w:hAnsi="Arial" w:eastAsia="Arial" w:cs="Arial"/>
            <w:noProof w:val="0"/>
            <w:sz w:val="22"/>
            <w:szCs w:val="22"/>
            <w:lang w:val="en-GB"/>
          </w:rPr>
          <w:t>https://doi.org/10.1177/0011000016688781</w:t>
        </w:r>
      </w:hyperlink>
      <w:r w:rsidRPr="45BE726F" w:rsidR="325A1D44">
        <w:rPr>
          <w:rFonts w:ascii="Arial" w:hAnsi="Arial" w:eastAsia="Arial" w:cs="Arial"/>
          <w:noProof w:val="0"/>
          <w:sz w:val="22"/>
          <w:szCs w:val="22"/>
          <w:lang w:val="en-GB"/>
        </w:rPr>
        <w:t>.</w:t>
      </w:r>
      <w:r w:rsidRPr="45BE726F" w:rsidR="325A1D44">
        <w:rPr>
          <w:rFonts w:ascii="Arial" w:hAnsi="Arial" w:eastAsia="Arial" w:cs="Arial"/>
          <w:noProof w:val="0"/>
          <w:sz w:val="22"/>
          <w:szCs w:val="22"/>
          <w:lang w:val="en-GB"/>
        </w:rPr>
        <w:t xml:space="preserve"> </w:t>
      </w:r>
    </w:p>
    <w:p w:rsidR="62A9A2FA" w:rsidP="45BE726F" w:rsidRDefault="62A9A2FA" w14:paraId="252E2C7D" w14:textId="39DAC3EB">
      <w:pPr>
        <w:keepNext w:val="0"/>
        <w:keepLines w:val="0"/>
        <w:spacing w:before="0" w:beforeAutospacing="off" w:after="0" w:afterAutospacing="off" w:line="360" w:lineRule="auto"/>
        <w:rPr>
          <w:rFonts w:ascii="Arial" w:hAnsi="Arial" w:eastAsia="Arial" w:cs="Arial"/>
          <w:noProof w:val="0"/>
          <w:sz w:val="22"/>
          <w:szCs w:val="22"/>
          <w:lang w:val="en-GB"/>
        </w:rPr>
      </w:pPr>
    </w:p>
    <w:p w:rsidR="6956101C" w:rsidP="45BE726F" w:rsidRDefault="6956101C" w14:paraId="3D464982" w14:textId="08466B76">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6956101C">
        <w:rPr>
          <w:rFonts w:ascii="Arial" w:hAnsi="Arial" w:eastAsia="Arial" w:cs="Arial"/>
          <w:noProof w:val="0"/>
          <w:sz w:val="22"/>
          <w:szCs w:val="22"/>
          <w:lang w:val="en-GB"/>
        </w:rPr>
        <w:t xml:space="preserve">Kang, K.I., Lee, N. and Joung, J. (2021) ‘Nursing students’ experience of online peer tutoring based on the grow model: A qualitative study’, </w:t>
      </w:r>
      <w:r w:rsidRPr="45BE726F" w:rsidR="6956101C">
        <w:rPr>
          <w:rFonts w:ascii="Arial" w:hAnsi="Arial" w:eastAsia="Arial" w:cs="Arial"/>
          <w:i w:val="1"/>
          <w:iCs w:val="1"/>
          <w:noProof w:val="0"/>
          <w:sz w:val="22"/>
          <w:szCs w:val="22"/>
          <w:lang w:val="en-GB"/>
        </w:rPr>
        <w:t>Nurse education today</w:t>
      </w:r>
      <w:r w:rsidRPr="45BE726F" w:rsidR="6956101C">
        <w:rPr>
          <w:rFonts w:ascii="Arial" w:hAnsi="Arial" w:eastAsia="Arial" w:cs="Arial"/>
          <w:noProof w:val="0"/>
          <w:sz w:val="22"/>
          <w:szCs w:val="22"/>
          <w:lang w:val="en-GB"/>
        </w:rPr>
        <w:t xml:space="preserve">, 107, pp. 105131–105131. Available at: </w:t>
      </w:r>
      <w:hyperlink r:id="R8f8791b53d2641e7">
        <w:r w:rsidRPr="45BE726F" w:rsidR="6956101C">
          <w:rPr>
            <w:rStyle w:val="Hyperlink"/>
            <w:rFonts w:ascii="Arial" w:hAnsi="Arial" w:eastAsia="Arial" w:cs="Arial"/>
            <w:noProof w:val="0"/>
            <w:sz w:val="22"/>
            <w:szCs w:val="22"/>
            <w:lang w:val="en-GB"/>
          </w:rPr>
          <w:t>https://doi.org/10.1016/j.nedt.2021.105131</w:t>
        </w:r>
      </w:hyperlink>
      <w:r w:rsidRPr="45BE726F" w:rsidR="6956101C">
        <w:rPr>
          <w:rFonts w:ascii="Arial" w:hAnsi="Arial" w:eastAsia="Arial" w:cs="Arial"/>
          <w:noProof w:val="0"/>
          <w:sz w:val="22"/>
          <w:szCs w:val="22"/>
          <w:lang w:val="en-GB"/>
        </w:rPr>
        <w:t>.</w:t>
      </w:r>
    </w:p>
    <w:p w:rsidR="2F63BE11" w:rsidP="45BE726F" w:rsidRDefault="2F63BE11" w14:paraId="0B0E03A8" w14:textId="023A9618">
      <w:pPr>
        <w:keepNext w:val="0"/>
        <w:keepLines w:val="0"/>
        <w:spacing w:before="0" w:beforeAutospacing="off" w:after="0" w:afterAutospacing="off" w:line="360" w:lineRule="auto"/>
        <w:rPr>
          <w:rFonts w:ascii="Arial" w:hAnsi="Arial" w:eastAsia="Arial" w:cs="Arial"/>
          <w:noProof w:val="0"/>
          <w:sz w:val="22"/>
          <w:szCs w:val="22"/>
          <w:lang w:val="en-GB"/>
        </w:rPr>
      </w:pPr>
    </w:p>
    <w:p w:rsidR="314A8690" w:rsidP="45BE726F" w:rsidRDefault="314A8690" w14:paraId="14209844" w14:textId="694ECDF3">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14A8690">
        <w:rPr>
          <w:rFonts w:ascii="Arial" w:hAnsi="Arial" w:eastAsia="Arial" w:cs="Arial"/>
          <w:noProof w:val="0"/>
          <w:sz w:val="22"/>
          <w:szCs w:val="22"/>
          <w:lang w:val="en-GB"/>
        </w:rPr>
        <w:t xml:space="preserve">Kaur, A. (2023) ‘Gender equity in an NHS theatre environment: an example of compassionate leadership and a discussion of psychological safety, inclusivity and civility’, </w:t>
      </w:r>
      <w:r w:rsidRPr="45BE726F" w:rsidR="314A8690">
        <w:rPr>
          <w:rFonts w:ascii="Arial" w:hAnsi="Arial" w:eastAsia="Arial" w:cs="Arial"/>
          <w:i w:val="1"/>
          <w:iCs w:val="1"/>
          <w:noProof w:val="0"/>
          <w:sz w:val="22"/>
          <w:szCs w:val="22"/>
          <w:lang w:val="en-GB"/>
        </w:rPr>
        <w:t>BMJ leader</w:t>
      </w:r>
      <w:r w:rsidRPr="45BE726F" w:rsidR="314A8690">
        <w:rPr>
          <w:rFonts w:ascii="Arial" w:hAnsi="Arial" w:eastAsia="Arial" w:cs="Arial"/>
          <w:noProof w:val="0"/>
          <w:sz w:val="22"/>
          <w:szCs w:val="22"/>
          <w:lang w:val="en-GB"/>
        </w:rPr>
        <w:t>, 7(</w:t>
      </w:r>
      <w:r w:rsidRPr="45BE726F" w:rsidR="314A8690">
        <w:rPr>
          <w:rFonts w:ascii="Arial" w:hAnsi="Arial" w:eastAsia="Arial" w:cs="Arial"/>
          <w:noProof w:val="0"/>
          <w:sz w:val="22"/>
          <w:szCs w:val="22"/>
          <w:lang w:val="en-GB"/>
        </w:rPr>
        <w:t>Suppl</w:t>
      </w:r>
      <w:r w:rsidRPr="45BE726F" w:rsidR="314A8690">
        <w:rPr>
          <w:rFonts w:ascii="Arial" w:hAnsi="Arial" w:eastAsia="Arial" w:cs="Arial"/>
          <w:noProof w:val="0"/>
          <w:sz w:val="22"/>
          <w:szCs w:val="22"/>
          <w:lang w:val="en-GB"/>
        </w:rPr>
        <w:t xml:space="preserve"> 2), pp. e000774-. Available at: </w:t>
      </w:r>
      <w:hyperlink r:id="Rd9024de8a03a47e0">
        <w:r w:rsidRPr="45BE726F" w:rsidR="314A8690">
          <w:rPr>
            <w:rStyle w:val="Hyperlink"/>
            <w:rFonts w:ascii="Arial" w:hAnsi="Arial" w:eastAsia="Arial" w:cs="Arial"/>
            <w:noProof w:val="0"/>
            <w:sz w:val="22"/>
            <w:szCs w:val="22"/>
            <w:lang w:val="en-GB"/>
          </w:rPr>
          <w:t>https://doi.org/10.1136/leader-2023-000774</w:t>
        </w:r>
      </w:hyperlink>
      <w:r w:rsidRPr="45BE726F" w:rsidR="314A8690">
        <w:rPr>
          <w:rFonts w:ascii="Arial" w:hAnsi="Arial" w:eastAsia="Arial" w:cs="Arial"/>
          <w:noProof w:val="0"/>
          <w:sz w:val="22"/>
          <w:szCs w:val="22"/>
          <w:lang w:val="en-GB"/>
        </w:rPr>
        <w:t>.</w:t>
      </w:r>
    </w:p>
    <w:p w:rsidR="45BE726F" w:rsidP="45BE726F" w:rsidRDefault="45BE726F" w14:paraId="0A72331E" w14:textId="42BE7061">
      <w:pPr>
        <w:keepNext w:val="0"/>
        <w:keepLines w:val="0"/>
        <w:spacing w:before="0" w:beforeAutospacing="off" w:after="0" w:afterAutospacing="off" w:line="360" w:lineRule="auto"/>
        <w:rPr>
          <w:rFonts w:ascii="Arial" w:hAnsi="Arial" w:eastAsia="Arial" w:cs="Arial"/>
          <w:noProof w:val="0"/>
          <w:sz w:val="22"/>
          <w:szCs w:val="22"/>
          <w:lang w:val="en-GB"/>
        </w:rPr>
      </w:pPr>
    </w:p>
    <w:p w:rsidR="5320DF63" w:rsidP="45BE726F" w:rsidRDefault="5320DF63" w14:paraId="49BAC68F" w14:textId="53F721D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5320DF63">
        <w:rPr>
          <w:rFonts w:ascii="Arial" w:hAnsi="Arial" w:eastAsia="Arial" w:cs="Arial"/>
          <w:noProof w:val="0"/>
          <w:sz w:val="22"/>
          <w:szCs w:val="22"/>
          <w:lang w:val="en-GB"/>
        </w:rPr>
        <w:t xml:space="preserve">Ololo, K. </w:t>
      </w:r>
      <w:r w:rsidRPr="45BE726F" w:rsidR="5320DF63">
        <w:rPr>
          <w:rFonts w:ascii="Arial" w:hAnsi="Arial" w:eastAsia="Arial" w:cs="Arial"/>
          <w:i w:val="1"/>
          <w:iCs w:val="1"/>
          <w:noProof w:val="0"/>
          <w:sz w:val="22"/>
          <w:szCs w:val="22"/>
          <w:lang w:val="en-GB"/>
        </w:rPr>
        <w:t>et al.</w:t>
      </w:r>
      <w:r w:rsidRPr="45BE726F" w:rsidR="5320DF63">
        <w:rPr>
          <w:rFonts w:ascii="Arial" w:hAnsi="Arial" w:eastAsia="Arial" w:cs="Arial"/>
          <w:noProof w:val="0"/>
          <w:sz w:val="22"/>
          <w:szCs w:val="22"/>
          <w:lang w:val="en-GB"/>
        </w:rPr>
        <w:t xml:space="preserve"> (2024) ‘Rational Emotive and Cognitive </w:t>
      </w:r>
      <w:r w:rsidRPr="45BE726F" w:rsidR="5320DF63">
        <w:rPr>
          <w:rFonts w:ascii="Arial" w:hAnsi="Arial" w:eastAsia="Arial" w:cs="Arial"/>
          <w:noProof w:val="0"/>
          <w:sz w:val="22"/>
          <w:szCs w:val="22"/>
          <w:lang w:val="en-GB"/>
        </w:rPr>
        <w:t>Behavior</w:t>
      </w:r>
      <w:r w:rsidRPr="45BE726F" w:rsidR="5320DF63">
        <w:rPr>
          <w:rFonts w:ascii="Arial" w:hAnsi="Arial" w:eastAsia="Arial" w:cs="Arial"/>
          <w:noProof w:val="0"/>
          <w:sz w:val="22"/>
          <w:szCs w:val="22"/>
          <w:lang w:val="en-GB"/>
        </w:rPr>
        <w:t xml:space="preserve"> Coaching Intervention for Promoting College Students’ Financial Risk Tolerance and Attitudes Towards Financial Risk’, </w:t>
      </w:r>
      <w:r w:rsidRPr="45BE726F" w:rsidR="5320DF63">
        <w:rPr>
          <w:rFonts w:ascii="Arial" w:hAnsi="Arial" w:eastAsia="Arial" w:cs="Arial"/>
          <w:i w:val="1"/>
          <w:iCs w:val="1"/>
          <w:noProof w:val="0"/>
          <w:sz w:val="22"/>
          <w:szCs w:val="22"/>
          <w:lang w:val="en-GB"/>
        </w:rPr>
        <w:t>Journal of rational-emotive and cognitive-</w:t>
      </w:r>
      <w:r w:rsidRPr="45BE726F" w:rsidR="5320DF63">
        <w:rPr>
          <w:rFonts w:ascii="Arial" w:hAnsi="Arial" w:eastAsia="Arial" w:cs="Arial"/>
          <w:i w:val="1"/>
          <w:iCs w:val="1"/>
          <w:noProof w:val="0"/>
          <w:sz w:val="22"/>
          <w:szCs w:val="22"/>
          <w:lang w:val="en-GB"/>
        </w:rPr>
        <w:t>behavior</w:t>
      </w:r>
      <w:r w:rsidRPr="45BE726F" w:rsidR="5320DF63">
        <w:rPr>
          <w:rFonts w:ascii="Arial" w:hAnsi="Arial" w:eastAsia="Arial" w:cs="Arial"/>
          <w:i w:val="1"/>
          <w:iCs w:val="1"/>
          <w:noProof w:val="0"/>
          <w:sz w:val="22"/>
          <w:szCs w:val="22"/>
          <w:lang w:val="en-GB"/>
        </w:rPr>
        <w:t xml:space="preserve"> therapy</w:t>
      </w:r>
      <w:r w:rsidRPr="45BE726F" w:rsidR="5320DF63">
        <w:rPr>
          <w:rFonts w:ascii="Arial" w:hAnsi="Arial" w:eastAsia="Arial" w:cs="Arial"/>
          <w:noProof w:val="0"/>
          <w:sz w:val="22"/>
          <w:szCs w:val="22"/>
          <w:lang w:val="en-GB"/>
        </w:rPr>
        <w:t xml:space="preserve">, 42(2), pp. 398–418. Available at: </w:t>
      </w:r>
      <w:hyperlink r:id="R12052ea0a6d747f3">
        <w:r w:rsidRPr="45BE726F" w:rsidR="5320DF63">
          <w:rPr>
            <w:rStyle w:val="Hyperlink"/>
            <w:rFonts w:ascii="Arial" w:hAnsi="Arial" w:eastAsia="Arial" w:cs="Arial"/>
            <w:noProof w:val="0"/>
            <w:sz w:val="22"/>
            <w:szCs w:val="22"/>
            <w:lang w:val="en-GB"/>
          </w:rPr>
          <w:t>https://doi.org/10.1007/s10942-023-00523-0</w:t>
        </w:r>
      </w:hyperlink>
      <w:r w:rsidRPr="45BE726F" w:rsidR="5320DF63">
        <w:rPr>
          <w:rFonts w:ascii="Arial" w:hAnsi="Arial" w:eastAsia="Arial" w:cs="Arial"/>
          <w:noProof w:val="0"/>
          <w:sz w:val="22"/>
          <w:szCs w:val="22"/>
          <w:lang w:val="en-GB"/>
        </w:rPr>
        <w:t>.</w:t>
      </w:r>
    </w:p>
    <w:p xmlns:wp14="http://schemas.microsoft.com/office/word/2010/wordml" w:rsidP="45BE726F" wp14:paraId="5ED5CF4A" wp14:textId="47C56F27">
      <w:pPr>
        <w:keepNext w:val="0"/>
        <w:keepLines w:val="0"/>
        <w:spacing w:before="0" w:beforeAutospacing="off" w:after="0" w:afterAutospacing="off" w:line="360" w:lineRule="auto"/>
        <w:rPr>
          <w:rFonts w:ascii="Arial" w:hAnsi="Arial" w:eastAsia="Arial" w:cs="Arial"/>
          <w:noProof w:val="0"/>
          <w:sz w:val="22"/>
          <w:szCs w:val="22"/>
          <w:lang w:val="en-GB"/>
        </w:rPr>
      </w:pPr>
    </w:p>
    <w:p w:rsidR="45DF1C2E" w:rsidP="45BE726F" w:rsidRDefault="45DF1C2E" w14:paraId="546E52E4" w14:textId="47C17F4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45DF1C2E">
        <w:rPr>
          <w:rFonts w:ascii="Arial" w:hAnsi="Arial" w:eastAsia="Arial" w:cs="Arial"/>
          <w:noProof w:val="0"/>
          <w:sz w:val="22"/>
          <w:szCs w:val="22"/>
          <w:lang w:val="en-GB"/>
        </w:rPr>
        <w:t xml:space="preserve">Panchal, S. and Riddell, P. (2020) ‘The GROWS model: Extending the GROW coaching model to support behavioural change’, </w:t>
      </w:r>
      <w:r w:rsidRPr="45BE726F" w:rsidR="45DF1C2E">
        <w:rPr>
          <w:rFonts w:ascii="Arial" w:hAnsi="Arial" w:eastAsia="Arial" w:cs="Arial"/>
          <w:i w:val="1"/>
          <w:iCs w:val="1"/>
          <w:noProof w:val="0"/>
          <w:sz w:val="22"/>
          <w:szCs w:val="22"/>
          <w:lang w:val="en-GB"/>
        </w:rPr>
        <w:t>Coaching psychologist</w:t>
      </w:r>
      <w:r w:rsidRPr="45BE726F" w:rsidR="45DF1C2E">
        <w:rPr>
          <w:rFonts w:ascii="Arial" w:hAnsi="Arial" w:eastAsia="Arial" w:cs="Arial"/>
          <w:noProof w:val="0"/>
          <w:sz w:val="22"/>
          <w:szCs w:val="22"/>
          <w:lang w:val="en-GB"/>
        </w:rPr>
        <w:t xml:space="preserve">, 16(2), pp. 12–24. Available at: </w:t>
      </w:r>
      <w:hyperlink r:id="R0aa586bff30e4da3">
        <w:r w:rsidRPr="45BE726F" w:rsidR="45DF1C2E">
          <w:rPr>
            <w:rStyle w:val="Hyperlink"/>
            <w:rFonts w:ascii="Arial" w:hAnsi="Arial" w:eastAsia="Arial" w:cs="Arial"/>
            <w:noProof w:val="0"/>
            <w:sz w:val="22"/>
            <w:szCs w:val="22"/>
            <w:lang w:val="en-GB"/>
          </w:rPr>
          <w:t>https://doi.org/10.53841/bpstcp.2020.16.2.12</w:t>
        </w:r>
      </w:hyperlink>
      <w:r w:rsidRPr="45BE726F" w:rsidR="45DF1C2E">
        <w:rPr>
          <w:rFonts w:ascii="Arial" w:hAnsi="Arial" w:eastAsia="Arial" w:cs="Arial"/>
          <w:noProof w:val="0"/>
          <w:sz w:val="22"/>
          <w:szCs w:val="22"/>
          <w:lang w:val="en-GB"/>
        </w:rPr>
        <w:t>.</w:t>
      </w:r>
    </w:p>
    <w:p w:rsidR="62A9A2FA" w:rsidP="45BE726F" w:rsidRDefault="62A9A2FA" w14:paraId="04876C14" w14:textId="7A153BB6">
      <w:pPr>
        <w:keepNext w:val="0"/>
        <w:keepLines w:val="0"/>
        <w:spacing w:before="0" w:beforeAutospacing="off" w:after="0" w:afterAutospacing="off" w:line="360" w:lineRule="auto"/>
        <w:rPr>
          <w:rFonts w:ascii="Arial" w:hAnsi="Arial" w:eastAsia="Arial" w:cs="Arial"/>
          <w:noProof w:val="0"/>
          <w:sz w:val="22"/>
          <w:szCs w:val="22"/>
          <w:lang w:val="en-GB"/>
        </w:rPr>
      </w:pPr>
    </w:p>
    <w:p w:rsidR="62A9A2FA" w:rsidP="45BE726F" w:rsidRDefault="62A9A2FA" w14:paraId="30E62F59" w14:textId="3D86BE4D">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33A17CEA" wp14:textId="5E2966DC">
      <w:pPr>
        <w:keepNext w:val="0"/>
        <w:keepLines w:val="0"/>
        <w:spacing w:before="0" w:beforeAutospacing="off" w:after="0" w:afterAutospacing="off" w:line="360" w:lineRule="auto"/>
        <w:rPr>
          <w:rFonts w:ascii="Arial" w:hAnsi="Arial" w:eastAsia="Arial" w:cs="Arial"/>
          <w:noProof w:val="0"/>
          <w:sz w:val="22"/>
          <w:szCs w:val="22"/>
          <w:lang w:val="en-GB"/>
        </w:rPr>
      </w:pPr>
      <w:r w:rsidRPr="4A1F2B86" w:rsidR="57543EDA">
        <w:rPr>
          <w:rFonts w:ascii="Arial" w:hAnsi="Arial" w:eastAsia="Arial" w:cs="Arial"/>
          <w:noProof w:val="0"/>
          <w:sz w:val="22"/>
          <w:szCs w:val="22"/>
          <w:lang w:val="en-GB"/>
        </w:rPr>
        <w:t xml:space="preserve">Park, S., McLean, G.N. and Yang, B. (2021) ‘Impact of managerial coaching skills on employee commitment: the role of personal learning’, </w:t>
      </w:r>
      <w:r w:rsidRPr="4A1F2B86" w:rsidR="57543EDA">
        <w:rPr>
          <w:rFonts w:ascii="Arial" w:hAnsi="Arial" w:eastAsia="Arial" w:cs="Arial"/>
          <w:i w:val="1"/>
          <w:iCs w:val="1"/>
          <w:noProof w:val="0"/>
          <w:sz w:val="22"/>
          <w:szCs w:val="22"/>
          <w:lang w:val="en-GB"/>
        </w:rPr>
        <w:t>European journal of training and development</w:t>
      </w:r>
      <w:r w:rsidRPr="4A1F2B86" w:rsidR="57543EDA">
        <w:rPr>
          <w:rFonts w:ascii="Arial" w:hAnsi="Arial" w:eastAsia="Arial" w:cs="Arial"/>
          <w:noProof w:val="0"/>
          <w:sz w:val="22"/>
          <w:szCs w:val="22"/>
          <w:lang w:val="en-GB"/>
        </w:rPr>
        <w:t xml:space="preserve">, 45(8/9), pp. 814–831. Available at: </w:t>
      </w:r>
      <w:hyperlink r:id="Rbe38b6ea9fc742f8">
        <w:r w:rsidRPr="4A1F2B86" w:rsidR="57543EDA">
          <w:rPr>
            <w:rStyle w:val="Hyperlink"/>
            <w:rFonts w:ascii="Arial" w:hAnsi="Arial" w:eastAsia="Arial" w:cs="Arial"/>
            <w:noProof w:val="0"/>
            <w:sz w:val="22"/>
            <w:szCs w:val="22"/>
            <w:lang w:val="en-GB"/>
          </w:rPr>
          <w:t>https://doi.org/10.1108/EJTD-07-2020-0122</w:t>
        </w:r>
      </w:hyperlink>
      <w:r w:rsidRPr="4A1F2B86" w:rsidR="57543EDA">
        <w:rPr>
          <w:rFonts w:ascii="Arial" w:hAnsi="Arial" w:eastAsia="Arial" w:cs="Arial"/>
          <w:noProof w:val="0"/>
          <w:sz w:val="22"/>
          <w:szCs w:val="22"/>
          <w:lang w:val="en-GB"/>
        </w:rPr>
        <w:t>.</w:t>
      </w:r>
    </w:p>
    <w:p xmlns:wp14="http://schemas.microsoft.com/office/word/2010/wordml" w:rsidP="4A1F2B86" wp14:paraId="0D8C9B29" wp14:textId="02D4DD4F">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A1F2B86" wp14:paraId="3A97E0D8" wp14:textId="58FC24C7">
      <w:pPr>
        <w:keepNext w:val="0"/>
        <w:keepLines w:val="0"/>
        <w:spacing w:before="0" w:beforeAutospacing="off" w:after="0" w:afterAutospacing="off" w:line="360" w:lineRule="auto"/>
      </w:pPr>
      <w:r w:rsidRPr="4A1F2B86" w:rsidR="7DB1AED3">
        <w:rPr>
          <w:rFonts w:ascii="Arial" w:hAnsi="Arial" w:eastAsia="Arial" w:cs="Arial"/>
          <w:noProof w:val="0"/>
          <w:sz w:val="22"/>
          <w:szCs w:val="22"/>
          <w:lang w:val="en-GB"/>
        </w:rPr>
        <w:t xml:space="preserve">POPESCU, F. and SCARLAT, C. (2015) ‘LIMITS OF SWOT ANALYSIS AND THEIR IMPACT ON DECISIONS IN EARLY WARNING SYSTEMS’, </w:t>
      </w:r>
      <w:r w:rsidRPr="4A1F2B86" w:rsidR="7DB1AED3">
        <w:rPr>
          <w:rFonts w:ascii="Arial" w:hAnsi="Arial" w:eastAsia="Arial" w:cs="Arial"/>
          <w:i w:val="1"/>
          <w:iCs w:val="1"/>
          <w:noProof w:val="0"/>
          <w:sz w:val="22"/>
          <w:szCs w:val="22"/>
          <w:lang w:val="en-GB"/>
        </w:rPr>
        <w:t>SEA - Practical Application of Science</w:t>
      </w:r>
      <w:r w:rsidRPr="4A1F2B86" w:rsidR="7DB1AED3">
        <w:rPr>
          <w:rFonts w:ascii="Arial" w:hAnsi="Arial" w:eastAsia="Arial" w:cs="Arial"/>
          <w:noProof w:val="0"/>
          <w:sz w:val="22"/>
          <w:szCs w:val="22"/>
          <w:lang w:val="en-GB"/>
        </w:rPr>
        <w:t xml:space="preserve">, </w:t>
      </w:r>
      <w:r w:rsidRPr="4A1F2B86" w:rsidR="7DB1AED3">
        <w:rPr>
          <w:rFonts w:ascii="Arial" w:hAnsi="Arial" w:eastAsia="Arial" w:cs="Arial"/>
          <w:noProof w:val="0"/>
          <w:sz w:val="22"/>
          <w:szCs w:val="22"/>
          <w:lang w:val="en-GB"/>
        </w:rPr>
        <w:t>III(</w:t>
      </w:r>
      <w:r w:rsidRPr="4A1F2B86" w:rsidR="7DB1AED3">
        <w:rPr>
          <w:rFonts w:ascii="Arial" w:hAnsi="Arial" w:eastAsia="Arial" w:cs="Arial"/>
          <w:noProof w:val="0"/>
          <w:sz w:val="22"/>
          <w:szCs w:val="22"/>
          <w:lang w:val="en-GB"/>
        </w:rPr>
        <w:t>7 (1/2015)), pp. 467–472.</w:t>
      </w:r>
    </w:p>
    <w:p xmlns:wp14="http://schemas.microsoft.com/office/word/2010/wordml" w:rsidP="45BE726F" wp14:paraId="24627EF5" wp14:textId="715B89A5">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5E5787A5" wp14:textId="0E0606B3">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696A692">
        <w:rPr>
          <w:rFonts w:ascii="Arial" w:hAnsi="Arial" w:eastAsia="Arial" w:cs="Arial"/>
          <w:noProof w:val="0"/>
          <w:sz w:val="22"/>
          <w:szCs w:val="22"/>
          <w:lang w:val="en-GB"/>
        </w:rPr>
        <w:t>Torbjørn Waaland (20</w:t>
      </w:r>
      <w:r w:rsidRPr="45BE726F" w:rsidR="3696A692">
        <w:rPr>
          <w:rFonts w:ascii="Arial" w:hAnsi="Arial" w:eastAsia="Arial" w:cs="Arial"/>
          <w:noProof w:val="0"/>
          <w:sz w:val="22"/>
          <w:szCs w:val="22"/>
          <w:lang w:val="en-GB"/>
        </w:rPr>
        <w:t xml:space="preserve">23) ‘Workplace mentoring: Investigating the influence of job characteristics on mentoring’, </w:t>
      </w:r>
      <w:r w:rsidRPr="45BE726F" w:rsidR="3696A692">
        <w:rPr>
          <w:rFonts w:ascii="Arial" w:hAnsi="Arial" w:eastAsia="Arial" w:cs="Arial"/>
          <w:i w:val="1"/>
          <w:iCs w:val="1"/>
          <w:noProof w:val="0"/>
          <w:sz w:val="22"/>
          <w:szCs w:val="22"/>
          <w:lang w:val="en-GB"/>
        </w:rPr>
        <w:t xml:space="preserve">International journal of </w:t>
      </w:r>
      <w:r w:rsidRPr="45BE726F" w:rsidR="3696A692">
        <w:rPr>
          <w:rFonts w:ascii="Arial" w:hAnsi="Arial" w:eastAsia="Arial" w:cs="Arial"/>
          <w:i w:val="1"/>
          <w:iCs w:val="1"/>
          <w:noProof w:val="0"/>
          <w:sz w:val="22"/>
          <w:szCs w:val="22"/>
          <w:lang w:val="en-GB"/>
        </w:rPr>
        <w:t>evidence based</w:t>
      </w:r>
      <w:r w:rsidRPr="45BE726F" w:rsidR="3696A692">
        <w:rPr>
          <w:rFonts w:ascii="Arial" w:hAnsi="Arial" w:eastAsia="Arial" w:cs="Arial"/>
          <w:i w:val="1"/>
          <w:iCs w:val="1"/>
          <w:noProof w:val="0"/>
          <w:sz w:val="22"/>
          <w:szCs w:val="22"/>
          <w:lang w:val="en-GB"/>
        </w:rPr>
        <w:t xml:space="preserve"> coaching and mentoring</w:t>
      </w:r>
      <w:r w:rsidRPr="45BE726F" w:rsidR="3696A692">
        <w:rPr>
          <w:rFonts w:ascii="Arial" w:hAnsi="Arial" w:eastAsia="Arial" w:cs="Arial"/>
          <w:noProof w:val="0"/>
          <w:sz w:val="22"/>
          <w:szCs w:val="22"/>
          <w:lang w:val="en-GB"/>
        </w:rPr>
        <w:t xml:space="preserve">, 21(1), pp. 147–165. Available at: </w:t>
      </w:r>
      <w:hyperlink r:id="Rcd7cd83ef1944c73">
        <w:r w:rsidRPr="45BE726F" w:rsidR="3696A692">
          <w:rPr>
            <w:rStyle w:val="Hyperlink"/>
            <w:rFonts w:ascii="Arial" w:hAnsi="Arial" w:eastAsia="Arial" w:cs="Arial"/>
            <w:noProof w:val="0"/>
            <w:sz w:val="22"/>
            <w:szCs w:val="22"/>
            <w:lang w:val="en-GB"/>
          </w:rPr>
          <w:t>https://doi.org/10.24384/y573-v883</w:t>
        </w:r>
      </w:hyperlink>
      <w:r w:rsidRPr="45BE726F" w:rsidR="3696A692">
        <w:rPr>
          <w:rFonts w:ascii="Arial" w:hAnsi="Arial" w:eastAsia="Arial" w:cs="Arial"/>
          <w:noProof w:val="0"/>
          <w:sz w:val="22"/>
          <w:szCs w:val="22"/>
          <w:lang w:val="en-GB"/>
        </w:rPr>
        <w:t>.</w:t>
      </w:r>
    </w:p>
    <w:p w:rsidR="45BE726F" w:rsidP="45BE726F" w:rsidRDefault="45BE726F" w14:paraId="1E0B4A12" w14:textId="2BEE4BBB">
      <w:pPr>
        <w:keepNext w:val="0"/>
        <w:keepLines w:val="0"/>
        <w:spacing w:before="0" w:beforeAutospacing="off" w:after="0" w:afterAutospacing="off" w:line="360" w:lineRule="auto"/>
        <w:rPr>
          <w:rFonts w:ascii="Arial" w:hAnsi="Arial" w:eastAsia="Arial" w:cs="Arial"/>
          <w:noProof w:val="0"/>
          <w:sz w:val="22"/>
          <w:szCs w:val="22"/>
          <w:lang w:val="en-GB"/>
        </w:rPr>
      </w:pPr>
    </w:p>
    <w:p w:rsidR="4D440ED2" w:rsidP="45BE726F" w:rsidRDefault="4D440ED2" w14:paraId="6C51F447" w14:textId="60C8ECA0">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4D440ED2">
        <w:rPr>
          <w:rFonts w:ascii="Arial" w:hAnsi="Arial" w:eastAsia="Arial" w:cs="Arial"/>
          <w:noProof w:val="0"/>
          <w:sz w:val="22"/>
          <w:szCs w:val="22"/>
          <w:lang w:val="en-GB"/>
        </w:rPr>
        <w:t xml:space="preserve">Whitmore, J. (2009) </w:t>
      </w:r>
      <w:r w:rsidRPr="45BE726F" w:rsidR="4D440ED2">
        <w:rPr>
          <w:rFonts w:ascii="Arial" w:hAnsi="Arial" w:eastAsia="Arial" w:cs="Arial"/>
          <w:i w:val="1"/>
          <w:iCs w:val="1"/>
          <w:noProof w:val="0"/>
          <w:sz w:val="22"/>
          <w:szCs w:val="22"/>
          <w:lang w:val="en-GB"/>
        </w:rPr>
        <w:t xml:space="preserve">Coaching for performance </w:t>
      </w:r>
      <w:r w:rsidRPr="45BE726F" w:rsidR="4D440ED2">
        <w:rPr>
          <w:rFonts w:ascii="Arial" w:hAnsi="Arial" w:eastAsia="Arial" w:cs="Arial"/>
          <w:i w:val="1"/>
          <w:iCs w:val="1"/>
          <w:noProof w:val="0"/>
          <w:sz w:val="22"/>
          <w:szCs w:val="22"/>
          <w:lang w:val="en-GB"/>
        </w:rPr>
        <w:t>GROWing</w:t>
      </w:r>
      <w:r w:rsidRPr="45BE726F" w:rsidR="4D440ED2">
        <w:rPr>
          <w:rFonts w:ascii="Arial" w:hAnsi="Arial" w:eastAsia="Arial" w:cs="Arial"/>
          <w:i w:val="1"/>
          <w:iCs w:val="1"/>
          <w:noProof w:val="0"/>
          <w:sz w:val="22"/>
          <w:szCs w:val="22"/>
          <w:lang w:val="en-GB"/>
        </w:rPr>
        <w:t xml:space="preserve"> human potential and </w:t>
      </w:r>
      <w:r w:rsidRPr="45BE726F" w:rsidR="4D440ED2">
        <w:rPr>
          <w:rFonts w:ascii="Arial" w:hAnsi="Arial" w:eastAsia="Arial" w:cs="Arial"/>
          <w:i w:val="1"/>
          <w:iCs w:val="1"/>
          <w:noProof w:val="0"/>
          <w:sz w:val="22"/>
          <w:szCs w:val="22"/>
          <w:lang w:val="en-GB"/>
        </w:rPr>
        <w:t>purpose :</w:t>
      </w:r>
      <w:r w:rsidRPr="45BE726F" w:rsidR="4D440ED2">
        <w:rPr>
          <w:rFonts w:ascii="Arial" w:hAnsi="Arial" w:eastAsia="Arial" w:cs="Arial"/>
          <w:i w:val="1"/>
          <w:iCs w:val="1"/>
          <w:noProof w:val="0"/>
          <w:sz w:val="22"/>
          <w:szCs w:val="22"/>
          <w:lang w:val="en-GB"/>
        </w:rPr>
        <w:t xml:space="preserve"> the principles and practice of coaching and leadership</w:t>
      </w:r>
      <w:r w:rsidRPr="45BE726F" w:rsidR="4D440ED2">
        <w:rPr>
          <w:rFonts w:ascii="Arial" w:hAnsi="Arial" w:eastAsia="Arial" w:cs="Arial"/>
          <w:noProof w:val="0"/>
          <w:sz w:val="22"/>
          <w:szCs w:val="22"/>
          <w:lang w:val="en-GB"/>
        </w:rPr>
        <w:t>. Fourth edition. Boston: Nicholas Brealey.</w:t>
      </w:r>
    </w:p>
    <w:p w:rsidR="62A9A2FA" w:rsidP="45BE726F" w:rsidRDefault="62A9A2FA" w14:paraId="3A8059C3" w14:textId="68C10FE2">
      <w:pPr>
        <w:keepNext w:val="0"/>
        <w:keepLines w:val="0"/>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Gx34v51AeQAl0" int2:id="oWtqhikf">
      <int2:state int2:type="AugLoop_Text_Critique" int2:value="Rejected"/>
    </int2:textHash>
    <int2:textHash int2:hashCode="JCk9JOQHpMagbj" int2:id="NcPIrsbd">
      <int2:state int2:type="AugLoop_Text_Critique" int2:value="Rejected"/>
    </int2:textHash>
    <int2:bookmark int2:bookmarkName="_Int_k7jlw2Vg" int2:invalidationBookmarkName="" int2:hashCode="O30PzcGzgilo0B" int2:id="5Ooozl6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6e71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80c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62992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d044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95c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041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o"/>
      <w:lvlJc w:val="left"/>
      <w:pPr>
        <w:ind w:left="2880" w:hanging="360"/>
      </w:pPr>
      <w:rPr>
        <w:rFonts w:hint="default" w:ascii="&quot;Courier New&quot;" w:hAnsi="&quot;Courier New&quot;"/>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d777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27BD1"/>
    <w:rsid w:val="006D6501"/>
    <w:rsid w:val="00A111F5"/>
    <w:rsid w:val="00AA10F2"/>
    <w:rsid w:val="012285D4"/>
    <w:rsid w:val="015490C8"/>
    <w:rsid w:val="01D77173"/>
    <w:rsid w:val="026B9245"/>
    <w:rsid w:val="02990398"/>
    <w:rsid w:val="02EDABE1"/>
    <w:rsid w:val="03C0E289"/>
    <w:rsid w:val="03C7DF27"/>
    <w:rsid w:val="052EA321"/>
    <w:rsid w:val="053E9E09"/>
    <w:rsid w:val="05C46F13"/>
    <w:rsid w:val="066E8766"/>
    <w:rsid w:val="06766F9C"/>
    <w:rsid w:val="06F689D4"/>
    <w:rsid w:val="07BD113F"/>
    <w:rsid w:val="081E589B"/>
    <w:rsid w:val="0845497E"/>
    <w:rsid w:val="088A2B4A"/>
    <w:rsid w:val="0961B0C7"/>
    <w:rsid w:val="0975D9C9"/>
    <w:rsid w:val="098B667E"/>
    <w:rsid w:val="09AE0C37"/>
    <w:rsid w:val="0A980685"/>
    <w:rsid w:val="0B9B819E"/>
    <w:rsid w:val="0D100DF9"/>
    <w:rsid w:val="0E24AD0B"/>
    <w:rsid w:val="0E38E7A3"/>
    <w:rsid w:val="1025A35B"/>
    <w:rsid w:val="10CC5B4D"/>
    <w:rsid w:val="118B8D87"/>
    <w:rsid w:val="11A781EC"/>
    <w:rsid w:val="121D7504"/>
    <w:rsid w:val="12898B18"/>
    <w:rsid w:val="128B6FD7"/>
    <w:rsid w:val="12ADCF75"/>
    <w:rsid w:val="13416195"/>
    <w:rsid w:val="13535039"/>
    <w:rsid w:val="13640D82"/>
    <w:rsid w:val="14355ABB"/>
    <w:rsid w:val="143F8838"/>
    <w:rsid w:val="14845CA0"/>
    <w:rsid w:val="14F79544"/>
    <w:rsid w:val="153F8DAF"/>
    <w:rsid w:val="162F32FD"/>
    <w:rsid w:val="165D535F"/>
    <w:rsid w:val="1673CE4B"/>
    <w:rsid w:val="16BECE6E"/>
    <w:rsid w:val="16E9BE88"/>
    <w:rsid w:val="16E9CA6C"/>
    <w:rsid w:val="1811093F"/>
    <w:rsid w:val="1813809B"/>
    <w:rsid w:val="182D1D5C"/>
    <w:rsid w:val="18620A0A"/>
    <w:rsid w:val="1895447B"/>
    <w:rsid w:val="192AA56B"/>
    <w:rsid w:val="194EB38D"/>
    <w:rsid w:val="19C4C644"/>
    <w:rsid w:val="1AA0F918"/>
    <w:rsid w:val="1AA29919"/>
    <w:rsid w:val="1AB0E7B2"/>
    <w:rsid w:val="1ADE46F6"/>
    <w:rsid w:val="1ADF7C2E"/>
    <w:rsid w:val="1B1B35B7"/>
    <w:rsid w:val="1B1B35B7"/>
    <w:rsid w:val="1BC25176"/>
    <w:rsid w:val="1C0FB756"/>
    <w:rsid w:val="1C277490"/>
    <w:rsid w:val="1C6BE072"/>
    <w:rsid w:val="1E65BA25"/>
    <w:rsid w:val="1ED63798"/>
    <w:rsid w:val="1FE50F81"/>
    <w:rsid w:val="2036B6A8"/>
    <w:rsid w:val="2051B05F"/>
    <w:rsid w:val="20AE3C60"/>
    <w:rsid w:val="20DA23BF"/>
    <w:rsid w:val="213A4517"/>
    <w:rsid w:val="21A20198"/>
    <w:rsid w:val="21EA3DBC"/>
    <w:rsid w:val="220CF5AA"/>
    <w:rsid w:val="221DF497"/>
    <w:rsid w:val="223D01B7"/>
    <w:rsid w:val="22A81A23"/>
    <w:rsid w:val="22C24229"/>
    <w:rsid w:val="2461CA41"/>
    <w:rsid w:val="2479B305"/>
    <w:rsid w:val="24843B25"/>
    <w:rsid w:val="24E102FD"/>
    <w:rsid w:val="2581768E"/>
    <w:rsid w:val="25AC5EBC"/>
    <w:rsid w:val="25C6A7E7"/>
    <w:rsid w:val="25CAAD27"/>
    <w:rsid w:val="2671ECF2"/>
    <w:rsid w:val="26869CB7"/>
    <w:rsid w:val="26A94B29"/>
    <w:rsid w:val="26B632D1"/>
    <w:rsid w:val="26C92303"/>
    <w:rsid w:val="272C3066"/>
    <w:rsid w:val="273D0824"/>
    <w:rsid w:val="288CB8C2"/>
    <w:rsid w:val="28D24134"/>
    <w:rsid w:val="2948C1F7"/>
    <w:rsid w:val="29FE8264"/>
    <w:rsid w:val="2A23B1DD"/>
    <w:rsid w:val="2A7BB9C1"/>
    <w:rsid w:val="2A7BDEAF"/>
    <w:rsid w:val="2B018236"/>
    <w:rsid w:val="2B196BD1"/>
    <w:rsid w:val="2B2631E0"/>
    <w:rsid w:val="2C215B0E"/>
    <w:rsid w:val="2CA924D5"/>
    <w:rsid w:val="2CA95B7A"/>
    <w:rsid w:val="2CD7F7DC"/>
    <w:rsid w:val="2CE1ECA1"/>
    <w:rsid w:val="2DA4A714"/>
    <w:rsid w:val="2DB0A8A6"/>
    <w:rsid w:val="2DF21F75"/>
    <w:rsid w:val="2F10623E"/>
    <w:rsid w:val="2F63BE11"/>
    <w:rsid w:val="2FAF0265"/>
    <w:rsid w:val="3045D143"/>
    <w:rsid w:val="307F98B7"/>
    <w:rsid w:val="30D4B80F"/>
    <w:rsid w:val="31361F6B"/>
    <w:rsid w:val="314A8690"/>
    <w:rsid w:val="31690371"/>
    <w:rsid w:val="31DFE240"/>
    <w:rsid w:val="31E774A8"/>
    <w:rsid w:val="3252BBC0"/>
    <w:rsid w:val="325A1D44"/>
    <w:rsid w:val="32D881E2"/>
    <w:rsid w:val="32D8F4D6"/>
    <w:rsid w:val="339C9AFA"/>
    <w:rsid w:val="34A10372"/>
    <w:rsid w:val="34A429ED"/>
    <w:rsid w:val="34B2AFF8"/>
    <w:rsid w:val="35571F9A"/>
    <w:rsid w:val="35773341"/>
    <w:rsid w:val="35E52238"/>
    <w:rsid w:val="3606CA95"/>
    <w:rsid w:val="3620CD21"/>
    <w:rsid w:val="3638F85B"/>
    <w:rsid w:val="363DE443"/>
    <w:rsid w:val="3696A692"/>
    <w:rsid w:val="36B7F325"/>
    <w:rsid w:val="36F0531F"/>
    <w:rsid w:val="37720ECA"/>
    <w:rsid w:val="377DE45C"/>
    <w:rsid w:val="37D77FAA"/>
    <w:rsid w:val="384F3E51"/>
    <w:rsid w:val="38BFDD14"/>
    <w:rsid w:val="39C08682"/>
    <w:rsid w:val="39EBC57B"/>
    <w:rsid w:val="39F54D04"/>
    <w:rsid w:val="3A2700AB"/>
    <w:rsid w:val="3A412C76"/>
    <w:rsid w:val="3A84C264"/>
    <w:rsid w:val="3A8C49A7"/>
    <w:rsid w:val="3AAB8C5B"/>
    <w:rsid w:val="3AF3D986"/>
    <w:rsid w:val="3C56C5A3"/>
    <w:rsid w:val="3D1D6ECE"/>
    <w:rsid w:val="3E036A94"/>
    <w:rsid w:val="3E837797"/>
    <w:rsid w:val="3EA0D71E"/>
    <w:rsid w:val="4084F6B3"/>
    <w:rsid w:val="40934EEA"/>
    <w:rsid w:val="41A2BD85"/>
    <w:rsid w:val="41AE2DA0"/>
    <w:rsid w:val="41CB2A96"/>
    <w:rsid w:val="427D63EA"/>
    <w:rsid w:val="42918BC9"/>
    <w:rsid w:val="43162352"/>
    <w:rsid w:val="434CE083"/>
    <w:rsid w:val="445697D8"/>
    <w:rsid w:val="44643EA8"/>
    <w:rsid w:val="446BBDE3"/>
    <w:rsid w:val="447D045D"/>
    <w:rsid w:val="448ABE18"/>
    <w:rsid w:val="450362AA"/>
    <w:rsid w:val="45BE726F"/>
    <w:rsid w:val="45C7C9E8"/>
    <w:rsid w:val="45DF1C2E"/>
    <w:rsid w:val="46B81580"/>
    <w:rsid w:val="46BC013F"/>
    <w:rsid w:val="46F8580B"/>
    <w:rsid w:val="4776A023"/>
    <w:rsid w:val="47BF4637"/>
    <w:rsid w:val="47ECE90F"/>
    <w:rsid w:val="48827EDF"/>
    <w:rsid w:val="48894CEE"/>
    <w:rsid w:val="48E58729"/>
    <w:rsid w:val="49189F6C"/>
    <w:rsid w:val="497F1475"/>
    <w:rsid w:val="49F3F414"/>
    <w:rsid w:val="4A1F2B86"/>
    <w:rsid w:val="4A58352E"/>
    <w:rsid w:val="4A7956F5"/>
    <w:rsid w:val="4A7E6AC6"/>
    <w:rsid w:val="4BB46F90"/>
    <w:rsid w:val="4BD72EC2"/>
    <w:rsid w:val="4C78B2F1"/>
    <w:rsid w:val="4C95099F"/>
    <w:rsid w:val="4CB73F05"/>
    <w:rsid w:val="4D03078B"/>
    <w:rsid w:val="4D440ED2"/>
    <w:rsid w:val="4D6CE9A3"/>
    <w:rsid w:val="4DB7A7D4"/>
    <w:rsid w:val="4DEFB89F"/>
    <w:rsid w:val="4FAECC6D"/>
    <w:rsid w:val="5062A41F"/>
    <w:rsid w:val="507F6D63"/>
    <w:rsid w:val="51D738B7"/>
    <w:rsid w:val="5220C960"/>
    <w:rsid w:val="5230B7EB"/>
    <w:rsid w:val="526EAB8E"/>
    <w:rsid w:val="5295BB1D"/>
    <w:rsid w:val="5320DF63"/>
    <w:rsid w:val="5335D0B3"/>
    <w:rsid w:val="53490A98"/>
    <w:rsid w:val="53B058DA"/>
    <w:rsid w:val="5419A017"/>
    <w:rsid w:val="548765D0"/>
    <w:rsid w:val="54D196CE"/>
    <w:rsid w:val="54EA6FE1"/>
    <w:rsid w:val="552376B0"/>
    <w:rsid w:val="55AE81EE"/>
    <w:rsid w:val="561E06DB"/>
    <w:rsid w:val="562060DF"/>
    <w:rsid w:val="5683246E"/>
    <w:rsid w:val="56D6A18C"/>
    <w:rsid w:val="572340B6"/>
    <w:rsid w:val="57543EDA"/>
    <w:rsid w:val="590EE2A1"/>
    <w:rsid w:val="591A572F"/>
    <w:rsid w:val="5950F725"/>
    <w:rsid w:val="59857EF8"/>
    <w:rsid w:val="5A0A1055"/>
    <w:rsid w:val="5C2F97A7"/>
    <w:rsid w:val="5D6061F9"/>
    <w:rsid w:val="5D9CEB94"/>
    <w:rsid w:val="5E29C491"/>
    <w:rsid w:val="5E49CAFA"/>
    <w:rsid w:val="5E5802CA"/>
    <w:rsid w:val="5EDEA42B"/>
    <w:rsid w:val="5F3F9B7C"/>
    <w:rsid w:val="5F464929"/>
    <w:rsid w:val="5F63BC72"/>
    <w:rsid w:val="606428E7"/>
    <w:rsid w:val="60DCFD10"/>
    <w:rsid w:val="60E2CF32"/>
    <w:rsid w:val="60E2D1F8"/>
    <w:rsid w:val="6128F91D"/>
    <w:rsid w:val="619EC283"/>
    <w:rsid w:val="6279AE2E"/>
    <w:rsid w:val="62A9A2FA"/>
    <w:rsid w:val="631CC505"/>
    <w:rsid w:val="63846E59"/>
    <w:rsid w:val="642AB01B"/>
    <w:rsid w:val="64B0ED0E"/>
    <w:rsid w:val="64B6623C"/>
    <w:rsid w:val="64BA502A"/>
    <w:rsid w:val="64DE04DD"/>
    <w:rsid w:val="6566B7A1"/>
    <w:rsid w:val="658D75BF"/>
    <w:rsid w:val="658E4C09"/>
    <w:rsid w:val="65A23CC4"/>
    <w:rsid w:val="6718FF48"/>
    <w:rsid w:val="6735B83E"/>
    <w:rsid w:val="673956F0"/>
    <w:rsid w:val="678EE595"/>
    <w:rsid w:val="67E0AC02"/>
    <w:rsid w:val="67E5AFA8"/>
    <w:rsid w:val="6871289A"/>
    <w:rsid w:val="6883360C"/>
    <w:rsid w:val="689375A5"/>
    <w:rsid w:val="68C537E2"/>
    <w:rsid w:val="692549CD"/>
    <w:rsid w:val="6956101C"/>
    <w:rsid w:val="6962B650"/>
    <w:rsid w:val="6978AD7F"/>
    <w:rsid w:val="69CFC455"/>
    <w:rsid w:val="69F5CB5B"/>
    <w:rsid w:val="6A2D86CF"/>
    <w:rsid w:val="6A2D86CF"/>
    <w:rsid w:val="6A893DDA"/>
    <w:rsid w:val="6AA4A742"/>
    <w:rsid w:val="6AA9F082"/>
    <w:rsid w:val="6ABEE75A"/>
    <w:rsid w:val="6B68FC0F"/>
    <w:rsid w:val="6C6F9C93"/>
    <w:rsid w:val="6D33E1F8"/>
    <w:rsid w:val="6D677604"/>
    <w:rsid w:val="6D677604"/>
    <w:rsid w:val="6DB53FBF"/>
    <w:rsid w:val="6E36869A"/>
    <w:rsid w:val="6E870EBC"/>
    <w:rsid w:val="6E985422"/>
    <w:rsid w:val="6F3B375D"/>
    <w:rsid w:val="6F800446"/>
    <w:rsid w:val="6F90CDA9"/>
    <w:rsid w:val="6F9C97FE"/>
    <w:rsid w:val="70446D67"/>
    <w:rsid w:val="70B94246"/>
    <w:rsid w:val="70E8A694"/>
    <w:rsid w:val="71300003"/>
    <w:rsid w:val="716CE3A7"/>
    <w:rsid w:val="7228B067"/>
    <w:rsid w:val="737056D4"/>
    <w:rsid w:val="73CB2764"/>
    <w:rsid w:val="74224C21"/>
    <w:rsid w:val="7466515D"/>
    <w:rsid w:val="7477C5E1"/>
    <w:rsid w:val="74A550BE"/>
    <w:rsid w:val="7513092C"/>
    <w:rsid w:val="75BBB6CC"/>
    <w:rsid w:val="75C7AE9F"/>
    <w:rsid w:val="7622334C"/>
    <w:rsid w:val="769725A7"/>
    <w:rsid w:val="76D18CEB"/>
    <w:rsid w:val="76D27BD1"/>
    <w:rsid w:val="7723631E"/>
    <w:rsid w:val="776D7621"/>
    <w:rsid w:val="778DAA36"/>
    <w:rsid w:val="78F89561"/>
    <w:rsid w:val="79088917"/>
    <w:rsid w:val="795FAF50"/>
    <w:rsid w:val="7A123E06"/>
    <w:rsid w:val="7A961DDA"/>
    <w:rsid w:val="7AA3B7DB"/>
    <w:rsid w:val="7B3FD537"/>
    <w:rsid w:val="7B901A93"/>
    <w:rsid w:val="7B9D1ED8"/>
    <w:rsid w:val="7CF406EB"/>
    <w:rsid w:val="7DB1AED3"/>
    <w:rsid w:val="7E0086B7"/>
    <w:rsid w:val="7E58BE65"/>
    <w:rsid w:val="7F47A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27BD1"/>
  <w15:chartTrackingRefBased/>
  <w15:docId w15:val="{659BE89A-965D-44E8-A366-5B04A7B08F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47D045D"/>
    <w:pPr>
      <w:spacing/>
      <w:ind w:left="720"/>
      <w:contextualSpacing/>
    </w:pPr>
  </w:style>
  <w:style w:type="character" w:styleId="Hyperlink">
    <w:uiPriority w:val="99"/>
    <w:name w:val="Hyperlink"/>
    <w:basedOn w:val="DefaultParagraphFont"/>
    <w:unhideWhenUsed/>
    <w:rsid w:val="447D045D"/>
    <w:rPr>
      <w:color w:val="467886"/>
      <w:u w:val="single"/>
    </w:rPr>
  </w:style>
  <w:style w:type="paragraph" w:styleId="TOC1">
    <w:uiPriority w:val="39"/>
    <w:name w:val="toc 1"/>
    <w:basedOn w:val="Normal"/>
    <w:next w:val="Normal"/>
    <w:unhideWhenUsed/>
    <w:rsid w:val="447D045D"/>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4A1F2B8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02882a953bf4c56" /><Relationship Type="http://schemas.microsoft.com/office/2020/10/relationships/intelligence" Target="/word/intelligence2.xml" Id="R1674eb2876fd4026" /><Relationship Type="http://schemas.openxmlformats.org/officeDocument/2006/relationships/image" Target="/media/image2.jpg" Id="R98004733a6824627" /><Relationship Type="http://schemas.openxmlformats.org/officeDocument/2006/relationships/hyperlink" Target="https://doi.org/10.1111/j.1365-2648.2011.05840.x" TargetMode="External" Id="R76728896e7564db7" /><Relationship Type="http://schemas.openxmlformats.org/officeDocument/2006/relationships/hyperlink" Target="https://doi.org/10.1177/0011000016688781" TargetMode="External" Id="R3469686189f2481d" /><Relationship Type="http://schemas.openxmlformats.org/officeDocument/2006/relationships/hyperlink" Target="https://doi.org/10.1016/j.nedt.2021.105131" TargetMode="External" Id="R8f8791b53d2641e7" /><Relationship Type="http://schemas.openxmlformats.org/officeDocument/2006/relationships/hyperlink" Target="https://doi.org/10.1136/leader-2023-000774" TargetMode="External" Id="Rd9024de8a03a47e0" /><Relationship Type="http://schemas.openxmlformats.org/officeDocument/2006/relationships/hyperlink" Target="https://doi.org/10.1007/s10942-023-00523-0" TargetMode="External" Id="R12052ea0a6d747f3" /><Relationship Type="http://schemas.openxmlformats.org/officeDocument/2006/relationships/hyperlink" Target="https://doi.org/10.53841/bpstcp.2020.16.2.12" TargetMode="External" Id="R0aa586bff30e4da3" /><Relationship Type="http://schemas.openxmlformats.org/officeDocument/2006/relationships/hyperlink" Target="https://doi.org/10.24384/y573-v883" TargetMode="External" Id="Rcd7cd83ef1944c73" /><Relationship Type="http://schemas.openxmlformats.org/officeDocument/2006/relationships/image" Target="/media/image2.png" Id="Rc5d7a55ef95242ab" /><Relationship Type="http://schemas.openxmlformats.org/officeDocument/2006/relationships/hyperlink" Target="https://doi.org/10.1111/j.1468-2370.2012.00348.x" TargetMode="External" Id="Rabdb29b763bf42d7" /><Relationship Type="http://schemas.openxmlformats.org/officeDocument/2006/relationships/hyperlink" Target="https://doi.org/10.1108/EJTD-07-2020-0122" TargetMode="External" Id="Rbe38b6ea9fc742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8</revision>
  <dcterms:created xsi:type="dcterms:W3CDTF">2025-02-20T09:22:55.8252233Z</dcterms:created>
  <dcterms:modified xsi:type="dcterms:W3CDTF">2025-03-21T17:16:52.3296415Z</dcterms:modified>
</coreProperties>
</file>