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A2B11" w14:textId="254E7F4A" w:rsidR="00253E2B" w:rsidRDefault="00253E2B" w:rsidP="00253E2B">
      <w:pPr>
        <w:spacing w:before="0" w:after="160" w:line="278" w:lineRule="auto"/>
        <w:jc w:val="center"/>
        <w:rPr>
          <w:b/>
          <w:bCs/>
          <w:u w:val="single"/>
        </w:rPr>
      </w:pPr>
      <w:r w:rsidRPr="00253E2B">
        <w:rPr>
          <w:b/>
          <w:bCs/>
          <w:sz w:val="36"/>
          <w:szCs w:val="36"/>
          <w:u w:val="single"/>
        </w:rPr>
        <w:t>LCBB6023 – International Business Communications</w:t>
      </w:r>
    </w:p>
    <w:p w14:paraId="48919851" w14:textId="77777777" w:rsidR="00253E2B" w:rsidRDefault="00253E2B" w:rsidP="00253E2B">
      <w:pPr>
        <w:spacing w:before="0" w:after="160" w:line="278" w:lineRule="auto"/>
        <w:jc w:val="center"/>
        <w:rPr>
          <w:b/>
          <w:bCs/>
          <w:u w:val="single"/>
        </w:rPr>
      </w:pPr>
    </w:p>
    <w:p w14:paraId="0A97287B" w14:textId="77777777" w:rsidR="00253E2B" w:rsidRDefault="00253E2B" w:rsidP="00253E2B">
      <w:pPr>
        <w:spacing w:before="0" w:after="160" w:line="278" w:lineRule="auto"/>
        <w:jc w:val="center"/>
        <w:rPr>
          <w:b/>
          <w:bCs/>
          <w:u w:val="single"/>
        </w:rPr>
      </w:pPr>
    </w:p>
    <w:p w14:paraId="5399901A" w14:textId="77777777" w:rsidR="00253E2B" w:rsidRDefault="00253E2B" w:rsidP="00253E2B">
      <w:pPr>
        <w:spacing w:before="0" w:after="160" w:line="278" w:lineRule="auto"/>
        <w:jc w:val="center"/>
        <w:rPr>
          <w:b/>
          <w:bCs/>
          <w:u w:val="single"/>
        </w:rPr>
      </w:pPr>
    </w:p>
    <w:p w14:paraId="6282917F" w14:textId="77777777" w:rsidR="00253E2B" w:rsidRDefault="00253E2B" w:rsidP="00253E2B">
      <w:pPr>
        <w:spacing w:before="0" w:after="160" w:line="278" w:lineRule="auto"/>
        <w:jc w:val="center"/>
        <w:rPr>
          <w:b/>
          <w:bCs/>
          <w:u w:val="single"/>
        </w:rPr>
      </w:pPr>
    </w:p>
    <w:p w14:paraId="34D1642C" w14:textId="77777777" w:rsidR="00253E2B" w:rsidRDefault="00253E2B" w:rsidP="00253E2B">
      <w:pPr>
        <w:spacing w:before="0" w:after="160" w:line="278" w:lineRule="auto"/>
        <w:jc w:val="center"/>
        <w:rPr>
          <w:b/>
          <w:bCs/>
          <w:u w:val="single"/>
        </w:rPr>
      </w:pPr>
    </w:p>
    <w:p w14:paraId="7D669688" w14:textId="77777777" w:rsidR="00253E2B" w:rsidRDefault="00253E2B" w:rsidP="00253E2B">
      <w:pPr>
        <w:spacing w:before="0" w:after="160" w:line="278" w:lineRule="auto"/>
        <w:jc w:val="center"/>
        <w:rPr>
          <w:b/>
          <w:bCs/>
          <w:u w:val="single"/>
        </w:rPr>
      </w:pPr>
    </w:p>
    <w:p w14:paraId="04AF8F8C" w14:textId="77777777" w:rsidR="00253E2B" w:rsidRDefault="00253E2B" w:rsidP="00253E2B">
      <w:pPr>
        <w:spacing w:before="0" w:after="160" w:line="278" w:lineRule="auto"/>
        <w:jc w:val="center"/>
        <w:rPr>
          <w:b/>
          <w:bCs/>
          <w:u w:val="single"/>
        </w:rPr>
      </w:pPr>
    </w:p>
    <w:p w14:paraId="70D39A94" w14:textId="77777777" w:rsidR="00253E2B" w:rsidRDefault="00253E2B" w:rsidP="00253E2B">
      <w:pPr>
        <w:spacing w:before="0" w:after="160" w:line="278" w:lineRule="auto"/>
        <w:jc w:val="center"/>
        <w:rPr>
          <w:b/>
          <w:bCs/>
          <w:u w:val="single"/>
        </w:rPr>
      </w:pPr>
    </w:p>
    <w:p w14:paraId="5FCE94D8" w14:textId="77777777" w:rsidR="00253E2B" w:rsidRDefault="00253E2B" w:rsidP="00253E2B">
      <w:pPr>
        <w:spacing w:before="0" w:after="160" w:line="278" w:lineRule="auto"/>
        <w:jc w:val="center"/>
        <w:rPr>
          <w:b/>
          <w:bCs/>
          <w:u w:val="single"/>
        </w:rPr>
      </w:pPr>
    </w:p>
    <w:p w14:paraId="5A23D622" w14:textId="77777777" w:rsidR="00253E2B" w:rsidRDefault="00253E2B" w:rsidP="00253E2B">
      <w:pPr>
        <w:spacing w:before="0" w:after="160" w:line="278" w:lineRule="auto"/>
        <w:jc w:val="center"/>
        <w:rPr>
          <w:b/>
          <w:bCs/>
          <w:u w:val="single"/>
        </w:rPr>
      </w:pPr>
    </w:p>
    <w:p w14:paraId="03CDA9A0" w14:textId="77777777" w:rsidR="00253E2B" w:rsidRDefault="00253E2B" w:rsidP="00253E2B">
      <w:pPr>
        <w:spacing w:before="0" w:after="160" w:line="278" w:lineRule="auto"/>
        <w:jc w:val="center"/>
        <w:rPr>
          <w:b/>
          <w:bCs/>
          <w:u w:val="single"/>
        </w:rPr>
      </w:pPr>
    </w:p>
    <w:p w14:paraId="53C7DF94" w14:textId="77777777" w:rsidR="00253E2B" w:rsidRDefault="00253E2B" w:rsidP="00253E2B">
      <w:pPr>
        <w:spacing w:before="0" w:after="160" w:line="278" w:lineRule="auto"/>
        <w:jc w:val="center"/>
        <w:rPr>
          <w:b/>
          <w:bCs/>
          <w:u w:val="single"/>
        </w:rPr>
      </w:pPr>
    </w:p>
    <w:p w14:paraId="664FC1C0" w14:textId="77777777" w:rsidR="00253E2B" w:rsidRDefault="00253E2B" w:rsidP="00253E2B">
      <w:pPr>
        <w:spacing w:before="0" w:after="160" w:line="278" w:lineRule="auto"/>
        <w:jc w:val="center"/>
        <w:rPr>
          <w:b/>
          <w:bCs/>
          <w:u w:val="single"/>
        </w:rPr>
      </w:pPr>
    </w:p>
    <w:p w14:paraId="5D67ADF9" w14:textId="77777777" w:rsidR="00253E2B" w:rsidRDefault="00253E2B" w:rsidP="00253E2B">
      <w:pPr>
        <w:spacing w:before="0" w:after="160" w:line="278" w:lineRule="auto"/>
        <w:jc w:val="center"/>
        <w:rPr>
          <w:b/>
          <w:bCs/>
          <w:u w:val="single"/>
        </w:rPr>
      </w:pPr>
    </w:p>
    <w:p w14:paraId="640BFC80" w14:textId="77777777" w:rsidR="00253E2B" w:rsidRDefault="00253E2B" w:rsidP="00253E2B">
      <w:pPr>
        <w:spacing w:before="0" w:after="160" w:line="278" w:lineRule="auto"/>
        <w:jc w:val="center"/>
        <w:rPr>
          <w:b/>
          <w:bCs/>
          <w:u w:val="single"/>
        </w:rPr>
      </w:pPr>
    </w:p>
    <w:p w14:paraId="2674E4D3" w14:textId="77777777" w:rsidR="00253E2B" w:rsidRDefault="00253E2B" w:rsidP="00253E2B">
      <w:pPr>
        <w:spacing w:before="0" w:after="160" w:line="278" w:lineRule="auto"/>
        <w:jc w:val="center"/>
        <w:rPr>
          <w:b/>
          <w:bCs/>
          <w:u w:val="single"/>
        </w:rPr>
      </w:pPr>
    </w:p>
    <w:p w14:paraId="2AF0B4F4" w14:textId="77777777" w:rsidR="00253E2B" w:rsidRDefault="00253E2B" w:rsidP="00253E2B">
      <w:pPr>
        <w:spacing w:before="0" w:after="160" w:line="278" w:lineRule="auto"/>
        <w:jc w:val="center"/>
        <w:rPr>
          <w:b/>
          <w:bCs/>
          <w:u w:val="single"/>
        </w:rPr>
      </w:pPr>
    </w:p>
    <w:p w14:paraId="04BF4F43" w14:textId="77777777" w:rsidR="00253E2B" w:rsidRDefault="00253E2B" w:rsidP="00253E2B">
      <w:pPr>
        <w:spacing w:before="0" w:after="160" w:line="278" w:lineRule="auto"/>
        <w:jc w:val="center"/>
        <w:rPr>
          <w:b/>
          <w:bCs/>
          <w:u w:val="single"/>
        </w:rPr>
      </w:pPr>
    </w:p>
    <w:p w14:paraId="2C544353" w14:textId="775C672E" w:rsidR="00253E2B" w:rsidRPr="008B760D" w:rsidRDefault="00253E2B" w:rsidP="00253E2B">
      <w:pPr>
        <w:rPr>
          <w:b/>
          <w:bCs/>
          <w:lang w:val="en-GB"/>
        </w:rPr>
      </w:pPr>
      <w:r w:rsidRPr="008B760D">
        <w:rPr>
          <w:b/>
          <w:bCs/>
          <w:lang w:val="en-GB"/>
        </w:rPr>
        <w:t>Student Name:</w:t>
      </w:r>
      <w:r w:rsidR="008B760D" w:rsidRPr="008B760D">
        <w:rPr>
          <w:b/>
          <w:bCs/>
          <w:lang w:val="en-GB"/>
        </w:rPr>
        <w:t xml:space="preserve"> </w:t>
      </w:r>
      <w:r w:rsidR="008B760D">
        <w:rPr>
          <w:b/>
          <w:bCs/>
          <w:lang w:val="en-GB"/>
        </w:rPr>
        <w:t>Alex Andrei Perca</w:t>
      </w:r>
    </w:p>
    <w:p w14:paraId="4709C857" w14:textId="6A4D3350" w:rsidR="001410BA" w:rsidRPr="008B760D" w:rsidRDefault="00253E2B" w:rsidP="00253E2B">
      <w:pPr>
        <w:rPr>
          <w:b/>
          <w:bCs/>
          <w:lang w:val="en-GB"/>
        </w:rPr>
      </w:pPr>
      <w:r w:rsidRPr="008B760D">
        <w:rPr>
          <w:b/>
          <w:bCs/>
          <w:lang w:val="en-GB"/>
        </w:rPr>
        <w:t>Student ID:</w:t>
      </w:r>
      <w:r w:rsidR="008B760D" w:rsidRPr="008B760D">
        <w:rPr>
          <w:b/>
          <w:bCs/>
          <w:lang w:val="en-GB"/>
        </w:rPr>
        <w:t xml:space="preserve"> 202036</w:t>
      </w:r>
      <w:r w:rsidR="008B760D">
        <w:rPr>
          <w:b/>
          <w:bCs/>
          <w:lang w:val="en-GB"/>
        </w:rPr>
        <w:t>2</w:t>
      </w:r>
    </w:p>
    <w:p w14:paraId="50F6FD70" w14:textId="03899FB0" w:rsidR="00C13242" w:rsidRPr="008B760D" w:rsidRDefault="001410BA" w:rsidP="00253E2B">
      <w:pPr>
        <w:rPr>
          <w:lang w:val="en-GB"/>
        </w:rPr>
      </w:pPr>
      <w:r w:rsidRPr="008B760D">
        <w:rPr>
          <w:b/>
          <w:bCs/>
          <w:lang w:val="en-GB"/>
        </w:rPr>
        <w:t>Wordcount: 2167</w:t>
      </w:r>
      <w:r w:rsidR="00C13242" w:rsidRPr="008B760D">
        <w:rPr>
          <w:lang w:val="en-GB"/>
        </w:rPr>
        <w:br w:type="page"/>
      </w:r>
    </w:p>
    <w:sdt>
      <w:sdtPr>
        <w:rPr>
          <w:rFonts w:ascii="Arial" w:eastAsiaTheme="minorHAnsi" w:hAnsi="Arial" w:cstheme="minorBidi"/>
          <w:color w:val="auto"/>
          <w:kern w:val="2"/>
          <w:sz w:val="24"/>
          <w:szCs w:val="24"/>
          <w14:ligatures w14:val="standardContextual"/>
        </w:rPr>
        <w:id w:val="-311940837"/>
        <w:docPartObj>
          <w:docPartGallery w:val="Table of Contents"/>
          <w:docPartUnique/>
        </w:docPartObj>
      </w:sdtPr>
      <w:sdtEndPr>
        <w:rPr>
          <w:b/>
          <w:bCs/>
          <w:noProof/>
        </w:rPr>
      </w:sdtEndPr>
      <w:sdtContent>
        <w:p w14:paraId="4C0AB94A" w14:textId="34433AF7" w:rsidR="00253E2B" w:rsidRDefault="00253E2B">
          <w:pPr>
            <w:pStyle w:val="TOCHeading"/>
          </w:pPr>
          <w:r>
            <w:t>Table of Contents</w:t>
          </w:r>
        </w:p>
        <w:p w14:paraId="57F2BA66" w14:textId="28FBDEF9" w:rsidR="00253E2B" w:rsidRDefault="00253E2B">
          <w:pPr>
            <w:pStyle w:val="TOC1"/>
            <w:tabs>
              <w:tab w:val="right" w:leader="dot" w:pos="9350"/>
            </w:tabs>
            <w:rPr>
              <w:noProof/>
            </w:rPr>
          </w:pPr>
          <w:r>
            <w:fldChar w:fldCharType="begin"/>
          </w:r>
          <w:r>
            <w:instrText xml:space="preserve"> TOC \o "1-3" \h \z \u </w:instrText>
          </w:r>
          <w:r>
            <w:fldChar w:fldCharType="separate"/>
          </w:r>
          <w:hyperlink w:anchor="_Toc211344470" w:history="1">
            <w:r w:rsidRPr="00414564">
              <w:rPr>
                <w:rStyle w:val="Hyperlink"/>
                <w:noProof/>
              </w:rPr>
              <w:t>1. Introduction</w:t>
            </w:r>
            <w:r>
              <w:rPr>
                <w:noProof/>
                <w:webHidden/>
              </w:rPr>
              <w:tab/>
            </w:r>
            <w:r>
              <w:rPr>
                <w:noProof/>
                <w:webHidden/>
              </w:rPr>
              <w:fldChar w:fldCharType="begin"/>
            </w:r>
            <w:r>
              <w:rPr>
                <w:noProof/>
                <w:webHidden/>
              </w:rPr>
              <w:instrText xml:space="preserve"> PAGEREF _Toc211344470 \h </w:instrText>
            </w:r>
            <w:r>
              <w:rPr>
                <w:noProof/>
                <w:webHidden/>
              </w:rPr>
            </w:r>
            <w:r>
              <w:rPr>
                <w:noProof/>
                <w:webHidden/>
              </w:rPr>
              <w:fldChar w:fldCharType="separate"/>
            </w:r>
            <w:r>
              <w:rPr>
                <w:noProof/>
                <w:webHidden/>
              </w:rPr>
              <w:t>3</w:t>
            </w:r>
            <w:r>
              <w:rPr>
                <w:noProof/>
                <w:webHidden/>
              </w:rPr>
              <w:fldChar w:fldCharType="end"/>
            </w:r>
          </w:hyperlink>
        </w:p>
        <w:p w14:paraId="15E5ADB4" w14:textId="2D85EFB4" w:rsidR="00253E2B" w:rsidRDefault="00253E2B">
          <w:pPr>
            <w:pStyle w:val="TOC1"/>
            <w:tabs>
              <w:tab w:val="right" w:leader="dot" w:pos="9350"/>
            </w:tabs>
            <w:rPr>
              <w:noProof/>
            </w:rPr>
          </w:pPr>
          <w:hyperlink w:anchor="_Toc211344471" w:history="1">
            <w:r w:rsidRPr="00414564">
              <w:rPr>
                <w:rStyle w:val="Hyperlink"/>
                <w:noProof/>
              </w:rPr>
              <w:t>2. Literature Review</w:t>
            </w:r>
            <w:r>
              <w:rPr>
                <w:noProof/>
                <w:webHidden/>
              </w:rPr>
              <w:tab/>
            </w:r>
            <w:r>
              <w:rPr>
                <w:noProof/>
                <w:webHidden/>
              </w:rPr>
              <w:fldChar w:fldCharType="begin"/>
            </w:r>
            <w:r>
              <w:rPr>
                <w:noProof/>
                <w:webHidden/>
              </w:rPr>
              <w:instrText xml:space="preserve"> PAGEREF _Toc211344471 \h </w:instrText>
            </w:r>
            <w:r>
              <w:rPr>
                <w:noProof/>
                <w:webHidden/>
              </w:rPr>
            </w:r>
            <w:r>
              <w:rPr>
                <w:noProof/>
                <w:webHidden/>
              </w:rPr>
              <w:fldChar w:fldCharType="separate"/>
            </w:r>
            <w:r>
              <w:rPr>
                <w:noProof/>
                <w:webHidden/>
              </w:rPr>
              <w:t>4</w:t>
            </w:r>
            <w:r>
              <w:rPr>
                <w:noProof/>
                <w:webHidden/>
              </w:rPr>
              <w:fldChar w:fldCharType="end"/>
            </w:r>
          </w:hyperlink>
        </w:p>
        <w:p w14:paraId="27459348" w14:textId="4E02EA94" w:rsidR="00253E2B" w:rsidRDefault="00253E2B">
          <w:pPr>
            <w:pStyle w:val="TOC1"/>
            <w:tabs>
              <w:tab w:val="right" w:leader="dot" w:pos="9350"/>
            </w:tabs>
            <w:rPr>
              <w:noProof/>
            </w:rPr>
          </w:pPr>
          <w:hyperlink w:anchor="_Toc211344472" w:history="1">
            <w:r w:rsidRPr="00414564">
              <w:rPr>
                <w:rStyle w:val="Hyperlink"/>
                <w:noProof/>
              </w:rPr>
              <w:t>3. Main Analysis</w:t>
            </w:r>
            <w:r>
              <w:rPr>
                <w:noProof/>
                <w:webHidden/>
              </w:rPr>
              <w:tab/>
            </w:r>
            <w:r>
              <w:rPr>
                <w:noProof/>
                <w:webHidden/>
              </w:rPr>
              <w:fldChar w:fldCharType="begin"/>
            </w:r>
            <w:r>
              <w:rPr>
                <w:noProof/>
                <w:webHidden/>
              </w:rPr>
              <w:instrText xml:space="preserve"> PAGEREF _Toc211344472 \h </w:instrText>
            </w:r>
            <w:r>
              <w:rPr>
                <w:noProof/>
                <w:webHidden/>
              </w:rPr>
            </w:r>
            <w:r>
              <w:rPr>
                <w:noProof/>
                <w:webHidden/>
              </w:rPr>
              <w:fldChar w:fldCharType="separate"/>
            </w:r>
            <w:r>
              <w:rPr>
                <w:noProof/>
                <w:webHidden/>
              </w:rPr>
              <w:t>5</w:t>
            </w:r>
            <w:r>
              <w:rPr>
                <w:noProof/>
                <w:webHidden/>
              </w:rPr>
              <w:fldChar w:fldCharType="end"/>
            </w:r>
          </w:hyperlink>
        </w:p>
        <w:p w14:paraId="332FF02C" w14:textId="2577E20E" w:rsidR="00253E2B" w:rsidRDefault="00253E2B">
          <w:pPr>
            <w:pStyle w:val="TOC2"/>
            <w:tabs>
              <w:tab w:val="right" w:leader="dot" w:pos="9350"/>
            </w:tabs>
            <w:rPr>
              <w:noProof/>
            </w:rPr>
          </w:pPr>
          <w:hyperlink w:anchor="_Toc211344473" w:history="1">
            <w:r w:rsidRPr="00414564">
              <w:rPr>
                <w:rStyle w:val="Hyperlink"/>
                <w:noProof/>
              </w:rPr>
              <w:t>3.1 Google’s Multicultural Context</w:t>
            </w:r>
            <w:r>
              <w:rPr>
                <w:noProof/>
                <w:webHidden/>
              </w:rPr>
              <w:tab/>
            </w:r>
            <w:r>
              <w:rPr>
                <w:noProof/>
                <w:webHidden/>
              </w:rPr>
              <w:fldChar w:fldCharType="begin"/>
            </w:r>
            <w:r>
              <w:rPr>
                <w:noProof/>
                <w:webHidden/>
              </w:rPr>
              <w:instrText xml:space="preserve"> PAGEREF _Toc211344473 \h </w:instrText>
            </w:r>
            <w:r>
              <w:rPr>
                <w:noProof/>
                <w:webHidden/>
              </w:rPr>
            </w:r>
            <w:r>
              <w:rPr>
                <w:noProof/>
                <w:webHidden/>
              </w:rPr>
              <w:fldChar w:fldCharType="separate"/>
            </w:r>
            <w:r>
              <w:rPr>
                <w:noProof/>
                <w:webHidden/>
              </w:rPr>
              <w:t>5</w:t>
            </w:r>
            <w:r>
              <w:rPr>
                <w:noProof/>
                <w:webHidden/>
              </w:rPr>
              <w:fldChar w:fldCharType="end"/>
            </w:r>
          </w:hyperlink>
        </w:p>
        <w:p w14:paraId="511D989B" w14:textId="2DBC28DD" w:rsidR="00253E2B" w:rsidRDefault="00253E2B">
          <w:pPr>
            <w:pStyle w:val="TOC2"/>
            <w:tabs>
              <w:tab w:val="right" w:leader="dot" w:pos="9350"/>
            </w:tabs>
            <w:rPr>
              <w:noProof/>
            </w:rPr>
          </w:pPr>
          <w:hyperlink w:anchor="_Toc211344474" w:history="1">
            <w:r w:rsidRPr="00414564">
              <w:rPr>
                <w:rStyle w:val="Hyperlink"/>
                <w:noProof/>
              </w:rPr>
              <w:t>3.2 Cultural Dimensions and Communication Challenges</w:t>
            </w:r>
            <w:r>
              <w:rPr>
                <w:noProof/>
                <w:webHidden/>
              </w:rPr>
              <w:tab/>
            </w:r>
            <w:r>
              <w:rPr>
                <w:noProof/>
                <w:webHidden/>
              </w:rPr>
              <w:fldChar w:fldCharType="begin"/>
            </w:r>
            <w:r>
              <w:rPr>
                <w:noProof/>
                <w:webHidden/>
              </w:rPr>
              <w:instrText xml:space="preserve"> PAGEREF _Toc211344474 \h </w:instrText>
            </w:r>
            <w:r>
              <w:rPr>
                <w:noProof/>
                <w:webHidden/>
              </w:rPr>
            </w:r>
            <w:r>
              <w:rPr>
                <w:noProof/>
                <w:webHidden/>
              </w:rPr>
              <w:fldChar w:fldCharType="separate"/>
            </w:r>
            <w:r>
              <w:rPr>
                <w:noProof/>
                <w:webHidden/>
              </w:rPr>
              <w:t>6</w:t>
            </w:r>
            <w:r>
              <w:rPr>
                <w:noProof/>
                <w:webHidden/>
              </w:rPr>
              <w:fldChar w:fldCharType="end"/>
            </w:r>
          </w:hyperlink>
        </w:p>
        <w:p w14:paraId="77745D3A" w14:textId="766844DA" w:rsidR="00253E2B" w:rsidRDefault="00253E2B">
          <w:pPr>
            <w:pStyle w:val="TOC2"/>
            <w:tabs>
              <w:tab w:val="right" w:leader="dot" w:pos="9350"/>
            </w:tabs>
            <w:rPr>
              <w:noProof/>
            </w:rPr>
          </w:pPr>
          <w:hyperlink w:anchor="_Toc211344475" w:history="1">
            <w:r w:rsidRPr="00414564">
              <w:rPr>
                <w:rStyle w:val="Hyperlink"/>
                <w:noProof/>
              </w:rPr>
              <w:t>3.3 BELF and Communication Dynamics at Google</w:t>
            </w:r>
            <w:r>
              <w:rPr>
                <w:noProof/>
                <w:webHidden/>
              </w:rPr>
              <w:tab/>
            </w:r>
            <w:r>
              <w:rPr>
                <w:noProof/>
                <w:webHidden/>
              </w:rPr>
              <w:fldChar w:fldCharType="begin"/>
            </w:r>
            <w:r>
              <w:rPr>
                <w:noProof/>
                <w:webHidden/>
              </w:rPr>
              <w:instrText xml:space="preserve"> PAGEREF _Toc211344475 \h </w:instrText>
            </w:r>
            <w:r>
              <w:rPr>
                <w:noProof/>
                <w:webHidden/>
              </w:rPr>
            </w:r>
            <w:r>
              <w:rPr>
                <w:noProof/>
                <w:webHidden/>
              </w:rPr>
              <w:fldChar w:fldCharType="separate"/>
            </w:r>
            <w:r>
              <w:rPr>
                <w:noProof/>
                <w:webHidden/>
              </w:rPr>
              <w:t>6</w:t>
            </w:r>
            <w:r>
              <w:rPr>
                <w:noProof/>
                <w:webHidden/>
              </w:rPr>
              <w:fldChar w:fldCharType="end"/>
            </w:r>
          </w:hyperlink>
        </w:p>
        <w:p w14:paraId="462981FD" w14:textId="6D499EB4" w:rsidR="00253E2B" w:rsidRDefault="00253E2B">
          <w:pPr>
            <w:pStyle w:val="TOC2"/>
            <w:tabs>
              <w:tab w:val="right" w:leader="dot" w:pos="9350"/>
            </w:tabs>
            <w:rPr>
              <w:noProof/>
            </w:rPr>
          </w:pPr>
          <w:hyperlink w:anchor="_Toc211344476" w:history="1">
            <w:r w:rsidRPr="00414564">
              <w:rPr>
                <w:rStyle w:val="Hyperlink"/>
                <w:noProof/>
              </w:rPr>
              <w:t>3.4 Conflict Management Strategies</w:t>
            </w:r>
            <w:r>
              <w:rPr>
                <w:noProof/>
                <w:webHidden/>
              </w:rPr>
              <w:tab/>
            </w:r>
            <w:r>
              <w:rPr>
                <w:noProof/>
                <w:webHidden/>
              </w:rPr>
              <w:fldChar w:fldCharType="begin"/>
            </w:r>
            <w:r>
              <w:rPr>
                <w:noProof/>
                <w:webHidden/>
              </w:rPr>
              <w:instrText xml:space="preserve"> PAGEREF _Toc211344476 \h </w:instrText>
            </w:r>
            <w:r>
              <w:rPr>
                <w:noProof/>
                <w:webHidden/>
              </w:rPr>
            </w:r>
            <w:r>
              <w:rPr>
                <w:noProof/>
                <w:webHidden/>
              </w:rPr>
              <w:fldChar w:fldCharType="separate"/>
            </w:r>
            <w:r>
              <w:rPr>
                <w:noProof/>
                <w:webHidden/>
              </w:rPr>
              <w:t>7</w:t>
            </w:r>
            <w:r>
              <w:rPr>
                <w:noProof/>
                <w:webHidden/>
              </w:rPr>
              <w:fldChar w:fldCharType="end"/>
            </w:r>
          </w:hyperlink>
        </w:p>
        <w:p w14:paraId="416CB3EE" w14:textId="6E82E509" w:rsidR="00253E2B" w:rsidRDefault="00253E2B">
          <w:pPr>
            <w:pStyle w:val="TOC2"/>
            <w:tabs>
              <w:tab w:val="right" w:leader="dot" w:pos="9350"/>
            </w:tabs>
            <w:rPr>
              <w:noProof/>
            </w:rPr>
          </w:pPr>
          <w:hyperlink w:anchor="_Toc211344477" w:history="1">
            <w:r w:rsidRPr="00414564">
              <w:rPr>
                <w:rStyle w:val="Hyperlink"/>
                <w:noProof/>
              </w:rPr>
              <w:t>3.5 Digital Communication and Remote Conflict</w:t>
            </w:r>
            <w:r>
              <w:rPr>
                <w:noProof/>
                <w:webHidden/>
              </w:rPr>
              <w:tab/>
            </w:r>
            <w:r>
              <w:rPr>
                <w:noProof/>
                <w:webHidden/>
              </w:rPr>
              <w:fldChar w:fldCharType="begin"/>
            </w:r>
            <w:r>
              <w:rPr>
                <w:noProof/>
                <w:webHidden/>
              </w:rPr>
              <w:instrText xml:space="preserve"> PAGEREF _Toc211344477 \h </w:instrText>
            </w:r>
            <w:r>
              <w:rPr>
                <w:noProof/>
                <w:webHidden/>
              </w:rPr>
            </w:r>
            <w:r>
              <w:rPr>
                <w:noProof/>
                <w:webHidden/>
              </w:rPr>
              <w:fldChar w:fldCharType="separate"/>
            </w:r>
            <w:r>
              <w:rPr>
                <w:noProof/>
                <w:webHidden/>
              </w:rPr>
              <w:t>8</w:t>
            </w:r>
            <w:r>
              <w:rPr>
                <w:noProof/>
                <w:webHidden/>
              </w:rPr>
              <w:fldChar w:fldCharType="end"/>
            </w:r>
          </w:hyperlink>
        </w:p>
        <w:p w14:paraId="023F9652" w14:textId="4FF55D39" w:rsidR="00253E2B" w:rsidRDefault="00253E2B">
          <w:pPr>
            <w:pStyle w:val="TOC2"/>
            <w:tabs>
              <w:tab w:val="right" w:leader="dot" w:pos="9350"/>
            </w:tabs>
            <w:rPr>
              <w:noProof/>
            </w:rPr>
          </w:pPr>
          <w:hyperlink w:anchor="_Toc211344478" w:history="1">
            <w:r w:rsidRPr="00414564">
              <w:rPr>
                <w:rStyle w:val="Hyperlink"/>
                <w:noProof/>
              </w:rPr>
              <w:t>3.6 Leadership, Inclusion, and Learning</w:t>
            </w:r>
            <w:r>
              <w:rPr>
                <w:noProof/>
                <w:webHidden/>
              </w:rPr>
              <w:tab/>
            </w:r>
            <w:r>
              <w:rPr>
                <w:noProof/>
                <w:webHidden/>
              </w:rPr>
              <w:fldChar w:fldCharType="begin"/>
            </w:r>
            <w:r>
              <w:rPr>
                <w:noProof/>
                <w:webHidden/>
              </w:rPr>
              <w:instrText xml:space="preserve"> PAGEREF _Toc211344478 \h </w:instrText>
            </w:r>
            <w:r>
              <w:rPr>
                <w:noProof/>
                <w:webHidden/>
              </w:rPr>
            </w:r>
            <w:r>
              <w:rPr>
                <w:noProof/>
                <w:webHidden/>
              </w:rPr>
              <w:fldChar w:fldCharType="separate"/>
            </w:r>
            <w:r>
              <w:rPr>
                <w:noProof/>
                <w:webHidden/>
              </w:rPr>
              <w:t>8</w:t>
            </w:r>
            <w:r>
              <w:rPr>
                <w:noProof/>
                <w:webHidden/>
              </w:rPr>
              <w:fldChar w:fldCharType="end"/>
            </w:r>
          </w:hyperlink>
        </w:p>
        <w:p w14:paraId="5C7667A2" w14:textId="6FB7BDE6" w:rsidR="00253E2B" w:rsidRDefault="00253E2B">
          <w:pPr>
            <w:pStyle w:val="TOC1"/>
            <w:tabs>
              <w:tab w:val="right" w:leader="dot" w:pos="9350"/>
            </w:tabs>
            <w:rPr>
              <w:noProof/>
            </w:rPr>
          </w:pPr>
          <w:hyperlink w:anchor="_Toc211344479" w:history="1">
            <w:r w:rsidRPr="00414564">
              <w:rPr>
                <w:rStyle w:val="Hyperlink"/>
                <w:noProof/>
              </w:rPr>
              <w:t>4. Conclusion</w:t>
            </w:r>
            <w:r>
              <w:rPr>
                <w:noProof/>
                <w:webHidden/>
              </w:rPr>
              <w:tab/>
            </w:r>
            <w:r>
              <w:rPr>
                <w:noProof/>
                <w:webHidden/>
              </w:rPr>
              <w:fldChar w:fldCharType="begin"/>
            </w:r>
            <w:r>
              <w:rPr>
                <w:noProof/>
                <w:webHidden/>
              </w:rPr>
              <w:instrText xml:space="preserve"> PAGEREF _Toc211344479 \h </w:instrText>
            </w:r>
            <w:r>
              <w:rPr>
                <w:noProof/>
                <w:webHidden/>
              </w:rPr>
            </w:r>
            <w:r>
              <w:rPr>
                <w:noProof/>
                <w:webHidden/>
              </w:rPr>
              <w:fldChar w:fldCharType="separate"/>
            </w:r>
            <w:r>
              <w:rPr>
                <w:noProof/>
                <w:webHidden/>
              </w:rPr>
              <w:t>10</w:t>
            </w:r>
            <w:r>
              <w:rPr>
                <w:noProof/>
                <w:webHidden/>
              </w:rPr>
              <w:fldChar w:fldCharType="end"/>
            </w:r>
          </w:hyperlink>
        </w:p>
        <w:p w14:paraId="45729343" w14:textId="65DBFB4C" w:rsidR="00253E2B" w:rsidRDefault="00253E2B">
          <w:pPr>
            <w:pStyle w:val="TOC1"/>
            <w:tabs>
              <w:tab w:val="right" w:leader="dot" w:pos="9350"/>
            </w:tabs>
            <w:rPr>
              <w:noProof/>
            </w:rPr>
          </w:pPr>
          <w:hyperlink w:anchor="_Toc211344480" w:history="1">
            <w:r w:rsidRPr="00414564">
              <w:rPr>
                <w:rStyle w:val="Hyperlink"/>
                <w:noProof/>
              </w:rPr>
              <w:t>5. References</w:t>
            </w:r>
            <w:r>
              <w:rPr>
                <w:noProof/>
                <w:webHidden/>
              </w:rPr>
              <w:tab/>
            </w:r>
            <w:r>
              <w:rPr>
                <w:noProof/>
                <w:webHidden/>
              </w:rPr>
              <w:fldChar w:fldCharType="begin"/>
            </w:r>
            <w:r>
              <w:rPr>
                <w:noProof/>
                <w:webHidden/>
              </w:rPr>
              <w:instrText xml:space="preserve"> PAGEREF _Toc211344480 \h </w:instrText>
            </w:r>
            <w:r>
              <w:rPr>
                <w:noProof/>
                <w:webHidden/>
              </w:rPr>
            </w:r>
            <w:r>
              <w:rPr>
                <w:noProof/>
                <w:webHidden/>
              </w:rPr>
              <w:fldChar w:fldCharType="separate"/>
            </w:r>
            <w:r>
              <w:rPr>
                <w:noProof/>
                <w:webHidden/>
              </w:rPr>
              <w:t>11</w:t>
            </w:r>
            <w:r>
              <w:rPr>
                <w:noProof/>
                <w:webHidden/>
              </w:rPr>
              <w:fldChar w:fldCharType="end"/>
            </w:r>
          </w:hyperlink>
        </w:p>
        <w:p w14:paraId="52731F47" w14:textId="434474D7" w:rsidR="00253E2B" w:rsidRDefault="00253E2B">
          <w:r>
            <w:rPr>
              <w:b/>
              <w:bCs/>
              <w:noProof/>
            </w:rPr>
            <w:fldChar w:fldCharType="end"/>
          </w:r>
        </w:p>
      </w:sdtContent>
    </w:sdt>
    <w:p w14:paraId="2C398697" w14:textId="77777777" w:rsidR="00253E2B" w:rsidRDefault="00253E2B">
      <w:pPr>
        <w:spacing w:before="0" w:after="160" w:line="278" w:lineRule="auto"/>
        <w:jc w:val="left"/>
        <w:rPr>
          <w:rFonts w:eastAsiaTheme="majorEastAsia" w:cstheme="majorBidi"/>
          <w:b/>
          <w:color w:val="000000" w:themeColor="text1"/>
          <w:sz w:val="28"/>
          <w:szCs w:val="40"/>
        </w:rPr>
      </w:pPr>
      <w:r>
        <w:br w:type="page"/>
      </w:r>
    </w:p>
    <w:p w14:paraId="716DCE5C" w14:textId="1E5133B6" w:rsidR="00C13242" w:rsidRPr="00C13242" w:rsidRDefault="00C13242" w:rsidP="00C13242">
      <w:pPr>
        <w:pStyle w:val="Heading1"/>
      </w:pPr>
      <w:bookmarkStart w:id="0" w:name="_Toc211344470"/>
      <w:r w:rsidRPr="00C13242">
        <w:t>1. Introduction</w:t>
      </w:r>
      <w:bookmarkEnd w:id="0"/>
      <w:r w:rsidRPr="00C13242">
        <w:t xml:space="preserve"> </w:t>
      </w:r>
    </w:p>
    <w:p w14:paraId="46E8208F" w14:textId="0D96E67C" w:rsidR="003448DE" w:rsidRDefault="003448DE" w:rsidP="003448DE">
      <w:r>
        <w:t xml:space="preserve">Conflict management is an important part of communication in global business. It helps teams solve disagreements that come from cultural and language gaps. In global companies, employees come from many countries and use different languages. This diversity brings new ideas and creativity to the workplace. However, it also creates problems and </w:t>
      </w:r>
      <w:r w:rsidR="00472702">
        <w:t>misunderstandings</w:t>
      </w:r>
      <w:r>
        <w:t xml:space="preserve"> between people. Different cultures interpret messages in unique ways that can cause confusion. Multicultural teams mix many experiences, skills, and beliefs together. They can improve creativity and teamwork when communication is clear and open. But cultural gaps may create tension and low trust among team members. As Hartl, Chavan and Taksa (2024) state, intercultural competence is now essential for success. It means knowing how culture shapes people’s actions, values, and communication styles. It also helps leaders reduce bias and build respectful work relationships globally.</w:t>
      </w:r>
    </w:p>
    <w:p w14:paraId="1416CC81" w14:textId="260494E3" w:rsidR="00C13242" w:rsidRDefault="003448DE" w:rsidP="003448DE">
      <w:r>
        <w:t xml:space="preserve">This essay studies how cultural differences shape conflict and communication in multinational organisations. It uses Google’s global workforce as a real case to explore teamwork. Google operates worldwide with employees from different languages, beliefs, and social values. The essay examines how Google’s leaders manage conflict and promote inclusion. It reviews </w:t>
      </w:r>
      <w:r w:rsidR="00472702">
        <w:t xml:space="preserve">the </w:t>
      </w:r>
      <w:r>
        <w:t>main theories about cultural communication and workplace conflict. Then it analyses Google’s practices with academic studies and company examples. Finally, it presents clear lessons for global managers to improve intercultural communication effectively.</w:t>
      </w:r>
      <w:r w:rsidR="00C13242">
        <w:br w:type="page"/>
      </w:r>
    </w:p>
    <w:p w14:paraId="30137A06" w14:textId="3674EE03" w:rsidR="00C13242" w:rsidRPr="00C13242" w:rsidRDefault="00C13242" w:rsidP="00C13242">
      <w:pPr>
        <w:pStyle w:val="Heading1"/>
      </w:pPr>
      <w:bookmarkStart w:id="1" w:name="_Toc211344471"/>
      <w:r w:rsidRPr="00C13242">
        <w:t>2. Literature Review</w:t>
      </w:r>
      <w:bookmarkEnd w:id="1"/>
      <w:r w:rsidRPr="00C13242">
        <w:t xml:space="preserve"> </w:t>
      </w:r>
    </w:p>
    <w:p w14:paraId="59AE4236" w14:textId="1BB5F142" w:rsidR="00472702" w:rsidRDefault="00472702" w:rsidP="00472702">
      <w:r>
        <w:t>Intercultural conflict occurs when individuals of diverse cultures are subject to some disagreement or lack of understanding. It arises when there is a conflict between individuals or groups regarding values, perceptions, or styles of communication. Guo (2025) claims that cultural conflict is a process that is influenced by the disparities in communication and social values. It is very likely to arise since individuals analyse conduct and expressions through their own cultural prism. Even minor misunderstandings may escalate into massive problems in case of a lack of understanding.</w:t>
      </w:r>
    </w:p>
    <w:p w14:paraId="0D2EF8DF" w14:textId="7044AFF8" w:rsidR="00472702" w:rsidRDefault="00472702" w:rsidP="00472702">
      <w:r>
        <w:t>There is a strong impact of culture on the approach of people in facing confrontation, negotiating, and working in a team. According to Yamini et al. (2025), the culture of the populace to conflict hinges on hierarchy and relationships. As an example, one culture might like to discuss issues directly, whereas another culture would not want to air its differences so as not to cause a disruption. These opposing attitudes influence the manner in which employees convey ideas, stress coping, and trust-building in business. When managers are aware of such cultural effects, they can strategize their communication methods better and minimise tension among staff.</w:t>
      </w:r>
    </w:p>
    <w:p w14:paraId="5E0E4206" w14:textId="31E85E20" w:rsidR="00472702" w:rsidRDefault="00472702" w:rsidP="00472702">
      <w:r>
        <w:t>The Cultural Dimensions Theory developed by Hofstede has always remained one of the most significant theories of intercultural conflict. It gives major distinctions, which include individualism versus collectivism, power distance, and uncertainty avoidance. Such dimensions are the reason why some cultures appreciate independence, and others admire authority or group objectives. When managers learn such patterns, they can anticipate communication breakdowns where they can occur and change their strategies. According to the Intercultural Communication Model, presented by Samovar, one of the most frequent causes of miscommunication is the differences in language, values, and non-verbal cues. Tone, gesture, and silence may have very different meanings in different cultures. Once these cues are misunderstood, the conflict soon becomes intense. Global teams must therefore be aware and patient.</w:t>
      </w:r>
    </w:p>
    <w:p w14:paraId="6407D72A" w14:textId="3D643A4E" w:rsidR="00472702" w:rsidRDefault="00472702" w:rsidP="00472702">
      <w:r>
        <w:t>Multicultural communication is also subject to the concept of Business English as a Lingua franca (BELF). Mendes (2023) emphasises that English is a universal language of doing business internationally. It assists in overcoming the communication barriers, yet it may lead to disparities in power where some speakers are more proficient. Managers should also encourage transparency, simplicity, and inclusion in BELF environments to facilitate equality.</w:t>
      </w:r>
    </w:p>
    <w:p w14:paraId="39F07117" w14:textId="1BD6512F" w:rsidR="00C13242" w:rsidRPr="00C13242" w:rsidRDefault="00472702" w:rsidP="00472702">
      <w:r>
        <w:t xml:space="preserve">Intercultural Competence Theory links adaptability in communication and effective conflict management. Muhammad Umar Nadeem and Zabrodskaja (2023) explain that the knowledge of cultural differences provides flexibility and empathy. </w:t>
      </w:r>
      <w:r w:rsidR="00C13242" w:rsidRPr="00C13242">
        <w:t>These skills allow managers to interpret messages accurately and handle conflict constructively.</w:t>
      </w:r>
    </w:p>
    <w:p w14:paraId="582F4C4E" w14:textId="4E8B1359" w:rsidR="00C13242" w:rsidRPr="00C13242" w:rsidRDefault="00C13242" w:rsidP="00C13242">
      <w:r w:rsidRPr="00C13242">
        <w:t>Hartl, Chavan</w:t>
      </w:r>
      <w:r w:rsidR="00253E2B">
        <w:t>,</w:t>
      </w:r>
      <w:r w:rsidRPr="00C13242">
        <w:t xml:space="preserve"> and Taksa (2024) emphasise equality, diversity, and inclusion as foundations for cross-cultural communication. They argue that inclusive </w:t>
      </w:r>
      <w:r w:rsidR="00253E2B">
        <w:t>behavior</w:t>
      </w:r>
      <w:r w:rsidRPr="00C13242">
        <w:t xml:space="preserve"> encourages trust and respect across teams. Guo (2025) adds that empathy, open dialogue, and reframing are essential strategies for managing cultural disputes.</w:t>
      </w:r>
    </w:p>
    <w:p w14:paraId="298F3B15" w14:textId="77777777" w:rsidR="00C13242" w:rsidRDefault="00C13242" w:rsidP="00C13242">
      <w:r w:rsidRPr="00C13242">
        <w:t>Successful management of multicultural teams requires awareness of cultural variables, shared language, and emotional intelligence. By combining theory and practical empathy, international managers can turn cultural differences into collaboration opportunities rather than conflict.</w:t>
      </w:r>
    </w:p>
    <w:p w14:paraId="36696EF9" w14:textId="77777777" w:rsidR="00C13242" w:rsidRDefault="00C13242" w:rsidP="00C13242">
      <w:pPr>
        <w:pStyle w:val="Heading1"/>
      </w:pPr>
      <w:bookmarkStart w:id="2" w:name="_Toc211344472"/>
      <w:r w:rsidRPr="00C13242">
        <w:t>3. Main Analysis</w:t>
      </w:r>
      <w:bookmarkEnd w:id="2"/>
      <w:r w:rsidRPr="00C13242">
        <w:t xml:space="preserve"> </w:t>
      </w:r>
    </w:p>
    <w:p w14:paraId="0FF466B8" w14:textId="663911B6" w:rsidR="00C13242" w:rsidRPr="00C13242" w:rsidRDefault="00C13242" w:rsidP="00C13242">
      <w:pPr>
        <w:pStyle w:val="Heading2"/>
      </w:pPr>
      <w:bookmarkStart w:id="3" w:name="_Toc211344473"/>
      <w:r w:rsidRPr="00C13242">
        <w:t>3.1 Google’s Multicultural Context</w:t>
      </w:r>
      <w:bookmarkEnd w:id="3"/>
    </w:p>
    <w:p w14:paraId="2E15669A" w14:textId="77777777" w:rsidR="00C13242" w:rsidRPr="00C13242" w:rsidRDefault="00C13242" w:rsidP="00C13242">
      <w:r w:rsidRPr="00C13242">
        <w:t>Google operates across more than 150 countries with highly diverse global teams (Hbs.edu, 2020). Each team includes people from different cultural, linguistic, and cognitive backgrounds. This diversity helps Google produce innovative ideas and maintain a creative workplace. However, working across many cultures also increases the chances of miscommunication and tension. Misunderstandings can occur when people interpret messages differently or use distinct communication norms (Doran and Rozinsky, 2018).</w:t>
      </w:r>
    </w:p>
    <w:p w14:paraId="139AE402" w14:textId="372241D6" w:rsidR="00472702" w:rsidRDefault="00C13242" w:rsidP="00472702">
      <w:r w:rsidRPr="00C13242">
        <w:t xml:space="preserve">At Google, conflict often arises from communication style differences. </w:t>
      </w:r>
      <w:r w:rsidR="00472702">
        <w:t>Certain staff members like direct communication, and others use indirect and polite words. These opposing tastes give perplexity concerning tone or motive. The difference in opinion about hierarchy also influences employee communications. In other areas, the junior employees might not disagree openly, and others cherish debate. The international business of Google has to juggle these diverse cultural demands to ensure a harmonious working relationship.</w:t>
      </w:r>
    </w:p>
    <w:p w14:paraId="3829D088" w14:textId="77777777" w:rsidR="00472702" w:rsidRDefault="00472702" w:rsidP="00472702">
      <w:pPr>
        <w:pStyle w:val="Heading2"/>
      </w:pPr>
      <w:r>
        <w:t>3.2. Communication problems and Cultural aspects.</w:t>
      </w:r>
    </w:p>
    <w:p w14:paraId="3731C6E6" w14:textId="1F3FFDB3" w:rsidR="00472702" w:rsidRDefault="00472702" w:rsidP="00472702">
      <w:r>
        <w:t>The cultural dimensions by Hofstede give a clue to the communication issues being faced by Google. American teams tend to be highly individualistic and have low power distance. They like open expression, quick feedback, and task-oriented communications. Asian teams, on the other hand, cherish team unity and do not confront openly. These differences in culture give loopholes in the understanding of feedback and disagreement among employees.</w:t>
      </w:r>
    </w:p>
    <w:p w14:paraId="543B0217" w14:textId="203768EF" w:rsidR="00C13242" w:rsidRPr="00C13242" w:rsidRDefault="00472702" w:rsidP="00C13242">
      <w:r>
        <w:t xml:space="preserve">The culture of psychological safety that is practiced at Google is the promotion to openly discuss and not to be afraid to be criticised. Such openness encourages creativity but may appear impolite in high-context cultures. Yamini et al. (2025) believe that what is considered a direct expression in a culture could be disrespectful in another culture.  </w:t>
      </w:r>
      <w:r w:rsidR="00C13242" w:rsidRPr="00C13242">
        <w:t xml:space="preserve">Cultural empathy is therefore vital to </w:t>
      </w:r>
      <w:r w:rsidR="00253E2B">
        <w:t>managing</w:t>
      </w:r>
      <w:r w:rsidR="00C13242" w:rsidRPr="00C13242">
        <w:t xml:space="preserve"> this difference effectively.</w:t>
      </w:r>
    </w:p>
    <w:p w14:paraId="0CA63760" w14:textId="1FEB3363" w:rsidR="00C13242" w:rsidRPr="00C13242" w:rsidRDefault="00C13242" w:rsidP="00C13242">
      <w:r w:rsidRPr="00C13242">
        <w:t>Language barriers and non-verbal misinterpretations also increase tension in global projects. Mendes (2023) notes that hybrid work adds extra pressure because facial cues or tone often go unnoticed online. Even simple gestures, eye contact, or silence can carry different meanings. Guo (2025) confirms that such linguistic and emotional misunderstandings often intensify conflict. Managers must therefore remain alert to emotional cues and clarify meaning continuously.</w:t>
      </w:r>
    </w:p>
    <w:p w14:paraId="5FA702AA" w14:textId="77777777" w:rsidR="00C13242" w:rsidRPr="00C13242" w:rsidRDefault="00C13242" w:rsidP="00C13242">
      <w:pPr>
        <w:pStyle w:val="Heading2"/>
      </w:pPr>
      <w:bookmarkStart w:id="4" w:name="_Toc211344475"/>
      <w:r w:rsidRPr="00C13242">
        <w:t>3.3 BELF and Communication Dynamics at Google</w:t>
      </w:r>
      <w:bookmarkEnd w:id="4"/>
    </w:p>
    <w:p w14:paraId="24CFCADA" w14:textId="6CBEE1CA" w:rsidR="00C13242" w:rsidRPr="00C13242" w:rsidRDefault="00C13242" w:rsidP="00C13242">
      <w:r w:rsidRPr="00C13242">
        <w:t>English serves as the main communication bridge at Google. It aligns with the Business English as a Lingua Franca (BELF) model, which supports clarity in global settings (Mendes, 2023). BELF reduces translation barriers but does not remove language inequality. Employees with stronger English skills often dominate discussions or influence decisions. This imbalance can silence less fluent speakers, reducing participation and creativity.</w:t>
      </w:r>
      <w:r w:rsidR="000F219E">
        <w:t xml:space="preserve"> </w:t>
      </w:r>
      <w:r w:rsidRPr="00C13242">
        <w:t>Muhammad Umar Nadeem and Zabrodskaja (2023) explain that such “power asymmetry” can damage team trust. They highlight the need for shared understanding rather than linguistic perfection. Google’s internal policies help balance this issue. The company encourages short, clear sentences in written communication and promotes inclusive discussion. Managers receive training to support non-native speakers and value linguistic diversity.</w:t>
      </w:r>
      <w:r w:rsidR="000F219E">
        <w:t xml:space="preserve"> </w:t>
      </w:r>
      <w:r w:rsidRPr="00C13242">
        <w:t>Hartl, Chavan</w:t>
      </w:r>
      <w:r w:rsidR="00253E2B">
        <w:t>,</w:t>
      </w:r>
      <w:r w:rsidRPr="00C13242">
        <w:t xml:space="preserve"> and Taksa (2024) add that acknowledging language diversity promotes equality and fairness. Google’s approach mirrors this by seeing multilingualism as a strength. BELF communication also reflects respect for different speech rhythms and accents. In practice, these inclusive communication norms allow Google to maintain fairness across regions.</w:t>
      </w:r>
    </w:p>
    <w:p w14:paraId="52A5E3A9" w14:textId="77777777" w:rsidR="00C13242" w:rsidRPr="00C13242" w:rsidRDefault="00C13242" w:rsidP="00C13242">
      <w:pPr>
        <w:pStyle w:val="Heading2"/>
      </w:pPr>
      <w:bookmarkStart w:id="5" w:name="_Toc211344476"/>
      <w:r w:rsidRPr="00C13242">
        <w:t>3.4 Conflict Management Strategies</w:t>
      </w:r>
      <w:bookmarkEnd w:id="5"/>
    </w:p>
    <w:p w14:paraId="411BBBC3" w14:textId="77777777" w:rsidR="00C13242" w:rsidRPr="00C13242" w:rsidRDefault="00C13242" w:rsidP="00C13242">
      <w:r w:rsidRPr="00C13242">
        <w:t xml:space="preserve">Google’s management style focuses on </w:t>
      </w:r>
      <w:r w:rsidRPr="00C13242">
        <w:rPr>
          <w:i/>
          <w:iCs/>
        </w:rPr>
        <w:t>constructive dissent</w:t>
      </w:r>
      <w:r w:rsidRPr="00C13242">
        <w:t>. This principle allows open disagreement within respectful limits (Hbs.edu, 2020). Teams are encouraged to share opposing ideas as long as discussions remain professional. Managers act as mediators who support balance and prevent emotional escalation.</w:t>
      </w:r>
    </w:p>
    <w:p w14:paraId="5FFEFADC" w14:textId="7B1D45C7" w:rsidR="00C13242" w:rsidRPr="00C13242" w:rsidRDefault="00C13242" w:rsidP="00C13242">
      <w:r w:rsidRPr="00C13242">
        <w:t xml:space="preserve">Mediation plays a major role in resolving internal disputes. Google uses restorative dialogue sessions where employees express </w:t>
      </w:r>
      <w:r w:rsidR="00253E2B">
        <w:t xml:space="preserve">their </w:t>
      </w:r>
      <w:r w:rsidRPr="00C13242">
        <w:t>views safely (Doran and Rozinsky, 2018). These sessions often involve neutral facilitators who help both sides understand cultural differences. Yamini et al. (2025) show that such awareness reduces tension and improves collaboration outcomes.</w:t>
      </w:r>
    </w:p>
    <w:p w14:paraId="4DC1B18C" w14:textId="69F7EB4B" w:rsidR="00C13242" w:rsidRPr="00C13242" w:rsidRDefault="00C13242" w:rsidP="00C13242">
      <w:r w:rsidRPr="00C13242">
        <w:t>Emotional intelligence is central to Google’s conflict strategy. Leaders receive training to recognise emotional signals and cultural sensitivities. This supports Guo’s (2025) view that empathy and reframing reduce intercultural miscommunication. Managers are taught to listen deeply, validate others’ perspectives, and encourage shared solutions.</w:t>
      </w:r>
      <w:r w:rsidR="000F219E">
        <w:t xml:space="preserve"> </w:t>
      </w:r>
      <w:r w:rsidRPr="00C13242">
        <w:t xml:space="preserve">Verwijs and Russo (2023) reveal that diversity can either build innovation or cause friction. They argue that outcomes depend on the level of psychological safety. Google maintains safety through trust-building workshops, transparent policies, and team reflections. Its “Unconscious Bias” and “Open Conversations” </w:t>
      </w:r>
      <w:r w:rsidR="00253E2B">
        <w:t>programs</w:t>
      </w:r>
      <w:r w:rsidRPr="00C13242">
        <w:t xml:space="preserve"> teach employees to challenge assumptions respectfully. These initiatives show how global firms can manage </w:t>
      </w:r>
      <w:r w:rsidR="00253E2B">
        <w:t>differences</w:t>
      </w:r>
      <w:r w:rsidRPr="00C13242">
        <w:t xml:space="preserve"> as a learning opportunity, not a barrier.</w:t>
      </w:r>
    </w:p>
    <w:p w14:paraId="1AC52140" w14:textId="77777777" w:rsidR="00C13242" w:rsidRPr="00C13242" w:rsidRDefault="00C13242" w:rsidP="00C13242">
      <w:pPr>
        <w:pStyle w:val="Heading2"/>
      </w:pPr>
      <w:bookmarkStart w:id="6" w:name="_Toc211344477"/>
      <w:r w:rsidRPr="00C13242">
        <w:t>3.5 Digital Communication and Remote Conflict</w:t>
      </w:r>
      <w:bookmarkEnd w:id="6"/>
    </w:p>
    <w:p w14:paraId="4301ABCD" w14:textId="2DC3CF63" w:rsidR="00472702" w:rsidRDefault="00C13242" w:rsidP="00472702">
      <w:r w:rsidRPr="00C13242">
        <w:t>Digital interaction dominates Google’s hybrid teams. Platforms like Google Meet, Chat, and Docs support real-time collaboration across time zones. However, online communication can create distance and ambiguity. Zsuzsanna Abrams (2020) explains that virtual settings reduce access to visual and emotional signals. Without these cues, tone or intent can be misunderstood easily.</w:t>
      </w:r>
      <w:r w:rsidR="000F219E">
        <w:t xml:space="preserve"> </w:t>
      </w:r>
      <w:r w:rsidRPr="00C13242">
        <w:t xml:space="preserve">Online work also increases delays in feedback and emotional response. </w:t>
      </w:r>
      <w:r w:rsidR="00472702">
        <w:t>Silence or a short message could be understood as a lack of interest or rejection by employees. Misinterpreted tone tends to result in micro-conflicts that destroy trust. Guo (2025) recommends summarising key points, ensuring one gets the point, and rephrasing messages in a positive way.</w:t>
      </w:r>
    </w:p>
    <w:p w14:paraId="3228BA31" w14:textId="6ACACC23" w:rsidR="00472702" w:rsidRDefault="00472702" w:rsidP="00472702">
      <w:r>
        <w:t>Google has various methods of restricting such challenges. Managers encourage written follow-ups to meetings to bring about understanding. Asynchronous tools are also used by teams to give time to reflect and reply. The project meetings have emotional check-ins to ensure connection. These few steps help promote psychological safety and indicate high levels of intercultural awareness.</w:t>
      </w:r>
    </w:p>
    <w:p w14:paraId="5F7BBC5F" w14:textId="7661C88E" w:rsidR="00472702" w:rsidRDefault="00472702" w:rsidP="00472702">
      <w:pPr>
        <w:pStyle w:val="Heading2"/>
      </w:pPr>
      <w:r>
        <w:t>3.6 Leadership, Inclusion, and Learning</w:t>
      </w:r>
    </w:p>
    <w:p w14:paraId="28F668CC" w14:textId="17418214" w:rsidR="00472702" w:rsidRDefault="00472702" w:rsidP="00472702">
      <w:r>
        <w:t>The leadership model of Google links inclusion and learning to communication. Its leaders are interested in establishing psychological safety, empathy, and curiosity. Muhammad Umar Nadeem and Zabrodskaja (2023) emphasise that intercultural competence cannot be learned without further learning and reflection. Google has gone about this by using formal international training programs to reinforce cultural awareness and conflict styles. Hartl et al. (2024) emphasise equality and inclusion as the crucial parts of conflict prevention. The diversity policies of Google are no exception, as inclusion is tied to business success. The company encourages openness in decision-making and equality in communication practices.</w:t>
      </w:r>
    </w:p>
    <w:p w14:paraId="101F1D40" w14:textId="43C92709" w:rsidR="00472702" w:rsidRDefault="00472702" w:rsidP="00472702">
      <w:r>
        <w:t>Active listening and reflective dialogue are modeled by leaders at Google. Such behaviours are stimulating the staff to be vocal with respect to differences. Managers also receive feedback to shape up team communication norms on a regular basis. Reflections and adaptation can be beneficial in minimising bias and enhancing regularised learning. Verwijs and Russo (2023) note that innovation flourishes when the group is free to disagree. Google uses this understanding in a way that conflicts are treated as growth opportunities. The company views conflict as inherent in the creative process. Such conflicts, when well dealt with, enhance knowledge and global unity.</w:t>
      </w:r>
    </w:p>
    <w:p w14:paraId="7263AE12" w14:textId="2E7334F7" w:rsidR="00472702" w:rsidRPr="00C13242" w:rsidRDefault="00472702" w:rsidP="00472702">
      <w:r>
        <w:t>In short, BELF communication, emotional intelligence, and cultural adaptability, in their combination, are a part of Google as it tries to achieve a balance. The strategy of the company turns the differences in culture into mutual value. It demonstrates that intelligent leadership and open communication are capable of controlling conflict among different borders.</w:t>
      </w:r>
    </w:p>
    <w:p w14:paraId="47BF8ACD" w14:textId="58710822" w:rsidR="00C13242" w:rsidRPr="00C13242" w:rsidRDefault="00C13242" w:rsidP="00C13242"/>
    <w:p w14:paraId="30CD5FC6" w14:textId="77777777" w:rsidR="00C13242" w:rsidRDefault="00C13242" w:rsidP="00C13242">
      <w:r>
        <w:br w:type="page"/>
      </w:r>
    </w:p>
    <w:p w14:paraId="6BBBB68B" w14:textId="51E00326" w:rsidR="00C13242" w:rsidRPr="00C13242" w:rsidRDefault="00C13242" w:rsidP="00C13242">
      <w:pPr>
        <w:pStyle w:val="Heading1"/>
      </w:pPr>
      <w:bookmarkStart w:id="7" w:name="_Toc211344479"/>
      <w:r w:rsidRPr="00C13242">
        <w:t>4. Conclusion</w:t>
      </w:r>
      <w:bookmarkEnd w:id="7"/>
      <w:r w:rsidRPr="00C13242">
        <w:t xml:space="preserve"> </w:t>
      </w:r>
    </w:p>
    <w:p w14:paraId="10535051" w14:textId="594F2BD1" w:rsidR="00C13242" w:rsidRPr="00C13242" w:rsidRDefault="00472702" w:rsidP="00C13242">
      <w:r w:rsidRPr="00472702">
        <w:t>The cultural diversity introduces creativity, broadness of thinking</w:t>
      </w:r>
      <w:r>
        <w:t>,</w:t>
      </w:r>
      <w:r w:rsidRPr="00472702">
        <w:t xml:space="preserve"> and newness of ideas into international </w:t>
      </w:r>
      <w:r>
        <w:t>organizations</w:t>
      </w:r>
      <w:r w:rsidRPr="00472702">
        <w:t>. It, however, also contributes to misunderstanding and conflict at work. Values, language</w:t>
      </w:r>
      <w:r>
        <w:t>,</w:t>
      </w:r>
      <w:r w:rsidRPr="00472702">
        <w:t xml:space="preserve"> and behaviour may vary greatly, which can lead to tension in the team easily. The cultural dimensions of Hofstede and communication theories of Samovar demonstrate the influence of culture on behaviour and perception. The BelF theory also describes the effects of the language choice on collaborative work and global company comprehension. These models enable managers to observe that style of communication, power distance, and use of language have </w:t>
      </w:r>
      <w:r>
        <w:t xml:space="preserve">a </w:t>
      </w:r>
      <w:r w:rsidRPr="00472702">
        <w:t xml:space="preserve">strong influence on conflict in a team. In Google, there is </w:t>
      </w:r>
      <w:r>
        <w:t xml:space="preserve">an </w:t>
      </w:r>
      <w:r w:rsidRPr="00472702">
        <w:t xml:space="preserve">open discussion and mediation in conflict resolution. The company fosters psychological safety, enabling employees to express </w:t>
      </w:r>
      <w:r>
        <w:t xml:space="preserve">their </w:t>
      </w:r>
      <w:r w:rsidRPr="00472702">
        <w:t xml:space="preserve">opinions without any fear. It assists the teams in being able to air out </w:t>
      </w:r>
      <w:r>
        <w:t>disagreements</w:t>
      </w:r>
      <w:r w:rsidRPr="00472702">
        <w:t xml:space="preserve"> in a peaceful manner and resolve the issues by engaging in a respectful dialogue. The global structure of Google demonstrates that unambiguous and open communication minimises tension and develops mutual trust. International managers must have cultural intelligence and empathy. Managers should know how culture influences tone, emotion</w:t>
      </w:r>
      <w:r>
        <w:t>,</w:t>
      </w:r>
      <w:r w:rsidRPr="00472702">
        <w:t xml:space="preserve"> and decision-making. Incorporation of BELF principles helps to promote fairness as all voices are provided with equal space. Emotional intelligence is also used to make the managers observe emotions behind the words and act wisely. The consideration of feedback and cultural values generates greater teamwork and dedication (Yamini et al., 2025; Guo, 2025). Conflict management does not merely resolve the issues of everyday life in multicultural teams. It shows the culture and leadership values of an organisation. The case of Google demonstrates how inclusive communication brings both harmony and innovation. This model should be emulated by future leaders through building intercultural competence as one of the key management strategies.</w:t>
      </w:r>
    </w:p>
    <w:p w14:paraId="0E8C5A89" w14:textId="77777777" w:rsidR="00C13242" w:rsidRPr="00C13242" w:rsidRDefault="00C13242" w:rsidP="00C13242"/>
    <w:p w14:paraId="268E1B62" w14:textId="019AD4F9" w:rsidR="00841CC4" w:rsidRDefault="00C13242">
      <w:r>
        <w:br w:type="page"/>
      </w:r>
    </w:p>
    <w:p w14:paraId="0FBFA80D" w14:textId="5D57CBDA" w:rsidR="00841CC4" w:rsidRDefault="00841CC4" w:rsidP="00C13242"/>
    <w:p w14:paraId="24D0A6E9" w14:textId="10AD12EA" w:rsidR="000F219E" w:rsidRDefault="00C13242" w:rsidP="000F219E">
      <w:pPr>
        <w:pStyle w:val="Heading1"/>
      </w:pPr>
      <w:bookmarkStart w:id="8" w:name="_Toc211344480"/>
      <w:r>
        <w:t xml:space="preserve">5. </w:t>
      </w:r>
      <w:r w:rsidR="00841CC4">
        <w:t>References</w:t>
      </w:r>
      <w:bookmarkEnd w:id="8"/>
    </w:p>
    <w:p w14:paraId="73A00F7C" w14:textId="77777777" w:rsidR="000F219E" w:rsidRDefault="000F219E" w:rsidP="00C42173">
      <w:r w:rsidRPr="00C42173">
        <w:t>Doran, C. and Rozinsky, M. (2018). </w:t>
      </w:r>
      <w:r w:rsidRPr="00C42173">
        <w:rPr>
          <w:i/>
          <w:iCs/>
        </w:rPr>
        <w:t>Google’s Employee Walkout and Conflict Management Systems - MWI</w:t>
      </w:r>
      <w:r w:rsidRPr="00C42173">
        <w:t xml:space="preserve">. [online] MWI. Available at: </w:t>
      </w:r>
      <w:hyperlink r:id="rId7" w:history="1">
        <w:r w:rsidRPr="00C42173">
          <w:rPr>
            <w:rStyle w:val="Hyperlink"/>
          </w:rPr>
          <w:t>https://www.mwi.org/case-study-googles-employee-walkout-and-conflict-management-systems/</w:t>
        </w:r>
      </w:hyperlink>
      <w:r w:rsidRPr="00C42173">
        <w:t>.</w:t>
      </w:r>
    </w:p>
    <w:p w14:paraId="5E7EF5E4" w14:textId="77777777" w:rsidR="000F219E" w:rsidRDefault="000F219E" w:rsidP="00841CC4">
      <w:r w:rsidRPr="00841CC4">
        <w:t>Guo, W. (2025). Conflict resolution in intercultural communication: strategies for managing cultural conflicts. </w:t>
      </w:r>
      <w:r w:rsidRPr="00841CC4">
        <w:rPr>
          <w:i/>
          <w:iCs/>
        </w:rPr>
        <w:t>Humanities and Social Sciences Communications</w:t>
      </w:r>
      <w:r w:rsidRPr="00841CC4">
        <w:t xml:space="preserve">, [online] 12(1), pp.1–10. doi: </w:t>
      </w:r>
      <w:hyperlink r:id="rId8" w:history="1">
        <w:r w:rsidRPr="00EF528F">
          <w:rPr>
            <w:rStyle w:val="Hyperlink"/>
          </w:rPr>
          <w:t>https://doi.org/10.1057/s41599-025-04391-0</w:t>
        </w:r>
      </w:hyperlink>
      <w:r w:rsidRPr="00841CC4">
        <w:t>.</w:t>
      </w:r>
    </w:p>
    <w:p w14:paraId="47AC10C2" w14:textId="77777777" w:rsidR="000F219E" w:rsidRDefault="000F219E" w:rsidP="00841CC4">
      <w:r w:rsidRPr="00841CC4">
        <w:t>Hartl, S., Chavan, M.</w:t>
      </w:r>
      <w:r>
        <w:t>,</w:t>
      </w:r>
      <w:r w:rsidRPr="00841CC4">
        <w:t xml:space="preserve"> and Taksa, L. (2024). Intercultural conflict management. </w:t>
      </w:r>
      <w:r w:rsidRPr="00841CC4">
        <w:rPr>
          <w:i/>
          <w:iCs/>
        </w:rPr>
        <w:t>Encyclopedia of Equality, Equity, Diversity and Inclusion</w:t>
      </w:r>
      <w:r w:rsidRPr="00841CC4">
        <w:t xml:space="preserve">, [online] pp.197–200. doi: </w:t>
      </w:r>
      <w:hyperlink r:id="rId9" w:history="1">
        <w:r w:rsidRPr="00EF528F">
          <w:rPr>
            <w:rStyle w:val="Hyperlink"/>
          </w:rPr>
          <w:t>https://doi.org/10.4337/9781800886377.ch41</w:t>
        </w:r>
      </w:hyperlink>
      <w:r w:rsidRPr="00841CC4">
        <w:t>.</w:t>
      </w:r>
    </w:p>
    <w:p w14:paraId="2F0BAFA7" w14:textId="77777777" w:rsidR="000F219E" w:rsidRDefault="000F219E" w:rsidP="00C42173">
      <w:r w:rsidRPr="00C42173">
        <w:t>Hbs.edu. (2020). </w:t>
      </w:r>
      <w:r w:rsidRPr="00C42173">
        <w:rPr>
          <w:i/>
          <w:iCs/>
        </w:rPr>
        <w:t>Culture at Google - Case - Faculty &amp; Research - Harvard Business School</w:t>
      </w:r>
      <w:r w:rsidRPr="00C42173">
        <w:t xml:space="preserve">. [online] Available at: </w:t>
      </w:r>
      <w:hyperlink r:id="rId10" w:history="1">
        <w:r w:rsidRPr="00C42173">
          <w:rPr>
            <w:rStyle w:val="Hyperlink"/>
          </w:rPr>
          <w:t>https://www.hbs.edu/faculty/Pages/item.aspx?num=57813&amp;utm_source=chatgpt.com</w:t>
        </w:r>
      </w:hyperlink>
      <w:r w:rsidRPr="00C42173">
        <w:t>.</w:t>
      </w:r>
    </w:p>
    <w:p w14:paraId="6E5E76F4" w14:textId="77777777" w:rsidR="000F219E" w:rsidRDefault="000F219E" w:rsidP="00841CC4">
      <w:r w:rsidRPr="00841CC4">
        <w:t>Mendes, M. (2023). English as a lingua franca and interculturality: navigating structure- and process-oriented perspectives in intercultural interactions. </w:t>
      </w:r>
      <w:r w:rsidRPr="00841CC4">
        <w:rPr>
          <w:i/>
          <w:iCs/>
        </w:rPr>
        <w:t>Language and Intercultural Communication</w:t>
      </w:r>
      <w:r w:rsidRPr="00841CC4">
        <w:t xml:space="preserve">, pp.1–13. doi: </w:t>
      </w:r>
      <w:hyperlink r:id="rId11" w:history="1">
        <w:r w:rsidRPr="00EF528F">
          <w:rPr>
            <w:rStyle w:val="Hyperlink"/>
          </w:rPr>
          <w:t>https://doi.org/10.1080/14708477.2023.2254285</w:t>
        </w:r>
      </w:hyperlink>
      <w:r w:rsidRPr="00841CC4">
        <w:t>.</w:t>
      </w:r>
    </w:p>
    <w:p w14:paraId="39064DF3" w14:textId="77777777" w:rsidR="000F219E" w:rsidRDefault="000F219E" w:rsidP="00841CC4">
      <w:r w:rsidRPr="00841CC4">
        <w:t>Muhammad Umar Nadeem and Anastassia Zabrodskaja (2023). A comprehensive model of intercultural communication for international students living in culturally diverse societies: evidence from China. </w:t>
      </w:r>
      <w:r w:rsidRPr="00841CC4">
        <w:rPr>
          <w:i/>
          <w:iCs/>
        </w:rPr>
        <w:t>Frontiers in Communication</w:t>
      </w:r>
      <w:r w:rsidRPr="00841CC4">
        <w:t xml:space="preserve">, 8. doi: </w:t>
      </w:r>
      <w:hyperlink r:id="rId12" w:history="1">
        <w:r w:rsidRPr="00EF528F">
          <w:rPr>
            <w:rStyle w:val="Hyperlink"/>
          </w:rPr>
          <w:t>https://doi.org/10.3389/fcomm.2023.1332001</w:t>
        </w:r>
      </w:hyperlink>
      <w:r w:rsidRPr="00841CC4">
        <w:t>.</w:t>
      </w:r>
    </w:p>
    <w:p w14:paraId="41E93EEA" w14:textId="77777777" w:rsidR="000F219E" w:rsidRDefault="000F219E" w:rsidP="00841CC4">
      <w:r w:rsidRPr="00841CC4">
        <w:t>Verwijs, C. and Russo, D. (2023). </w:t>
      </w:r>
      <w:r w:rsidRPr="00841CC4">
        <w:rPr>
          <w:i/>
          <w:iCs/>
        </w:rPr>
        <w:t>The Double-Edged Sword of Diversity: How Diversity, Conflict, and Psychological Safety Impact Agile Software Teams</w:t>
      </w:r>
      <w:r w:rsidRPr="00841CC4">
        <w:t xml:space="preserve">. [online] arXiv.org. </w:t>
      </w:r>
      <w:r>
        <w:t>Doi</w:t>
      </w:r>
      <w:r w:rsidRPr="00841CC4">
        <w:t xml:space="preserve">: </w:t>
      </w:r>
      <w:hyperlink r:id="rId13" w:history="1">
        <w:r w:rsidRPr="00EF528F">
          <w:rPr>
            <w:rStyle w:val="Hyperlink"/>
          </w:rPr>
          <w:t>https://doi.org/10.48550/arXiv.2301.12954</w:t>
        </w:r>
      </w:hyperlink>
      <w:r w:rsidRPr="00841CC4">
        <w:t>.</w:t>
      </w:r>
    </w:p>
    <w:p w14:paraId="2C1F7678" w14:textId="77777777" w:rsidR="000F219E" w:rsidRDefault="000F219E" w:rsidP="00841CC4">
      <w:r w:rsidRPr="00841CC4">
        <w:t>Yamini, S., Fousiani, K., Tehrani, H.D.</w:t>
      </w:r>
      <w:r>
        <w:t>,</w:t>
      </w:r>
      <w:r w:rsidRPr="00841CC4">
        <w:t xml:space="preserve"> and Wisse, B. (2025). Culture and Conflict Management Strategy: The Mediating Role of Instrumental Concerns. </w:t>
      </w:r>
      <w:r w:rsidRPr="00841CC4">
        <w:rPr>
          <w:i/>
          <w:iCs/>
        </w:rPr>
        <w:t>Journal of Cross-Cultural Psychology</w:t>
      </w:r>
      <w:r w:rsidRPr="00841CC4">
        <w:t xml:space="preserve">, 56(3), pp.281–305. doi: </w:t>
      </w:r>
      <w:hyperlink r:id="rId14" w:history="1">
        <w:r w:rsidRPr="00EF528F">
          <w:rPr>
            <w:rStyle w:val="Hyperlink"/>
          </w:rPr>
          <w:t>https://doi.org/10.1177/00220221241312414</w:t>
        </w:r>
      </w:hyperlink>
      <w:r w:rsidRPr="00841CC4">
        <w:t>.</w:t>
      </w:r>
    </w:p>
    <w:p w14:paraId="4E109CCE" w14:textId="77777777" w:rsidR="000F219E" w:rsidRDefault="000F219E" w:rsidP="00841CC4">
      <w:r w:rsidRPr="00841CC4">
        <w:t>Zsuzsanna Abrams (2020). </w:t>
      </w:r>
      <w:r w:rsidRPr="00841CC4">
        <w:rPr>
          <w:i/>
          <w:iCs/>
        </w:rPr>
        <w:t>Intercultural communication and language pedagogy: from theory to practice</w:t>
      </w:r>
      <w:r w:rsidRPr="00841CC4">
        <w:t xml:space="preserve">. Cambridge, </w:t>
      </w:r>
      <w:r>
        <w:t>UK</w:t>
      </w:r>
      <w:r w:rsidRPr="00841CC4">
        <w:t>; New York: Cambridge University Press.</w:t>
      </w:r>
    </w:p>
    <w:p w14:paraId="54D0B929" w14:textId="77777777" w:rsidR="00841CC4" w:rsidRDefault="00841CC4" w:rsidP="00841CC4"/>
    <w:p w14:paraId="2DB0F74C" w14:textId="77777777" w:rsidR="00841CC4" w:rsidRDefault="00841CC4" w:rsidP="00841CC4"/>
    <w:p w14:paraId="6B6CDA7B" w14:textId="77777777" w:rsidR="00841CC4" w:rsidRDefault="00841CC4" w:rsidP="00841CC4"/>
    <w:p w14:paraId="1CA5D881" w14:textId="77777777" w:rsidR="00841CC4" w:rsidRPr="00841CC4" w:rsidRDefault="00841CC4" w:rsidP="00841CC4"/>
    <w:p w14:paraId="4644824D" w14:textId="77777777" w:rsidR="00841CC4" w:rsidRPr="00841CC4" w:rsidRDefault="00841CC4" w:rsidP="00841CC4"/>
    <w:sectPr w:rsidR="00841CC4" w:rsidRPr="00841CC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1B804" w14:textId="77777777" w:rsidR="002D05AB" w:rsidRDefault="002D05AB" w:rsidP="00166129">
      <w:pPr>
        <w:spacing w:before="0" w:after="0" w:line="240" w:lineRule="auto"/>
      </w:pPr>
      <w:r>
        <w:separator/>
      </w:r>
    </w:p>
  </w:endnote>
  <w:endnote w:type="continuationSeparator" w:id="0">
    <w:p w14:paraId="71A24BE7" w14:textId="77777777" w:rsidR="002D05AB" w:rsidRDefault="002D05AB" w:rsidP="0016612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213278"/>
      <w:docPartObj>
        <w:docPartGallery w:val="Page Numbers (Bottom of Page)"/>
        <w:docPartUnique/>
      </w:docPartObj>
    </w:sdtPr>
    <w:sdtEndPr>
      <w:rPr>
        <w:noProof/>
      </w:rPr>
    </w:sdtEndPr>
    <w:sdtContent>
      <w:p w14:paraId="15CC4BF1" w14:textId="214AC612" w:rsidR="00166129" w:rsidRDefault="001661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C9AEC" w14:textId="77777777" w:rsidR="00166129" w:rsidRDefault="00166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B8FAA" w14:textId="77777777" w:rsidR="002D05AB" w:rsidRDefault="002D05AB" w:rsidP="00166129">
      <w:pPr>
        <w:spacing w:before="0" w:after="0" w:line="240" w:lineRule="auto"/>
      </w:pPr>
      <w:r>
        <w:separator/>
      </w:r>
    </w:p>
  </w:footnote>
  <w:footnote w:type="continuationSeparator" w:id="0">
    <w:p w14:paraId="77999E23" w14:textId="77777777" w:rsidR="002D05AB" w:rsidRDefault="002D05AB" w:rsidP="0016612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CC4"/>
    <w:rsid w:val="0000064E"/>
    <w:rsid w:val="000F219E"/>
    <w:rsid w:val="001410BA"/>
    <w:rsid w:val="001445B7"/>
    <w:rsid w:val="00166129"/>
    <w:rsid w:val="00253E2B"/>
    <w:rsid w:val="002D05AB"/>
    <w:rsid w:val="003448DE"/>
    <w:rsid w:val="003810AD"/>
    <w:rsid w:val="00472702"/>
    <w:rsid w:val="00787EE6"/>
    <w:rsid w:val="00812F8B"/>
    <w:rsid w:val="00841CC4"/>
    <w:rsid w:val="008A7BF1"/>
    <w:rsid w:val="008B760D"/>
    <w:rsid w:val="0094466B"/>
    <w:rsid w:val="00A5217D"/>
    <w:rsid w:val="00C13242"/>
    <w:rsid w:val="00C42173"/>
    <w:rsid w:val="00D762DC"/>
    <w:rsid w:val="00DD47CA"/>
    <w:rsid w:val="00E3459F"/>
    <w:rsid w:val="00E87A61"/>
    <w:rsid w:val="00EF1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A8B44"/>
  <w15:chartTrackingRefBased/>
  <w15:docId w15:val="{9DACD9B3-1B41-4E42-938B-B16BE8F8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2DC"/>
    <w:pPr>
      <w:spacing w:before="120" w:after="240" w:line="360" w:lineRule="auto"/>
      <w:jc w:val="both"/>
    </w:pPr>
    <w:rPr>
      <w:rFonts w:ascii="Arial" w:hAnsi="Arial"/>
    </w:rPr>
  </w:style>
  <w:style w:type="paragraph" w:styleId="Heading1">
    <w:name w:val="heading 1"/>
    <w:basedOn w:val="Normal"/>
    <w:next w:val="Normal"/>
    <w:link w:val="Heading1Char"/>
    <w:uiPriority w:val="9"/>
    <w:qFormat/>
    <w:rsid w:val="00C13242"/>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C13242"/>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841C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C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41C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41C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41C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41CC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41CC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242"/>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C13242"/>
    <w:rPr>
      <w:rFonts w:ascii="Arial" w:eastAsiaTheme="majorEastAsia" w:hAnsi="Arial" w:cstheme="majorBidi"/>
      <w:b/>
      <w:color w:val="0F4761" w:themeColor="accent1" w:themeShade="BF"/>
      <w:szCs w:val="32"/>
    </w:rPr>
  </w:style>
  <w:style w:type="character" w:customStyle="1" w:styleId="Heading3Char">
    <w:name w:val="Heading 3 Char"/>
    <w:basedOn w:val="DefaultParagraphFont"/>
    <w:link w:val="Heading3"/>
    <w:uiPriority w:val="9"/>
    <w:semiHidden/>
    <w:rsid w:val="00841C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C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C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CC4"/>
    <w:rPr>
      <w:rFonts w:eastAsiaTheme="majorEastAsia" w:cstheme="majorBidi"/>
      <w:color w:val="272727" w:themeColor="text1" w:themeTint="D8"/>
    </w:rPr>
  </w:style>
  <w:style w:type="paragraph" w:styleId="Title">
    <w:name w:val="Title"/>
    <w:basedOn w:val="Normal"/>
    <w:next w:val="Normal"/>
    <w:link w:val="TitleChar"/>
    <w:uiPriority w:val="10"/>
    <w:qFormat/>
    <w:rsid w:val="00841CC4"/>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C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C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1CC4"/>
    <w:rPr>
      <w:rFonts w:ascii="Arial" w:hAnsi="Arial"/>
      <w:i/>
      <w:iCs/>
      <w:color w:val="404040" w:themeColor="text1" w:themeTint="BF"/>
    </w:rPr>
  </w:style>
  <w:style w:type="paragraph" w:styleId="ListParagraph">
    <w:name w:val="List Paragraph"/>
    <w:basedOn w:val="Normal"/>
    <w:uiPriority w:val="34"/>
    <w:qFormat/>
    <w:rsid w:val="00841CC4"/>
    <w:pPr>
      <w:ind w:left="720"/>
      <w:contextualSpacing/>
    </w:pPr>
  </w:style>
  <w:style w:type="character" w:styleId="IntenseEmphasis">
    <w:name w:val="Intense Emphasis"/>
    <w:basedOn w:val="DefaultParagraphFont"/>
    <w:uiPriority w:val="21"/>
    <w:qFormat/>
    <w:rsid w:val="00841CC4"/>
    <w:rPr>
      <w:i/>
      <w:iCs/>
      <w:color w:val="0F4761" w:themeColor="accent1" w:themeShade="BF"/>
    </w:rPr>
  </w:style>
  <w:style w:type="paragraph" w:styleId="IntenseQuote">
    <w:name w:val="Intense Quote"/>
    <w:basedOn w:val="Normal"/>
    <w:next w:val="Normal"/>
    <w:link w:val="IntenseQuoteChar"/>
    <w:uiPriority w:val="30"/>
    <w:qFormat/>
    <w:rsid w:val="00841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CC4"/>
    <w:rPr>
      <w:rFonts w:ascii="Arial" w:hAnsi="Arial"/>
      <w:i/>
      <w:iCs/>
      <w:color w:val="0F4761" w:themeColor="accent1" w:themeShade="BF"/>
    </w:rPr>
  </w:style>
  <w:style w:type="character" w:styleId="IntenseReference">
    <w:name w:val="Intense Reference"/>
    <w:basedOn w:val="DefaultParagraphFont"/>
    <w:uiPriority w:val="32"/>
    <w:qFormat/>
    <w:rsid w:val="00841CC4"/>
    <w:rPr>
      <w:b/>
      <w:bCs/>
      <w:smallCaps/>
      <w:color w:val="0F4761" w:themeColor="accent1" w:themeShade="BF"/>
      <w:spacing w:val="5"/>
    </w:rPr>
  </w:style>
  <w:style w:type="character" w:styleId="Hyperlink">
    <w:name w:val="Hyperlink"/>
    <w:basedOn w:val="DefaultParagraphFont"/>
    <w:uiPriority w:val="99"/>
    <w:unhideWhenUsed/>
    <w:rsid w:val="00841CC4"/>
    <w:rPr>
      <w:color w:val="467886" w:themeColor="hyperlink"/>
      <w:u w:val="single"/>
    </w:rPr>
  </w:style>
  <w:style w:type="character" w:styleId="UnresolvedMention">
    <w:name w:val="Unresolved Mention"/>
    <w:basedOn w:val="DefaultParagraphFont"/>
    <w:uiPriority w:val="99"/>
    <w:semiHidden/>
    <w:unhideWhenUsed/>
    <w:rsid w:val="00841CC4"/>
    <w:rPr>
      <w:color w:val="605E5C"/>
      <w:shd w:val="clear" w:color="auto" w:fill="E1DFDD"/>
    </w:rPr>
  </w:style>
  <w:style w:type="paragraph" w:styleId="TOCHeading">
    <w:name w:val="TOC Heading"/>
    <w:basedOn w:val="Heading1"/>
    <w:next w:val="Normal"/>
    <w:uiPriority w:val="39"/>
    <w:unhideWhenUsed/>
    <w:qFormat/>
    <w:rsid w:val="00253E2B"/>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53E2B"/>
    <w:pPr>
      <w:spacing w:after="100"/>
    </w:pPr>
  </w:style>
  <w:style w:type="paragraph" w:styleId="TOC2">
    <w:name w:val="toc 2"/>
    <w:basedOn w:val="Normal"/>
    <w:next w:val="Normal"/>
    <w:autoRedefine/>
    <w:uiPriority w:val="39"/>
    <w:unhideWhenUsed/>
    <w:rsid w:val="00253E2B"/>
    <w:pPr>
      <w:spacing w:after="100"/>
      <w:ind w:left="240"/>
    </w:pPr>
  </w:style>
  <w:style w:type="paragraph" w:styleId="NoSpacing">
    <w:name w:val="No Spacing"/>
    <w:uiPriority w:val="1"/>
    <w:qFormat/>
    <w:rsid w:val="003448DE"/>
    <w:pPr>
      <w:spacing w:after="0" w:line="240" w:lineRule="auto"/>
      <w:jc w:val="both"/>
    </w:pPr>
    <w:rPr>
      <w:rFonts w:ascii="Arial" w:hAnsi="Arial"/>
    </w:rPr>
  </w:style>
  <w:style w:type="paragraph" w:styleId="Header">
    <w:name w:val="header"/>
    <w:basedOn w:val="Normal"/>
    <w:link w:val="HeaderChar"/>
    <w:uiPriority w:val="99"/>
    <w:unhideWhenUsed/>
    <w:rsid w:val="0016612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66129"/>
    <w:rPr>
      <w:rFonts w:ascii="Arial" w:hAnsi="Arial"/>
    </w:rPr>
  </w:style>
  <w:style w:type="paragraph" w:styleId="Footer">
    <w:name w:val="footer"/>
    <w:basedOn w:val="Normal"/>
    <w:link w:val="FooterChar"/>
    <w:uiPriority w:val="99"/>
    <w:unhideWhenUsed/>
    <w:rsid w:val="0016612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6612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s41599-025-04391-0" TargetMode="External"/><Relationship Id="rId13" Type="http://schemas.openxmlformats.org/officeDocument/2006/relationships/hyperlink" Target="https://doi.org/10.48550/arXiv.2301.12954" TargetMode="External"/><Relationship Id="rId3" Type="http://schemas.openxmlformats.org/officeDocument/2006/relationships/settings" Target="settings.xml"/><Relationship Id="rId7" Type="http://schemas.openxmlformats.org/officeDocument/2006/relationships/hyperlink" Target="https://www.mwi.org/case-study-googles-employee-walkout-and-conflict-management-systems/" TargetMode="External"/><Relationship Id="rId12" Type="http://schemas.openxmlformats.org/officeDocument/2006/relationships/hyperlink" Target="https://doi.org/10.3389/fcomm.2023.133200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14708477.2023.225428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bs.edu/faculty/Pages/item.aspx?num=57813&amp;utm_source=chatgpt.com" TargetMode="External"/><Relationship Id="rId4" Type="http://schemas.openxmlformats.org/officeDocument/2006/relationships/webSettings" Target="webSettings.xml"/><Relationship Id="rId9" Type="http://schemas.openxmlformats.org/officeDocument/2006/relationships/hyperlink" Target="https://doi.org/10.4337/9781800886377.ch41" TargetMode="External"/><Relationship Id="rId14" Type="http://schemas.openxmlformats.org/officeDocument/2006/relationships/hyperlink" Target="https://doi.org/10.1177/00220221241312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909E3-EB28-40DA-B6AA-B76C691ED4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2457</Words>
  <Characters>16828</Characters>
  <Application>Microsoft Office Word</Application>
  <DocSecurity>0</DocSecurity>
  <Lines>140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Choyon</dc:creator>
  <cp:keywords/>
  <dc:description/>
  <cp:lastModifiedBy>Catalina Gorgan (2212088)</cp:lastModifiedBy>
  <cp:revision>4</cp:revision>
  <dcterms:created xsi:type="dcterms:W3CDTF">2025-10-14T10:59:00Z</dcterms:created>
  <dcterms:modified xsi:type="dcterms:W3CDTF">2025-10-17T11:20:00Z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0e572adb-3985-45b0-92b2-0efe61d577e0</vt:lpwstr>
  </property>
  <property fmtid="{D5CDD505-2E9C-101B-9397-08002B2CF9AE}" pid="3" name="MSIP_Label_defa4170-0d19-0005-0004-bc88714345d2_Enabled">
    <vt:lpwstr>true</vt:lpwstr>
  </property>
  <property fmtid="{D5CDD505-2E9C-101B-9397-08002B2CF9AE}" pid="4" name="MSIP_Label_defa4170-0d19-0005-0004-bc88714345d2_SetDate">
    <vt:lpwstr>2025-10-14T08:26:01Z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52bcb720-8529-4860-b476-afb337818bec</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