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723B8" w14:textId="792D90BA" w:rsidR="0004092A" w:rsidRDefault="0004092A" w:rsidP="005F2CBA">
      <w:pPr>
        <w:spacing w:after="0" w:line="480" w:lineRule="auto"/>
        <w:jc w:val="center"/>
        <w:rPr>
          <w:b/>
          <w:bCs/>
          <w:u w:val="single"/>
        </w:rPr>
      </w:pPr>
      <w:r w:rsidRPr="0004092A">
        <w:rPr>
          <w:b/>
          <w:bCs/>
          <w:u w:val="single"/>
        </w:rPr>
        <w:t>On The Difficulties Faced By Historians Writing The History Of Fountains Abbey</w:t>
      </w:r>
    </w:p>
    <w:p w14:paraId="641639A9" w14:textId="4E039566" w:rsidR="0004092A" w:rsidRDefault="0004092A" w:rsidP="005F2CBA">
      <w:pPr>
        <w:spacing w:after="0" w:line="480" w:lineRule="auto"/>
        <w:jc w:val="both"/>
      </w:pPr>
      <w:r>
        <w:tab/>
        <w:t xml:space="preserve">Located in Yorkshire, and founded in </w:t>
      </w:r>
      <w:r w:rsidR="002F77DC">
        <w:t>1132, Fountains Abbey is widely regarded as one of the most notable monastic sites in Britain, being larger, and more complete than most other monastery ruins.</w:t>
      </w:r>
      <w:r w:rsidR="002F77DC">
        <w:rPr>
          <w:rStyle w:val="FootnoteReference"/>
        </w:rPr>
        <w:footnoteReference w:id="1"/>
      </w:r>
      <w:r w:rsidR="002F77DC">
        <w:t xml:space="preserve"> This prominence has meant that the site has seen significant interest from historians of medieval monasticism, however there are a number of issues peculiar to this abbey which the</w:t>
      </w:r>
      <w:r w:rsidR="006A20A9">
        <w:t>se</w:t>
      </w:r>
      <w:r w:rsidR="002F77DC">
        <w:t xml:space="preserve"> historians must face. Many of these issues originate from the very foundation of the abbey</w:t>
      </w:r>
      <w:r w:rsidR="006A20A9">
        <w:t>, evidence about which is limited</w:t>
      </w:r>
      <w:r w:rsidR="00E93864">
        <w:t>:</w:t>
      </w:r>
      <w:r w:rsidR="00FA098D">
        <w:t xml:space="preserve"> The </w:t>
      </w:r>
      <w:r w:rsidR="00E93864">
        <w:t>principal</w:t>
      </w:r>
      <w:r w:rsidR="00FA098D">
        <w:t xml:space="preserve"> document is the </w:t>
      </w:r>
      <w:r w:rsidR="00C97928" w:rsidRPr="00C97928">
        <w:rPr>
          <w:i/>
          <w:iCs/>
        </w:rPr>
        <w:t>Narratio de Fundatione Fontanis Monasterii in Comitatu Eboracensi</w:t>
      </w:r>
      <w:r w:rsidR="00C97928">
        <w:t xml:space="preserve"> (hereafter; </w:t>
      </w:r>
      <w:r w:rsidR="00C97928" w:rsidRPr="00C97928">
        <w:rPr>
          <w:i/>
          <w:iCs/>
        </w:rPr>
        <w:t>Narratio de Fundatione</w:t>
      </w:r>
      <w:r w:rsidR="00C97928">
        <w:t>)</w:t>
      </w:r>
      <w:r w:rsidR="00FA098D">
        <w:t>, written by Hugh, a monk at Kirkstall Abbey, over seventy years later</w:t>
      </w:r>
      <w:r w:rsidR="00E93864">
        <w:t>, a rather problematic source, as shall be shown</w:t>
      </w:r>
      <w:r w:rsidR="00FA098D">
        <w:t>.</w:t>
      </w:r>
      <w:r w:rsidR="00E93864">
        <w:rPr>
          <w:rStyle w:val="FootnoteReference"/>
        </w:rPr>
        <w:footnoteReference w:id="2"/>
      </w:r>
      <w:r w:rsidR="00FA098D">
        <w:t xml:space="preserve"> This being so this essay intends to assess some of the major difficulties faced by historians writing histories of Fountains Abbey.</w:t>
      </w:r>
    </w:p>
    <w:p w14:paraId="63E882BF" w14:textId="12D1FB38" w:rsidR="00FA098D" w:rsidRDefault="00FA098D" w:rsidP="005F2CBA">
      <w:pPr>
        <w:spacing w:after="0" w:line="480" w:lineRule="auto"/>
        <w:jc w:val="both"/>
      </w:pPr>
      <w:r>
        <w:tab/>
        <w:t xml:space="preserve">At the forefront of issues </w:t>
      </w:r>
      <w:r w:rsidR="00E93864">
        <w:t>surrounding the history of Fountains Abbey is the</w:t>
      </w:r>
      <w:r w:rsidR="00450A60">
        <w:t xml:space="preserve"> </w:t>
      </w:r>
      <w:r w:rsidR="00A7668D">
        <w:t>questionable trustworthiness of the</w:t>
      </w:r>
      <w:r w:rsidR="00E93864">
        <w:t xml:space="preserve"> authorship</w:t>
      </w:r>
      <w:r w:rsidR="00347915">
        <w:t xml:space="preserve">, and the sources used within, the </w:t>
      </w:r>
      <w:bookmarkStart w:id="2" w:name="_Hlk90313306"/>
      <w:r w:rsidR="00347915">
        <w:rPr>
          <w:i/>
          <w:iCs/>
        </w:rPr>
        <w:t>Narratio de Fundatione</w:t>
      </w:r>
      <w:bookmarkEnd w:id="2"/>
      <w:r w:rsidR="00C97928">
        <w:t>. Hugh of Kirkstall, the writer, was a monk at Fountains many years after it was founded, he is at the very root of the issues histo</w:t>
      </w:r>
      <w:r w:rsidR="0042142B">
        <w:t>rians face with regards to Fountains. Firstly, as a monk of Fountain</w:t>
      </w:r>
      <w:r w:rsidR="00BB2F00">
        <w:t>’</w:t>
      </w:r>
      <w:r w:rsidR="0042142B">
        <w:t>s</w:t>
      </w:r>
      <w:r w:rsidR="001A60D2">
        <w:t xml:space="preserve"> daughter-house</w:t>
      </w:r>
      <w:r w:rsidR="00C06C64">
        <w:t xml:space="preserve"> Kirkstall</w:t>
      </w:r>
      <w:r w:rsidR="003B0137">
        <w:t xml:space="preserve">, and moreover one familiar with the </w:t>
      </w:r>
      <w:r w:rsidR="00E53EFF">
        <w:t>abbots at Fountains</w:t>
      </w:r>
      <w:r w:rsidR="005D16D6">
        <w:t xml:space="preserve">, </w:t>
      </w:r>
      <w:r w:rsidR="00517707">
        <w:t>Hugh is an author likely to be biased</w:t>
      </w:r>
      <w:r w:rsidR="00A55046">
        <w:t xml:space="preserve"> in favour of </w:t>
      </w:r>
      <w:r w:rsidR="00A61940">
        <w:t>Fountains</w:t>
      </w:r>
      <w:r w:rsidR="00ED6057">
        <w:t>.</w:t>
      </w:r>
      <w:r w:rsidR="00394438">
        <w:rPr>
          <w:rStyle w:val="FootnoteReference"/>
        </w:rPr>
        <w:footnoteReference w:id="3"/>
      </w:r>
      <w:r w:rsidR="00ED6057">
        <w:t xml:space="preserve"> Secondly, </w:t>
      </w:r>
      <w:r w:rsidR="007A35D7">
        <w:t>his supposed source is the monk Serlo</w:t>
      </w:r>
      <w:r w:rsidR="0031007D">
        <w:t>.</w:t>
      </w:r>
      <w:r w:rsidR="0031007D">
        <w:rPr>
          <w:rStyle w:val="FootnoteReference"/>
        </w:rPr>
        <w:footnoteReference w:id="4"/>
      </w:r>
      <w:r w:rsidR="000238BD">
        <w:t xml:space="preserve"> Serlo would be an </w:t>
      </w:r>
      <w:r w:rsidR="00AA2F24">
        <w:t>eyewitness</w:t>
      </w:r>
      <w:r w:rsidR="000238BD">
        <w:t xml:space="preserve"> of the events of </w:t>
      </w:r>
      <w:r w:rsidR="00E363A4">
        <w:t>Fountains</w:t>
      </w:r>
      <w:r w:rsidR="00C112FD">
        <w:t>’</w:t>
      </w:r>
      <w:r w:rsidR="00E363A4">
        <w:t xml:space="preserve"> founding, </w:t>
      </w:r>
      <w:r w:rsidR="00EF11E1">
        <w:t>being a monk there in the 11</w:t>
      </w:r>
      <w:r w:rsidR="0096263D">
        <w:t xml:space="preserve">30s, and having come from </w:t>
      </w:r>
      <w:r w:rsidR="00700C66">
        <w:t xml:space="preserve">St. Mary’s Abbey York, from </w:t>
      </w:r>
      <w:r w:rsidR="00F53D74">
        <w:t>whence also came the founders of Fountains</w:t>
      </w:r>
      <w:r w:rsidR="00E736D7">
        <w:t>.</w:t>
      </w:r>
      <w:r w:rsidR="00E736D7">
        <w:rPr>
          <w:rStyle w:val="FootnoteReference"/>
        </w:rPr>
        <w:footnoteReference w:id="5"/>
      </w:r>
      <w:r w:rsidR="00E24230">
        <w:t xml:space="preserve"> This would seem to </w:t>
      </w:r>
      <w:r w:rsidR="00320375">
        <w:t>add credence to Hugh’s claims</w:t>
      </w:r>
      <w:r w:rsidR="00F9672D">
        <w:t>, he is working from a primary source, however</w:t>
      </w:r>
      <w:r w:rsidR="0013087B">
        <w:t xml:space="preserve"> this source is purely oral, which presents a problem</w:t>
      </w:r>
      <w:r w:rsidR="00167594">
        <w:t xml:space="preserve">; as often </w:t>
      </w:r>
      <w:r w:rsidR="00492B77">
        <w:t xml:space="preserve">happens with oral histories, the details may have become distorted over </w:t>
      </w:r>
      <w:r w:rsidR="00710006">
        <w:t>the seventy years between</w:t>
      </w:r>
      <w:r w:rsidR="0011420F">
        <w:t xml:space="preserve"> the foundation of the a</w:t>
      </w:r>
      <w:r w:rsidR="00D27A4D">
        <w:t>bbey, and Hugh’s writing of Serlo’s account</w:t>
      </w:r>
      <w:r w:rsidR="008C2643">
        <w:t>.</w:t>
      </w:r>
      <w:r w:rsidR="008C2643">
        <w:rPr>
          <w:rStyle w:val="FootnoteReference"/>
        </w:rPr>
        <w:footnoteReference w:id="6"/>
      </w:r>
      <w:r w:rsidR="00D476F0">
        <w:t xml:space="preserve"> It is true that, </w:t>
      </w:r>
      <w:r w:rsidR="0087465B">
        <w:lastRenderedPageBreak/>
        <w:t>according to Hugh, Serlo claims that his memory has endured well</w:t>
      </w:r>
      <w:r w:rsidR="00A26F7D">
        <w:t>, but – given how much time has elapsed</w:t>
      </w:r>
      <w:r w:rsidR="00D9378F">
        <w:t xml:space="preserve"> – this seems unlikely.</w:t>
      </w:r>
      <w:r w:rsidR="00D9378F">
        <w:rPr>
          <w:rStyle w:val="FootnoteReference"/>
        </w:rPr>
        <w:footnoteReference w:id="7"/>
      </w:r>
      <w:r w:rsidR="000431EA">
        <w:t xml:space="preserve"> Indeed, Serlo himself says that it had been sixty-nine years since he </w:t>
      </w:r>
      <w:r w:rsidR="00054B28">
        <w:t>became a monk, which he did aged thi</w:t>
      </w:r>
      <w:r w:rsidR="0007759E">
        <w:t>rty, meaning – at the age of ninet</w:t>
      </w:r>
      <w:r w:rsidR="007A67DD">
        <w:t xml:space="preserve">y-nine – old-age </w:t>
      </w:r>
      <w:r w:rsidR="0045396E">
        <w:t>might further distort his recollections</w:t>
      </w:r>
      <w:r w:rsidR="00180CAA">
        <w:t>.</w:t>
      </w:r>
      <w:r w:rsidR="00180CAA">
        <w:rPr>
          <w:rStyle w:val="FootnoteReference"/>
        </w:rPr>
        <w:footnoteReference w:id="8"/>
      </w:r>
      <w:r w:rsidR="00E172B2">
        <w:t xml:space="preserve"> </w:t>
      </w:r>
      <w:r w:rsidR="00F54513">
        <w:t>I</w:t>
      </w:r>
      <w:r w:rsidR="00E172B2">
        <w:t>n fact, given that it unlikely – even in the mode</w:t>
      </w:r>
      <w:r w:rsidR="00264D7B">
        <w:t>rn-day – for a man to live to be ninety-nine</w:t>
      </w:r>
      <w:r w:rsidR="00F54513">
        <w:t xml:space="preserve"> or older</w:t>
      </w:r>
      <w:r w:rsidR="00C227E1">
        <w:t xml:space="preserve"> – in </w:t>
      </w:r>
      <w:r w:rsidR="00242889">
        <w:t xml:space="preserve">2020 such individuals made up only </w:t>
      </w:r>
      <w:r w:rsidR="008E77B6">
        <w:t xml:space="preserve">0.00008 percent of the </w:t>
      </w:r>
      <w:r w:rsidR="00F54513">
        <w:t xml:space="preserve">U.K.’s population </w:t>
      </w:r>
      <w:r w:rsidR="002C3AE5">
        <w:t xml:space="preserve">– it seems probable that </w:t>
      </w:r>
      <w:r w:rsidR="00AE5702">
        <w:t>Hugh wasn’t getting this information from Serlo directly</w:t>
      </w:r>
      <w:r w:rsidR="00C32502">
        <w:t xml:space="preserve"> in the early thirteenth century</w:t>
      </w:r>
      <w:r w:rsidR="008B20D5">
        <w:t>.</w:t>
      </w:r>
      <w:r w:rsidR="008B20D5">
        <w:rPr>
          <w:rStyle w:val="FootnoteReference"/>
        </w:rPr>
        <w:footnoteReference w:id="9"/>
      </w:r>
      <w:r w:rsidR="00764C17">
        <w:t xml:space="preserve"> At best, </w:t>
      </w:r>
      <w:r w:rsidR="003224DE">
        <w:t xml:space="preserve">Hugh was getting this information </w:t>
      </w:r>
      <w:r w:rsidR="00510CA5">
        <w:t>second-hand</w:t>
      </w:r>
      <w:r w:rsidR="002B05B0">
        <w:t xml:space="preserve">, from a monk who had </w:t>
      </w:r>
      <w:r w:rsidR="00A34F49">
        <w:t>heard the story from Serlo</w:t>
      </w:r>
      <w:r w:rsidR="00586FB2">
        <w:t xml:space="preserve">, or </w:t>
      </w:r>
      <w:r w:rsidR="00510CA5">
        <w:t>from his own recollections of what Serlo had told him years previously</w:t>
      </w:r>
      <w:r w:rsidR="00C376A3">
        <w:t xml:space="preserve">, in either case there is </w:t>
      </w:r>
      <w:r w:rsidR="00B1756C">
        <w:t>a significant chance that the recollected details were distorted by time</w:t>
      </w:r>
      <w:r w:rsidR="0071025F">
        <w:t xml:space="preserve">, and </w:t>
      </w:r>
      <w:r w:rsidR="00D90E21">
        <w:t>additional personal</w:t>
      </w:r>
      <w:r w:rsidR="0071025F">
        <w:t xml:space="preserve"> biases beyond Serlo’s own.</w:t>
      </w:r>
      <w:r w:rsidR="00DB7886">
        <w:rPr>
          <w:rStyle w:val="FootnoteReference"/>
        </w:rPr>
        <w:footnoteReference w:id="10"/>
      </w:r>
      <w:r w:rsidR="0071025F">
        <w:t xml:space="preserve"> </w:t>
      </w:r>
      <w:r w:rsidR="00D84CBF">
        <w:t>At worst, what Hugh claims to be from Serlo</w:t>
      </w:r>
      <w:r w:rsidR="00355929">
        <w:t xml:space="preserve"> may be a fabrication of his own devising, created with the in</w:t>
      </w:r>
      <w:r w:rsidR="00777DF6">
        <w:t xml:space="preserve">tent of adding credence to his work in the eyes of his </w:t>
      </w:r>
      <w:r w:rsidR="00B24562">
        <w:t xml:space="preserve">contemporaries. If that was so, </w:t>
      </w:r>
      <w:r w:rsidR="00A955F4">
        <w:t xml:space="preserve">the accuracy of this source becomes </w:t>
      </w:r>
      <w:r w:rsidR="001E626F">
        <w:t>more questionable</w:t>
      </w:r>
      <w:r w:rsidR="000C5571">
        <w:t xml:space="preserve">: Why should </w:t>
      </w:r>
      <w:r w:rsidR="002A32DD">
        <w:t>Hugh invent an interview with</w:t>
      </w:r>
      <w:r w:rsidR="008A7D59">
        <w:t xml:space="preserve"> Serlo in an attempt to add credence to his narrative</w:t>
      </w:r>
      <w:r w:rsidR="00C64591">
        <w:t xml:space="preserve">? </w:t>
      </w:r>
      <w:r w:rsidR="000134B3">
        <w:t xml:space="preserve">Possibly, because </w:t>
      </w:r>
      <w:r w:rsidR="001735FC">
        <w:t xml:space="preserve">either he as an author, or the story </w:t>
      </w:r>
      <w:r w:rsidR="0035257E">
        <w:t>he is telling, lack credence in and of themselves</w:t>
      </w:r>
      <w:r w:rsidR="003F3243">
        <w:t xml:space="preserve">. Conceivably, the history </w:t>
      </w:r>
      <w:r w:rsidR="00122944">
        <w:t xml:space="preserve">told to us by Hugh was not entirely consistent </w:t>
      </w:r>
      <w:r w:rsidR="00281D2A">
        <w:t>with the generally accepted narrative at the time of writing</w:t>
      </w:r>
      <w:r w:rsidR="004C713D">
        <w:t xml:space="preserve">. Even if this is not so, the </w:t>
      </w:r>
      <w:r w:rsidR="00F4048B">
        <w:t>degenerative</w:t>
      </w:r>
      <w:r w:rsidR="0057126F">
        <w:t xml:space="preserve"> effects of time and age upon the memory</w:t>
      </w:r>
      <w:r w:rsidR="00F4048B">
        <w:t xml:space="preserve">, as well as the likelihood that this </w:t>
      </w:r>
      <w:r w:rsidR="00577F7B">
        <w:t xml:space="preserve">is not from Serlo directly, not in the early </w:t>
      </w:r>
      <w:r w:rsidR="00B95A3A">
        <w:t>thirteenth</w:t>
      </w:r>
      <w:r w:rsidR="00577F7B">
        <w:t xml:space="preserve"> century anyway</w:t>
      </w:r>
      <w:r w:rsidR="00B95A3A">
        <w:t xml:space="preserve">, cast significant doubts over the accuracy of this as a source on the foundation of </w:t>
      </w:r>
      <w:r w:rsidR="00C112FD">
        <w:t>Fountains Abbey</w:t>
      </w:r>
      <w:r w:rsidR="0031448D">
        <w:t xml:space="preserve">. As such, it may be of limited value to an historian looking at the founding of </w:t>
      </w:r>
      <w:r w:rsidR="00C3384A">
        <w:t>Fountains Abbey.</w:t>
      </w:r>
    </w:p>
    <w:p w14:paraId="5F926FF5" w14:textId="4242F96E" w:rsidR="000235BA" w:rsidRDefault="00C3384A" w:rsidP="005F2CBA">
      <w:pPr>
        <w:spacing w:after="0" w:line="480" w:lineRule="auto"/>
        <w:jc w:val="both"/>
      </w:pPr>
      <w:r>
        <w:tab/>
      </w:r>
      <w:r w:rsidR="003B4010">
        <w:t>Even accepting</w:t>
      </w:r>
      <w:r w:rsidR="005E3426">
        <w:t>, for a moment, that this does come directly from Serlo, and his memory</w:t>
      </w:r>
      <w:r w:rsidR="003048D8">
        <w:t xml:space="preserve"> was – as he asserts </w:t>
      </w:r>
      <w:r w:rsidR="00854B61">
        <w:t>–</w:t>
      </w:r>
      <w:r w:rsidR="003048D8">
        <w:t xml:space="preserve"> </w:t>
      </w:r>
      <w:r w:rsidR="00854B61">
        <w:t xml:space="preserve">was still accurate, it is evident that Hugh of Kirkstall has </w:t>
      </w:r>
      <w:r w:rsidR="002B1CB6">
        <w:t xml:space="preserve">embellished </w:t>
      </w:r>
      <w:r w:rsidR="005651D2">
        <w:t>the account somewhat</w:t>
      </w:r>
      <w:r w:rsidR="00084F4B">
        <w:t>.</w:t>
      </w:r>
      <w:r w:rsidR="00EC2247">
        <w:rPr>
          <w:rStyle w:val="FootnoteReference"/>
        </w:rPr>
        <w:footnoteReference w:id="11"/>
      </w:r>
      <w:r w:rsidR="00084F4B">
        <w:t xml:space="preserve"> Consider the similarities between Hugh</w:t>
      </w:r>
      <w:r w:rsidR="0088355D">
        <w:t>’s account of the monks leaving St. Mary’s Abbey York, and the account</w:t>
      </w:r>
      <w:r w:rsidR="001731DD">
        <w:t xml:space="preserve"> in the </w:t>
      </w:r>
      <w:r w:rsidR="001731DD">
        <w:rPr>
          <w:i/>
          <w:iCs/>
        </w:rPr>
        <w:t>Exordium Parvum</w:t>
      </w:r>
      <w:r w:rsidR="001731DD">
        <w:t xml:space="preserve">, and </w:t>
      </w:r>
      <w:r w:rsidR="001731DD">
        <w:rPr>
          <w:i/>
          <w:iCs/>
        </w:rPr>
        <w:t>Exordium Cistercii</w:t>
      </w:r>
      <w:r w:rsidR="001731DD">
        <w:t xml:space="preserve">, </w:t>
      </w:r>
      <w:r w:rsidR="00C325BF">
        <w:t>of the monks leaving Molesm</w:t>
      </w:r>
      <w:r w:rsidR="00AF1C03">
        <w:t>e:</w:t>
      </w:r>
      <w:r w:rsidR="00C325BF">
        <w:t xml:space="preserve"> </w:t>
      </w:r>
      <w:r w:rsidR="00022620">
        <w:t xml:space="preserve">Both Molesme, and St. Mary’s, are </w:t>
      </w:r>
      <w:r w:rsidR="00022620">
        <w:lastRenderedPageBreak/>
        <w:t>described</w:t>
      </w:r>
      <w:r w:rsidR="00871D45">
        <w:t xml:space="preserve"> as pl</w:t>
      </w:r>
      <w:r w:rsidR="009831AF">
        <w:t xml:space="preserve">aces in which the </w:t>
      </w:r>
      <w:r w:rsidR="009831AF">
        <w:rPr>
          <w:i/>
          <w:iCs/>
        </w:rPr>
        <w:t>Rule of St. Benedict</w:t>
      </w:r>
      <w:r w:rsidR="00AE510B">
        <w:t xml:space="preserve"> is not strictly adhered to</w:t>
      </w:r>
      <w:r w:rsidR="00AF1C03">
        <w:t xml:space="preserve">, </w:t>
      </w:r>
      <w:r w:rsidR="00C74EC5">
        <w:t>specifically as places of softness, comfort, and easy living</w:t>
      </w:r>
      <w:r w:rsidR="00884166">
        <w:t>, across the documents there is an implication</w:t>
      </w:r>
      <w:r w:rsidR="001856E3">
        <w:t>, albeit one varying in subtlety,</w:t>
      </w:r>
      <w:r w:rsidR="00884166">
        <w:t xml:space="preserve"> that this softness </w:t>
      </w:r>
      <w:r w:rsidR="001856E3">
        <w:t>was a detriment to the piety</w:t>
      </w:r>
      <w:r w:rsidR="006520E5">
        <w:t xml:space="preserve"> of the monks, and in both cases the only solution was </w:t>
      </w:r>
      <w:r w:rsidR="00564770">
        <w:t xml:space="preserve">for a number of </w:t>
      </w:r>
      <w:r w:rsidR="005D285D">
        <w:t xml:space="preserve">ordinary </w:t>
      </w:r>
      <w:r w:rsidR="00564770">
        <w:t xml:space="preserve">monks, and a high ranking </w:t>
      </w:r>
      <w:r w:rsidR="005D285D">
        <w:t>monk – at Molesme</w:t>
      </w:r>
      <w:r w:rsidR="00371DE0">
        <w:t xml:space="preserve"> an abbot, at St. Mary’s a prior – to leave in search on a new monastery</w:t>
      </w:r>
      <w:r w:rsidR="00694AE0">
        <w:t>.</w:t>
      </w:r>
      <w:r w:rsidR="00694AE0">
        <w:rPr>
          <w:rStyle w:val="FootnoteReference"/>
        </w:rPr>
        <w:footnoteReference w:id="12"/>
      </w:r>
      <w:r w:rsidR="00D90FED">
        <w:t xml:space="preserve"> </w:t>
      </w:r>
      <w:r w:rsidR="00531799">
        <w:t>These similarities suggest th</w:t>
      </w:r>
      <w:r w:rsidR="009731B2">
        <w:t xml:space="preserve">at Hugh was attempting to style Fountains in the image of </w:t>
      </w:r>
      <w:r w:rsidR="00455FFF" w:rsidRPr="009731B2">
        <w:t>Citeaux</w:t>
      </w:r>
      <w:r w:rsidR="00455FFF">
        <w:t xml:space="preserve">, </w:t>
      </w:r>
      <w:r w:rsidR="00F402DA">
        <w:t>the mother-house to all Cistercian houses</w:t>
      </w:r>
      <w:r w:rsidR="00A522E6">
        <w:t xml:space="preserve">, </w:t>
      </w:r>
      <w:r w:rsidR="00625FA2">
        <w:t>and in so doing</w:t>
      </w:r>
      <w:r w:rsidR="005D5DCE">
        <w:t xml:space="preserve"> imply that – amongst English houses – Fountains </w:t>
      </w:r>
      <w:r w:rsidR="00A92E0D">
        <w:t>deserves similar reverence. Combined with the fact that Hugh</w:t>
      </w:r>
      <w:r w:rsidR="0026008E">
        <w:t>’s</w:t>
      </w:r>
      <w:r w:rsidR="00A92E0D">
        <w:t xml:space="preserve"> patron, in this instance, </w:t>
      </w:r>
      <w:r w:rsidR="006562BF">
        <w:t xml:space="preserve">was the abbot of Fountains, </w:t>
      </w:r>
      <w:r w:rsidR="00343749">
        <w:t xml:space="preserve">a man who would doubtlessly be pleased by </w:t>
      </w:r>
      <w:r w:rsidR="00BA36F6">
        <w:t>an increase in the perceived status of his abbey, and thereby himself, and all his successor</w:t>
      </w:r>
      <w:r w:rsidR="0026008E">
        <w:t>s</w:t>
      </w:r>
      <w:r w:rsidR="00AE31CD">
        <w:t xml:space="preserve">, it becomes more likely that the </w:t>
      </w:r>
      <w:bookmarkStart w:id="6" w:name="_Hlk90388973"/>
      <w:r w:rsidR="00AE31CD" w:rsidRPr="00AE31CD">
        <w:rPr>
          <w:i/>
          <w:iCs/>
        </w:rPr>
        <w:t>Narratio de Fundatione</w:t>
      </w:r>
      <w:r w:rsidR="00035702">
        <w:t xml:space="preserve"> </w:t>
      </w:r>
      <w:bookmarkEnd w:id="6"/>
      <w:r w:rsidR="00035702">
        <w:t>was written with such an inte</w:t>
      </w:r>
      <w:r w:rsidR="00A42C2B">
        <w:t>ntion.</w:t>
      </w:r>
      <w:r w:rsidR="00A42C2B">
        <w:rPr>
          <w:rStyle w:val="FootnoteReference"/>
        </w:rPr>
        <w:footnoteReference w:id="13"/>
      </w:r>
      <w:r w:rsidR="001D460D">
        <w:t xml:space="preserve"> </w:t>
      </w:r>
      <w:r w:rsidR="00745DAC">
        <w:t xml:space="preserve">Evidently </w:t>
      </w:r>
      <w:r w:rsidR="001D460D" w:rsidRPr="001D460D">
        <w:rPr>
          <w:i/>
          <w:iCs/>
        </w:rPr>
        <w:t>Narratio de Fundatione</w:t>
      </w:r>
      <w:r w:rsidR="001D460D">
        <w:t xml:space="preserve"> is a polemic</w:t>
      </w:r>
      <w:r w:rsidR="00A827FD">
        <w:t xml:space="preserve">, likely </w:t>
      </w:r>
      <w:r w:rsidR="00AF6D16">
        <w:t xml:space="preserve">intentionally so, and its nature as a polemic becomes even more apparent as the </w:t>
      </w:r>
      <w:r w:rsidR="00AF36A5">
        <w:t xml:space="preserve">narrative progresses. An account is given of </w:t>
      </w:r>
      <w:r w:rsidR="00ED2A06">
        <w:t xml:space="preserve">the monks from St. Mary’s early period on the Fountains site, </w:t>
      </w:r>
      <w:r w:rsidR="00920952">
        <w:t xml:space="preserve">in which the monks seem </w:t>
      </w:r>
      <w:r w:rsidR="003E6EB7">
        <w:t xml:space="preserve">to be in a wretched state, sleeping – </w:t>
      </w:r>
      <w:r w:rsidR="00403391">
        <w:t>all of</w:t>
      </w:r>
      <w:r w:rsidR="003E6EB7">
        <w:t xml:space="preserve"> them</w:t>
      </w:r>
      <w:r w:rsidR="00414E80">
        <w:t xml:space="preserve"> – beneath an elm tree, and eating its leaves</w:t>
      </w:r>
      <w:r w:rsidR="001257CF">
        <w:t>.</w:t>
      </w:r>
      <w:r w:rsidR="001257CF">
        <w:rPr>
          <w:rStyle w:val="FootnoteReference"/>
        </w:rPr>
        <w:footnoteReference w:id="14"/>
      </w:r>
      <w:r w:rsidR="00403391">
        <w:t xml:space="preserve"> </w:t>
      </w:r>
      <w:r w:rsidR="00620EF2">
        <w:t xml:space="preserve">This image of monks eating leaves is evocative of the account – in </w:t>
      </w:r>
      <w:r w:rsidR="00620EF2" w:rsidRPr="00620EF2">
        <w:rPr>
          <w:i/>
          <w:iCs/>
        </w:rPr>
        <w:t>The First Life of</w:t>
      </w:r>
      <w:r w:rsidR="00620EF2">
        <w:rPr>
          <w:i/>
          <w:iCs/>
        </w:rPr>
        <w:t xml:space="preserve"> </w:t>
      </w:r>
      <w:r w:rsidR="00620EF2" w:rsidRPr="00620EF2">
        <w:rPr>
          <w:i/>
          <w:iCs/>
        </w:rPr>
        <w:t>Bernard of Clairvaux</w:t>
      </w:r>
      <w:r w:rsidR="00620EF2">
        <w:t xml:space="preserve"> – of the early days of the monks at </w:t>
      </w:r>
      <w:r w:rsidR="00620EF2" w:rsidRPr="00620EF2">
        <w:t>Cîteaux</w:t>
      </w:r>
      <w:r w:rsidR="00620EF2">
        <w:t xml:space="preserve">, which states that they – in their poverty – ate gruel made from beech leaves, further styling Fountains as a second </w:t>
      </w:r>
      <w:r w:rsidR="00620EF2" w:rsidRPr="00620EF2">
        <w:t>Cîteaux</w:t>
      </w:r>
      <w:r w:rsidR="00620EF2">
        <w:t>.</w:t>
      </w:r>
      <w:r w:rsidR="00620EF2">
        <w:rPr>
          <w:rStyle w:val="FootnoteReference"/>
        </w:rPr>
        <w:footnoteReference w:id="15"/>
      </w:r>
      <w:r w:rsidR="00620EF2">
        <w:t xml:space="preserve"> </w:t>
      </w:r>
      <w:r w:rsidR="000235BA">
        <w:t xml:space="preserve">The contents of the </w:t>
      </w:r>
      <w:bookmarkStart w:id="9" w:name="_Hlk90389801"/>
      <w:r w:rsidR="000235BA" w:rsidRPr="000235BA">
        <w:rPr>
          <w:i/>
          <w:iCs/>
        </w:rPr>
        <w:t>Narratio de Fundatione</w:t>
      </w:r>
      <w:r w:rsidR="000235BA">
        <w:t xml:space="preserve"> </w:t>
      </w:r>
      <w:bookmarkEnd w:id="9"/>
      <w:r w:rsidR="000235BA">
        <w:t xml:space="preserve">are quite clearly curated to place Fountains in the best light, to portray it as an equal to </w:t>
      </w:r>
      <w:r w:rsidR="000235BA" w:rsidRPr="000235BA">
        <w:t>Cîteaux</w:t>
      </w:r>
      <w:r w:rsidR="006E0C1D">
        <w:t>, by an author who had quite clearly read other Cistercian writings, parts of which he has imitated for this account</w:t>
      </w:r>
      <w:r w:rsidR="000235BA">
        <w:t>.</w:t>
      </w:r>
      <w:r w:rsidR="006E0C1D">
        <w:t xml:space="preserve"> The effect is to show, particularly to Hugh’s Cistercian peers, Fountains as one of the great abbeys, polemicising its origin story into a narrative of a kind which has already been proven effective on Cistercians.</w:t>
      </w:r>
      <w:r w:rsidR="000235BA">
        <w:t xml:space="preserve"> As such, taking the questionable sources into account also, it is </w:t>
      </w:r>
      <w:r w:rsidR="006E0C1D">
        <w:t>a poor source for an historian looking at the origins of the monastery at Fountains.</w:t>
      </w:r>
    </w:p>
    <w:p w14:paraId="1E67D059" w14:textId="031B9E2E" w:rsidR="006E0C1D" w:rsidRDefault="006E0C1D" w:rsidP="005F2CBA">
      <w:pPr>
        <w:spacing w:after="0" w:line="480" w:lineRule="auto"/>
        <w:jc w:val="both"/>
      </w:pPr>
      <w:r>
        <w:tab/>
        <w:t xml:space="preserve">However, though it is of limited use with regard to the origins of Fountains Abbey, an historian might materially benefit from studying the </w:t>
      </w:r>
      <w:r w:rsidRPr="006E0C1D">
        <w:rPr>
          <w:i/>
          <w:iCs/>
        </w:rPr>
        <w:t>Narratio de Fundatione</w:t>
      </w:r>
      <w:r>
        <w:t xml:space="preserve"> when looking at the history of fountains in the early </w:t>
      </w:r>
      <w:r>
        <w:lastRenderedPageBreak/>
        <w:t>thirteenth century</w:t>
      </w:r>
      <w:r w:rsidR="009668A5">
        <w:t>, the time at which this account was written.</w:t>
      </w:r>
      <w:r w:rsidR="009668A5">
        <w:rPr>
          <w:rStyle w:val="FootnoteReference"/>
        </w:rPr>
        <w:footnoteReference w:id="16"/>
      </w:r>
      <w:r w:rsidR="009668A5">
        <w:t xml:space="preserve"> The fact that it seems to be such a distorted account, derivative of the early history of </w:t>
      </w:r>
      <w:r w:rsidR="009668A5" w:rsidRPr="009668A5">
        <w:t>Cîteaux</w:t>
      </w:r>
      <w:r w:rsidR="009668A5">
        <w:t xml:space="preserve">, suggests much about Fountains at the time of writing. Principally it suggests that Fountains was not particularly well respected at that time. The overarching polemic, trying to make Fountains seem like </w:t>
      </w:r>
      <w:r w:rsidR="009668A5" w:rsidRPr="009668A5">
        <w:t>Cîteaux</w:t>
      </w:r>
      <w:r w:rsidR="009668A5">
        <w:t xml:space="preserve"> – the </w:t>
      </w:r>
      <w:r w:rsidR="0055064B">
        <w:t>motherhouse</w:t>
      </w:r>
      <w:r w:rsidR="009668A5">
        <w:t xml:space="preserve"> which all other Cistercian monasteries were supposed to respect – make it plain that Hugh, or more likely the abbot of Fountains who asked him to write the</w:t>
      </w:r>
      <w:r w:rsidR="009668A5" w:rsidRPr="009668A5">
        <w:rPr>
          <w:i/>
          <w:iCs/>
        </w:rPr>
        <w:t xml:space="preserve"> Narratio de Fundatione</w:t>
      </w:r>
      <w:r w:rsidR="009668A5">
        <w:t xml:space="preserve">, wanted </w:t>
      </w:r>
      <w:r w:rsidR="0055064B">
        <w:t>to make Fountains seem more respectable, that this should be necessary suggests that Fountains was not a respected house in the early thirteenth century.</w:t>
      </w:r>
      <w:r w:rsidR="0055064B">
        <w:rPr>
          <w:rStyle w:val="FootnoteReference"/>
        </w:rPr>
        <w:footnoteReference w:id="17"/>
      </w:r>
      <w:r w:rsidR="0055064B">
        <w:t xml:space="preserve"> This state of affairs is not entirely surprising considering that the founders of Fountains were in breach of their vows of stability, as mandated in the </w:t>
      </w:r>
      <w:r w:rsidR="0055064B">
        <w:rPr>
          <w:i/>
          <w:iCs/>
        </w:rPr>
        <w:t>Rule of St. Benedict</w:t>
      </w:r>
      <w:r w:rsidR="0055064B">
        <w:t>, and thus the very existence of Fountains Abbey was liable to be an issue of some contention.</w:t>
      </w:r>
      <w:r w:rsidR="0055064B">
        <w:rPr>
          <w:rStyle w:val="FootnoteReference"/>
        </w:rPr>
        <w:footnoteReference w:id="18"/>
      </w:r>
      <w:r w:rsidR="001B1190">
        <w:t xml:space="preserve"> Similar issues had been faced by the monks at </w:t>
      </w:r>
      <w:r w:rsidR="001B1190" w:rsidRPr="001B1190">
        <w:t>Cîteaux</w:t>
      </w:r>
      <w:r w:rsidR="00641FD7">
        <w:t xml:space="preserve">, and – it is widely asserted – this criticism was a major reason for writing the </w:t>
      </w:r>
      <w:r w:rsidR="00641FD7">
        <w:rPr>
          <w:i/>
          <w:iCs/>
        </w:rPr>
        <w:t>Exordium Parvum</w:t>
      </w:r>
      <w:r w:rsidR="00641FD7">
        <w:t xml:space="preserve">, and </w:t>
      </w:r>
      <w:r w:rsidR="00641FD7">
        <w:rPr>
          <w:i/>
          <w:iCs/>
        </w:rPr>
        <w:t>Exordium Cistercii</w:t>
      </w:r>
      <w:r w:rsidR="00641FD7">
        <w:t>, as such there is precedent for Cistercians writing polemics about their abbeys’ founding in response to criticism.</w:t>
      </w:r>
      <w:r w:rsidR="00641FD7">
        <w:rPr>
          <w:rStyle w:val="FootnoteReference"/>
        </w:rPr>
        <w:footnoteReference w:id="19"/>
      </w:r>
      <w:r w:rsidR="00641FD7">
        <w:t xml:space="preserve"> There were also further issues, surrounding Fountains, which may have contributed to the need to seem more respectable, amongst</w:t>
      </w:r>
      <w:r w:rsidR="00CF58B7">
        <w:t>;</w:t>
      </w:r>
      <w:r w:rsidR="00641FD7">
        <w:t xml:space="preserve"> these the abbey’s role</w:t>
      </w:r>
      <w:r w:rsidR="00CF58B7">
        <w:t xml:space="preserve"> in the election of the unpopular Henry Murdac to the Archbishopric of York, and the fact that – far from the poor beginnings of the house – by the start of the thirteenth century they were very wealthy indeed, and – arguably – beginning to use that wealth in a manner inconsistent with Cistercian ideals of monastic poverty</w:t>
      </w:r>
      <w:r w:rsidR="00875D47">
        <w:t>; such as building the foundations of an extravagant church</w:t>
      </w:r>
      <w:r w:rsidR="00A423DC">
        <w:t>.</w:t>
      </w:r>
      <w:r w:rsidR="00A423DC">
        <w:rPr>
          <w:rStyle w:val="FootnoteReference"/>
        </w:rPr>
        <w:footnoteReference w:id="20"/>
      </w:r>
      <w:r w:rsidR="00875D47">
        <w:t xml:space="preserve"> In such a climate, to style themselves</w:t>
      </w:r>
      <w:r w:rsidR="000F074B">
        <w:t xml:space="preserve"> after </w:t>
      </w:r>
      <w:r w:rsidR="000F074B" w:rsidRPr="000F074B">
        <w:t>Cîteaux</w:t>
      </w:r>
      <w:r w:rsidR="000F074B">
        <w:t xml:space="preserve"> – a popular site, with which they shared some common ground  - makes logical sense. Further, to invoke Serlo as an eyewitness meant that the at time absurd narrative of Fountains’ founding would have had extra authority, not only was he there, at the time, but his great age – which</w:t>
      </w:r>
      <w:r w:rsidR="00FB686D">
        <w:t xml:space="preserve"> the </w:t>
      </w:r>
      <w:bookmarkStart w:id="13" w:name="_Hlk90397865"/>
      <w:r w:rsidR="00FB686D" w:rsidRPr="00FB686D">
        <w:rPr>
          <w:i/>
          <w:iCs/>
        </w:rPr>
        <w:t>Narratio de Fundatione</w:t>
      </w:r>
      <w:bookmarkEnd w:id="13"/>
      <w:r w:rsidR="00FB686D">
        <w:t xml:space="preserve"> makes apparent – implies that he is a pious man, </w:t>
      </w:r>
      <w:r w:rsidR="00FB686D">
        <w:lastRenderedPageBreak/>
        <w:t>he had surpassed the seventy or eighty years promised in the Bible, meaning that his account is even more likely to be respected.</w:t>
      </w:r>
      <w:r w:rsidR="00FB686D">
        <w:rPr>
          <w:rStyle w:val="FootnoteReference"/>
        </w:rPr>
        <w:footnoteReference w:id="21"/>
      </w:r>
      <w:r w:rsidR="00FB686D">
        <w:t xml:space="preserve"> </w:t>
      </w:r>
      <w:r w:rsidR="000F074B">
        <w:t xml:space="preserve"> </w:t>
      </w:r>
      <w:r w:rsidR="00830A8C">
        <w:t>This all m</w:t>
      </w:r>
      <w:r w:rsidR="000F074B">
        <w:t>ean</w:t>
      </w:r>
      <w:r w:rsidR="00830A8C">
        <w:t>s</w:t>
      </w:r>
      <w:r w:rsidR="000F074B">
        <w:t xml:space="preserve"> – in turn – that what  </w:t>
      </w:r>
      <w:r w:rsidR="00830A8C" w:rsidRPr="00830A8C">
        <w:t xml:space="preserve">the </w:t>
      </w:r>
      <w:bookmarkStart w:id="14" w:name="_Hlk90470078"/>
      <w:r w:rsidR="00830A8C" w:rsidRPr="00830A8C">
        <w:rPr>
          <w:i/>
          <w:iCs/>
        </w:rPr>
        <w:t>Narratio de Fundatione</w:t>
      </w:r>
      <w:r w:rsidR="00830A8C" w:rsidRPr="00830A8C">
        <w:t xml:space="preserve"> </w:t>
      </w:r>
      <w:bookmarkEnd w:id="14"/>
      <w:r w:rsidR="000F074B">
        <w:t>suggests about Fountain’s virtue would be more likely to be believed</w:t>
      </w:r>
      <w:r w:rsidR="00830A8C">
        <w:t>. A</w:t>
      </w:r>
      <w:r w:rsidR="000E6E74">
        <w:t xml:space="preserve">dditionally, the audience for who this polemicised account was intended would seem to be other Cistercians; such an audience would be likely to respond well to a founding narrative evocative of the </w:t>
      </w:r>
      <w:r w:rsidR="000E6E74">
        <w:rPr>
          <w:i/>
          <w:iCs/>
        </w:rPr>
        <w:t>Exordium Parvum</w:t>
      </w:r>
      <w:r w:rsidR="000E6E74">
        <w:t xml:space="preserve">, and </w:t>
      </w:r>
      <w:r w:rsidR="000E6E74" w:rsidRPr="000E6E74">
        <w:rPr>
          <w:i/>
          <w:iCs/>
        </w:rPr>
        <w:t>Exordium Cistercii</w:t>
      </w:r>
      <w:r w:rsidR="000E6E74">
        <w:t xml:space="preserve">, and would be likely to view the association with </w:t>
      </w:r>
      <w:r w:rsidR="000E6E74" w:rsidRPr="000E6E74">
        <w:t>Cîteaux</w:t>
      </w:r>
      <w:r w:rsidR="000E6E74">
        <w:t xml:space="preserve"> as positive, further such individuals – being familiar with doctrine, and notable Cistercians</w:t>
      </w:r>
      <w:r w:rsidR="003268AD">
        <w:t xml:space="preserve"> –</w:t>
      </w:r>
      <w:r w:rsidR="000E6E74">
        <w:t xml:space="preserve"> </w:t>
      </w:r>
      <w:r w:rsidR="003268AD">
        <w:t xml:space="preserve">would be exactly the sort of people for whom the association with Serlo would make a narrative seem more trustworthy. As such, with regards to Fountains in the early thirteenth century, the </w:t>
      </w:r>
      <w:r w:rsidR="003268AD" w:rsidRPr="003268AD">
        <w:rPr>
          <w:i/>
          <w:iCs/>
        </w:rPr>
        <w:t>Narratio de Fundatione</w:t>
      </w:r>
      <w:r w:rsidR="003268AD">
        <w:t xml:space="preserve"> would seem to offer invaluable insight to an historian writing that part of Fountains’ history.</w:t>
      </w:r>
    </w:p>
    <w:p w14:paraId="558FF4E5" w14:textId="3668E4E3" w:rsidR="00A2716C" w:rsidRDefault="00A2716C" w:rsidP="005F2CBA">
      <w:pPr>
        <w:spacing w:after="0" w:line="480" w:lineRule="auto"/>
        <w:jc w:val="both"/>
      </w:pPr>
      <w:r>
        <w:tab/>
        <w:t xml:space="preserve">Another difficulty faced </w:t>
      </w:r>
      <w:r w:rsidR="004A67F8">
        <w:t xml:space="preserve">by </w:t>
      </w:r>
      <w:r>
        <w:t>historians studying Fountains would be the abbe</w:t>
      </w:r>
      <w:r w:rsidR="00886425">
        <w:t>y’s</w:t>
      </w:r>
      <w:r>
        <w:t xml:space="preserve"> destruction</w:t>
      </w:r>
      <w:r w:rsidR="00886425">
        <w:t>, by fire,</w:t>
      </w:r>
      <w:r>
        <w:t xml:space="preserve"> in</w:t>
      </w:r>
      <w:r w:rsidR="0094411F">
        <w:t xml:space="preserve"> the</w:t>
      </w:r>
      <w:r w:rsidR="00886425">
        <w:t xml:space="preserve"> 1140</w:t>
      </w:r>
      <w:r w:rsidR="0094411F">
        <w:t>s</w:t>
      </w:r>
      <w:r w:rsidR="00886425">
        <w:t>.</w:t>
      </w:r>
      <w:r w:rsidR="00886425">
        <w:rPr>
          <w:rStyle w:val="FootnoteReference"/>
        </w:rPr>
        <w:footnoteReference w:id="22"/>
      </w:r>
      <w:r w:rsidR="0094411F">
        <w:t xml:space="preserve"> </w:t>
      </w:r>
      <w:r w:rsidR="00D415B0">
        <w:t>Firstly, as with much of the abbey’s early history</w:t>
      </w:r>
      <w:r w:rsidR="00F40A91">
        <w:t xml:space="preserve">, the information about the abbey’s burning comes from the </w:t>
      </w:r>
      <w:bookmarkStart w:id="16" w:name="_Hlk90475076"/>
      <w:r w:rsidR="00F40A91" w:rsidRPr="00F40A91">
        <w:rPr>
          <w:i/>
          <w:iCs/>
        </w:rPr>
        <w:t>Narratio de Fundatione</w:t>
      </w:r>
      <w:bookmarkEnd w:id="16"/>
      <w:r w:rsidR="00F40A91">
        <w:t xml:space="preserve">, </w:t>
      </w:r>
      <w:r w:rsidR="00830418">
        <w:t>which – as discussed above – may not be an entirely reliable account of Fountains’ early history</w:t>
      </w:r>
      <w:r w:rsidR="00BB3425">
        <w:t>.</w:t>
      </w:r>
      <w:r w:rsidR="00BB3425">
        <w:rPr>
          <w:rStyle w:val="FootnoteReference"/>
        </w:rPr>
        <w:footnoteReference w:id="23"/>
      </w:r>
      <w:r w:rsidR="00BB3425">
        <w:t xml:space="preserve"> As such, the extent of the fire, </w:t>
      </w:r>
      <w:r w:rsidR="004F3301">
        <w:t>supposed to have destroyed most of the monastery by Hugh of Kirkstall</w:t>
      </w:r>
      <w:r w:rsidR="006D18DE">
        <w:t>, cannot be confirmed</w:t>
      </w:r>
      <w:r w:rsidR="00700D49">
        <w:t>.</w:t>
      </w:r>
      <w:r w:rsidR="00700D49">
        <w:rPr>
          <w:rStyle w:val="FootnoteReference"/>
        </w:rPr>
        <w:footnoteReference w:id="24"/>
      </w:r>
      <w:r w:rsidR="003A649C">
        <w:t xml:space="preserve"> However, </w:t>
      </w:r>
      <w:r w:rsidR="006D18DE">
        <w:t xml:space="preserve">it is likely that some kind of fire did occur, </w:t>
      </w:r>
      <w:r w:rsidR="00C64672">
        <w:t>a layer of ash, dating from</w:t>
      </w:r>
      <w:r w:rsidR="007B7CE2">
        <w:t xml:space="preserve"> 1146, has been discovered at the site</w:t>
      </w:r>
      <w:r w:rsidR="000D6E55">
        <w:t xml:space="preserve">, </w:t>
      </w:r>
      <w:r w:rsidR="002B582A">
        <w:t xml:space="preserve">and this layer seems to be widespread, </w:t>
      </w:r>
      <w:r w:rsidR="00F462D2">
        <w:t>suggesting a conflagration of the scale described by Hugh</w:t>
      </w:r>
      <w:r w:rsidR="0064395E">
        <w:t xml:space="preserve">, </w:t>
      </w:r>
      <w:r w:rsidR="00887E48">
        <w:t xml:space="preserve">and certainly the </w:t>
      </w:r>
      <w:r w:rsidR="00167C28">
        <w:t xml:space="preserve">hostile </w:t>
      </w:r>
      <w:r w:rsidR="00887E48">
        <w:t>destruction of monasteries</w:t>
      </w:r>
      <w:r w:rsidR="002B0779">
        <w:t xml:space="preserve"> </w:t>
      </w:r>
      <w:r w:rsidR="00887E48">
        <w:t xml:space="preserve">during the </w:t>
      </w:r>
      <w:r w:rsidR="00425622">
        <w:t>Anarchy of mid-twelfth century England</w:t>
      </w:r>
      <w:r w:rsidR="002B0779" w:rsidRPr="002B0779">
        <w:t>, similar to what Hugh describes,</w:t>
      </w:r>
      <w:r w:rsidR="00425622">
        <w:t xml:space="preserve"> was not uncommon</w:t>
      </w:r>
      <w:r w:rsidR="00F93D06">
        <w:t>.</w:t>
      </w:r>
      <w:r w:rsidR="00F93D06">
        <w:rPr>
          <w:rStyle w:val="FootnoteReference"/>
        </w:rPr>
        <w:footnoteReference w:id="25"/>
      </w:r>
      <w:r w:rsidR="00A36BC8">
        <w:t xml:space="preserve"> </w:t>
      </w:r>
      <w:r w:rsidR="002840E1">
        <w:t xml:space="preserve">There is some dating discrepancy here, </w:t>
      </w:r>
      <w:r w:rsidR="00CD6C70">
        <w:t>earlier writers</w:t>
      </w:r>
      <w:r w:rsidR="00FB1B8A">
        <w:t xml:space="preserve"> – informed by the </w:t>
      </w:r>
      <w:r w:rsidR="00FB1B8A" w:rsidRPr="00FB1B8A">
        <w:rPr>
          <w:i/>
          <w:iCs/>
        </w:rPr>
        <w:t>Narratio de Fundatione</w:t>
      </w:r>
      <w:r w:rsidR="00FB1B8A">
        <w:rPr>
          <w:i/>
          <w:iCs/>
        </w:rPr>
        <w:t xml:space="preserve"> –</w:t>
      </w:r>
      <w:r w:rsidR="00CD6C70">
        <w:t xml:space="preserve"> tend to place the fire in 1140, </w:t>
      </w:r>
      <w:r w:rsidR="0077358C">
        <w:t>while more modern scholarship – informed by the discovery of this ash, and the dating thereof</w:t>
      </w:r>
      <w:r w:rsidR="006F0C3E">
        <w:t xml:space="preserve"> – dates the fire to 1146</w:t>
      </w:r>
      <w:r w:rsidR="007D767B">
        <w:t xml:space="preserve">, however – considering that </w:t>
      </w:r>
      <w:r w:rsidR="00CB294E">
        <w:t xml:space="preserve">the </w:t>
      </w:r>
      <w:r w:rsidR="00CB294E" w:rsidRPr="00CB294E">
        <w:rPr>
          <w:i/>
          <w:iCs/>
        </w:rPr>
        <w:t>Narratio de Fundatione</w:t>
      </w:r>
      <w:r w:rsidR="00CB294E" w:rsidRPr="00CB294E">
        <w:t xml:space="preserve"> </w:t>
      </w:r>
      <w:r w:rsidR="00CB294E">
        <w:t xml:space="preserve">is supposed to have been written from the recollections of a very old </w:t>
      </w:r>
      <w:r w:rsidR="00CB294E">
        <w:lastRenderedPageBreak/>
        <w:t>man</w:t>
      </w:r>
      <w:r w:rsidR="00E417D8">
        <w:t xml:space="preserve">, and covers </w:t>
      </w:r>
      <w:r w:rsidR="00DE15D2">
        <w:t>a rather turbulent in history, some mild discrepancies might be expected</w:t>
      </w:r>
      <w:r w:rsidR="00A058FE">
        <w:t>.</w:t>
      </w:r>
      <w:r w:rsidR="00A058FE">
        <w:rPr>
          <w:rStyle w:val="FootnoteReference"/>
        </w:rPr>
        <w:footnoteReference w:id="26"/>
      </w:r>
      <w:r w:rsidR="00A058FE">
        <w:t xml:space="preserve"> </w:t>
      </w:r>
      <w:r w:rsidR="00BE3627">
        <w:t xml:space="preserve">That being so, an historian can be fairly confident that the fire occurred. </w:t>
      </w:r>
      <w:r w:rsidR="00A36BC8">
        <w:t xml:space="preserve">Secondly, accepting the fire </w:t>
      </w:r>
      <w:r w:rsidR="00E25E73">
        <w:t>did occur</w:t>
      </w:r>
      <w:r w:rsidR="00A6681F">
        <w:t xml:space="preserve">, </w:t>
      </w:r>
      <w:r w:rsidR="00BB212F">
        <w:t>it means that the remains of the abbey</w:t>
      </w:r>
      <w:r w:rsidR="00A972B6">
        <w:t>, in its earlier form,</w:t>
      </w:r>
      <w:r w:rsidR="00F956C7">
        <w:t xml:space="preserve"> are </w:t>
      </w:r>
      <w:r w:rsidR="00BE3627">
        <w:t xml:space="preserve">mostly </w:t>
      </w:r>
      <w:r w:rsidR="00F956C7">
        <w:t>lost modern historians</w:t>
      </w:r>
      <w:r w:rsidR="00BE3627">
        <w:t>. These remains are not just the temporary wooden structures, common to most monasteries in their early period, but also stone structures – remnants of which were only uncovered in the 1980s</w:t>
      </w:r>
      <w:r w:rsidR="0076753E">
        <w:t>.</w:t>
      </w:r>
      <w:r w:rsidR="0076753E">
        <w:rPr>
          <w:rStyle w:val="FootnoteReference"/>
        </w:rPr>
        <w:footnoteReference w:id="27"/>
      </w:r>
      <w:r w:rsidR="0076753E">
        <w:t xml:space="preserve"> Unlike the</w:t>
      </w:r>
      <w:r w:rsidR="00134DCA">
        <w:t xml:space="preserve"> later church, barely any of this original survives, and its discovery is recent, this posed an challenge to an historian in terms of secondary literature; relatively little has been written of this early church, and an historian studying it must be mindful of work predating the 1980s discovery of this church, which – based on Hugh’s </w:t>
      </w:r>
      <w:r w:rsidR="0076753E">
        <w:t xml:space="preserve"> </w:t>
      </w:r>
      <w:r w:rsidR="00134DCA" w:rsidRPr="00134DCA">
        <w:rPr>
          <w:i/>
          <w:iCs/>
        </w:rPr>
        <w:t>Narratio de Fundatione</w:t>
      </w:r>
      <w:r w:rsidR="00134DCA">
        <w:rPr>
          <w:i/>
          <w:iCs/>
        </w:rPr>
        <w:t xml:space="preserve"> </w:t>
      </w:r>
      <w:r w:rsidR="00134DCA">
        <w:t>alone – can contradict what we now know to be true.</w:t>
      </w:r>
      <w:r w:rsidR="00134DCA">
        <w:rPr>
          <w:rStyle w:val="FootnoteReference"/>
        </w:rPr>
        <w:footnoteReference w:id="28"/>
      </w:r>
      <w:r w:rsidR="00C20DB6">
        <w:t xml:space="preserve"> </w:t>
      </w:r>
      <w:r w:rsidR="00403F0C">
        <w:t xml:space="preserve">The fire itself is an example of this issue; Walbran, working from the </w:t>
      </w:r>
      <w:r w:rsidR="00403F0C" w:rsidRPr="00403F0C">
        <w:rPr>
          <w:i/>
          <w:iCs/>
        </w:rPr>
        <w:t>Narratio de Fundatione</w:t>
      </w:r>
      <w:r w:rsidR="00403F0C">
        <w:t>, doubted that the scope of the fire was as extensive as Hugh suggests, but since the 1980s we’ve had this aspect of Hugh’s account confirmed.</w:t>
      </w:r>
      <w:r w:rsidR="00403F0C">
        <w:rPr>
          <w:rStyle w:val="FootnoteReference"/>
        </w:rPr>
        <w:footnoteReference w:id="29"/>
      </w:r>
      <w:r w:rsidR="00403F0C">
        <w:t xml:space="preserve"> </w:t>
      </w:r>
      <w:r w:rsidR="00C20DB6">
        <w:t xml:space="preserve">Further, with the monastery, it is highly likely that a lot of documentation burned also, perhaps contributing to the relative lack of manuscript evidence about Fountains, beyond the later writings of Hugh of Kirkstall. This, especially considering the fact, as discussed above, that the accuracy of the </w:t>
      </w:r>
      <w:r w:rsidR="00C20DB6" w:rsidRPr="00C20DB6">
        <w:rPr>
          <w:i/>
          <w:iCs/>
        </w:rPr>
        <w:t>Narratio de Fundatione</w:t>
      </w:r>
      <w:r w:rsidR="00C20DB6">
        <w:t xml:space="preserve"> is questionable, means that an historian investigating Fountains’ pre-fire history will have very little primary evidence. </w:t>
      </w:r>
      <w:r w:rsidR="00AC7F33">
        <w:t>All of this considered, the impact of the fire on the evidences, both the building, and the manuscripts which may have been within it, does mean a significant challenge for an historian researching</w:t>
      </w:r>
      <w:r w:rsidR="00DD372A">
        <w:t xml:space="preserve"> Fountains earlier history</w:t>
      </w:r>
      <w:r w:rsidR="00AC7F33">
        <w:t xml:space="preserve">, albeit with the caveat that </w:t>
      </w:r>
      <w:r w:rsidR="00DD372A">
        <w:t xml:space="preserve">the historian now has confirmation of the accuracy of the </w:t>
      </w:r>
      <w:r w:rsidR="00DD372A" w:rsidRPr="00DD372A">
        <w:rPr>
          <w:i/>
          <w:iCs/>
        </w:rPr>
        <w:t>Narratio de Fundatione</w:t>
      </w:r>
      <w:r w:rsidR="00DD372A">
        <w:t xml:space="preserve"> with regards to one of its assertions.</w:t>
      </w:r>
    </w:p>
    <w:p w14:paraId="5D5D87AE" w14:textId="0B57B7E4" w:rsidR="00DD372A" w:rsidRDefault="00DD372A" w:rsidP="005F2CBA">
      <w:pPr>
        <w:spacing w:after="0" w:line="480" w:lineRule="auto"/>
        <w:jc w:val="both"/>
      </w:pPr>
      <w:r>
        <w:tab/>
        <w:t xml:space="preserve">Ultimately, as has been shown, there are many challenges faced by an historian studying Fountains Abbey. Significant amongst these difficulties is the </w:t>
      </w:r>
      <w:r w:rsidRPr="00DD372A">
        <w:rPr>
          <w:i/>
          <w:iCs/>
        </w:rPr>
        <w:t>Narratio de Fundatione</w:t>
      </w:r>
      <w:r>
        <w:t xml:space="preserve">, the principal extant source regarding Fountains’ history, the accuracy of which – considering its questionable authorship, and contents which seem more intended to enhance Fountains status, than to inform - is doubtful. But more significant still is the fire of the </w:t>
      </w:r>
      <w:r>
        <w:lastRenderedPageBreak/>
        <w:t>1140s, which destroyed much of the early monastery as well as, quite possibly, the early documents of Fountains. This fire means that only documents written after the 1140s are extant</w:t>
      </w:r>
      <w:r w:rsidR="00EC726C">
        <w:t xml:space="preserve">, leaving the questionable </w:t>
      </w:r>
      <w:r w:rsidR="00EC726C" w:rsidRPr="00EC726C">
        <w:rPr>
          <w:i/>
          <w:iCs/>
        </w:rPr>
        <w:t>Narratio de Fundatione</w:t>
      </w:r>
      <w:r w:rsidR="00EC726C">
        <w:t xml:space="preserve"> as the primary source for the history of Fountains. However, though the accuracy of the contents of the </w:t>
      </w:r>
      <w:r w:rsidR="00EC726C" w:rsidRPr="00EC726C">
        <w:rPr>
          <w:i/>
          <w:iCs/>
        </w:rPr>
        <w:t>Narratio de Fundatione</w:t>
      </w:r>
      <w:r w:rsidR="00EC726C">
        <w:t xml:space="preserve"> is rightly doubted, from it much can be inferred about the history of Fountains in the early-thirteenth century; a polemic of that calibre only emerges in conditions of acute criticism. In this way, that which is a problem for the historian looking at Fountains’ early history is, at the same time, a great help to the historian looking at Fountains’ later history. Even this boon, however, is limited by the fire, and the probability that it destroyed earlier documents. What the </w:t>
      </w:r>
      <w:r w:rsidR="00EC726C" w:rsidRPr="00EC726C">
        <w:rPr>
          <w:i/>
          <w:iCs/>
        </w:rPr>
        <w:t>Narratio de Fundatione</w:t>
      </w:r>
      <w:r w:rsidR="00EC726C">
        <w:t xml:space="preserve"> suggest about Fountains in the early-thirteenth century is inferred, and – in the absence of other documents which might corroborate, or contradict</w:t>
      </w:r>
      <w:r w:rsidR="00403F0C">
        <w:t>, what it says – the scope of this inference is limited. As it is an isolated document, which cannot be corroborated, historians cannot – with certainty – know whether the more fantastical details are part of the overarching polemic, and of these which are based in fact, and which are invented, or are actually historical detail. The fire itself, for example, was – by some – considered an exaggeration of the true events</w:t>
      </w:r>
      <w:r w:rsidR="00732AFC">
        <w:t xml:space="preserve">, but later research was able to confirm the truth of it. With that in mind, there is the distinct possibility that more of the </w:t>
      </w:r>
      <w:r w:rsidR="00732AFC" w:rsidRPr="00732AFC">
        <w:rPr>
          <w:i/>
          <w:iCs/>
        </w:rPr>
        <w:t>Narratio de Fundatione</w:t>
      </w:r>
      <w:r w:rsidR="00732AFC">
        <w:t xml:space="preserve"> than might be expected is historically accurate, but – due to the destruction caused by the fire – an historian is unlikely to find corroborating evidence for any of its claims. This essay concludes therefore, that there are – indeed – many difficulties faced by historians studying the history of Fountains Abbey, pretty much all of which connect, in one way or another, to the 1140s fire, and the resultant destruction of the abbey, and its contents, at that time. Even that which may seem beneficial to research is of limited use because of the fire, its destruction of documents, and the resultant impossibility of corroborating the contents of later writings.</w:t>
      </w:r>
    </w:p>
    <w:p w14:paraId="3F365961" w14:textId="20224F64" w:rsidR="00732AFC" w:rsidRDefault="00732AFC" w:rsidP="005F2CBA">
      <w:pPr>
        <w:spacing w:line="480" w:lineRule="auto"/>
        <w:jc w:val="both"/>
        <w:rPr>
          <w:b/>
          <w:bCs/>
          <w:u w:val="single"/>
        </w:rPr>
      </w:pPr>
      <w:r>
        <w:rPr>
          <w:b/>
          <w:bCs/>
          <w:u w:val="single"/>
        </w:rPr>
        <w:t>Bibliography</w:t>
      </w:r>
    </w:p>
    <w:p w14:paraId="5F4C6EB7" w14:textId="4B2F6F73" w:rsidR="00732AFC" w:rsidRDefault="00732AFC" w:rsidP="005F2CBA">
      <w:pPr>
        <w:spacing w:line="480" w:lineRule="auto"/>
        <w:jc w:val="both"/>
        <w:rPr>
          <w:b/>
          <w:bCs/>
        </w:rPr>
      </w:pPr>
      <w:r>
        <w:rPr>
          <w:b/>
          <w:bCs/>
        </w:rPr>
        <w:t>Primary Sources</w:t>
      </w:r>
    </w:p>
    <w:p w14:paraId="75CA087A" w14:textId="686A866B" w:rsidR="00B371CB" w:rsidRDefault="00B371CB" w:rsidP="005F2CBA">
      <w:pPr>
        <w:pStyle w:val="FootnoteText"/>
        <w:spacing w:before="240" w:after="160" w:line="480" w:lineRule="auto"/>
      </w:pPr>
      <w:r w:rsidRPr="00B371CB">
        <w:t xml:space="preserve">Benedict of Nursia, </w:t>
      </w:r>
      <w:r w:rsidRPr="00B371CB">
        <w:rPr>
          <w:i/>
          <w:iCs/>
        </w:rPr>
        <w:t>The Holy Rule of St. Benedict</w:t>
      </w:r>
      <w:r w:rsidRPr="00B371CB">
        <w:t>, trans. by Verheyen,</w:t>
      </w:r>
      <w:r>
        <w:t xml:space="preserve"> B. F.,</w:t>
      </w:r>
      <w:r w:rsidRPr="00B371CB">
        <w:t xml:space="preserve"> (Grand Rapids, Christian Classics Ethereal Library, 1949)</w:t>
      </w:r>
      <w:r>
        <w:t>.</w:t>
      </w:r>
    </w:p>
    <w:p w14:paraId="59B39415" w14:textId="472C88E3" w:rsidR="00B371CB" w:rsidRDefault="00B371CB" w:rsidP="005F2CBA">
      <w:pPr>
        <w:pStyle w:val="FootnoteText"/>
        <w:spacing w:before="240" w:after="160" w:line="480" w:lineRule="auto"/>
      </w:pPr>
      <w:r w:rsidRPr="00B371CB">
        <w:rPr>
          <w:i/>
          <w:iCs/>
        </w:rPr>
        <w:t>Douay-Rheims and Clementina Vulgata: English-Latin Bible</w:t>
      </w:r>
      <w:r w:rsidRPr="00B371CB">
        <w:t>, (London, Baronius Press, 2008), Psalms</w:t>
      </w:r>
      <w:r>
        <w:t>.</w:t>
      </w:r>
    </w:p>
    <w:p w14:paraId="7DAAF7D7" w14:textId="71E1C029" w:rsidR="00B371CB" w:rsidRDefault="00B371CB" w:rsidP="005F2CBA">
      <w:pPr>
        <w:pStyle w:val="FootnoteText"/>
        <w:spacing w:before="240" w:after="160" w:line="480" w:lineRule="auto"/>
      </w:pPr>
      <w:r>
        <w:t>Hugh of Kirkstall, ‘</w:t>
      </w:r>
      <w:r w:rsidRPr="00571376">
        <w:t>Narratio de Fundatione Fontanis Monasterii in Comitatu Eboracensi</w:t>
      </w:r>
      <w:r>
        <w:t xml:space="preserve">’, in </w:t>
      </w:r>
      <w:r w:rsidRPr="00C97928">
        <w:rPr>
          <w:i/>
        </w:rPr>
        <w:t>Memorials of the Abbey of St. Mary of Fountains: Volume 1</w:t>
      </w:r>
      <w:r>
        <w:t>, ed. by Walbran,</w:t>
      </w:r>
      <w:r>
        <w:t xml:space="preserve"> J. R.,</w:t>
      </w:r>
      <w:r>
        <w:t xml:space="preserve"> (Durham, Andrews &amp; Co., 1863), trans. (partially) by Burton, </w:t>
      </w:r>
      <w:r>
        <w:t xml:space="preserve">J., </w:t>
      </w:r>
      <w:r>
        <w:t>(unpublished, 2021).</w:t>
      </w:r>
    </w:p>
    <w:p w14:paraId="1BCAAE00" w14:textId="77777777" w:rsidR="00B371CB" w:rsidRPr="00B371CB" w:rsidRDefault="00B371CB" w:rsidP="005F2CBA">
      <w:pPr>
        <w:pStyle w:val="FootnoteText"/>
        <w:spacing w:before="240" w:after="160" w:line="480" w:lineRule="auto"/>
      </w:pPr>
      <w:r w:rsidRPr="00B371CB">
        <w:rPr>
          <w:i/>
          <w:iCs/>
        </w:rPr>
        <w:lastRenderedPageBreak/>
        <w:t>Exordium Cistercii: The Beginning of Cîteaux</w:t>
      </w:r>
      <w:r w:rsidRPr="00B371CB">
        <w:t>, trans. by Anonymous, (2021), http://abbey.cistercian.org/wp-content/uploads/2021/08/Exordium-Cistercii.pdf [Accessed: 13/12/2021].</w:t>
      </w:r>
    </w:p>
    <w:p w14:paraId="4982008E" w14:textId="008F24BD" w:rsidR="00B371CB" w:rsidRDefault="00B371CB" w:rsidP="005F2CBA">
      <w:pPr>
        <w:pStyle w:val="FootnoteText"/>
        <w:spacing w:before="240" w:after="160" w:line="480" w:lineRule="auto"/>
      </w:pPr>
      <w:r w:rsidRPr="00B371CB">
        <w:rPr>
          <w:i/>
          <w:iCs/>
        </w:rPr>
        <w:t>Exordium Parvum</w:t>
      </w:r>
      <w:r w:rsidRPr="00B371CB">
        <w:t>, trans. by Ordre Cistercien de la Stricte Observance, (2016), https://ocso.org/wp-content/uploads/2016/05/EN-Exordium-Parvum.pdf [Accessed: 13/12/2021].</w:t>
      </w:r>
    </w:p>
    <w:p w14:paraId="4C4C078E" w14:textId="3A8EF62C" w:rsidR="00B371CB" w:rsidRPr="005F2CBA" w:rsidRDefault="00B371CB" w:rsidP="005F2CBA">
      <w:pPr>
        <w:pStyle w:val="FootnoteText"/>
        <w:spacing w:before="240" w:after="160" w:line="480" w:lineRule="auto"/>
      </w:pPr>
      <w:r w:rsidRPr="000235BA">
        <w:t xml:space="preserve">William of Saint-Thierry, Arnold of Bonneval, &amp; Geoffrey of Auxerre, </w:t>
      </w:r>
      <w:r w:rsidRPr="000235BA">
        <w:rPr>
          <w:i/>
          <w:iCs/>
        </w:rPr>
        <w:t>The First Life of Bernard of Clairvaux</w:t>
      </w:r>
      <w:r w:rsidRPr="000235BA">
        <w:t>, trans. by Costello,</w:t>
      </w:r>
      <w:r>
        <w:t xml:space="preserve"> H.,</w:t>
      </w:r>
      <w:r w:rsidRPr="000235BA">
        <w:t xml:space="preserve"> (Collegeville, Cistercian Publications, 2015)</w:t>
      </w:r>
      <w:r>
        <w:t>.</w:t>
      </w:r>
    </w:p>
    <w:p w14:paraId="37034D3D" w14:textId="5D5F14C3" w:rsidR="00732AFC" w:rsidRDefault="00732AFC" w:rsidP="005F2CBA">
      <w:pPr>
        <w:spacing w:line="480" w:lineRule="auto"/>
        <w:jc w:val="both"/>
        <w:rPr>
          <w:b/>
          <w:bCs/>
        </w:rPr>
      </w:pPr>
      <w:r>
        <w:rPr>
          <w:b/>
          <w:bCs/>
        </w:rPr>
        <w:t>Secondary Sources</w:t>
      </w:r>
    </w:p>
    <w:p w14:paraId="23AC740E" w14:textId="17974DDB" w:rsidR="00B371CB" w:rsidRDefault="00B371CB" w:rsidP="005F2CBA">
      <w:pPr>
        <w:spacing w:line="480" w:lineRule="auto"/>
        <w:jc w:val="both"/>
      </w:pPr>
      <w:r>
        <w:t>Bethell,</w:t>
      </w:r>
      <w:r>
        <w:t xml:space="preserve"> D.,</w:t>
      </w:r>
      <w:r>
        <w:t xml:space="preserve"> ‘</w:t>
      </w:r>
      <w:r w:rsidRPr="00E93864">
        <w:t>The Foundation of Fountains Abbey and the State of St. Mary's York in 1132</w:t>
      </w:r>
      <w:r>
        <w:t xml:space="preserve">’, </w:t>
      </w:r>
      <w:r>
        <w:rPr>
          <w:i/>
          <w:iCs/>
        </w:rPr>
        <w:t>The Journal of Ecclesiastical History</w:t>
      </w:r>
      <w:r>
        <w:t>, Vol.17, No.1 (1966), pp.11-27</w:t>
      </w:r>
      <w:r>
        <w:t>.</w:t>
      </w:r>
    </w:p>
    <w:p w14:paraId="22927F3C" w14:textId="63B07E1F" w:rsidR="00B371CB" w:rsidRDefault="00B371CB" w:rsidP="005F2CBA">
      <w:pPr>
        <w:spacing w:line="480" w:lineRule="auto"/>
        <w:jc w:val="both"/>
      </w:pPr>
      <w:r w:rsidRPr="00B371CB">
        <w:t>Burton,</w:t>
      </w:r>
      <w:r>
        <w:t xml:space="preserve"> J.,</w:t>
      </w:r>
      <w:r w:rsidRPr="00B371CB">
        <w:t xml:space="preserve"> &amp; Kerr,</w:t>
      </w:r>
      <w:r>
        <w:t xml:space="preserve"> J.,</w:t>
      </w:r>
      <w:r w:rsidRPr="00B371CB">
        <w:rPr>
          <w:i/>
          <w:iCs/>
        </w:rPr>
        <w:t xml:space="preserve"> The Cistercians in the Middle Ages</w:t>
      </w:r>
      <w:r w:rsidRPr="00B371CB">
        <w:t>, (Woodbridge, The Boydell Press, 2016)</w:t>
      </w:r>
      <w:r>
        <w:t>.</w:t>
      </w:r>
    </w:p>
    <w:p w14:paraId="04E36819" w14:textId="04020074" w:rsidR="00347A0A" w:rsidRDefault="00347A0A" w:rsidP="005F2CBA">
      <w:pPr>
        <w:spacing w:line="480" w:lineRule="auto"/>
        <w:jc w:val="both"/>
      </w:pPr>
      <w:r>
        <w:t>Creighton,</w:t>
      </w:r>
      <w:r>
        <w:t xml:space="preserve"> O. H.,</w:t>
      </w:r>
      <w:r>
        <w:t xml:space="preserve"> &amp; Wright,</w:t>
      </w:r>
      <w:r>
        <w:t xml:space="preserve"> D. W.,</w:t>
      </w:r>
      <w:r>
        <w:t xml:space="preserve"> </w:t>
      </w:r>
      <w:r w:rsidRPr="00F03545">
        <w:rPr>
          <w:i/>
          <w:iCs/>
        </w:rPr>
        <w:t>The Anarchy: War and Status in 12th-Century Landscapes of Conflict</w:t>
      </w:r>
      <w:r>
        <w:t>, (Liverpool, Liverpool University Press, 2016)</w:t>
      </w:r>
      <w:r>
        <w:t>.</w:t>
      </w:r>
    </w:p>
    <w:p w14:paraId="5BD80E92" w14:textId="540AE904" w:rsidR="00347A0A" w:rsidRDefault="00347A0A" w:rsidP="005F2CBA">
      <w:pPr>
        <w:spacing w:line="480" w:lineRule="auto"/>
        <w:jc w:val="both"/>
      </w:pPr>
      <w:r>
        <w:t>Gilyard-Beer,</w:t>
      </w:r>
      <w:r>
        <w:t xml:space="preserve"> R.,</w:t>
      </w:r>
      <w:r>
        <w:t xml:space="preserve"> &amp; Coppack,</w:t>
      </w:r>
      <w:r>
        <w:t xml:space="preserve"> G.,</w:t>
      </w:r>
      <w:r>
        <w:t xml:space="preserve"> ‘Excavations at Fountains Abbey, North Yorkshire, 1979-80; The Early Development of the Monastery’, </w:t>
      </w:r>
      <w:r>
        <w:rPr>
          <w:i/>
          <w:iCs/>
        </w:rPr>
        <w:t>Archaeologia</w:t>
      </w:r>
      <w:r>
        <w:t>, Vol.108, (1986), 147-188.</w:t>
      </w:r>
    </w:p>
    <w:p w14:paraId="1E0F27ED" w14:textId="6E77BC86" w:rsidR="00347A0A" w:rsidRDefault="00347A0A" w:rsidP="005F2CBA">
      <w:pPr>
        <w:spacing w:line="480" w:lineRule="auto"/>
        <w:jc w:val="both"/>
      </w:pPr>
      <w:r w:rsidRPr="00347A0A">
        <w:t>Grandsden,</w:t>
      </w:r>
      <w:r>
        <w:t xml:space="preserve"> A.,</w:t>
      </w:r>
      <w:r w:rsidRPr="00347A0A">
        <w:t xml:space="preserve"> </w:t>
      </w:r>
      <w:r w:rsidRPr="00347A0A">
        <w:rPr>
          <w:i/>
          <w:iCs/>
        </w:rPr>
        <w:t>Historical Writing in England: c. 500–c. 1307</w:t>
      </w:r>
      <w:r w:rsidRPr="00347A0A">
        <w:t>, (London, Routledge, 1996)</w:t>
      </w:r>
      <w:r>
        <w:t>.</w:t>
      </w:r>
    </w:p>
    <w:p w14:paraId="028861DC" w14:textId="6F1E495B" w:rsidR="00347A0A" w:rsidRDefault="00347A0A" w:rsidP="005F2CBA">
      <w:pPr>
        <w:spacing w:line="480" w:lineRule="auto"/>
        <w:jc w:val="both"/>
      </w:pPr>
      <w:r>
        <w:rPr>
          <w:i/>
          <w:iCs/>
        </w:rPr>
        <w:t>The History of Ripon, with Historic Notices and Descriptions of Fountains Abbey, Studley, Swinton Park, Newby Hall, Brimham Crags, Plumpton, Knaresborough Bolton Abbey, Harewood House, Harrogate, &amp;c., &amp;c., Forming a Compendious Guide For Visitors</w:t>
      </w:r>
      <w:r>
        <w:t>, (Ripon, Procter &amp; Vickers, 1839)</w:t>
      </w:r>
      <w:r>
        <w:t>.</w:t>
      </w:r>
    </w:p>
    <w:p w14:paraId="77F12BA1" w14:textId="56E43519" w:rsidR="00347A0A" w:rsidRDefault="00347A0A" w:rsidP="005F2CBA">
      <w:pPr>
        <w:spacing w:line="480" w:lineRule="auto"/>
        <w:jc w:val="both"/>
      </w:pPr>
      <w:r>
        <w:t>Munns,</w:t>
      </w:r>
      <w:r>
        <w:t xml:space="preserve"> J.,</w:t>
      </w:r>
      <w:r>
        <w:t xml:space="preserve"> ‘The Episcopal Colleagues of Henry of Blois’, in </w:t>
      </w:r>
      <w:r w:rsidRPr="00A423DC">
        <w:rPr>
          <w:i/>
          <w:iCs/>
        </w:rPr>
        <w:t>Henry of Blois: New Interpretations</w:t>
      </w:r>
      <w:r>
        <w:t>, ed. by Kynan-Wilson,</w:t>
      </w:r>
      <w:r>
        <w:t xml:space="preserve"> W.,</w:t>
      </w:r>
      <w:r>
        <w:t xml:space="preserve"> &amp; Munns,</w:t>
      </w:r>
      <w:r>
        <w:t xml:space="preserve"> J.,</w:t>
      </w:r>
      <w:r>
        <w:t xml:space="preserve"> (Woodbridge, The Boydell Press, 2021), pp.69-92</w:t>
      </w:r>
      <w:r>
        <w:t>.</w:t>
      </w:r>
    </w:p>
    <w:p w14:paraId="0BD5F5F3" w14:textId="5B950CFA" w:rsidR="00347A0A" w:rsidRDefault="00347A0A" w:rsidP="005F2CBA">
      <w:pPr>
        <w:spacing w:line="480" w:lineRule="auto"/>
        <w:jc w:val="both"/>
      </w:pPr>
      <w:r w:rsidRPr="00347A0A">
        <w:t>Norton,</w:t>
      </w:r>
      <w:r>
        <w:t xml:space="preserve"> C.,</w:t>
      </w:r>
      <w:r w:rsidRPr="00347A0A">
        <w:t xml:space="preserve"> </w:t>
      </w:r>
      <w:r w:rsidRPr="00347A0A">
        <w:rPr>
          <w:i/>
          <w:iCs/>
        </w:rPr>
        <w:t>St William of York</w:t>
      </w:r>
      <w:r w:rsidRPr="00347A0A">
        <w:t>, (York, York Medieval Press, 2006)</w:t>
      </w:r>
      <w:r>
        <w:t>.</w:t>
      </w:r>
    </w:p>
    <w:p w14:paraId="001FC132" w14:textId="58A888D8" w:rsidR="00347A0A" w:rsidRDefault="00347A0A" w:rsidP="005F2CBA">
      <w:pPr>
        <w:spacing w:line="480" w:lineRule="auto"/>
        <w:jc w:val="both"/>
      </w:pPr>
      <w:r>
        <w:rPr>
          <w:i/>
          <w:iCs/>
        </w:rPr>
        <w:t>Old Abbeys of England</w:t>
      </w:r>
      <w:r>
        <w:t>, (London, T. Nelson and Sons, 1862)</w:t>
      </w:r>
      <w:r>
        <w:t>.</w:t>
      </w:r>
    </w:p>
    <w:p w14:paraId="5496AE18" w14:textId="472D99D2" w:rsidR="00347A0A" w:rsidRDefault="00347A0A" w:rsidP="005F2CBA">
      <w:pPr>
        <w:spacing w:line="480" w:lineRule="auto"/>
        <w:jc w:val="both"/>
      </w:pPr>
      <w:r w:rsidRPr="00347A0A">
        <w:t>Storey,</w:t>
      </w:r>
      <w:r>
        <w:t xml:space="preserve"> A.,</w:t>
      </w:r>
      <w:r w:rsidRPr="00347A0A">
        <w:t xml:space="preserve"> </w:t>
      </w:r>
      <w:r w:rsidRPr="00347A0A">
        <w:rPr>
          <w:i/>
          <w:iCs/>
        </w:rPr>
        <w:t>Estimates of the very old, including centenarians, UK: 2002 to 2020: Annual mid-year population estimates for people aged 90 years and over by sex and single year of age (90 to 104 years, and 105 years and over) and comparisons between UK countries.</w:t>
      </w:r>
      <w:r w:rsidRPr="00347A0A">
        <w:t>, (London, Office For National Statistics, 2021</w:t>
      </w:r>
      <w:r w:rsidR="005F2CBA">
        <w:t>).</w:t>
      </w:r>
    </w:p>
    <w:p w14:paraId="3B72E807" w14:textId="790E4FB3" w:rsidR="005F2CBA" w:rsidRDefault="005F2CBA" w:rsidP="005F2CBA">
      <w:pPr>
        <w:spacing w:line="480" w:lineRule="auto"/>
        <w:jc w:val="both"/>
      </w:pPr>
      <w:r>
        <w:lastRenderedPageBreak/>
        <w:t>Thomson,</w:t>
      </w:r>
      <w:r>
        <w:t xml:space="preserve"> A.,</w:t>
      </w:r>
      <w:r>
        <w:t xml:space="preserve"> ‘Memory and Remembering in Oral History’, in </w:t>
      </w:r>
      <w:r>
        <w:rPr>
          <w:i/>
          <w:iCs/>
        </w:rPr>
        <w:t>The Oxford Handbook of Oral History</w:t>
      </w:r>
      <w:r>
        <w:t>, ed. by</w:t>
      </w:r>
      <w:r>
        <w:t xml:space="preserve"> </w:t>
      </w:r>
      <w:r>
        <w:t>Ritchie,</w:t>
      </w:r>
      <w:r>
        <w:t xml:space="preserve"> D. A.,</w:t>
      </w:r>
      <w:r>
        <w:t xml:space="preserve"> (Oxford, Oxford University Press, 2011), pp.77-95</w:t>
      </w:r>
      <w:r>
        <w:t>.</w:t>
      </w:r>
    </w:p>
    <w:p w14:paraId="3D8F8275" w14:textId="6CCFF679" w:rsidR="00347A0A" w:rsidRDefault="005F2CBA" w:rsidP="005F2CBA">
      <w:pPr>
        <w:spacing w:line="480" w:lineRule="auto"/>
        <w:jc w:val="both"/>
      </w:pPr>
      <w:r>
        <w:t>Walbran,</w:t>
      </w:r>
      <w:r>
        <w:t xml:space="preserve"> J. R.,</w:t>
      </w:r>
      <w:r>
        <w:t xml:space="preserve"> </w:t>
      </w:r>
      <w:r w:rsidRPr="00134DCA">
        <w:rPr>
          <w:i/>
        </w:rPr>
        <w:t>Memorials of the Abbey of St. Mary of Fountains: Volume 1</w:t>
      </w:r>
      <w:r w:rsidRPr="00134DCA">
        <w:t>, (Durham, Andrews &amp; Co., 1863)</w:t>
      </w:r>
      <w:r>
        <w:t>.</w:t>
      </w:r>
    </w:p>
    <w:p w14:paraId="012F8470" w14:textId="233628FE" w:rsidR="005F2CBA" w:rsidRDefault="005F2CBA" w:rsidP="005F2CBA">
      <w:pPr>
        <w:spacing w:line="480" w:lineRule="auto"/>
        <w:jc w:val="both"/>
        <w:rPr>
          <w:b/>
          <w:bCs/>
        </w:rPr>
      </w:pPr>
      <w:r w:rsidRPr="005F2CBA">
        <w:t>Whitworth,</w:t>
      </w:r>
      <w:r>
        <w:t xml:space="preserve"> A.,</w:t>
      </w:r>
      <w:r w:rsidRPr="005F2CBA">
        <w:t xml:space="preserve"> </w:t>
      </w:r>
      <w:r w:rsidRPr="005F2CBA">
        <w:rPr>
          <w:i/>
          <w:iCs/>
        </w:rPr>
        <w:t>Fountains Abbey Through Time</w:t>
      </w:r>
      <w:r w:rsidRPr="005F2CBA">
        <w:t>, (Stroud, Amberley Publishing, 2011)</w:t>
      </w:r>
      <w:r>
        <w:t>.</w:t>
      </w:r>
    </w:p>
    <w:p w14:paraId="5577B002" w14:textId="3478F7FB" w:rsidR="00732AFC" w:rsidRDefault="00732AFC" w:rsidP="005F2CBA">
      <w:pPr>
        <w:spacing w:line="480" w:lineRule="auto"/>
        <w:jc w:val="both"/>
        <w:rPr>
          <w:b/>
          <w:bCs/>
        </w:rPr>
      </w:pPr>
      <w:r>
        <w:rPr>
          <w:b/>
          <w:bCs/>
        </w:rPr>
        <w:t>Electronic Sources</w:t>
      </w:r>
    </w:p>
    <w:p w14:paraId="1FCE2403" w14:textId="15C680E9" w:rsidR="00B371CB" w:rsidRDefault="00B371CB" w:rsidP="005F2CBA">
      <w:pPr>
        <w:spacing w:line="480" w:lineRule="auto"/>
        <w:jc w:val="both"/>
      </w:pPr>
      <w:r>
        <w:t>Coppack,</w:t>
      </w:r>
      <w:r>
        <w:t xml:space="preserve"> G</w:t>
      </w:r>
      <w:r w:rsidR="00347A0A">
        <w:t>.,</w:t>
      </w:r>
      <w:r>
        <w:t xml:space="preserve"> </w:t>
      </w:r>
      <w:r w:rsidRPr="0076753E">
        <w:rPr>
          <w:i/>
          <w:iCs/>
        </w:rPr>
        <w:t>Abbeys and Priories</w:t>
      </w:r>
      <w:r>
        <w:t>, Google E-Book ed. (Stroud, Amberley Publishing, 2012).</w:t>
      </w:r>
    </w:p>
    <w:p w14:paraId="7B4C1EA5" w14:textId="24F4D0D2" w:rsidR="005F2CBA" w:rsidRDefault="005F2CBA" w:rsidP="005F2CBA">
      <w:pPr>
        <w:spacing w:line="480" w:lineRule="auto"/>
        <w:jc w:val="both"/>
      </w:pPr>
      <w:r>
        <w:t xml:space="preserve">Historic England, </w:t>
      </w:r>
      <w:r w:rsidRPr="00C86581">
        <w:rPr>
          <w:i/>
          <w:iCs/>
        </w:rPr>
        <w:t>Historic England Research Records</w:t>
      </w:r>
      <w:r>
        <w:rPr>
          <w:i/>
          <w:iCs/>
        </w:rPr>
        <w:t>:</w:t>
      </w:r>
      <w:r w:rsidRPr="00C86581">
        <w:rPr>
          <w:i/>
          <w:iCs/>
        </w:rPr>
        <w:t xml:space="preserve"> Fountains Abbey</w:t>
      </w:r>
      <w:r>
        <w:t>, (2012)</w:t>
      </w:r>
      <w:r>
        <w:t xml:space="preserve">, </w:t>
      </w:r>
      <w:r w:rsidRPr="00FF31CF">
        <w:t>https://www.heritagegateway.org.uk/Gateway/Results_Single.aspx?uid=51860&amp;resourceID=19191</w:t>
      </w:r>
      <w:r>
        <w:t>, [Accessed:15/12/2021].</w:t>
      </w:r>
    </w:p>
    <w:p w14:paraId="17E52466" w14:textId="2C5B3FDC" w:rsidR="005F2CBA" w:rsidRDefault="005F2CBA" w:rsidP="005F2CBA">
      <w:pPr>
        <w:spacing w:line="480" w:lineRule="auto"/>
        <w:jc w:val="both"/>
      </w:pPr>
      <w:r w:rsidRPr="002F77DC">
        <w:t xml:space="preserve">National Trust, </w:t>
      </w:r>
      <w:r w:rsidRPr="002F77DC">
        <w:rPr>
          <w:i/>
          <w:iCs/>
        </w:rPr>
        <w:t>The History of Fountains Abbey</w:t>
      </w:r>
      <w:r w:rsidRPr="002F77DC">
        <w:t>, (2021), https://www.nationaltrust.org.uk/fountains-abbey-and-studley-royal-water-garden/features/the-history-of-fountains-abbey, [Accessed: 1</w:t>
      </w:r>
      <w:r>
        <w:t>3</w:t>
      </w:r>
      <w:r w:rsidRPr="002F77DC">
        <w:t>/12/2021].</w:t>
      </w:r>
    </w:p>
    <w:p w14:paraId="35654578" w14:textId="77777777" w:rsidR="005F2CBA" w:rsidRPr="00732AFC" w:rsidRDefault="005F2CBA" w:rsidP="00620EF2">
      <w:pPr>
        <w:jc w:val="both"/>
        <w:rPr>
          <w:b/>
          <w:bCs/>
        </w:rPr>
      </w:pPr>
    </w:p>
    <w:sectPr w:rsidR="005F2CBA" w:rsidRPr="00732AF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5B15E" w14:textId="77777777" w:rsidR="0098755A" w:rsidRDefault="0098755A" w:rsidP="0004092A">
      <w:pPr>
        <w:spacing w:after="0" w:line="240" w:lineRule="auto"/>
      </w:pPr>
      <w:r>
        <w:separator/>
      </w:r>
    </w:p>
  </w:endnote>
  <w:endnote w:type="continuationSeparator" w:id="0">
    <w:p w14:paraId="3C39A3A1" w14:textId="77777777" w:rsidR="0098755A" w:rsidRDefault="0098755A" w:rsidP="00040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77DA7" w14:textId="77777777" w:rsidR="0098755A" w:rsidRDefault="0098755A" w:rsidP="0004092A">
      <w:pPr>
        <w:spacing w:after="0" w:line="240" w:lineRule="auto"/>
      </w:pPr>
      <w:r>
        <w:separator/>
      </w:r>
    </w:p>
  </w:footnote>
  <w:footnote w:type="continuationSeparator" w:id="0">
    <w:p w14:paraId="5C8CAC8A" w14:textId="77777777" w:rsidR="0098755A" w:rsidRDefault="0098755A" w:rsidP="0004092A">
      <w:pPr>
        <w:spacing w:after="0" w:line="240" w:lineRule="auto"/>
      </w:pPr>
      <w:r>
        <w:continuationSeparator/>
      </w:r>
    </w:p>
  </w:footnote>
  <w:footnote w:id="1">
    <w:p w14:paraId="43E0185E" w14:textId="7A4AF36B" w:rsidR="002F77DC" w:rsidRDefault="002F77DC" w:rsidP="006261CF">
      <w:pPr>
        <w:pStyle w:val="FootnoteText"/>
      </w:pPr>
      <w:r>
        <w:rPr>
          <w:rStyle w:val="FootnoteReference"/>
        </w:rPr>
        <w:footnoteRef/>
      </w:r>
      <w:r>
        <w:t xml:space="preserve"> </w:t>
      </w:r>
      <w:r w:rsidRPr="002F77DC">
        <w:t xml:space="preserve">A. Whitworth, </w:t>
      </w:r>
      <w:r w:rsidRPr="002F77DC">
        <w:rPr>
          <w:i/>
          <w:iCs/>
        </w:rPr>
        <w:t>Fountains Abbey Through Time</w:t>
      </w:r>
      <w:r w:rsidRPr="002F77DC">
        <w:t>, (Stroud, Amberley Publishing, 2011), p</w:t>
      </w:r>
      <w:r>
        <w:t>.1.</w:t>
      </w:r>
    </w:p>
    <w:p w14:paraId="5AE255FA" w14:textId="73405BBE" w:rsidR="002F77DC" w:rsidRDefault="002F77DC" w:rsidP="006261CF">
      <w:pPr>
        <w:pStyle w:val="FootnoteText"/>
      </w:pPr>
      <w:r>
        <w:t xml:space="preserve">, &amp; </w:t>
      </w:r>
      <w:bookmarkStart w:id="0" w:name="_Hlk90480632"/>
      <w:r w:rsidRPr="002F77DC">
        <w:t xml:space="preserve">National Trust, </w:t>
      </w:r>
      <w:r w:rsidRPr="002F77DC">
        <w:rPr>
          <w:i/>
          <w:iCs/>
        </w:rPr>
        <w:t>The History of Fountains Abbey</w:t>
      </w:r>
      <w:r w:rsidRPr="002F77DC">
        <w:t>, (2021), https://www.nationaltrust.org.uk/fountains-abbey-and-studley-royal-water-garden/features/the-history-of-fountains-abbey, [Accessed: 1</w:t>
      </w:r>
      <w:r>
        <w:t>3</w:t>
      </w:r>
      <w:r w:rsidRPr="002F77DC">
        <w:t>/12/2021].</w:t>
      </w:r>
      <w:bookmarkEnd w:id="0"/>
    </w:p>
    <w:p w14:paraId="070C817C" w14:textId="77777777" w:rsidR="00E93864" w:rsidRDefault="00E93864" w:rsidP="006261CF">
      <w:pPr>
        <w:pStyle w:val="FootnoteText"/>
      </w:pPr>
    </w:p>
  </w:footnote>
  <w:footnote w:id="2">
    <w:p w14:paraId="4BEE8A48" w14:textId="0D446F0B" w:rsidR="00E93864" w:rsidRDefault="00E93864" w:rsidP="006261CF">
      <w:pPr>
        <w:pStyle w:val="FootnoteText"/>
      </w:pPr>
      <w:r>
        <w:rPr>
          <w:rStyle w:val="FootnoteReference"/>
        </w:rPr>
        <w:footnoteRef/>
      </w:r>
      <w:r>
        <w:t xml:space="preserve"> D. Bethell, ‘</w:t>
      </w:r>
      <w:r w:rsidRPr="00E93864">
        <w:t>The Foundation of Fountains Abbey and the State of St. Mary's York in 1132</w:t>
      </w:r>
      <w:r>
        <w:t xml:space="preserve">’, </w:t>
      </w:r>
      <w:r>
        <w:rPr>
          <w:i/>
          <w:iCs/>
        </w:rPr>
        <w:t>The Journal of Ecclesiastical History</w:t>
      </w:r>
      <w:r>
        <w:t xml:space="preserve">, </w:t>
      </w:r>
      <w:r w:rsidR="00F877C8">
        <w:t>Vol.</w:t>
      </w:r>
      <w:r>
        <w:t>17</w:t>
      </w:r>
      <w:r w:rsidR="00F877C8">
        <w:t>,</w:t>
      </w:r>
      <w:r>
        <w:t xml:space="preserve"> </w:t>
      </w:r>
      <w:r w:rsidR="00F877C8">
        <w:t>No.</w:t>
      </w:r>
      <w:r>
        <w:t xml:space="preserve">1 (1966), </w:t>
      </w:r>
      <w:r w:rsidR="006969A8">
        <w:t>pp.</w:t>
      </w:r>
      <w:r>
        <w:t>11-27 (p.13).</w:t>
      </w:r>
    </w:p>
    <w:p w14:paraId="2FA0544C" w14:textId="4DAB27ED" w:rsidR="00571376" w:rsidRPr="00C97928" w:rsidRDefault="00571376" w:rsidP="006261CF">
      <w:pPr>
        <w:pStyle w:val="FootnoteText"/>
        <w:rPr>
          <w:i/>
        </w:rPr>
      </w:pPr>
      <w:r>
        <w:t xml:space="preserve">, &amp; </w:t>
      </w:r>
      <w:bookmarkStart w:id="1" w:name="_Hlk90479180"/>
      <w:r>
        <w:t>Hugh of Kirkstall, ‘</w:t>
      </w:r>
      <w:r w:rsidRPr="00571376">
        <w:t>Narratio de Fundatione Fontanis Monasterii in Comitatu Eboracensi</w:t>
      </w:r>
      <w:r>
        <w:t xml:space="preserve">’, in </w:t>
      </w:r>
      <w:r w:rsidR="00C97928" w:rsidRPr="00C97928">
        <w:rPr>
          <w:i/>
        </w:rPr>
        <w:t>Memorials of the Abbey of St. Mary of Fountains: Volume 1</w:t>
      </w:r>
      <w:r>
        <w:t>, ed. by J. R. Walbran</w:t>
      </w:r>
      <w:r w:rsidR="00C97928">
        <w:t>, (Durham, Andrews &amp; Co., 1863), trans.</w:t>
      </w:r>
      <w:r w:rsidR="00207DF3">
        <w:t xml:space="preserve"> (partially)</w:t>
      </w:r>
      <w:r w:rsidR="00C97928">
        <w:t xml:space="preserve"> by J. Burton, (unpublished, 2021).</w:t>
      </w:r>
    </w:p>
    <w:bookmarkEnd w:id="1"/>
    <w:p w14:paraId="7450B75C" w14:textId="193BC2B3" w:rsidR="00E93864" w:rsidRDefault="00E93864" w:rsidP="006261CF">
      <w:pPr>
        <w:pStyle w:val="FootnoteText"/>
      </w:pPr>
    </w:p>
  </w:footnote>
  <w:footnote w:id="3">
    <w:p w14:paraId="51FDED05" w14:textId="11604543" w:rsidR="00394438" w:rsidRDefault="00394438" w:rsidP="006261CF">
      <w:pPr>
        <w:pStyle w:val="FootnoteText"/>
      </w:pPr>
      <w:r>
        <w:rPr>
          <w:rStyle w:val="FootnoteReference"/>
        </w:rPr>
        <w:footnoteRef/>
      </w:r>
      <w:r>
        <w:t xml:space="preserve"> A. Grands</w:t>
      </w:r>
      <w:r w:rsidR="00403D24">
        <w:t xml:space="preserve">den, </w:t>
      </w:r>
      <w:r w:rsidR="00403D24" w:rsidRPr="00705F35">
        <w:rPr>
          <w:i/>
          <w:iCs/>
        </w:rPr>
        <w:t>Historical Writing in England: c. 500</w:t>
      </w:r>
      <w:r w:rsidR="002D4075" w:rsidRPr="00705F35">
        <w:rPr>
          <w:i/>
          <w:iCs/>
        </w:rPr>
        <w:t>–</w:t>
      </w:r>
      <w:r w:rsidR="00403D24" w:rsidRPr="00705F35">
        <w:rPr>
          <w:i/>
          <w:iCs/>
        </w:rPr>
        <w:t>c. 1307</w:t>
      </w:r>
      <w:r w:rsidR="00705F35">
        <w:t xml:space="preserve">, </w:t>
      </w:r>
      <w:r w:rsidR="00F26CE1">
        <w:t>(London, Routledge, 1996), p.</w:t>
      </w:r>
      <w:r w:rsidR="00846EF9">
        <w:t>259.</w:t>
      </w:r>
    </w:p>
    <w:p w14:paraId="354DC4A0" w14:textId="77777777" w:rsidR="00846EF9" w:rsidRPr="00705F35" w:rsidRDefault="00846EF9" w:rsidP="006261CF">
      <w:pPr>
        <w:pStyle w:val="FootnoteText"/>
      </w:pPr>
    </w:p>
  </w:footnote>
  <w:footnote w:id="4">
    <w:p w14:paraId="464548F8" w14:textId="279771F1" w:rsidR="0031007D" w:rsidRDefault="0031007D" w:rsidP="006261CF">
      <w:pPr>
        <w:pStyle w:val="FootnoteText"/>
      </w:pPr>
      <w:r>
        <w:rPr>
          <w:rStyle w:val="FootnoteReference"/>
        </w:rPr>
        <w:footnoteRef/>
      </w:r>
      <w:r>
        <w:t xml:space="preserve"> Grandsden, </w:t>
      </w:r>
      <w:r>
        <w:rPr>
          <w:i/>
          <w:iCs/>
        </w:rPr>
        <w:t>Historical Writing</w:t>
      </w:r>
      <w:r>
        <w:t>, p.259.</w:t>
      </w:r>
    </w:p>
    <w:p w14:paraId="77FAE3F1" w14:textId="77777777" w:rsidR="00E736D7" w:rsidRPr="0031007D" w:rsidRDefault="00E736D7" w:rsidP="006261CF">
      <w:pPr>
        <w:pStyle w:val="FootnoteText"/>
      </w:pPr>
    </w:p>
  </w:footnote>
  <w:footnote w:id="5">
    <w:p w14:paraId="0ED9A700" w14:textId="0E051698" w:rsidR="00E736D7" w:rsidRDefault="00E736D7" w:rsidP="006261CF">
      <w:pPr>
        <w:pStyle w:val="FootnoteText"/>
      </w:pPr>
      <w:r>
        <w:rPr>
          <w:rStyle w:val="FootnoteReference"/>
        </w:rPr>
        <w:footnoteRef/>
      </w:r>
      <w:r>
        <w:t xml:space="preserve"> Bethell, </w:t>
      </w:r>
      <w:r w:rsidR="000C0D37">
        <w:t>p.13.</w:t>
      </w:r>
    </w:p>
    <w:p w14:paraId="74406DAD" w14:textId="6551831E" w:rsidR="000C0D37" w:rsidRDefault="000C0D37" w:rsidP="006261CF">
      <w:pPr>
        <w:pStyle w:val="FootnoteText"/>
      </w:pPr>
      <w:r>
        <w:t xml:space="preserve">, &amp; </w:t>
      </w:r>
      <w:r w:rsidR="00AA03A2" w:rsidRPr="00AA03A2">
        <w:t>Hugh of Kirkstall, ‘Narratio de Fundatione Fontanis Monasterii in Comitatu Eboracensi’,</w:t>
      </w:r>
      <w:r w:rsidR="00AA03A2">
        <w:t xml:space="preserve"> p.</w:t>
      </w:r>
      <w:r w:rsidR="006B0C8F">
        <w:t>5</w:t>
      </w:r>
      <w:r w:rsidR="00E24230">
        <w:t>.</w:t>
      </w:r>
    </w:p>
    <w:p w14:paraId="0320059F" w14:textId="77777777" w:rsidR="008C2643" w:rsidRDefault="008C2643" w:rsidP="006261CF">
      <w:pPr>
        <w:pStyle w:val="FootnoteText"/>
      </w:pPr>
    </w:p>
  </w:footnote>
  <w:footnote w:id="6">
    <w:p w14:paraId="6134E833" w14:textId="45BCC46B" w:rsidR="005F2CBA" w:rsidRDefault="008C2643" w:rsidP="006261CF">
      <w:pPr>
        <w:pStyle w:val="FootnoteText"/>
      </w:pPr>
      <w:r>
        <w:rPr>
          <w:rStyle w:val="FootnoteReference"/>
        </w:rPr>
        <w:footnoteRef/>
      </w:r>
      <w:r>
        <w:t xml:space="preserve"> A. Thomson, ‘</w:t>
      </w:r>
      <w:r w:rsidR="006B30AF">
        <w:t xml:space="preserve">Memory and Remembering in Oral History’, in </w:t>
      </w:r>
      <w:r w:rsidR="00547FC4">
        <w:rPr>
          <w:i/>
          <w:iCs/>
        </w:rPr>
        <w:t>The Oxford Handbook of Oral History</w:t>
      </w:r>
      <w:r w:rsidR="00DF2FE6">
        <w:t>, ed. by D. A. Ritchie, (Ox</w:t>
      </w:r>
      <w:r w:rsidR="006969A8">
        <w:t>ford, Oxford University Press, 2011), pp</w:t>
      </w:r>
      <w:r w:rsidR="00F877C8">
        <w:t>.</w:t>
      </w:r>
      <w:r w:rsidR="0019400C">
        <w:t>77-95, (p.79</w:t>
      </w:r>
      <w:r w:rsidR="008D4A83">
        <w:t>).</w:t>
      </w:r>
    </w:p>
    <w:p w14:paraId="1D9ACFB3" w14:textId="1BCDC563" w:rsidR="001E1D85" w:rsidRDefault="002E6466" w:rsidP="006261CF">
      <w:pPr>
        <w:pStyle w:val="FootnoteText"/>
      </w:pPr>
      <w:r>
        <w:t>, &amp; Bethell, p.13.</w:t>
      </w:r>
    </w:p>
    <w:p w14:paraId="401A187E" w14:textId="77777777" w:rsidR="002E6466" w:rsidRPr="00DF2FE6" w:rsidRDefault="002E6466" w:rsidP="006261CF">
      <w:pPr>
        <w:pStyle w:val="FootnoteText"/>
      </w:pPr>
    </w:p>
  </w:footnote>
  <w:footnote w:id="7">
    <w:p w14:paraId="79C7475E" w14:textId="042B57E0" w:rsidR="00D9378F" w:rsidRDefault="00D9378F" w:rsidP="006261CF">
      <w:pPr>
        <w:pStyle w:val="FootnoteText"/>
      </w:pPr>
      <w:r>
        <w:rPr>
          <w:rStyle w:val="FootnoteReference"/>
        </w:rPr>
        <w:footnoteRef/>
      </w:r>
      <w:r>
        <w:t xml:space="preserve"> </w:t>
      </w:r>
      <w:bookmarkStart w:id="3" w:name="_Hlk90312584"/>
      <w:r w:rsidR="004C61BD" w:rsidRPr="004C61BD">
        <w:t>Hugh of Kirkstall, ‘Narratio de Fundatione Fontanis Monasterii in Comitatu Eboracensi’, p</w:t>
      </w:r>
      <w:r w:rsidR="004C61BD">
        <w:t>p</w:t>
      </w:r>
      <w:bookmarkEnd w:id="3"/>
      <w:r w:rsidR="004C61BD">
        <w:t>.</w:t>
      </w:r>
      <w:r w:rsidR="00A35359">
        <w:t>2-3.</w:t>
      </w:r>
    </w:p>
    <w:p w14:paraId="0DD6ED6B" w14:textId="77777777" w:rsidR="00180CAA" w:rsidRDefault="00180CAA" w:rsidP="006261CF">
      <w:pPr>
        <w:pStyle w:val="FootnoteText"/>
      </w:pPr>
    </w:p>
  </w:footnote>
  <w:footnote w:id="8">
    <w:p w14:paraId="5FE3DD96" w14:textId="7BE2C7DA" w:rsidR="00180CAA" w:rsidRDefault="00180CAA" w:rsidP="006261CF">
      <w:pPr>
        <w:pStyle w:val="FootnoteText"/>
      </w:pPr>
      <w:r>
        <w:rPr>
          <w:rStyle w:val="FootnoteReference"/>
        </w:rPr>
        <w:footnoteRef/>
      </w:r>
      <w:r>
        <w:t xml:space="preserve"> Ibid, pp.2-3.</w:t>
      </w:r>
    </w:p>
    <w:p w14:paraId="461A0336" w14:textId="77777777" w:rsidR="008B20D5" w:rsidRDefault="008B20D5" w:rsidP="006261CF">
      <w:pPr>
        <w:pStyle w:val="FootnoteText"/>
      </w:pPr>
    </w:p>
  </w:footnote>
  <w:footnote w:id="9">
    <w:p w14:paraId="650D763E" w14:textId="06FA2A0C" w:rsidR="00C72CDE" w:rsidRDefault="008B20D5" w:rsidP="006261CF">
      <w:pPr>
        <w:pStyle w:val="FootnoteText"/>
      </w:pPr>
      <w:r>
        <w:rPr>
          <w:rStyle w:val="FootnoteReference"/>
        </w:rPr>
        <w:footnoteRef/>
      </w:r>
      <w:r>
        <w:t xml:space="preserve"> </w:t>
      </w:r>
      <w:r w:rsidR="004F2BC9">
        <w:t xml:space="preserve">A. Storey, </w:t>
      </w:r>
      <w:r w:rsidR="00CF09C9" w:rsidRPr="00B30662">
        <w:rPr>
          <w:i/>
          <w:iCs/>
        </w:rPr>
        <w:t>Estimates of the very old, including</w:t>
      </w:r>
      <w:r w:rsidR="00B30662" w:rsidRPr="00B30662">
        <w:rPr>
          <w:i/>
          <w:iCs/>
        </w:rPr>
        <w:t xml:space="preserve"> </w:t>
      </w:r>
      <w:r w:rsidR="00CF09C9" w:rsidRPr="00B30662">
        <w:rPr>
          <w:i/>
          <w:iCs/>
        </w:rPr>
        <w:t>centenarians, UK: 2002 to 2020</w:t>
      </w:r>
      <w:r w:rsidR="00B30662" w:rsidRPr="00B30662">
        <w:rPr>
          <w:i/>
          <w:iCs/>
        </w:rPr>
        <w:t>:</w:t>
      </w:r>
      <w:r w:rsidR="009207C8" w:rsidRPr="00B30662">
        <w:rPr>
          <w:i/>
          <w:iCs/>
        </w:rPr>
        <w:t xml:space="preserve"> </w:t>
      </w:r>
      <w:r w:rsidR="00CF09C9" w:rsidRPr="00B30662">
        <w:rPr>
          <w:i/>
          <w:iCs/>
        </w:rPr>
        <w:t>Annual mid-year population estimates for people aged 90 years and over by sex and</w:t>
      </w:r>
      <w:r w:rsidR="009207C8" w:rsidRPr="00B30662">
        <w:rPr>
          <w:i/>
          <w:iCs/>
        </w:rPr>
        <w:t xml:space="preserve"> </w:t>
      </w:r>
      <w:r w:rsidR="00CF09C9" w:rsidRPr="00B30662">
        <w:rPr>
          <w:i/>
          <w:iCs/>
        </w:rPr>
        <w:t>single year of age (90 to 104 years, and 105 years and over) and comparisons between</w:t>
      </w:r>
      <w:r w:rsidR="00B30662" w:rsidRPr="00B30662">
        <w:rPr>
          <w:i/>
          <w:iCs/>
        </w:rPr>
        <w:t xml:space="preserve"> </w:t>
      </w:r>
      <w:r w:rsidR="00CF09C9" w:rsidRPr="00B30662">
        <w:rPr>
          <w:i/>
          <w:iCs/>
        </w:rPr>
        <w:t>UK countries.</w:t>
      </w:r>
      <w:r w:rsidR="00786A89">
        <w:t xml:space="preserve">, </w:t>
      </w:r>
      <w:r w:rsidR="005238CD">
        <w:t>(Lon</w:t>
      </w:r>
      <w:r w:rsidR="00925EE1">
        <w:t>don, Office For National Statistics, 2021), p.</w:t>
      </w:r>
      <w:r w:rsidR="00C72CDE">
        <w:t>7.</w:t>
      </w:r>
    </w:p>
    <w:p w14:paraId="462BD458" w14:textId="77777777" w:rsidR="00B2365A" w:rsidRPr="00786A89" w:rsidRDefault="00B2365A" w:rsidP="006261CF">
      <w:pPr>
        <w:pStyle w:val="FootnoteText"/>
      </w:pPr>
    </w:p>
  </w:footnote>
  <w:footnote w:id="10">
    <w:p w14:paraId="5C930B6C" w14:textId="61482273" w:rsidR="00DB7886" w:rsidRDefault="00DB7886" w:rsidP="006261CF">
      <w:pPr>
        <w:pStyle w:val="FootnoteText"/>
      </w:pPr>
      <w:r>
        <w:rPr>
          <w:rStyle w:val="FootnoteReference"/>
        </w:rPr>
        <w:footnoteRef/>
      </w:r>
      <w:r>
        <w:t xml:space="preserve"> </w:t>
      </w:r>
      <w:r w:rsidR="000A063E" w:rsidRPr="000A063E">
        <w:t>Thomson, ‘Memory and Remembering in Oral History’</w:t>
      </w:r>
      <w:r w:rsidR="000A063E">
        <w:t>, p.79.</w:t>
      </w:r>
    </w:p>
    <w:p w14:paraId="275E9023" w14:textId="77777777" w:rsidR="007F5F7C" w:rsidRDefault="007F5F7C" w:rsidP="006261CF">
      <w:pPr>
        <w:pStyle w:val="FootnoteText"/>
      </w:pPr>
    </w:p>
  </w:footnote>
  <w:footnote w:id="11">
    <w:p w14:paraId="7A9B6DBA" w14:textId="187AF186" w:rsidR="004314B5" w:rsidRDefault="00EC2247" w:rsidP="006261CF">
      <w:pPr>
        <w:pStyle w:val="FootnoteText"/>
      </w:pPr>
      <w:r>
        <w:rPr>
          <w:rStyle w:val="FootnoteReference"/>
        </w:rPr>
        <w:footnoteRef/>
      </w:r>
      <w:r>
        <w:t xml:space="preserve"> </w:t>
      </w:r>
      <w:r w:rsidRPr="00EC2247">
        <w:t>Hugh of Kirkstall, ‘Narratio de Fundatione Fontanis Monasterii in Comitatu Eboracensi’, pp</w:t>
      </w:r>
      <w:r w:rsidR="001B1190">
        <w:t>.</w:t>
      </w:r>
      <w:r w:rsidR="004314B5">
        <w:t>2-3.</w:t>
      </w:r>
    </w:p>
    <w:p w14:paraId="3F90663D" w14:textId="77777777" w:rsidR="005F2CBA" w:rsidRDefault="005F2CBA" w:rsidP="006261CF">
      <w:pPr>
        <w:pStyle w:val="FootnoteText"/>
      </w:pPr>
    </w:p>
  </w:footnote>
  <w:footnote w:id="12">
    <w:p w14:paraId="6BF35B3A" w14:textId="0A28FEC1" w:rsidR="00694AE0" w:rsidRDefault="00694AE0" w:rsidP="006261CF">
      <w:pPr>
        <w:pStyle w:val="FootnoteText"/>
      </w:pPr>
      <w:r>
        <w:rPr>
          <w:rStyle w:val="FootnoteReference"/>
        </w:rPr>
        <w:footnoteRef/>
      </w:r>
      <w:r>
        <w:t xml:space="preserve"> </w:t>
      </w:r>
      <w:r w:rsidR="003D1EC9" w:rsidRPr="003D1EC9">
        <w:rPr>
          <w:i/>
          <w:iCs/>
        </w:rPr>
        <w:t>Exordium Cistercii: The Beginning of Cîteaux</w:t>
      </w:r>
      <w:r w:rsidR="003D1EC9" w:rsidRPr="003D1EC9">
        <w:t>, trans. by Anonymous, (2021</w:t>
      </w:r>
      <w:r w:rsidR="00E36FFC" w:rsidRPr="003D1EC9">
        <w:t>), http://abbey.cistercian.org/wp-content/uploads/2021/08/Exordium-Cistercii.pdf</w:t>
      </w:r>
      <w:r w:rsidR="003D1EC9" w:rsidRPr="003D1EC9">
        <w:t xml:space="preserve"> [Accessed: </w:t>
      </w:r>
      <w:r w:rsidR="003D1EC9">
        <w:t>13</w:t>
      </w:r>
      <w:r w:rsidR="003D1EC9" w:rsidRPr="003D1EC9">
        <w:t>/12/2021].</w:t>
      </w:r>
    </w:p>
    <w:p w14:paraId="73A2CB6A" w14:textId="71CC59F1" w:rsidR="003D1EC9" w:rsidRDefault="003D1EC9" w:rsidP="006261CF">
      <w:pPr>
        <w:pStyle w:val="FootnoteText"/>
      </w:pPr>
      <w:r>
        <w:t xml:space="preserve">, </w:t>
      </w:r>
      <w:bookmarkStart w:id="4" w:name="_Hlk88923873"/>
      <w:r w:rsidR="009C7B79">
        <w:rPr>
          <w:i/>
          <w:iCs/>
        </w:rPr>
        <w:t>Exordium Parvum</w:t>
      </w:r>
      <w:bookmarkEnd w:id="4"/>
      <w:r w:rsidR="009C7B79">
        <w:t xml:space="preserve">, </w:t>
      </w:r>
      <w:bookmarkStart w:id="5" w:name="_Hlk88923934"/>
      <w:r w:rsidR="009C7B79">
        <w:t>trans. by Ordre Cistercien de la Stricte Observance</w:t>
      </w:r>
      <w:bookmarkEnd w:id="5"/>
      <w:r w:rsidR="009C7B79">
        <w:t>, (2016), https://ocso.org/wp-content/uploads/2016/05/EN-Exordium-Parvum.pdf [Accessed: 13/12/2021].</w:t>
      </w:r>
    </w:p>
    <w:p w14:paraId="47A35A7A" w14:textId="2CB0A99C" w:rsidR="007F5F7C" w:rsidRDefault="007F5F7C" w:rsidP="006261CF">
      <w:pPr>
        <w:pStyle w:val="FootnoteText"/>
      </w:pPr>
      <w:r>
        <w:t xml:space="preserve">, &amp; </w:t>
      </w:r>
      <w:r w:rsidRPr="007F5F7C">
        <w:t>Hugh of Kirkstall, ‘Narratio de Fundatione Fontanis Monasterii in Comitatu Eboracensi’, pp</w:t>
      </w:r>
      <w:r>
        <w:t>.</w:t>
      </w:r>
      <w:r w:rsidR="002869F6">
        <w:t>5-6.</w:t>
      </w:r>
    </w:p>
    <w:p w14:paraId="106799AB" w14:textId="77777777" w:rsidR="00A42C2B" w:rsidRDefault="00A42C2B" w:rsidP="006261CF">
      <w:pPr>
        <w:pStyle w:val="FootnoteText"/>
      </w:pPr>
    </w:p>
  </w:footnote>
  <w:footnote w:id="13">
    <w:p w14:paraId="758DD77B" w14:textId="6818EE1C" w:rsidR="00A42C2B" w:rsidRDefault="00A42C2B" w:rsidP="006261CF">
      <w:pPr>
        <w:pStyle w:val="FootnoteText"/>
      </w:pPr>
      <w:r>
        <w:rPr>
          <w:rStyle w:val="FootnoteReference"/>
        </w:rPr>
        <w:footnoteRef/>
      </w:r>
      <w:r>
        <w:t xml:space="preserve"> </w:t>
      </w:r>
      <w:bookmarkStart w:id="7" w:name="_Hlk90389939"/>
      <w:r w:rsidR="00503646">
        <w:t>Bethell, p.13.</w:t>
      </w:r>
      <w:bookmarkEnd w:id="7"/>
    </w:p>
    <w:p w14:paraId="1F73A2FB" w14:textId="77777777" w:rsidR="001257CF" w:rsidRDefault="001257CF" w:rsidP="006261CF">
      <w:pPr>
        <w:pStyle w:val="FootnoteText"/>
      </w:pPr>
    </w:p>
  </w:footnote>
  <w:footnote w:id="14">
    <w:p w14:paraId="49B7E3B8" w14:textId="1A1E75BA" w:rsidR="001257CF" w:rsidRDefault="001257CF" w:rsidP="006261CF">
      <w:pPr>
        <w:pStyle w:val="FootnoteText"/>
      </w:pPr>
      <w:r>
        <w:rPr>
          <w:rStyle w:val="FootnoteReference"/>
        </w:rPr>
        <w:footnoteRef/>
      </w:r>
      <w:r>
        <w:t xml:space="preserve"> </w:t>
      </w:r>
      <w:bookmarkStart w:id="8" w:name="_Hlk90387417"/>
      <w:r w:rsidRPr="001257CF">
        <w:t>Hugh of Kirkstall, ‘Narratio de Fundatione Fontanis Monasterii in Comitatu Eboracensi’, pp</w:t>
      </w:r>
      <w:r>
        <w:t>.</w:t>
      </w:r>
      <w:bookmarkEnd w:id="8"/>
      <w:r w:rsidR="00D745E5">
        <w:t>34-35, pp.</w:t>
      </w:r>
      <w:r w:rsidR="00287CEE">
        <w:t>48-49</w:t>
      </w:r>
      <w:r w:rsidR="0014779B">
        <w:t>.</w:t>
      </w:r>
    </w:p>
    <w:p w14:paraId="1D97244F" w14:textId="77777777" w:rsidR="0014779B" w:rsidRDefault="0014779B" w:rsidP="006261CF">
      <w:pPr>
        <w:pStyle w:val="FootnoteText"/>
      </w:pPr>
    </w:p>
  </w:footnote>
  <w:footnote w:id="15">
    <w:p w14:paraId="604033FF" w14:textId="220C54D6" w:rsidR="00620EF2" w:rsidRDefault="00620EF2" w:rsidP="006261CF">
      <w:pPr>
        <w:pStyle w:val="FootnoteText"/>
      </w:pPr>
      <w:r>
        <w:rPr>
          <w:rStyle w:val="FootnoteReference"/>
        </w:rPr>
        <w:footnoteRef/>
      </w:r>
      <w:r>
        <w:t xml:space="preserve"> </w:t>
      </w:r>
      <w:r w:rsidR="000235BA" w:rsidRPr="000235BA">
        <w:t xml:space="preserve">William of Saint-Thierry, Arnold of Bonneval, &amp; Geoffrey of Auxerre, </w:t>
      </w:r>
      <w:r w:rsidR="000235BA" w:rsidRPr="000235BA">
        <w:rPr>
          <w:i/>
          <w:iCs/>
        </w:rPr>
        <w:t>The First Life of Bernard of Clairvaux</w:t>
      </w:r>
      <w:r w:rsidR="000235BA" w:rsidRPr="000235BA">
        <w:t>, trans. by H. Costello, (Collegeville, Cistercian Publications, 2015), p.2</w:t>
      </w:r>
      <w:r w:rsidR="000235BA">
        <w:t>9.</w:t>
      </w:r>
    </w:p>
    <w:p w14:paraId="4E1F6BE9" w14:textId="77777777" w:rsidR="009668A5" w:rsidRPr="000235BA" w:rsidRDefault="009668A5" w:rsidP="006261CF">
      <w:pPr>
        <w:pStyle w:val="FootnoteText"/>
      </w:pPr>
    </w:p>
  </w:footnote>
  <w:footnote w:id="16">
    <w:p w14:paraId="7FDEAF69" w14:textId="1A7E0079" w:rsidR="00B2365A" w:rsidRDefault="009668A5" w:rsidP="006261CF">
      <w:pPr>
        <w:pStyle w:val="FootnoteText"/>
      </w:pPr>
      <w:r>
        <w:rPr>
          <w:rStyle w:val="FootnoteReference"/>
        </w:rPr>
        <w:footnoteRef/>
      </w:r>
      <w:r>
        <w:t xml:space="preserve"> </w:t>
      </w:r>
      <w:r w:rsidRPr="009668A5">
        <w:t>Bethell, p.13.</w:t>
      </w:r>
    </w:p>
    <w:p w14:paraId="6EE4E6E3" w14:textId="77777777" w:rsidR="00B2365A" w:rsidRDefault="00B2365A" w:rsidP="006261CF">
      <w:pPr>
        <w:pStyle w:val="FootnoteText"/>
      </w:pPr>
    </w:p>
  </w:footnote>
  <w:footnote w:id="17">
    <w:p w14:paraId="30E60819" w14:textId="3CC4462C" w:rsidR="0055064B" w:rsidRDefault="0055064B" w:rsidP="006261CF">
      <w:pPr>
        <w:pStyle w:val="FootnoteText"/>
      </w:pPr>
      <w:r>
        <w:rPr>
          <w:rStyle w:val="FootnoteReference"/>
        </w:rPr>
        <w:footnoteRef/>
      </w:r>
      <w:r>
        <w:t xml:space="preserve"> </w:t>
      </w:r>
      <w:r w:rsidR="00B2365A">
        <w:t>Ibid</w:t>
      </w:r>
      <w:r w:rsidRPr="0055064B">
        <w:t>, p.13.</w:t>
      </w:r>
    </w:p>
    <w:p w14:paraId="4EF38A6E" w14:textId="77777777" w:rsidR="0055064B" w:rsidRDefault="0055064B" w:rsidP="006261CF">
      <w:pPr>
        <w:pStyle w:val="FootnoteText"/>
      </w:pPr>
    </w:p>
  </w:footnote>
  <w:footnote w:id="18">
    <w:p w14:paraId="0A2F8304" w14:textId="31970793" w:rsidR="001B1190" w:rsidRDefault="0055064B" w:rsidP="006261CF">
      <w:pPr>
        <w:pStyle w:val="FootnoteText"/>
      </w:pPr>
      <w:r>
        <w:rPr>
          <w:rStyle w:val="FootnoteReference"/>
        </w:rPr>
        <w:footnoteRef/>
      </w:r>
      <w:r w:rsidR="001B1190">
        <w:t xml:space="preserve"> </w:t>
      </w:r>
      <w:r w:rsidR="001B1190" w:rsidRPr="001B1190">
        <w:t>Hugh of Kirkstall, ‘Narratio de Fundatione Fontanis Monasterii in Comitatu Eboracensi’, pp</w:t>
      </w:r>
      <w:r w:rsidR="001B1190">
        <w:t>.</w:t>
      </w:r>
      <w:r w:rsidR="001B1190" w:rsidRPr="001B1190">
        <w:t>2-3.</w:t>
      </w:r>
    </w:p>
    <w:p w14:paraId="3D46C7F1" w14:textId="617E320E" w:rsidR="0055064B" w:rsidRDefault="001B1190" w:rsidP="006261CF">
      <w:pPr>
        <w:pStyle w:val="FootnoteText"/>
      </w:pPr>
      <w:r>
        <w:t>, &amp;</w:t>
      </w:r>
      <w:r w:rsidR="0055064B">
        <w:t xml:space="preserve"> </w:t>
      </w:r>
      <w:bookmarkStart w:id="10" w:name="_Hlk88933611"/>
      <w:r w:rsidR="0055064B" w:rsidRPr="0055064B">
        <w:t xml:space="preserve">Benedict of Nursia, </w:t>
      </w:r>
      <w:r w:rsidRPr="001B1190">
        <w:rPr>
          <w:i/>
          <w:iCs/>
        </w:rPr>
        <w:t>The Holy Rule of St. Benedict</w:t>
      </w:r>
      <w:r w:rsidR="0055064B" w:rsidRPr="0055064B">
        <w:t xml:space="preserve">, trans. by </w:t>
      </w:r>
      <w:r>
        <w:t>B. F. Verheyen</w:t>
      </w:r>
      <w:r w:rsidR="0055064B" w:rsidRPr="0055064B">
        <w:t>, (</w:t>
      </w:r>
      <w:r>
        <w:t>Grand Rapids</w:t>
      </w:r>
      <w:r w:rsidR="0055064B" w:rsidRPr="0055064B">
        <w:t xml:space="preserve">, </w:t>
      </w:r>
      <w:r w:rsidRPr="001B1190">
        <w:t>Christian Classics Ethereal Librar</w:t>
      </w:r>
      <w:r>
        <w:t>y</w:t>
      </w:r>
      <w:r w:rsidR="0055064B" w:rsidRPr="0055064B">
        <w:t xml:space="preserve">, </w:t>
      </w:r>
      <w:r>
        <w:t>1949</w:t>
      </w:r>
      <w:r w:rsidR="0055064B" w:rsidRPr="0055064B">
        <w:t>)</w:t>
      </w:r>
      <w:bookmarkEnd w:id="10"/>
      <w:r>
        <w:t>,</w:t>
      </w:r>
      <w:r w:rsidR="0055064B" w:rsidRPr="0055064B">
        <w:t xml:space="preserve"> </w:t>
      </w:r>
      <w:r>
        <w:t>p.65.</w:t>
      </w:r>
    </w:p>
    <w:p w14:paraId="41533EA5" w14:textId="77777777" w:rsidR="001B1190" w:rsidRDefault="001B1190" w:rsidP="006261CF">
      <w:pPr>
        <w:pStyle w:val="FootnoteText"/>
      </w:pPr>
    </w:p>
  </w:footnote>
  <w:footnote w:id="19">
    <w:p w14:paraId="735EBC48" w14:textId="472F572F" w:rsidR="00641FD7" w:rsidRDefault="00641FD7" w:rsidP="006261CF">
      <w:pPr>
        <w:pStyle w:val="FootnoteText"/>
      </w:pPr>
      <w:r>
        <w:rPr>
          <w:rStyle w:val="FootnoteReference"/>
        </w:rPr>
        <w:footnoteRef/>
      </w:r>
      <w:r>
        <w:t xml:space="preserve"> </w:t>
      </w:r>
      <w:bookmarkStart w:id="11" w:name="_Hlk88933420"/>
      <w:r w:rsidRPr="00641FD7">
        <w:t>J. Burton, &amp; J. Kerr,</w:t>
      </w:r>
      <w:r w:rsidRPr="00641FD7">
        <w:rPr>
          <w:i/>
          <w:iCs/>
        </w:rPr>
        <w:t xml:space="preserve"> The Cistercians in the Middle Ages</w:t>
      </w:r>
      <w:r w:rsidRPr="00641FD7">
        <w:t>, (Woodbridge, The Boydell Press, 2016)</w:t>
      </w:r>
      <w:bookmarkEnd w:id="11"/>
      <w:r w:rsidRPr="00641FD7">
        <w:t>,</w:t>
      </w:r>
      <w:r>
        <w:t xml:space="preserve"> p.16.</w:t>
      </w:r>
    </w:p>
    <w:p w14:paraId="7E309231" w14:textId="77777777" w:rsidR="00A423DC" w:rsidRDefault="00A423DC" w:rsidP="006261CF">
      <w:pPr>
        <w:pStyle w:val="FootnoteText"/>
      </w:pPr>
    </w:p>
  </w:footnote>
  <w:footnote w:id="20">
    <w:p w14:paraId="2A7AA85E" w14:textId="3C1B25C2" w:rsidR="00A423DC" w:rsidRDefault="00A423DC" w:rsidP="006261CF">
      <w:pPr>
        <w:pStyle w:val="FootnoteText"/>
      </w:pPr>
      <w:r>
        <w:rPr>
          <w:rStyle w:val="FootnoteReference"/>
        </w:rPr>
        <w:footnoteRef/>
      </w:r>
      <w:r>
        <w:t xml:space="preserve"> </w:t>
      </w:r>
      <w:bookmarkStart w:id="12" w:name="_Hlk90474117"/>
      <w:r>
        <w:t xml:space="preserve">Burton, &amp; Kerr, </w:t>
      </w:r>
      <w:r>
        <w:rPr>
          <w:i/>
          <w:iCs/>
        </w:rPr>
        <w:t>The Cistercians</w:t>
      </w:r>
      <w:r>
        <w:t>, p.</w:t>
      </w:r>
      <w:bookmarkEnd w:id="12"/>
      <w:r>
        <w:t>40.</w:t>
      </w:r>
    </w:p>
    <w:p w14:paraId="16D179B9" w14:textId="04814A9A" w:rsidR="00A423DC" w:rsidRDefault="00A423DC" w:rsidP="006261CF">
      <w:pPr>
        <w:pStyle w:val="FootnoteText"/>
      </w:pPr>
      <w:r>
        <w:t xml:space="preserve">, J. Munns, ‘The Episcopal Colleagues of Henry of Blois’, in </w:t>
      </w:r>
      <w:r w:rsidRPr="00A423DC">
        <w:rPr>
          <w:i/>
          <w:iCs/>
        </w:rPr>
        <w:t>Henry of Blois: New Interpretations</w:t>
      </w:r>
      <w:r>
        <w:t>, ed. by W. Kynan-Wilson, &amp; J. Munns, (Woodbridge, The Boydell Press, 2021), pp.69-92, (p.84).</w:t>
      </w:r>
    </w:p>
    <w:p w14:paraId="6F179CFB" w14:textId="07BE0A5C" w:rsidR="00A423DC" w:rsidRDefault="00A423DC" w:rsidP="006261CF">
      <w:pPr>
        <w:pStyle w:val="FootnoteText"/>
      </w:pPr>
      <w:r>
        <w:t xml:space="preserve">, </w:t>
      </w:r>
      <w:r w:rsidRPr="00A423DC">
        <w:t>Hugh of Kirkstall, ‘Narratio de Fundatione Fontanis Monasterii in Comitatu Eboracensi’, pp.34-35, pp.48-49.</w:t>
      </w:r>
    </w:p>
    <w:p w14:paraId="20A01D67" w14:textId="3DF531E3" w:rsidR="00A423DC" w:rsidRPr="00875D47" w:rsidRDefault="00A423DC" w:rsidP="006261CF">
      <w:pPr>
        <w:pStyle w:val="FootnoteText"/>
      </w:pPr>
      <w:r>
        <w:t xml:space="preserve">, &amp; </w:t>
      </w:r>
      <w:r w:rsidR="00875D47">
        <w:rPr>
          <w:i/>
          <w:iCs/>
        </w:rPr>
        <w:t>The History of Ripon, with Historic Notices and Descriptions of Fountains Abbey, Studley, Swinton Park, Newby Hall, Brimham Crags, Plumpton, Knaresborough Bolton Abbey, Harewood House, Harrogate, &amp;c., &amp;c., Forming a Compendious Guide For Visitors</w:t>
      </w:r>
      <w:r w:rsidR="00875D47">
        <w:t>, (Ripon, Procter &amp; Vickers, 1839), pp.89-92.</w:t>
      </w:r>
    </w:p>
    <w:p w14:paraId="78844842" w14:textId="7D375BE9" w:rsidR="00A423DC" w:rsidRPr="00875D47" w:rsidRDefault="00A423DC" w:rsidP="006261CF">
      <w:pPr>
        <w:pStyle w:val="FootnoteText"/>
      </w:pPr>
    </w:p>
  </w:footnote>
  <w:footnote w:id="21">
    <w:p w14:paraId="477A825C" w14:textId="7D9A31FA" w:rsidR="00FB686D" w:rsidRDefault="00FB686D" w:rsidP="006261CF">
      <w:pPr>
        <w:pStyle w:val="FootnoteText"/>
      </w:pPr>
      <w:r>
        <w:rPr>
          <w:rStyle w:val="FootnoteReference"/>
        </w:rPr>
        <w:footnoteRef/>
      </w:r>
      <w:r>
        <w:t xml:space="preserve"> </w:t>
      </w:r>
      <w:r w:rsidR="00830A8C" w:rsidRPr="00830A8C">
        <w:rPr>
          <w:i/>
          <w:iCs/>
        </w:rPr>
        <w:t>Douay-Rheims and Clementina Vulgata: English-Latin Bible</w:t>
      </w:r>
      <w:r w:rsidR="00830A8C">
        <w:t xml:space="preserve">, (London, Baronius Press, 2008), </w:t>
      </w:r>
      <w:r>
        <w:t>Psalms, 89</w:t>
      </w:r>
      <w:r w:rsidR="00830A8C">
        <w:t>.</w:t>
      </w:r>
      <w:r>
        <w:t>10</w:t>
      </w:r>
      <w:r w:rsidR="00830A8C">
        <w:t>.</w:t>
      </w:r>
    </w:p>
    <w:p w14:paraId="1F7C40F4" w14:textId="77777777" w:rsidR="00886425" w:rsidRDefault="00886425" w:rsidP="006261CF">
      <w:pPr>
        <w:pStyle w:val="FootnoteText"/>
      </w:pPr>
    </w:p>
  </w:footnote>
  <w:footnote w:id="22">
    <w:p w14:paraId="20DDE438" w14:textId="71DBAF54" w:rsidR="00886425" w:rsidRDefault="00886425" w:rsidP="006261CF">
      <w:pPr>
        <w:pStyle w:val="FootnoteText"/>
      </w:pPr>
      <w:r>
        <w:rPr>
          <w:rStyle w:val="FootnoteReference"/>
        </w:rPr>
        <w:footnoteRef/>
      </w:r>
      <w:r>
        <w:t xml:space="preserve"> </w:t>
      </w:r>
      <w:r>
        <w:rPr>
          <w:i/>
          <w:iCs/>
        </w:rPr>
        <w:t>Old Abbeys of England</w:t>
      </w:r>
      <w:r>
        <w:t>, (London, T. Nelson and Sons, 1862), p.64.</w:t>
      </w:r>
    </w:p>
    <w:p w14:paraId="680DF2AD" w14:textId="650E85F6" w:rsidR="00BB3425" w:rsidRDefault="00CA79CC" w:rsidP="006261CF">
      <w:pPr>
        <w:pStyle w:val="FootnoteText"/>
      </w:pPr>
      <w:r>
        <w:t xml:space="preserve">, &amp; </w:t>
      </w:r>
      <w:bookmarkStart w:id="15" w:name="_Hlk90480587"/>
      <w:r>
        <w:t xml:space="preserve">Historic England, </w:t>
      </w:r>
      <w:r w:rsidR="00C86581" w:rsidRPr="00C86581">
        <w:rPr>
          <w:i/>
          <w:iCs/>
        </w:rPr>
        <w:t>Historic England Research Records</w:t>
      </w:r>
      <w:r w:rsidR="006261CF">
        <w:rPr>
          <w:i/>
          <w:iCs/>
        </w:rPr>
        <w:t>:</w:t>
      </w:r>
      <w:r w:rsidR="00C86581" w:rsidRPr="00C86581">
        <w:rPr>
          <w:i/>
          <w:iCs/>
        </w:rPr>
        <w:t xml:space="preserve"> </w:t>
      </w:r>
      <w:r w:rsidR="00C86581" w:rsidRPr="00C86581">
        <w:rPr>
          <w:i/>
          <w:iCs/>
        </w:rPr>
        <w:t>Fountains Abbey</w:t>
      </w:r>
      <w:r w:rsidR="00090932">
        <w:t>, (2012),</w:t>
      </w:r>
      <w:r w:rsidR="00BC54AB">
        <w:t xml:space="preserve"> </w:t>
      </w:r>
      <w:r w:rsidR="00E36FFC" w:rsidRPr="00FF31CF">
        <w:t>https://www.heritagegateway.org.uk/Gateway/Results_Single.aspx?uid=51860&amp;resourceID=19191</w:t>
      </w:r>
      <w:r w:rsidR="00BC54AB">
        <w:t>,</w:t>
      </w:r>
      <w:r w:rsidR="00E36FFC">
        <w:t xml:space="preserve"> [Accessed:15/12/2021].</w:t>
      </w:r>
      <w:bookmarkEnd w:id="15"/>
    </w:p>
    <w:p w14:paraId="79362E31" w14:textId="77777777" w:rsidR="00B2365A" w:rsidRPr="00090932" w:rsidRDefault="00B2365A" w:rsidP="006261CF">
      <w:pPr>
        <w:pStyle w:val="FootnoteText"/>
      </w:pPr>
    </w:p>
  </w:footnote>
  <w:footnote w:id="23">
    <w:p w14:paraId="12E46A3E" w14:textId="4F162CD6" w:rsidR="00BB3425" w:rsidRDefault="00BB3425">
      <w:pPr>
        <w:pStyle w:val="FootnoteText"/>
      </w:pPr>
      <w:r>
        <w:rPr>
          <w:rStyle w:val="FootnoteReference"/>
        </w:rPr>
        <w:footnoteRef/>
      </w:r>
      <w:r>
        <w:t xml:space="preserve"> </w:t>
      </w:r>
      <w:r w:rsidRPr="00BB3425">
        <w:t>Hugh of Kirkstall, ‘Narratio de Fundatione Fontanis Monasterii in Comitatu Eboracensi’, p</w:t>
      </w:r>
      <w:r>
        <w:t>.101.</w:t>
      </w:r>
    </w:p>
    <w:p w14:paraId="20C2E4D0" w14:textId="77777777" w:rsidR="00700D49" w:rsidRDefault="00700D49">
      <w:pPr>
        <w:pStyle w:val="FootnoteText"/>
      </w:pPr>
    </w:p>
  </w:footnote>
  <w:footnote w:id="24">
    <w:p w14:paraId="42EC8296" w14:textId="3AF42E24" w:rsidR="00700D49" w:rsidRDefault="00700D49">
      <w:pPr>
        <w:pStyle w:val="FootnoteText"/>
      </w:pPr>
      <w:r>
        <w:rPr>
          <w:rStyle w:val="FootnoteReference"/>
        </w:rPr>
        <w:footnoteRef/>
      </w:r>
      <w:r>
        <w:t xml:space="preserve"> Ibid, p.101.</w:t>
      </w:r>
    </w:p>
    <w:p w14:paraId="449AE914" w14:textId="77777777" w:rsidR="00F93D06" w:rsidRDefault="00F93D06">
      <w:pPr>
        <w:pStyle w:val="FootnoteText"/>
      </w:pPr>
    </w:p>
  </w:footnote>
  <w:footnote w:id="25">
    <w:p w14:paraId="73F3BB09" w14:textId="16FEC842" w:rsidR="00F93D06" w:rsidRDefault="00F93D06">
      <w:pPr>
        <w:pStyle w:val="FootnoteText"/>
      </w:pPr>
      <w:r>
        <w:rPr>
          <w:rStyle w:val="FootnoteReference"/>
        </w:rPr>
        <w:footnoteRef/>
      </w:r>
      <w:r>
        <w:t xml:space="preserve"> C. Norton, </w:t>
      </w:r>
      <w:r>
        <w:rPr>
          <w:i/>
          <w:iCs/>
        </w:rPr>
        <w:t>St William of York</w:t>
      </w:r>
      <w:r>
        <w:t xml:space="preserve">, </w:t>
      </w:r>
      <w:r w:rsidR="000D3F92">
        <w:t>(York, York Medieval Press, 2006), p.</w:t>
      </w:r>
      <w:r w:rsidR="00665521">
        <w:t>120</w:t>
      </w:r>
      <w:r w:rsidR="00D17F70">
        <w:t>.</w:t>
      </w:r>
    </w:p>
    <w:p w14:paraId="47554EAA" w14:textId="2A8A8389" w:rsidR="00D17F70" w:rsidRDefault="00D17F70">
      <w:pPr>
        <w:pStyle w:val="FootnoteText"/>
      </w:pPr>
      <w:r>
        <w:t>(see also</w:t>
      </w:r>
      <w:r w:rsidR="006179AD">
        <w:t>; R. Gilyard-Beer, &amp; G. Coppack, ‘Excavations</w:t>
      </w:r>
      <w:r w:rsidR="00846080">
        <w:t xml:space="preserve"> at Fountains Abbey, North Yorkshire, 1979-80</w:t>
      </w:r>
      <w:r w:rsidR="005D2485">
        <w:t xml:space="preserve">; The Early Development of the Monastery’, </w:t>
      </w:r>
      <w:r w:rsidR="005D2485">
        <w:rPr>
          <w:i/>
          <w:iCs/>
        </w:rPr>
        <w:t>Archaeologia</w:t>
      </w:r>
      <w:r w:rsidR="005D0453">
        <w:t>, Vol.108</w:t>
      </w:r>
      <w:r w:rsidR="00264B09">
        <w:t>, (1986), 147-1</w:t>
      </w:r>
      <w:r w:rsidR="00ED0889">
        <w:t>88.)</w:t>
      </w:r>
    </w:p>
    <w:p w14:paraId="1EE4E97A" w14:textId="51C8004A" w:rsidR="00ED0889" w:rsidRDefault="00ED0889">
      <w:pPr>
        <w:pStyle w:val="FootnoteText"/>
      </w:pPr>
      <w:r>
        <w:t xml:space="preserve">, </w:t>
      </w:r>
      <w:r w:rsidRPr="00ED0889">
        <w:t>Hugh of Kirkstall, ‘Narratio de Fundatione Fontanis Monasterii in Comitatu Eboracensi’, p.101.</w:t>
      </w:r>
    </w:p>
    <w:p w14:paraId="00BFFA2B" w14:textId="21AF13B8" w:rsidR="00804CDF" w:rsidRDefault="00804CDF">
      <w:pPr>
        <w:pStyle w:val="FootnoteText"/>
      </w:pPr>
      <w:r>
        <w:t>, &amp;</w:t>
      </w:r>
      <w:r w:rsidR="00CC0FCA">
        <w:t xml:space="preserve"> </w:t>
      </w:r>
      <w:bookmarkStart w:id="17" w:name="_Hlk90479872"/>
      <w:r w:rsidR="00CC0FCA">
        <w:t xml:space="preserve">O. H. Creighton, &amp; D. W. Wright, </w:t>
      </w:r>
      <w:r w:rsidR="00F03545" w:rsidRPr="00F03545">
        <w:rPr>
          <w:i/>
          <w:iCs/>
        </w:rPr>
        <w:t>The Anarchy: War and Status in 12th-Century Landscapes of Conflict</w:t>
      </w:r>
      <w:r w:rsidR="00F03545">
        <w:t xml:space="preserve">, (Liverpool, Liverpool University Press, </w:t>
      </w:r>
      <w:r w:rsidR="008264D5">
        <w:t>2016)</w:t>
      </w:r>
      <w:bookmarkEnd w:id="17"/>
      <w:r w:rsidR="008264D5">
        <w:t>, p.204</w:t>
      </w:r>
      <w:r w:rsidR="006B5392">
        <w:t>.</w:t>
      </w:r>
    </w:p>
    <w:p w14:paraId="5494405A" w14:textId="77777777" w:rsidR="005F2CBA" w:rsidRPr="00F03545" w:rsidRDefault="005F2CBA">
      <w:pPr>
        <w:pStyle w:val="FootnoteText"/>
      </w:pPr>
    </w:p>
  </w:footnote>
  <w:footnote w:id="26">
    <w:p w14:paraId="69C765A3" w14:textId="77777777" w:rsidR="00A058FE" w:rsidRDefault="00A058FE">
      <w:pPr>
        <w:pStyle w:val="FootnoteText"/>
      </w:pPr>
    </w:p>
    <w:p w14:paraId="10DF21B0" w14:textId="77777777" w:rsidR="009B41CA" w:rsidRDefault="00A058FE">
      <w:pPr>
        <w:pStyle w:val="FootnoteText"/>
      </w:pPr>
      <w:r>
        <w:rPr>
          <w:rStyle w:val="FootnoteReference"/>
        </w:rPr>
        <w:footnoteRef/>
      </w:r>
      <w:r w:rsidR="00103DEC">
        <w:t xml:space="preserve"> </w:t>
      </w:r>
      <w:r w:rsidR="00103DEC">
        <w:rPr>
          <w:i/>
          <w:iCs/>
        </w:rPr>
        <w:t>Old Abbeys</w:t>
      </w:r>
      <w:r w:rsidR="00103DEC">
        <w:t>, p</w:t>
      </w:r>
      <w:r w:rsidR="009B41CA">
        <w:t>.64</w:t>
      </w:r>
    </w:p>
    <w:p w14:paraId="3D8EF859" w14:textId="2610EA0D" w:rsidR="00A058FE" w:rsidRDefault="009B41CA">
      <w:pPr>
        <w:pStyle w:val="FootnoteText"/>
      </w:pPr>
      <w:r>
        <w:t xml:space="preserve">, Norton, </w:t>
      </w:r>
      <w:r>
        <w:rPr>
          <w:i/>
          <w:iCs/>
        </w:rPr>
        <w:t>St William</w:t>
      </w:r>
      <w:r>
        <w:t>, p.120.</w:t>
      </w:r>
    </w:p>
    <w:p w14:paraId="71EFB815" w14:textId="7E8BCF2D" w:rsidR="000A3494" w:rsidRDefault="000A3494">
      <w:pPr>
        <w:pStyle w:val="FootnoteText"/>
      </w:pPr>
      <w:r>
        <w:t>, &amp;</w:t>
      </w:r>
      <w:r w:rsidR="00000430">
        <w:t xml:space="preserve"> </w:t>
      </w:r>
      <w:r w:rsidR="00000430" w:rsidRPr="00000430">
        <w:t>Hugh of Kirkstall, ‘Narratio de Fundatione Fontanis Monasterii in Comitatu Eboracensi’, pp.2-3.</w:t>
      </w:r>
    </w:p>
    <w:p w14:paraId="5497E20A" w14:textId="77777777" w:rsidR="0076753E" w:rsidRDefault="0076753E">
      <w:pPr>
        <w:pStyle w:val="FootnoteText"/>
      </w:pPr>
    </w:p>
  </w:footnote>
  <w:footnote w:id="27">
    <w:p w14:paraId="61551E1F" w14:textId="7C44A05B" w:rsidR="0076753E" w:rsidRDefault="0076753E">
      <w:pPr>
        <w:pStyle w:val="FootnoteText"/>
      </w:pPr>
      <w:r>
        <w:rPr>
          <w:rStyle w:val="FootnoteReference"/>
        </w:rPr>
        <w:footnoteRef/>
      </w:r>
      <w:r>
        <w:t xml:space="preserve"> </w:t>
      </w:r>
      <w:r w:rsidRPr="0076753E">
        <w:t xml:space="preserve">Burton, &amp; Kerr, </w:t>
      </w:r>
      <w:r w:rsidRPr="0076753E">
        <w:rPr>
          <w:i/>
          <w:iCs/>
        </w:rPr>
        <w:t>The Cistercians</w:t>
      </w:r>
      <w:r w:rsidRPr="0076753E">
        <w:t>, p.</w:t>
      </w:r>
      <w:r>
        <w:t>64</w:t>
      </w:r>
    </w:p>
    <w:p w14:paraId="6FC8B70C" w14:textId="5D9A7243" w:rsidR="0076753E" w:rsidRDefault="0076753E">
      <w:pPr>
        <w:pStyle w:val="FootnoteText"/>
      </w:pPr>
      <w:r>
        <w:t xml:space="preserve">, &amp; </w:t>
      </w:r>
      <w:bookmarkStart w:id="18" w:name="_Hlk90479719"/>
      <w:r>
        <w:t xml:space="preserve">G. Coppack, </w:t>
      </w:r>
      <w:r w:rsidRPr="0076753E">
        <w:rPr>
          <w:i/>
          <w:iCs/>
        </w:rPr>
        <w:t>Abbeys and Priories</w:t>
      </w:r>
      <w:r>
        <w:t>,</w:t>
      </w:r>
      <w:r w:rsidR="00134DCA">
        <w:t xml:space="preserve"> Google E-Book ed.</w:t>
      </w:r>
      <w:r>
        <w:t xml:space="preserve"> (Stroud, Amberley Publishing, 2012)</w:t>
      </w:r>
      <w:r w:rsidR="00134DCA">
        <w:t>.</w:t>
      </w:r>
      <w:bookmarkEnd w:id="18"/>
    </w:p>
    <w:p w14:paraId="091E69D5" w14:textId="77777777" w:rsidR="00134DCA" w:rsidRPr="0076753E" w:rsidRDefault="00134DCA">
      <w:pPr>
        <w:pStyle w:val="FootnoteText"/>
      </w:pPr>
    </w:p>
  </w:footnote>
  <w:footnote w:id="28">
    <w:p w14:paraId="2C54B5EE" w14:textId="0D4A003C" w:rsidR="00134DCA" w:rsidRDefault="00134DCA">
      <w:pPr>
        <w:pStyle w:val="FootnoteText"/>
      </w:pPr>
      <w:r>
        <w:rPr>
          <w:rStyle w:val="FootnoteReference"/>
        </w:rPr>
        <w:footnoteRef/>
      </w:r>
      <w:r>
        <w:t xml:space="preserve"> J. R. Walbran, </w:t>
      </w:r>
      <w:r w:rsidRPr="00134DCA">
        <w:rPr>
          <w:i/>
        </w:rPr>
        <w:t>Memorials of the Abbey of St. Mary of Fountains: Volume 1</w:t>
      </w:r>
      <w:r w:rsidRPr="00134DCA">
        <w:t>, (Durham, Andrews &amp; Co., 1863)</w:t>
      </w:r>
      <w:r>
        <w:t>, p.</w:t>
      </w:r>
      <w:r w:rsidR="00C20DB6">
        <w:t>li-lii.</w:t>
      </w:r>
    </w:p>
    <w:p w14:paraId="6AF7A7FB" w14:textId="77777777" w:rsidR="00403F0C" w:rsidRDefault="00403F0C">
      <w:pPr>
        <w:pStyle w:val="FootnoteText"/>
      </w:pPr>
    </w:p>
  </w:footnote>
  <w:footnote w:id="29">
    <w:p w14:paraId="7121AFC1" w14:textId="5628F697" w:rsidR="00403F0C" w:rsidRDefault="00403F0C">
      <w:pPr>
        <w:pStyle w:val="FootnoteText"/>
      </w:pPr>
      <w:r>
        <w:rPr>
          <w:rStyle w:val="FootnoteReference"/>
        </w:rPr>
        <w:footnoteRef/>
      </w:r>
      <w:r>
        <w:t xml:space="preserve"> </w:t>
      </w:r>
      <w:r w:rsidR="00732AFC">
        <w:t xml:space="preserve">Walbran, </w:t>
      </w:r>
      <w:r w:rsidR="00732AFC">
        <w:rPr>
          <w:i/>
          <w:iCs/>
        </w:rPr>
        <w:t>Memorials</w:t>
      </w:r>
      <w:r w:rsidR="00732AFC">
        <w:t>, p.li-lii</w:t>
      </w:r>
    </w:p>
    <w:p w14:paraId="7C88D000" w14:textId="0B46864B" w:rsidR="00732AFC" w:rsidRDefault="00732AFC">
      <w:pPr>
        <w:pStyle w:val="FootnoteText"/>
      </w:pPr>
      <w:r>
        <w:t xml:space="preserve">, &amp; </w:t>
      </w:r>
      <w:r w:rsidRPr="00732AFC">
        <w:t xml:space="preserve">Norton, </w:t>
      </w:r>
      <w:r w:rsidRPr="00732AFC">
        <w:rPr>
          <w:i/>
          <w:iCs/>
        </w:rPr>
        <w:t>St William</w:t>
      </w:r>
      <w:r w:rsidRPr="00732AFC">
        <w:t>, p.120.</w:t>
      </w:r>
    </w:p>
    <w:p w14:paraId="2B9A98BB" w14:textId="77777777" w:rsidR="00732AFC" w:rsidRPr="00732AFC" w:rsidRDefault="00732AFC">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6104F" w14:textId="7291CC52" w:rsidR="0004092A" w:rsidRDefault="0004092A" w:rsidP="0004092A">
    <w:pPr>
      <w:pStyle w:val="Header"/>
      <w:jc w:val="center"/>
    </w:pPr>
    <w:r>
      <w:t>Samuel Lawrence – The Cistercians In The Middle Ages – Essay Task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92A"/>
    <w:rsid w:val="00000430"/>
    <w:rsid w:val="000134B3"/>
    <w:rsid w:val="00022620"/>
    <w:rsid w:val="000235BA"/>
    <w:rsid w:val="000238BD"/>
    <w:rsid w:val="00035702"/>
    <w:rsid w:val="00035F3F"/>
    <w:rsid w:val="0004092A"/>
    <w:rsid w:val="000413F1"/>
    <w:rsid w:val="000431EA"/>
    <w:rsid w:val="00046136"/>
    <w:rsid w:val="00054B28"/>
    <w:rsid w:val="0007759E"/>
    <w:rsid w:val="00084F4B"/>
    <w:rsid w:val="00090932"/>
    <w:rsid w:val="000A063E"/>
    <w:rsid w:val="000A3494"/>
    <w:rsid w:val="000C0D37"/>
    <w:rsid w:val="000C5571"/>
    <w:rsid w:val="000D3F92"/>
    <w:rsid w:val="000D6E55"/>
    <w:rsid w:val="000E6E74"/>
    <w:rsid w:val="000F074B"/>
    <w:rsid w:val="000F3CCC"/>
    <w:rsid w:val="00101C38"/>
    <w:rsid w:val="00103DEC"/>
    <w:rsid w:val="0011420F"/>
    <w:rsid w:val="00122944"/>
    <w:rsid w:val="001257CF"/>
    <w:rsid w:val="0013087B"/>
    <w:rsid w:val="00134DCA"/>
    <w:rsid w:val="0014779B"/>
    <w:rsid w:val="00167594"/>
    <w:rsid w:val="00167C28"/>
    <w:rsid w:val="001731DD"/>
    <w:rsid w:val="001735FC"/>
    <w:rsid w:val="00180CAA"/>
    <w:rsid w:val="001856E3"/>
    <w:rsid w:val="0019400C"/>
    <w:rsid w:val="001A60D2"/>
    <w:rsid w:val="001B1190"/>
    <w:rsid w:val="001D460D"/>
    <w:rsid w:val="001E1D85"/>
    <w:rsid w:val="001E626F"/>
    <w:rsid w:val="00207DF3"/>
    <w:rsid w:val="00242889"/>
    <w:rsid w:val="0026008E"/>
    <w:rsid w:val="00264B09"/>
    <w:rsid w:val="00264D7B"/>
    <w:rsid w:val="00281D2A"/>
    <w:rsid w:val="002840E1"/>
    <w:rsid w:val="002869F6"/>
    <w:rsid w:val="00287CEE"/>
    <w:rsid w:val="002A32DD"/>
    <w:rsid w:val="002B05B0"/>
    <w:rsid w:val="002B0779"/>
    <w:rsid w:val="002B1CB6"/>
    <w:rsid w:val="002B582A"/>
    <w:rsid w:val="002C3AE5"/>
    <w:rsid w:val="002D4075"/>
    <w:rsid w:val="002E6466"/>
    <w:rsid w:val="002F77DC"/>
    <w:rsid w:val="003048D8"/>
    <w:rsid w:val="0031007D"/>
    <w:rsid w:val="0031448D"/>
    <w:rsid w:val="00316838"/>
    <w:rsid w:val="00320375"/>
    <w:rsid w:val="003224DE"/>
    <w:rsid w:val="003268AD"/>
    <w:rsid w:val="00343749"/>
    <w:rsid w:val="00347915"/>
    <w:rsid w:val="00347A0A"/>
    <w:rsid w:val="0035257E"/>
    <w:rsid w:val="00355929"/>
    <w:rsid w:val="00371DE0"/>
    <w:rsid w:val="00394438"/>
    <w:rsid w:val="003A649C"/>
    <w:rsid w:val="003B0137"/>
    <w:rsid w:val="003B4010"/>
    <w:rsid w:val="003D1EC9"/>
    <w:rsid w:val="003E6EB7"/>
    <w:rsid w:val="003F3243"/>
    <w:rsid w:val="00403391"/>
    <w:rsid w:val="00403D24"/>
    <w:rsid w:val="00403F0C"/>
    <w:rsid w:val="00414E80"/>
    <w:rsid w:val="0042142B"/>
    <w:rsid w:val="00425622"/>
    <w:rsid w:val="00425A7C"/>
    <w:rsid w:val="004314B5"/>
    <w:rsid w:val="004355AB"/>
    <w:rsid w:val="00450A60"/>
    <w:rsid w:val="0045396E"/>
    <w:rsid w:val="00455FFF"/>
    <w:rsid w:val="00492B77"/>
    <w:rsid w:val="004A12E8"/>
    <w:rsid w:val="004A67F8"/>
    <w:rsid w:val="004B084B"/>
    <w:rsid w:val="004C61BD"/>
    <w:rsid w:val="004C713D"/>
    <w:rsid w:val="004F2BC9"/>
    <w:rsid w:val="004F3301"/>
    <w:rsid w:val="00503646"/>
    <w:rsid w:val="00510CA5"/>
    <w:rsid w:val="00517707"/>
    <w:rsid w:val="005238CD"/>
    <w:rsid w:val="00531799"/>
    <w:rsid w:val="00547FC4"/>
    <w:rsid w:val="0055064B"/>
    <w:rsid w:val="00564770"/>
    <w:rsid w:val="005651D2"/>
    <w:rsid w:val="0057126F"/>
    <w:rsid w:val="00571376"/>
    <w:rsid w:val="00577F7B"/>
    <w:rsid w:val="00586FB2"/>
    <w:rsid w:val="005D0453"/>
    <w:rsid w:val="005D122B"/>
    <w:rsid w:val="005D16D6"/>
    <w:rsid w:val="005D2485"/>
    <w:rsid w:val="005D285D"/>
    <w:rsid w:val="005D5DCE"/>
    <w:rsid w:val="005E3426"/>
    <w:rsid w:val="005F2CBA"/>
    <w:rsid w:val="006179AD"/>
    <w:rsid w:val="00620EF2"/>
    <w:rsid w:val="00625FA2"/>
    <w:rsid w:val="006261CF"/>
    <w:rsid w:val="00641FD7"/>
    <w:rsid w:val="0064395E"/>
    <w:rsid w:val="006520E5"/>
    <w:rsid w:val="006562BF"/>
    <w:rsid w:val="00665521"/>
    <w:rsid w:val="00694AE0"/>
    <w:rsid w:val="006969A8"/>
    <w:rsid w:val="006A20A9"/>
    <w:rsid w:val="006B0C8F"/>
    <w:rsid w:val="006B30AF"/>
    <w:rsid w:val="006B5392"/>
    <w:rsid w:val="006D18DE"/>
    <w:rsid w:val="006E0C1D"/>
    <w:rsid w:val="006F0C3E"/>
    <w:rsid w:val="00700C66"/>
    <w:rsid w:val="00700D49"/>
    <w:rsid w:val="00705F35"/>
    <w:rsid w:val="00710006"/>
    <w:rsid w:val="0071025F"/>
    <w:rsid w:val="00732AFC"/>
    <w:rsid w:val="00745DAC"/>
    <w:rsid w:val="00764C17"/>
    <w:rsid w:val="0076753E"/>
    <w:rsid w:val="0077358C"/>
    <w:rsid w:val="00777DF6"/>
    <w:rsid w:val="00786A89"/>
    <w:rsid w:val="007A35D7"/>
    <w:rsid w:val="007A67DD"/>
    <w:rsid w:val="007B7CE2"/>
    <w:rsid w:val="007D767B"/>
    <w:rsid w:val="007F5F7C"/>
    <w:rsid w:val="00804CDF"/>
    <w:rsid w:val="008264D5"/>
    <w:rsid w:val="00830418"/>
    <w:rsid w:val="00830A8C"/>
    <w:rsid w:val="00846080"/>
    <w:rsid w:val="00846EF9"/>
    <w:rsid w:val="00854B61"/>
    <w:rsid w:val="00871D45"/>
    <w:rsid w:val="0087465B"/>
    <w:rsid w:val="00875D47"/>
    <w:rsid w:val="0088355D"/>
    <w:rsid w:val="00884166"/>
    <w:rsid w:val="00886425"/>
    <w:rsid w:val="00887E48"/>
    <w:rsid w:val="008A7D59"/>
    <w:rsid w:val="008B20D5"/>
    <w:rsid w:val="008C2643"/>
    <w:rsid w:val="008C3896"/>
    <w:rsid w:val="008D4A83"/>
    <w:rsid w:val="008E77B6"/>
    <w:rsid w:val="008F308F"/>
    <w:rsid w:val="008F73BE"/>
    <w:rsid w:val="009207C8"/>
    <w:rsid w:val="00920952"/>
    <w:rsid w:val="00925EE1"/>
    <w:rsid w:val="00936BF3"/>
    <w:rsid w:val="0094411F"/>
    <w:rsid w:val="0096263D"/>
    <w:rsid w:val="009668A5"/>
    <w:rsid w:val="00972C3F"/>
    <w:rsid w:val="009731B2"/>
    <w:rsid w:val="009831AF"/>
    <w:rsid w:val="0098755A"/>
    <w:rsid w:val="009B41CA"/>
    <w:rsid w:val="009C7B79"/>
    <w:rsid w:val="00A058FE"/>
    <w:rsid w:val="00A26F7D"/>
    <w:rsid w:val="00A2716C"/>
    <w:rsid w:val="00A34F49"/>
    <w:rsid w:val="00A35359"/>
    <w:rsid w:val="00A36BC8"/>
    <w:rsid w:val="00A423DC"/>
    <w:rsid w:val="00A42C2B"/>
    <w:rsid w:val="00A522E6"/>
    <w:rsid w:val="00A55046"/>
    <w:rsid w:val="00A61940"/>
    <w:rsid w:val="00A6681F"/>
    <w:rsid w:val="00A7668D"/>
    <w:rsid w:val="00A827FD"/>
    <w:rsid w:val="00A92E0D"/>
    <w:rsid w:val="00A955F4"/>
    <w:rsid w:val="00A972B6"/>
    <w:rsid w:val="00AA03A2"/>
    <w:rsid w:val="00AA2F24"/>
    <w:rsid w:val="00AC792F"/>
    <w:rsid w:val="00AC7F33"/>
    <w:rsid w:val="00AE31CD"/>
    <w:rsid w:val="00AE3F81"/>
    <w:rsid w:val="00AE510B"/>
    <w:rsid w:val="00AE5702"/>
    <w:rsid w:val="00AF1C03"/>
    <w:rsid w:val="00AF36A5"/>
    <w:rsid w:val="00AF6D16"/>
    <w:rsid w:val="00B1756C"/>
    <w:rsid w:val="00B2365A"/>
    <w:rsid w:val="00B24562"/>
    <w:rsid w:val="00B30662"/>
    <w:rsid w:val="00B371CB"/>
    <w:rsid w:val="00B95A3A"/>
    <w:rsid w:val="00BA36F6"/>
    <w:rsid w:val="00BB212F"/>
    <w:rsid w:val="00BB2F00"/>
    <w:rsid w:val="00BB3425"/>
    <w:rsid w:val="00BC54AB"/>
    <w:rsid w:val="00BE3627"/>
    <w:rsid w:val="00C06C64"/>
    <w:rsid w:val="00C112FD"/>
    <w:rsid w:val="00C20DB6"/>
    <w:rsid w:val="00C227E1"/>
    <w:rsid w:val="00C32124"/>
    <w:rsid w:val="00C32502"/>
    <w:rsid w:val="00C325BF"/>
    <w:rsid w:val="00C3384A"/>
    <w:rsid w:val="00C376A3"/>
    <w:rsid w:val="00C64591"/>
    <w:rsid w:val="00C64672"/>
    <w:rsid w:val="00C72CDE"/>
    <w:rsid w:val="00C74EC5"/>
    <w:rsid w:val="00C81EB0"/>
    <w:rsid w:val="00C86581"/>
    <w:rsid w:val="00C97928"/>
    <w:rsid w:val="00CA79CC"/>
    <w:rsid w:val="00CB294E"/>
    <w:rsid w:val="00CC0FCA"/>
    <w:rsid w:val="00CD6C70"/>
    <w:rsid w:val="00CF09C9"/>
    <w:rsid w:val="00CF58B7"/>
    <w:rsid w:val="00D04BF4"/>
    <w:rsid w:val="00D17F70"/>
    <w:rsid w:val="00D27A4D"/>
    <w:rsid w:val="00D415B0"/>
    <w:rsid w:val="00D476F0"/>
    <w:rsid w:val="00D745E5"/>
    <w:rsid w:val="00D84CBF"/>
    <w:rsid w:val="00D8567B"/>
    <w:rsid w:val="00D90E21"/>
    <w:rsid w:val="00D90FED"/>
    <w:rsid w:val="00D9378F"/>
    <w:rsid w:val="00DB7886"/>
    <w:rsid w:val="00DD372A"/>
    <w:rsid w:val="00DE15D2"/>
    <w:rsid w:val="00DF2FE6"/>
    <w:rsid w:val="00E172B2"/>
    <w:rsid w:val="00E24230"/>
    <w:rsid w:val="00E25E73"/>
    <w:rsid w:val="00E363A4"/>
    <w:rsid w:val="00E36FFC"/>
    <w:rsid w:val="00E417D8"/>
    <w:rsid w:val="00E53EFF"/>
    <w:rsid w:val="00E6017C"/>
    <w:rsid w:val="00E736D7"/>
    <w:rsid w:val="00E93864"/>
    <w:rsid w:val="00EC2247"/>
    <w:rsid w:val="00EC726C"/>
    <w:rsid w:val="00ED0889"/>
    <w:rsid w:val="00ED2A06"/>
    <w:rsid w:val="00ED6057"/>
    <w:rsid w:val="00EF11E1"/>
    <w:rsid w:val="00F03545"/>
    <w:rsid w:val="00F26CE1"/>
    <w:rsid w:val="00F402DA"/>
    <w:rsid w:val="00F4048B"/>
    <w:rsid w:val="00F40A91"/>
    <w:rsid w:val="00F462D2"/>
    <w:rsid w:val="00F522F9"/>
    <w:rsid w:val="00F53D74"/>
    <w:rsid w:val="00F54513"/>
    <w:rsid w:val="00F608B7"/>
    <w:rsid w:val="00F877C8"/>
    <w:rsid w:val="00F93D06"/>
    <w:rsid w:val="00F956C7"/>
    <w:rsid w:val="00F9672D"/>
    <w:rsid w:val="00FA098D"/>
    <w:rsid w:val="00FB1B8A"/>
    <w:rsid w:val="00FB686D"/>
    <w:rsid w:val="00FD631E"/>
    <w:rsid w:val="00FE4F03"/>
    <w:rsid w:val="00FF31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C871A"/>
  <w15:chartTrackingRefBased/>
  <w15:docId w15:val="{D33ECD28-EEF8-4A5C-B2AD-F558C05CB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8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0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92A"/>
  </w:style>
  <w:style w:type="paragraph" w:styleId="Footer">
    <w:name w:val="footer"/>
    <w:basedOn w:val="Normal"/>
    <w:link w:val="FooterChar"/>
    <w:uiPriority w:val="99"/>
    <w:unhideWhenUsed/>
    <w:rsid w:val="00040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92A"/>
  </w:style>
  <w:style w:type="paragraph" w:styleId="FootnoteText">
    <w:name w:val="footnote text"/>
    <w:basedOn w:val="Normal"/>
    <w:link w:val="FootnoteTextChar"/>
    <w:uiPriority w:val="99"/>
    <w:unhideWhenUsed/>
    <w:rsid w:val="002F77DC"/>
    <w:pPr>
      <w:spacing w:after="0" w:line="240" w:lineRule="auto"/>
    </w:pPr>
    <w:rPr>
      <w:szCs w:val="20"/>
    </w:rPr>
  </w:style>
  <w:style w:type="character" w:customStyle="1" w:styleId="FootnoteTextChar">
    <w:name w:val="Footnote Text Char"/>
    <w:basedOn w:val="DefaultParagraphFont"/>
    <w:link w:val="FootnoteText"/>
    <w:uiPriority w:val="99"/>
    <w:rsid w:val="002F77DC"/>
    <w:rPr>
      <w:szCs w:val="20"/>
    </w:rPr>
  </w:style>
  <w:style w:type="character" w:styleId="FootnoteReference">
    <w:name w:val="footnote reference"/>
    <w:basedOn w:val="DefaultParagraphFont"/>
    <w:uiPriority w:val="99"/>
    <w:semiHidden/>
    <w:unhideWhenUsed/>
    <w:rsid w:val="002F77DC"/>
    <w:rPr>
      <w:vertAlign w:val="superscript"/>
    </w:rPr>
  </w:style>
  <w:style w:type="character" w:customStyle="1" w:styleId="Heading1Char">
    <w:name w:val="Heading 1 Char"/>
    <w:basedOn w:val="DefaultParagraphFont"/>
    <w:link w:val="Heading1"/>
    <w:uiPriority w:val="9"/>
    <w:rsid w:val="00E9386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54AB"/>
    <w:rPr>
      <w:color w:val="0563C1" w:themeColor="hyperlink"/>
      <w:u w:val="single"/>
    </w:rPr>
  </w:style>
  <w:style w:type="character" w:styleId="UnresolvedMention">
    <w:name w:val="Unresolved Mention"/>
    <w:basedOn w:val="DefaultParagraphFont"/>
    <w:uiPriority w:val="99"/>
    <w:semiHidden/>
    <w:unhideWhenUsed/>
    <w:rsid w:val="00BC54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007558">
      <w:bodyDiv w:val="1"/>
      <w:marLeft w:val="0"/>
      <w:marRight w:val="0"/>
      <w:marTop w:val="0"/>
      <w:marBottom w:val="0"/>
      <w:divBdr>
        <w:top w:val="none" w:sz="0" w:space="0" w:color="auto"/>
        <w:left w:val="none" w:sz="0" w:space="0" w:color="auto"/>
        <w:bottom w:val="none" w:sz="0" w:space="0" w:color="auto"/>
        <w:right w:val="none" w:sz="0" w:space="0" w:color="auto"/>
      </w:divBdr>
    </w:div>
    <w:div w:id="402290741">
      <w:bodyDiv w:val="1"/>
      <w:marLeft w:val="0"/>
      <w:marRight w:val="0"/>
      <w:marTop w:val="0"/>
      <w:marBottom w:val="0"/>
      <w:divBdr>
        <w:top w:val="none" w:sz="0" w:space="0" w:color="auto"/>
        <w:left w:val="none" w:sz="0" w:space="0" w:color="auto"/>
        <w:bottom w:val="none" w:sz="0" w:space="0" w:color="auto"/>
        <w:right w:val="none" w:sz="0" w:space="0" w:color="auto"/>
      </w:divBdr>
    </w:div>
    <w:div w:id="720520744">
      <w:bodyDiv w:val="1"/>
      <w:marLeft w:val="0"/>
      <w:marRight w:val="0"/>
      <w:marTop w:val="0"/>
      <w:marBottom w:val="0"/>
      <w:divBdr>
        <w:top w:val="none" w:sz="0" w:space="0" w:color="auto"/>
        <w:left w:val="none" w:sz="0" w:space="0" w:color="auto"/>
        <w:bottom w:val="none" w:sz="0" w:space="0" w:color="auto"/>
        <w:right w:val="none" w:sz="0" w:space="0" w:color="auto"/>
      </w:divBdr>
    </w:div>
    <w:div w:id="1165437759">
      <w:bodyDiv w:val="1"/>
      <w:marLeft w:val="0"/>
      <w:marRight w:val="0"/>
      <w:marTop w:val="0"/>
      <w:marBottom w:val="0"/>
      <w:divBdr>
        <w:top w:val="none" w:sz="0" w:space="0" w:color="auto"/>
        <w:left w:val="none" w:sz="0" w:space="0" w:color="auto"/>
        <w:bottom w:val="none" w:sz="0" w:space="0" w:color="auto"/>
        <w:right w:val="none" w:sz="0" w:space="0" w:color="auto"/>
      </w:divBdr>
    </w:div>
    <w:div w:id="145779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dce1bc3af3253123499c6477ad4b7ff6">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084b139fd997dedebaaeb6545c39cf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8EA7E9-0C4D-44AE-8FE4-BC2233FFCC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2BBAA4-ACB9-4501-8F99-30D9A551669F}">
  <ds:schemaRefs>
    <ds:schemaRef ds:uri="http://schemas.microsoft.com/sharepoint/v3/contenttype/forms"/>
  </ds:schemaRefs>
</ds:datastoreItem>
</file>

<file path=customXml/itemProps3.xml><?xml version="1.0" encoding="utf-8"?>
<ds:datastoreItem xmlns:ds="http://schemas.openxmlformats.org/officeDocument/2006/customXml" ds:itemID="{BC197EFE-D29D-4C12-91AD-9282DBA636B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12AB15-7F16-4B07-9498-BAD569FEE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9</Pages>
  <Words>2917</Words>
  <Characters>16628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John Lawrence (1900459)</dc:creator>
  <cp:keywords/>
  <dc:description/>
  <cp:lastModifiedBy>Sam John Lawrence (1900459)</cp:lastModifiedBy>
  <cp:revision>3</cp:revision>
  <dcterms:created xsi:type="dcterms:W3CDTF">2021-12-15T15:00:00Z</dcterms:created>
  <dcterms:modified xsi:type="dcterms:W3CDTF">2021-12-15T17:14:00Z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