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2049" w:rsidRPr="00E12049" w:rsidRDefault="00E12049" w:rsidP="00E12049">
      <w:pPr>
        <w:shd w:val="clear" w:color="auto" w:fill="FFFFFF"/>
        <w:spacing w:after="0" w:line="240" w:lineRule="auto"/>
        <w:jc w:val="center"/>
        <w:rPr>
          <w:rFonts w:ascii="Helvetica" w:eastAsia="Times New Roman" w:hAnsi="Helvetica" w:cs="Helvetica"/>
          <w:b/>
          <w:bCs/>
          <w:color w:val="FFFFFF"/>
          <w:sz w:val="24"/>
          <w:szCs w:val="24"/>
          <w:lang w:eastAsia="en-GB"/>
        </w:rPr>
      </w:pPr>
      <w:r w:rsidRPr="00E12049">
        <w:rPr>
          <w:rFonts w:ascii="Helvetica" w:eastAsia="Times New Roman" w:hAnsi="Helvetica" w:cs="Helvetica"/>
          <w:b/>
          <w:bCs/>
          <w:color w:val="FFFFFF"/>
          <w:sz w:val="24"/>
          <w:szCs w:val="24"/>
          <w:lang w:eastAsia="en-GB"/>
        </w:rPr>
        <w:t>15 Feb 2019</w:t>
      </w:r>
    </w:p>
    <w:p w:rsidR="00E12049" w:rsidRDefault="00E12049" w:rsidP="00E12049">
      <w:pPr>
        <w:shd w:val="clear" w:color="auto" w:fill="FFFFFF"/>
        <w:spacing w:before="100" w:beforeAutospacing="1" w:after="100" w:afterAutospacing="1" w:line="240" w:lineRule="auto"/>
        <w:jc w:val="center"/>
        <w:outlineLvl w:val="0"/>
        <w:rPr>
          <w:rFonts w:ascii="Helvetica" w:eastAsia="Times New Roman" w:hAnsi="Helvetica" w:cs="Helvetica"/>
          <w:b/>
          <w:bCs/>
          <w:color w:val="FFFFFF"/>
          <w:kern w:val="36"/>
          <w:sz w:val="48"/>
          <w:szCs w:val="48"/>
          <w:lang w:eastAsia="en-GB"/>
        </w:rPr>
      </w:pPr>
      <w:r w:rsidRPr="00E12049">
        <w:rPr>
          <w:rFonts w:ascii="Helvetica" w:eastAsia="Times New Roman" w:hAnsi="Helvetica" w:cs="Helvetica"/>
          <w:b/>
          <w:bCs/>
          <w:color w:val="FFFFFF"/>
          <w:kern w:val="36"/>
          <w:sz w:val="48"/>
          <w:szCs w:val="48"/>
          <w:lang w:eastAsia="en-GB"/>
        </w:rPr>
        <w:t>Trade</w:t>
      </w:r>
      <w:hyperlink r:id="rId4" w:history="1">
        <w:r>
          <w:rPr>
            <w:rStyle w:val="Hyperlink"/>
          </w:rPr>
          <w:t>https://www.cipd.co.uk/news-views/nutshell/issue-84/trade-unions</w:t>
        </w:r>
      </w:hyperlink>
      <w:r w:rsidRPr="00E12049">
        <w:rPr>
          <w:rFonts w:ascii="Helvetica" w:eastAsia="Times New Roman" w:hAnsi="Helvetica" w:cs="Helvetica"/>
          <w:b/>
          <w:bCs/>
          <w:color w:val="FFFFFF"/>
          <w:kern w:val="36"/>
          <w:sz w:val="48"/>
          <w:szCs w:val="48"/>
          <w:lang w:eastAsia="en-GB"/>
        </w:rPr>
        <w:t xml:space="preserve"> </w:t>
      </w:r>
    </w:p>
    <w:p w:rsidR="00E12049" w:rsidRPr="00E12049" w:rsidRDefault="00E12049" w:rsidP="00E12049">
      <w:pPr>
        <w:pStyle w:val="Heading1"/>
        <w:shd w:val="clear" w:color="auto" w:fill="00A5A6"/>
        <w:jc w:val="center"/>
        <w:rPr>
          <w:rFonts w:ascii="Helvetica" w:eastAsia="Times New Roman" w:hAnsi="Helvetica" w:cs="Helvetica"/>
          <w:b/>
          <w:bCs/>
          <w:color w:val="FFFFFF"/>
          <w:kern w:val="36"/>
          <w:sz w:val="48"/>
          <w:szCs w:val="48"/>
          <w:lang w:eastAsia="en-GB"/>
        </w:rPr>
      </w:pPr>
      <w:proofErr w:type="spellStart"/>
      <w:r w:rsidRPr="00E12049">
        <w:rPr>
          <w:rFonts w:ascii="Helvetica" w:eastAsia="Times New Roman" w:hAnsi="Helvetica" w:cs="Helvetica"/>
          <w:b/>
          <w:bCs/>
          <w:color w:val="FFFFFF"/>
          <w:kern w:val="36"/>
          <w:sz w:val="48"/>
          <w:szCs w:val="48"/>
          <w:lang w:eastAsia="en-GB"/>
        </w:rPr>
        <w:t>uTrade</w:t>
      </w:r>
      <w:proofErr w:type="spellEnd"/>
      <w:r w:rsidRPr="00E12049">
        <w:rPr>
          <w:rFonts w:ascii="Helvetica" w:eastAsia="Times New Roman" w:hAnsi="Helvetica" w:cs="Helvetica"/>
          <w:b/>
          <w:bCs/>
          <w:color w:val="FFFFFF"/>
          <w:kern w:val="36"/>
          <w:sz w:val="48"/>
          <w:szCs w:val="48"/>
          <w:lang w:eastAsia="en-GB"/>
        </w:rPr>
        <w:t xml:space="preserve"> unions as joint change agents</w:t>
      </w:r>
    </w:p>
    <w:p w:rsidR="00E12049" w:rsidRPr="00E12049" w:rsidRDefault="00E12049" w:rsidP="00E12049">
      <w:pPr>
        <w:shd w:val="clear" w:color="auto" w:fill="00A5A6"/>
        <w:spacing w:before="100" w:beforeAutospacing="1" w:after="100" w:afterAutospacing="1" w:line="240" w:lineRule="auto"/>
        <w:jc w:val="center"/>
        <w:rPr>
          <w:rFonts w:ascii="Helvetica" w:eastAsia="Times New Roman" w:hAnsi="Helvetica" w:cs="Helvetica"/>
          <w:b/>
          <w:bCs/>
          <w:color w:val="FFFFFF"/>
          <w:sz w:val="24"/>
          <w:szCs w:val="24"/>
          <w:lang w:eastAsia="en-GB"/>
        </w:rPr>
      </w:pPr>
      <w:r w:rsidRPr="00E12049">
        <w:rPr>
          <w:rFonts w:ascii="Helvetica" w:eastAsia="Times New Roman" w:hAnsi="Helvetica" w:cs="Helvetica"/>
          <w:b/>
          <w:bCs/>
          <w:color w:val="FFFFFF"/>
          <w:sz w:val="24"/>
          <w:szCs w:val="24"/>
          <w:lang w:eastAsia="en-GB"/>
        </w:rPr>
        <w:t>Find out how trade-unions can help drive organisational change</w:t>
      </w:r>
    </w:p>
    <w:p w:rsidR="00E12049" w:rsidRDefault="00E12049" w:rsidP="00E12049">
      <w:pPr>
        <w:shd w:val="clear" w:color="auto" w:fill="FFFFFF"/>
        <w:spacing w:before="100" w:beforeAutospacing="1" w:after="100" w:afterAutospacing="1" w:line="240" w:lineRule="auto"/>
        <w:jc w:val="center"/>
        <w:rPr>
          <w:rFonts w:ascii="Helvetica" w:eastAsia="Times New Roman" w:hAnsi="Helvetica" w:cs="Helvetica"/>
          <w:b/>
          <w:bCs/>
          <w:color w:val="58595B"/>
          <w:sz w:val="24"/>
          <w:szCs w:val="24"/>
          <w:lang w:eastAsia="en-GB"/>
        </w:rPr>
      </w:pPr>
    </w:p>
    <w:p w:rsidR="00E12049" w:rsidRPr="00E12049" w:rsidRDefault="00E12049" w:rsidP="00E12049">
      <w:pPr>
        <w:shd w:val="clear" w:color="auto" w:fill="FFFFFF"/>
        <w:spacing w:before="100" w:beforeAutospacing="1" w:after="100" w:afterAutospacing="1" w:line="240" w:lineRule="auto"/>
        <w:jc w:val="center"/>
        <w:rPr>
          <w:rFonts w:ascii="Helvetica" w:eastAsia="Times New Roman" w:hAnsi="Helvetica" w:cs="Helvetica"/>
          <w:b/>
          <w:bCs/>
          <w:color w:val="58595B"/>
          <w:sz w:val="24"/>
          <w:szCs w:val="24"/>
          <w:lang w:eastAsia="en-GB"/>
        </w:rPr>
      </w:pPr>
      <w:bookmarkStart w:id="0" w:name="_GoBack"/>
      <w:bookmarkEnd w:id="0"/>
      <w:r w:rsidRPr="00E12049">
        <w:rPr>
          <w:rFonts w:ascii="Helvetica" w:eastAsia="Times New Roman" w:hAnsi="Helvetica" w:cs="Helvetica"/>
          <w:b/>
          <w:bCs/>
          <w:color w:val="58595B"/>
          <w:sz w:val="24"/>
          <w:szCs w:val="24"/>
          <w:lang w:eastAsia="en-GB"/>
        </w:rPr>
        <w:t>In a Nutshell: Issue 84  </w:t>
      </w:r>
    </w:p>
    <w:p w:rsidR="00E12049" w:rsidRPr="00E12049" w:rsidRDefault="00E12049" w:rsidP="00E12049">
      <w:pPr>
        <w:shd w:val="clear" w:color="auto" w:fill="FFFFFF"/>
        <w:spacing w:after="0" w:line="240" w:lineRule="auto"/>
        <w:jc w:val="center"/>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pict>
          <v:rect id="_x0000_i1025" style="width:0;height:0" o:hralign="center" o:hrstd="t" o:hr="t" fillcolor="#a0a0a0" stroked="f"/>
        </w:pic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 xml:space="preserve">This case-study based article examines the role trade-unions can have in helping to drive organisational change. The authors detail how unions can reduce cynicism amongst employees and ensure a prominent employee-based perspective as an organisation </w:t>
      </w:r>
      <w:proofErr w:type="gramStart"/>
      <w:r w:rsidRPr="00E12049">
        <w:rPr>
          <w:rFonts w:ascii="Helvetica" w:eastAsia="Times New Roman" w:hAnsi="Helvetica" w:cs="Helvetica"/>
          <w:b/>
          <w:bCs/>
          <w:color w:val="58595B"/>
          <w:sz w:val="24"/>
          <w:szCs w:val="24"/>
          <w:lang w:eastAsia="en-GB"/>
        </w:rPr>
        <w:t>transitions</w:t>
      </w:r>
      <w:proofErr w:type="gramEnd"/>
      <w:r w:rsidRPr="00E12049">
        <w:rPr>
          <w:rFonts w:ascii="Helvetica" w:eastAsia="Times New Roman" w:hAnsi="Helvetica" w:cs="Helvetica"/>
          <w:b/>
          <w:bCs/>
          <w:color w:val="58595B"/>
          <w:sz w:val="24"/>
          <w:szCs w:val="24"/>
          <w:lang w:eastAsia="en-GB"/>
        </w:rPr>
        <w:t>.</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 xml:space="preserve">Distributed leadership and employee cynicism: Trade unions as joint change agents, Peter Butler and Olga </w:t>
      </w:r>
      <w:proofErr w:type="spellStart"/>
      <w:r w:rsidRPr="00E12049">
        <w:rPr>
          <w:rFonts w:ascii="Helvetica" w:eastAsia="Times New Roman" w:hAnsi="Helvetica" w:cs="Helvetica"/>
          <w:b/>
          <w:bCs/>
          <w:color w:val="58595B"/>
          <w:sz w:val="24"/>
          <w:szCs w:val="24"/>
          <w:lang w:eastAsia="en-GB"/>
        </w:rPr>
        <w:t>Tregaskis</w:t>
      </w:r>
      <w:proofErr w:type="spellEnd"/>
      <w:r w:rsidRPr="00E12049">
        <w:rPr>
          <w:rFonts w:ascii="Helvetica" w:eastAsia="Times New Roman" w:hAnsi="Helvetica" w:cs="Helvetica"/>
          <w:b/>
          <w:bCs/>
          <w:color w:val="58595B"/>
          <w:sz w:val="24"/>
          <w:szCs w:val="24"/>
          <w:lang w:eastAsia="en-GB"/>
        </w:rPr>
        <w:t>, Human Resource Management Journal. Volume 28, Issue 4, November 2018, pp 540-554.</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p>
    <w:p w:rsidR="00E12049" w:rsidRPr="00E12049" w:rsidRDefault="00E12049" w:rsidP="00E12049">
      <w:pPr>
        <w:shd w:val="clear" w:color="auto" w:fill="FFFFFF"/>
        <w:spacing w:before="100" w:beforeAutospacing="1" w:after="100" w:afterAutospacing="1" w:line="240" w:lineRule="auto"/>
        <w:outlineLvl w:val="1"/>
        <w:rPr>
          <w:rFonts w:ascii="Helvetica" w:eastAsia="Times New Roman" w:hAnsi="Helvetica" w:cs="Helvetica"/>
          <w:b/>
          <w:bCs/>
          <w:color w:val="58595B"/>
          <w:sz w:val="36"/>
          <w:szCs w:val="36"/>
          <w:lang w:eastAsia="en-GB"/>
        </w:rPr>
      </w:pPr>
      <w:r w:rsidRPr="00E12049">
        <w:rPr>
          <w:rFonts w:ascii="Helvetica" w:eastAsia="Times New Roman" w:hAnsi="Helvetica" w:cs="Helvetica"/>
          <w:b/>
          <w:bCs/>
          <w:color w:val="58595B"/>
          <w:sz w:val="36"/>
          <w:szCs w:val="36"/>
          <w:lang w:eastAsia="en-GB"/>
        </w:rPr>
        <w:t>Article review</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There’s a nice anecdote of a trade union leader at his retirement party. A colleague congratulates him on his long length of service and comments, </w:t>
      </w:r>
      <w:r w:rsidRPr="00E12049">
        <w:rPr>
          <w:rFonts w:ascii="Helvetica" w:eastAsia="Times New Roman" w:hAnsi="Helvetica" w:cs="Helvetica"/>
          <w:b/>
          <w:bCs/>
          <w:i/>
          <w:iCs/>
          <w:color w:val="58595B"/>
          <w:sz w:val="24"/>
          <w:szCs w:val="24"/>
          <w:lang w:eastAsia="en-GB"/>
        </w:rPr>
        <w:t>‘you must have seen a lot of changes in your time’</w:t>
      </w:r>
      <w:r w:rsidRPr="00E12049">
        <w:rPr>
          <w:rFonts w:ascii="Helvetica" w:eastAsia="Times New Roman" w:hAnsi="Helvetica" w:cs="Helvetica"/>
          <w:b/>
          <w:bCs/>
          <w:color w:val="58595B"/>
          <w:sz w:val="24"/>
          <w:szCs w:val="24"/>
          <w:lang w:eastAsia="en-GB"/>
        </w:rPr>
        <w:t>, to which he quips, </w:t>
      </w:r>
      <w:r w:rsidRPr="00E12049">
        <w:rPr>
          <w:rFonts w:ascii="Helvetica" w:eastAsia="Times New Roman" w:hAnsi="Helvetica" w:cs="Helvetica"/>
          <w:b/>
          <w:bCs/>
          <w:i/>
          <w:iCs/>
          <w:color w:val="58595B"/>
          <w:sz w:val="24"/>
          <w:szCs w:val="24"/>
          <w:lang w:eastAsia="en-GB"/>
        </w:rPr>
        <w:t>‘yes, and I’ve opposed every one of them’</w:t>
      </w:r>
      <w:r w:rsidRPr="00E12049">
        <w:rPr>
          <w:rFonts w:ascii="Helvetica" w:eastAsia="Times New Roman" w:hAnsi="Helvetica" w:cs="Helvetica"/>
          <w:b/>
          <w:bCs/>
          <w:color w:val="58595B"/>
          <w:sz w:val="24"/>
          <w:szCs w:val="24"/>
          <w:lang w:eastAsia="en-GB"/>
        </w:rPr>
        <w:t>. </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 xml:space="preserve">These authors present </w:t>
      </w:r>
      <w:proofErr w:type="gramStart"/>
      <w:r w:rsidRPr="00E12049">
        <w:rPr>
          <w:rFonts w:ascii="Helvetica" w:eastAsia="Times New Roman" w:hAnsi="Helvetica" w:cs="Helvetica"/>
          <w:b/>
          <w:bCs/>
          <w:color w:val="58595B"/>
          <w:sz w:val="24"/>
          <w:szCs w:val="24"/>
          <w:lang w:eastAsia="en-GB"/>
        </w:rPr>
        <w:t>a polar opposite</w:t>
      </w:r>
      <w:proofErr w:type="gramEnd"/>
      <w:r w:rsidRPr="00E12049">
        <w:rPr>
          <w:rFonts w:ascii="Helvetica" w:eastAsia="Times New Roman" w:hAnsi="Helvetica" w:cs="Helvetica"/>
          <w:b/>
          <w:bCs/>
          <w:color w:val="58595B"/>
          <w:sz w:val="24"/>
          <w:szCs w:val="24"/>
          <w:lang w:eastAsia="en-GB"/>
        </w:rPr>
        <w:t xml:space="preserve"> view to that stereotype of the stubborn trade unionist, instead showing that trade unions can be supportive and active agents for organisational transformation.</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Drawing on an in-depth case study over three years, the research focuses on a plant manufacturing heavy engineering equipment and employing about 6,000 people. The plant was developed in a piecemeal way over time, leading to what an HR manager described as a ‘</w:t>
      </w:r>
      <w:proofErr w:type="spellStart"/>
      <w:r w:rsidRPr="00E12049">
        <w:rPr>
          <w:rFonts w:ascii="Helvetica" w:eastAsia="Times New Roman" w:hAnsi="Helvetica" w:cs="Helvetica"/>
          <w:b/>
          <w:bCs/>
          <w:color w:val="58595B"/>
          <w:sz w:val="24"/>
          <w:szCs w:val="24"/>
          <w:lang w:eastAsia="en-GB"/>
        </w:rPr>
        <w:t>higgledy</w:t>
      </w:r>
      <w:proofErr w:type="spellEnd"/>
      <w:r w:rsidRPr="00E12049">
        <w:rPr>
          <w:rFonts w:ascii="Helvetica" w:eastAsia="Times New Roman" w:hAnsi="Helvetica" w:cs="Helvetica"/>
          <w:b/>
          <w:bCs/>
          <w:color w:val="58595B"/>
          <w:sz w:val="24"/>
          <w:szCs w:val="24"/>
          <w:lang w:eastAsia="en-GB"/>
        </w:rPr>
        <w:t xml:space="preserve"> </w:t>
      </w:r>
      <w:proofErr w:type="spellStart"/>
      <w:r w:rsidRPr="00E12049">
        <w:rPr>
          <w:rFonts w:ascii="Helvetica" w:eastAsia="Times New Roman" w:hAnsi="Helvetica" w:cs="Helvetica"/>
          <w:b/>
          <w:bCs/>
          <w:color w:val="58595B"/>
          <w:sz w:val="24"/>
          <w:szCs w:val="24"/>
          <w:lang w:eastAsia="en-GB"/>
        </w:rPr>
        <w:t>piggledy</w:t>
      </w:r>
      <w:proofErr w:type="spellEnd"/>
      <w:r w:rsidRPr="00E12049">
        <w:rPr>
          <w:rFonts w:ascii="Helvetica" w:eastAsia="Times New Roman" w:hAnsi="Helvetica" w:cs="Helvetica"/>
          <w:b/>
          <w:bCs/>
          <w:color w:val="58595B"/>
          <w:sz w:val="24"/>
          <w:szCs w:val="24"/>
          <w:lang w:eastAsia="en-GB"/>
        </w:rPr>
        <w:t xml:space="preserve"> agglomeration of </w:t>
      </w:r>
      <w:proofErr w:type="gramStart"/>
      <w:r w:rsidRPr="00E12049">
        <w:rPr>
          <w:rFonts w:ascii="Helvetica" w:eastAsia="Times New Roman" w:hAnsi="Helvetica" w:cs="Helvetica"/>
          <w:b/>
          <w:bCs/>
          <w:color w:val="58595B"/>
          <w:sz w:val="24"/>
          <w:szCs w:val="24"/>
          <w:lang w:eastAsia="en-GB"/>
        </w:rPr>
        <w:t>units’</w:t>
      </w:r>
      <w:proofErr w:type="gramEnd"/>
      <w:r w:rsidRPr="00E12049">
        <w:rPr>
          <w:rFonts w:ascii="Helvetica" w:eastAsia="Times New Roman" w:hAnsi="Helvetica" w:cs="Helvetica"/>
          <w:b/>
          <w:bCs/>
          <w:color w:val="58595B"/>
          <w:sz w:val="24"/>
          <w:szCs w:val="24"/>
          <w:lang w:eastAsia="en-GB"/>
        </w:rPr>
        <w:t>. Much less efficient than competing plants abroad, it was in urgent need of change. </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A major challenge lay in employee cynicism about the need for or benefit of a change programme. One team member put it: </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i/>
          <w:iCs/>
          <w:color w:val="58595B"/>
          <w:sz w:val="24"/>
          <w:szCs w:val="24"/>
          <w:lang w:eastAsia="en-GB"/>
        </w:rPr>
        <w:lastRenderedPageBreak/>
        <w:t>‘I have never felt secure in this industry – never. I have spent 28 years in it. It has just lurched from crisis to crisis … The threat of redundancy for a lot of people who have been in the industry a long time is no threat at all because you can only hear it so many times and you just stop taking notice of it. You just get the feeling that you really are a small cog – even managers here are small cogs. If China goes into recession and starts dumping cheap product into Europe it doesn’t matter what we do here.’</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To overcome this cynicism, the managing director wanted to involve the trade union convenor at the plant, who was a ‘hardened’ veteran, being part of the trade union movement since 1969. The convenor agreed to work in partnership, joining the steering committee for the change programme, in part because of the MD’s ‘accessibility and general willingness to engage in debate’, which he described as ‘a massive change’. </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Another crucial factor that enabled this partnership was distributed leadership. The convenor was able to bring trade union concerns – such as health and safety – to the fore-front of organisational strategy. They were also given platforms to communicate to workers, for example, through regular contributions to the in-house newsletter, in which the MD also had a column. This supported the legitimacy of the union, in return for which the convenor moved away from the traditional role of responsive negotiator and towards being a strategic influencer and advocate of change. The outcome of this was a reduction in cynicism and greater engagement with the programme from employees. </w:t>
      </w:r>
    </w:p>
    <w:p w:rsidR="00E12049" w:rsidRPr="00E12049" w:rsidRDefault="00E12049" w:rsidP="00E12049">
      <w:pPr>
        <w:shd w:val="clear" w:color="auto" w:fill="FFFFFF"/>
        <w:spacing w:before="100" w:beforeAutospacing="1" w:after="100" w:afterAutospacing="1" w:line="240" w:lineRule="auto"/>
        <w:rPr>
          <w:rFonts w:ascii="Helvetica" w:eastAsia="Times New Roman" w:hAnsi="Helvetica" w:cs="Helvetica"/>
          <w:b/>
          <w:bCs/>
          <w:color w:val="58595B"/>
          <w:sz w:val="24"/>
          <w:szCs w:val="24"/>
          <w:lang w:eastAsia="en-GB"/>
        </w:rPr>
      </w:pPr>
      <w:r w:rsidRPr="00E12049">
        <w:rPr>
          <w:rFonts w:ascii="Helvetica" w:eastAsia="Times New Roman" w:hAnsi="Helvetica" w:cs="Helvetica"/>
          <w:b/>
          <w:bCs/>
          <w:color w:val="58595B"/>
          <w:sz w:val="24"/>
          <w:szCs w:val="24"/>
          <w:lang w:eastAsia="en-GB"/>
        </w:rPr>
        <w:t xml:space="preserve">The story of the retiring trade union official encapsulates a classic stereotype, but in </w:t>
      </w:r>
      <w:proofErr w:type="gramStart"/>
      <w:r w:rsidRPr="00E12049">
        <w:rPr>
          <w:rFonts w:ascii="Helvetica" w:eastAsia="Times New Roman" w:hAnsi="Helvetica" w:cs="Helvetica"/>
          <w:b/>
          <w:bCs/>
          <w:color w:val="58595B"/>
          <w:sz w:val="24"/>
          <w:szCs w:val="24"/>
          <w:lang w:eastAsia="en-GB"/>
        </w:rPr>
        <w:t>reality</w:t>
      </w:r>
      <w:proofErr w:type="gramEnd"/>
      <w:r w:rsidRPr="00E12049">
        <w:rPr>
          <w:rFonts w:ascii="Helvetica" w:eastAsia="Times New Roman" w:hAnsi="Helvetica" w:cs="Helvetica"/>
          <w:b/>
          <w:bCs/>
          <w:color w:val="58595B"/>
          <w:sz w:val="24"/>
          <w:szCs w:val="24"/>
          <w:lang w:eastAsia="en-GB"/>
        </w:rPr>
        <w:t xml:space="preserve"> there is scope for a great deal of collaborative and productive work. This research shows some of the mechanisms through which it can happen. </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 w:name="Helvetica">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049"/>
    <w:rsid w:val="002B0FF5"/>
    <w:rsid w:val="00E12049"/>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67845"/>
  <w15:chartTrackingRefBased/>
  <w15:docId w15:val="{1780246D-CF04-4F97-BC85-B989317FF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049"/>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12049"/>
    <w:rPr>
      <w:color w:val="0000FF"/>
      <w:u w:val="single"/>
    </w:rPr>
  </w:style>
  <w:style w:type="character" w:customStyle="1" w:styleId="Heading1Char">
    <w:name w:val="Heading 1 Char"/>
    <w:basedOn w:val="DefaultParagraphFont"/>
    <w:link w:val="Heading1"/>
    <w:uiPriority w:val="9"/>
    <w:rsid w:val="00E12049"/>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189051">
      <w:bodyDiv w:val="1"/>
      <w:marLeft w:val="0"/>
      <w:marRight w:val="0"/>
      <w:marTop w:val="0"/>
      <w:marBottom w:val="0"/>
      <w:divBdr>
        <w:top w:val="none" w:sz="0" w:space="0" w:color="auto"/>
        <w:left w:val="none" w:sz="0" w:space="0" w:color="auto"/>
        <w:bottom w:val="none" w:sz="0" w:space="0" w:color="auto"/>
        <w:right w:val="none" w:sz="0" w:space="0" w:color="auto"/>
      </w:divBdr>
      <w:divsChild>
        <w:div w:id="1407920168">
          <w:marLeft w:val="0"/>
          <w:marRight w:val="0"/>
          <w:marTop w:val="0"/>
          <w:marBottom w:val="0"/>
          <w:divBdr>
            <w:top w:val="none" w:sz="0" w:space="0" w:color="auto"/>
            <w:left w:val="none" w:sz="0" w:space="0" w:color="auto"/>
            <w:bottom w:val="none" w:sz="0" w:space="0" w:color="auto"/>
            <w:right w:val="none" w:sz="0" w:space="0" w:color="auto"/>
          </w:divBdr>
          <w:divsChild>
            <w:div w:id="1838568996">
              <w:marLeft w:val="0"/>
              <w:marRight w:val="0"/>
              <w:marTop w:val="0"/>
              <w:marBottom w:val="0"/>
              <w:divBdr>
                <w:top w:val="none" w:sz="0" w:space="0" w:color="auto"/>
                <w:left w:val="none" w:sz="0" w:space="0" w:color="auto"/>
                <w:bottom w:val="none" w:sz="0" w:space="0" w:color="auto"/>
                <w:right w:val="none" w:sz="0" w:space="0" w:color="auto"/>
              </w:divBdr>
            </w:div>
          </w:divsChild>
        </w:div>
        <w:div w:id="779226717">
          <w:marLeft w:val="0"/>
          <w:marRight w:val="0"/>
          <w:marTop w:val="0"/>
          <w:marBottom w:val="0"/>
          <w:divBdr>
            <w:top w:val="none" w:sz="0" w:space="0" w:color="auto"/>
            <w:left w:val="none" w:sz="0" w:space="0" w:color="auto"/>
            <w:bottom w:val="none" w:sz="0" w:space="0" w:color="auto"/>
            <w:right w:val="none" w:sz="0" w:space="0" w:color="auto"/>
          </w:divBdr>
          <w:divsChild>
            <w:div w:id="1842502127">
              <w:marLeft w:val="0"/>
              <w:marRight w:val="0"/>
              <w:marTop w:val="0"/>
              <w:marBottom w:val="0"/>
              <w:divBdr>
                <w:top w:val="none" w:sz="0" w:space="0" w:color="auto"/>
                <w:left w:val="none" w:sz="0" w:space="0" w:color="auto"/>
                <w:bottom w:val="none" w:sz="0" w:space="0" w:color="auto"/>
                <w:right w:val="none" w:sz="0" w:space="0" w:color="auto"/>
              </w:divBdr>
              <w:divsChild>
                <w:div w:id="84235126">
                  <w:marLeft w:val="0"/>
                  <w:marRight w:val="0"/>
                  <w:marTop w:val="0"/>
                  <w:marBottom w:val="0"/>
                  <w:divBdr>
                    <w:top w:val="none" w:sz="0" w:space="0" w:color="auto"/>
                    <w:left w:val="none" w:sz="0" w:space="0" w:color="auto"/>
                    <w:bottom w:val="none" w:sz="0" w:space="0" w:color="auto"/>
                    <w:right w:val="none" w:sz="0" w:space="0" w:color="auto"/>
                  </w:divBdr>
                  <w:divsChild>
                    <w:div w:id="1443456004">
                      <w:marLeft w:val="0"/>
                      <w:marRight w:val="0"/>
                      <w:marTop w:val="0"/>
                      <w:marBottom w:val="0"/>
                      <w:divBdr>
                        <w:top w:val="none" w:sz="0" w:space="0" w:color="auto"/>
                        <w:left w:val="none" w:sz="0" w:space="0" w:color="auto"/>
                        <w:bottom w:val="none" w:sz="0" w:space="0" w:color="auto"/>
                        <w:right w:val="none" w:sz="0" w:space="0" w:color="auto"/>
                      </w:divBdr>
                      <w:divsChild>
                        <w:div w:id="1712656401">
                          <w:marLeft w:val="1605"/>
                          <w:marRight w:val="1605"/>
                          <w:marTop w:val="0"/>
                          <w:marBottom w:val="0"/>
                          <w:divBdr>
                            <w:top w:val="none" w:sz="0" w:space="0" w:color="auto"/>
                            <w:left w:val="none" w:sz="0" w:space="0" w:color="auto"/>
                            <w:bottom w:val="none" w:sz="0" w:space="0" w:color="auto"/>
                            <w:right w:val="none" w:sz="0" w:space="0" w:color="auto"/>
                          </w:divBdr>
                          <w:divsChild>
                            <w:div w:id="18267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347713">
              <w:marLeft w:val="0"/>
              <w:marRight w:val="0"/>
              <w:marTop w:val="0"/>
              <w:marBottom w:val="0"/>
              <w:divBdr>
                <w:top w:val="none" w:sz="0" w:space="0" w:color="auto"/>
                <w:left w:val="none" w:sz="0" w:space="0" w:color="auto"/>
                <w:bottom w:val="none" w:sz="0" w:space="0" w:color="auto"/>
                <w:right w:val="none" w:sz="0" w:space="0" w:color="auto"/>
              </w:divBdr>
              <w:divsChild>
                <w:div w:id="1589726924">
                  <w:marLeft w:val="0"/>
                  <w:marRight w:val="0"/>
                  <w:marTop w:val="0"/>
                  <w:marBottom w:val="0"/>
                  <w:divBdr>
                    <w:top w:val="none" w:sz="0" w:space="0" w:color="auto"/>
                    <w:left w:val="none" w:sz="0" w:space="0" w:color="auto"/>
                    <w:bottom w:val="none" w:sz="0" w:space="0" w:color="auto"/>
                    <w:right w:val="none" w:sz="0" w:space="0" w:color="auto"/>
                  </w:divBdr>
                  <w:divsChild>
                    <w:div w:id="467164683">
                      <w:marLeft w:val="0"/>
                      <w:marRight w:val="0"/>
                      <w:marTop w:val="0"/>
                      <w:marBottom w:val="0"/>
                      <w:divBdr>
                        <w:top w:val="none" w:sz="0" w:space="0" w:color="auto"/>
                        <w:left w:val="none" w:sz="0" w:space="0" w:color="auto"/>
                        <w:bottom w:val="none" w:sz="0" w:space="0" w:color="auto"/>
                        <w:right w:val="none" w:sz="0" w:space="0" w:color="auto"/>
                      </w:divBdr>
                      <w:divsChild>
                        <w:div w:id="1193685293">
                          <w:marLeft w:val="1605"/>
                          <w:marRight w:val="1605"/>
                          <w:marTop w:val="0"/>
                          <w:marBottom w:val="0"/>
                          <w:divBdr>
                            <w:top w:val="none" w:sz="0" w:space="0" w:color="auto"/>
                            <w:left w:val="none" w:sz="0" w:space="0" w:color="auto"/>
                            <w:bottom w:val="none" w:sz="0" w:space="0" w:color="auto"/>
                            <w:right w:val="none" w:sz="0" w:space="0" w:color="auto"/>
                          </w:divBdr>
                          <w:divsChild>
                            <w:div w:id="14268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094295">
              <w:marLeft w:val="0"/>
              <w:marRight w:val="0"/>
              <w:marTop w:val="0"/>
              <w:marBottom w:val="0"/>
              <w:divBdr>
                <w:top w:val="none" w:sz="0" w:space="0" w:color="auto"/>
                <w:left w:val="none" w:sz="0" w:space="0" w:color="auto"/>
                <w:bottom w:val="none" w:sz="0" w:space="0" w:color="auto"/>
                <w:right w:val="none" w:sz="0" w:space="0" w:color="auto"/>
              </w:divBdr>
              <w:divsChild>
                <w:div w:id="1194342997">
                  <w:marLeft w:val="0"/>
                  <w:marRight w:val="0"/>
                  <w:marTop w:val="0"/>
                  <w:marBottom w:val="0"/>
                  <w:divBdr>
                    <w:top w:val="none" w:sz="0" w:space="0" w:color="auto"/>
                    <w:left w:val="none" w:sz="0" w:space="0" w:color="auto"/>
                    <w:bottom w:val="none" w:sz="0" w:space="0" w:color="auto"/>
                    <w:right w:val="none" w:sz="0" w:space="0" w:color="auto"/>
                  </w:divBdr>
                  <w:divsChild>
                    <w:div w:id="174224380">
                      <w:marLeft w:val="0"/>
                      <w:marRight w:val="0"/>
                      <w:marTop w:val="0"/>
                      <w:marBottom w:val="0"/>
                      <w:divBdr>
                        <w:top w:val="none" w:sz="0" w:space="0" w:color="auto"/>
                        <w:left w:val="none" w:sz="0" w:space="0" w:color="auto"/>
                        <w:bottom w:val="none" w:sz="0" w:space="0" w:color="auto"/>
                        <w:right w:val="none" w:sz="0" w:space="0" w:color="auto"/>
                      </w:divBdr>
                      <w:divsChild>
                        <w:div w:id="162428546">
                          <w:marLeft w:val="1605"/>
                          <w:marRight w:val="1605"/>
                          <w:marTop w:val="0"/>
                          <w:marBottom w:val="0"/>
                          <w:divBdr>
                            <w:top w:val="none" w:sz="0" w:space="0" w:color="auto"/>
                            <w:left w:val="none" w:sz="0" w:space="0" w:color="auto"/>
                            <w:bottom w:val="none" w:sz="0" w:space="0" w:color="auto"/>
                            <w:right w:val="none" w:sz="0" w:space="0" w:color="auto"/>
                          </w:divBdr>
                          <w:divsChild>
                            <w:div w:id="126696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410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cipd.co.uk/news-views/nutshell/issue-84/trade-un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2</Pages>
  <Words>537</Words>
  <Characters>3066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2020-02-05T10:15:00Z</dcterms:created>
  <dcterms:modified xsi:type="dcterms:W3CDTF">2020-02-05T10:17:00Z</dcterms:modified>
</cp:coreProperties>
</file>