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5EB92" w14:textId="77777777" w:rsidR="00C71DF1" w:rsidRDefault="00C71DF1">
      <w:pPr>
        <w:spacing w:after="200"/>
      </w:pPr>
    </w:p>
    <w:p w14:paraId="0D15EB93" w14:textId="77777777" w:rsidR="00C71DF1" w:rsidRDefault="00641D8D">
      <w:pPr>
        <w:ind w:left="426"/>
      </w:pPr>
      <w:r>
        <w:rPr>
          <w:noProof/>
        </w:rPr>
        <w:drawing>
          <wp:inline distT="0" distB="0" distL="0" distR="0" wp14:anchorId="0D15EBDB" wp14:editId="0D15EBDC">
            <wp:extent cx="2286000" cy="914400"/>
            <wp:effectExtent l="0" t="0" r="0" b="0"/>
            <wp:docPr id="1" name="logo" descr="University logo" title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5EB94" w14:textId="77777777" w:rsidR="00C71DF1" w:rsidRDefault="00C71DF1">
      <w:pPr>
        <w:spacing w:after="400"/>
      </w:pPr>
    </w:p>
    <w:p w14:paraId="0D15EB95" w14:textId="77777777" w:rsidR="00C71DF1" w:rsidRDefault="00641D8D">
      <w:pPr>
        <w:spacing w:after="160" w:line="300" w:lineRule="auto"/>
        <w:ind w:left="426" w:right="1400"/>
      </w:pPr>
      <w:r>
        <w:rPr>
          <w:b/>
          <w:bCs/>
          <w:color w:val="1F3864"/>
          <w:sz w:val="44"/>
          <w:szCs w:val="44"/>
        </w:rPr>
        <w:t>Staying Independent in Later Life: Care and Support Needs of Older People in the UK</w:t>
      </w:r>
    </w:p>
    <w:p w14:paraId="0D15EB96" w14:textId="77777777" w:rsidR="00C71DF1" w:rsidRDefault="00641D8D">
      <w:pPr>
        <w:spacing w:after="480"/>
        <w:ind w:left="426"/>
      </w:pPr>
      <w:r>
        <w:rPr>
          <w:color w:val="52514E"/>
          <w:sz w:val="30"/>
          <w:szCs w:val="30"/>
        </w:rPr>
        <w:t>Component 1: Individual Poster Presentation</w:t>
      </w:r>
    </w:p>
    <w:p w14:paraId="0D15EB97" w14:textId="7AF64527" w:rsidR="00C71DF1" w:rsidRDefault="00641D8D">
      <w:pPr>
        <w:spacing w:line="360" w:lineRule="auto"/>
        <w:ind w:left="426"/>
      </w:pPr>
      <w:r>
        <w:rPr>
          <w:b/>
          <w:bCs/>
          <w:sz w:val="28"/>
          <w:szCs w:val="28"/>
        </w:rPr>
        <w:t>Student name</w:t>
      </w:r>
      <w:r>
        <w:rPr>
          <w:sz w:val="28"/>
          <w:szCs w:val="28"/>
        </w:rPr>
        <w:t>:</w:t>
      </w:r>
      <w:r w:rsidR="007333D5">
        <w:rPr>
          <w:sz w:val="28"/>
          <w:szCs w:val="28"/>
        </w:rPr>
        <w:t xml:space="preserve"> Cristina Apostol</w:t>
      </w:r>
    </w:p>
    <w:p w14:paraId="0D15EB98" w14:textId="5F8ABC54" w:rsidR="00C71DF1" w:rsidRDefault="00641D8D">
      <w:pPr>
        <w:spacing w:line="360" w:lineRule="auto"/>
        <w:ind w:left="426"/>
      </w:pPr>
      <w:r>
        <w:rPr>
          <w:b/>
          <w:bCs/>
          <w:sz w:val="28"/>
          <w:szCs w:val="28"/>
        </w:rPr>
        <w:t>Student ID</w:t>
      </w:r>
      <w:r>
        <w:rPr>
          <w:sz w:val="28"/>
          <w:szCs w:val="28"/>
        </w:rPr>
        <w:t>:</w:t>
      </w:r>
      <w:r w:rsidR="007333D5">
        <w:rPr>
          <w:sz w:val="28"/>
          <w:szCs w:val="28"/>
        </w:rPr>
        <w:t xml:space="preserve"> 2335890</w:t>
      </w:r>
    </w:p>
    <w:p w14:paraId="0D15EB99" w14:textId="77777777" w:rsidR="00C71DF1" w:rsidRDefault="00C71DF1">
      <w:pPr>
        <w:spacing w:line="360" w:lineRule="auto"/>
      </w:pPr>
    </w:p>
    <w:p w14:paraId="0D15EB9A" w14:textId="77777777" w:rsidR="00C71DF1" w:rsidRDefault="00641D8D">
      <w:pPr>
        <w:spacing w:line="360" w:lineRule="auto"/>
        <w:ind w:left="426"/>
      </w:pPr>
      <w:r>
        <w:rPr>
          <w:b/>
          <w:bCs/>
          <w:sz w:val="28"/>
          <w:szCs w:val="28"/>
        </w:rPr>
        <w:t>Module name</w:t>
      </w:r>
      <w:r>
        <w:rPr>
          <w:sz w:val="28"/>
          <w:szCs w:val="28"/>
        </w:rPr>
        <w:t>: Empowering the Older Person</w:t>
      </w:r>
    </w:p>
    <w:p w14:paraId="0D15EB9B" w14:textId="77777777" w:rsidR="00C71DF1" w:rsidRDefault="00641D8D">
      <w:pPr>
        <w:spacing w:line="360" w:lineRule="auto"/>
        <w:ind w:left="426"/>
      </w:pPr>
      <w:r>
        <w:rPr>
          <w:b/>
          <w:bCs/>
          <w:sz w:val="28"/>
          <w:szCs w:val="28"/>
        </w:rPr>
        <w:t>Module code</w:t>
      </w:r>
      <w:r>
        <w:rPr>
          <w:sz w:val="28"/>
          <w:szCs w:val="28"/>
        </w:rPr>
        <w:t>: BMHP6027</w:t>
      </w:r>
    </w:p>
    <w:p w14:paraId="0D15EB9C" w14:textId="59D67012" w:rsidR="00C71DF1" w:rsidRDefault="00641D8D">
      <w:pPr>
        <w:spacing w:line="360" w:lineRule="auto"/>
        <w:ind w:left="426"/>
      </w:pPr>
      <w:r>
        <w:rPr>
          <w:b/>
          <w:bCs/>
          <w:sz w:val="28"/>
          <w:szCs w:val="28"/>
        </w:rPr>
        <w:t>Lecturer’s name</w:t>
      </w:r>
      <w:r>
        <w:rPr>
          <w:sz w:val="28"/>
          <w:szCs w:val="28"/>
        </w:rPr>
        <w:t xml:space="preserve">: </w:t>
      </w:r>
      <w:r w:rsidRPr="002401EF">
        <w:rPr>
          <w:sz w:val="28"/>
          <w:szCs w:val="28"/>
        </w:rPr>
        <w:t xml:space="preserve">Dr Laila Surani / Dr Ping Wu </w:t>
      </w:r>
    </w:p>
    <w:p w14:paraId="0D15EB9D" w14:textId="77777777" w:rsidR="00C71DF1" w:rsidRDefault="00641D8D">
      <w:r>
        <w:br w:type="page"/>
      </w:r>
    </w:p>
    <w:tbl>
      <w:tblPr>
        <w:tblW w:w="144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00"/>
      </w:tblGrid>
      <w:tr w:rsidR="00C71DF1" w14:paraId="0D15EB9F" w14:textId="77777777">
        <w:tc>
          <w:tcPr>
            <w:tcW w:w="14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D15EB9E" w14:textId="77777777" w:rsidR="00C71DF1" w:rsidRDefault="00641D8D">
            <w:pPr>
              <w:jc w:val="center"/>
            </w:pPr>
            <w:r>
              <w:rPr>
                <w:b/>
                <w:bCs/>
                <w:color w:val="FFFFFF"/>
                <w:sz w:val="40"/>
                <w:szCs w:val="40"/>
              </w:rPr>
              <w:lastRenderedPageBreak/>
              <w:t>Staying Independent in Later Life</w:t>
            </w:r>
          </w:p>
        </w:tc>
      </w:tr>
    </w:tbl>
    <w:p w14:paraId="0D15EBA0" w14:textId="77777777" w:rsidR="00C71DF1" w:rsidRDefault="00C71DF1">
      <w:pPr>
        <w:spacing w:line="120" w:lineRule="exact"/>
      </w:pPr>
    </w:p>
    <w:tbl>
      <w:tblPr>
        <w:tblW w:w="144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0"/>
        <w:gridCol w:w="240"/>
        <w:gridCol w:w="4640"/>
        <w:gridCol w:w="240"/>
        <w:gridCol w:w="4640"/>
      </w:tblGrid>
      <w:tr w:rsidR="00C71DF1" w14:paraId="0D15EBC4" w14:textId="77777777">
        <w:trPr>
          <w:cantSplit/>
          <w:trHeight w:val="9800"/>
        </w:trPr>
        <w:tc>
          <w:tcPr>
            <w:tcW w:w="4640" w:type="dxa"/>
            <w:tcBorders>
              <w:top w:val="single" w:sz="8" w:space="0" w:color="8EAADB"/>
              <w:left w:val="single" w:sz="8" w:space="0" w:color="8EAADB"/>
              <w:bottom w:val="single" w:sz="8" w:space="0" w:color="8EAADB"/>
              <w:right w:val="single" w:sz="8" w:space="0" w:color="8EAADB"/>
            </w:tcBorders>
            <w:tcMar>
              <w:top w:w="90" w:type="dxa"/>
              <w:left w:w="100" w:type="dxa"/>
              <w:bottom w:w="60" w:type="dxa"/>
              <w:right w:w="100" w:type="dxa"/>
            </w:tcMar>
          </w:tcPr>
          <w:p w14:paraId="0D15EBA1" w14:textId="77777777" w:rsidR="00C71DF1" w:rsidRDefault="00641D8D">
            <w:pPr>
              <w:spacing w:before="40"/>
              <w:jc w:val="center"/>
            </w:pPr>
            <w:r>
              <w:rPr>
                <w:noProof/>
              </w:rPr>
              <w:drawing>
                <wp:inline distT="0" distB="0" distL="0" distR="0" wp14:anchorId="0D15EBDD" wp14:editId="0D15EBDE">
                  <wp:extent cx="2743200" cy="1676400"/>
                  <wp:effectExtent l="0" t="0" r="0" b="0"/>
                  <wp:docPr id="1535454742" name="fig1_who_model.png" descr="fig1_who_model.png" title="fig1_who_mode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15EBA2" w14:textId="77777777" w:rsidR="00C71DF1" w:rsidRDefault="00641D8D">
            <w:pPr>
              <w:spacing w:before="30" w:after="60"/>
              <w:jc w:val="center"/>
            </w:pPr>
            <w:r>
              <w:rPr>
                <w:i/>
                <w:iCs/>
                <w:color w:val="52514E"/>
                <w:sz w:val="15"/>
                <w:szCs w:val="15"/>
              </w:rPr>
              <w:t>Figure 1: Healthy ageing model (adapted from WHO, 2015)</w:t>
            </w:r>
          </w:p>
          <w:p w14:paraId="0D15EBA3" w14:textId="77777777" w:rsidR="00C71DF1" w:rsidRDefault="00641D8D">
            <w:pPr>
              <w:shd w:val="clear" w:color="auto" w:fill="1F4E79"/>
              <w:spacing w:before="140" w:after="8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 Introduction</w:t>
            </w:r>
          </w:p>
          <w:p w14:paraId="0D15EBA4" w14:textId="77777777" w:rsidR="00C71DF1" w:rsidRDefault="00641D8D">
            <w:pPr>
              <w:spacing w:after="70" w:line="245" w:lineRule="auto"/>
            </w:pPr>
            <w:r>
              <w:t>The UK population is ageing. In 2021, 11.1 million people in England and Wales were aged 65 or over (18.6%), up from 9.2 million in 2011 (ONS, 2023). Many live for years with long-term conditions. This poster evaluates their needs, UK services and policy, barriers to independence and ways to empower them.</w:t>
            </w:r>
          </w:p>
          <w:p w14:paraId="0D15EBA5" w14:textId="77777777" w:rsidR="00C71DF1" w:rsidRDefault="00641D8D">
            <w:pPr>
              <w:shd w:val="clear" w:color="auto" w:fill="1F4E79"/>
              <w:spacing w:before="140" w:after="8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 Two Theories</w:t>
            </w:r>
          </w:p>
          <w:p w14:paraId="0D15EBA6" w14:textId="77777777" w:rsidR="00C71DF1" w:rsidRDefault="00641D8D">
            <w:pPr>
              <w:pStyle w:val="ListParagraph"/>
              <w:numPr>
                <w:ilvl w:val="0"/>
                <w:numId w:val="2"/>
              </w:numPr>
              <w:spacing w:after="45" w:line="245" w:lineRule="auto"/>
            </w:pPr>
            <w:r>
              <w:rPr>
                <w:b/>
                <w:bCs/>
              </w:rPr>
              <w:t>Activity theory:</w:t>
            </w:r>
            <w:r>
              <w:t xml:space="preserve"> people age well by staying active and involved (Havighurst, 1961). This supports reablement and community groups, but it can ignore people who are too ill or prefer a quieter life.</w:t>
            </w:r>
          </w:p>
          <w:p w14:paraId="0D15EBA7" w14:textId="77777777" w:rsidR="00C71DF1" w:rsidRDefault="00641D8D">
            <w:pPr>
              <w:pStyle w:val="ListParagraph"/>
              <w:numPr>
                <w:ilvl w:val="0"/>
                <w:numId w:val="2"/>
              </w:numPr>
              <w:spacing w:after="45" w:line="245" w:lineRule="auto"/>
            </w:pPr>
            <w:r>
              <w:rPr>
                <w:b/>
                <w:bCs/>
              </w:rPr>
              <w:t>Disengagement theory:</w:t>
            </w:r>
            <w:r>
              <w:t xml:space="preserve"> pulling back from society is natural (Cumming and Henry, 1961). However, it can be used to excuse isolation, so the Care Act’s focus on wellbeing fits activity theory better.</w:t>
            </w:r>
          </w:p>
          <w:p w14:paraId="0D15EBA8" w14:textId="77777777" w:rsidR="00C71DF1" w:rsidRDefault="00641D8D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0D15EBDF" wp14:editId="0D15EBE0">
                  <wp:extent cx="2743200" cy="913507"/>
                  <wp:effectExtent l="0" t="0" r="0" b="0"/>
                  <wp:docPr id="10" name="fig3_walking_group.jpg" descr="A group of older walkers standing together on a street in Godalming, UK" title="Fig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3_walking_grou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913507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8EAADB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15EBA9" w14:textId="77777777" w:rsidR="00C71DF1" w:rsidRDefault="00641D8D">
            <w:pPr>
              <w:spacing w:before="30"/>
              <w:jc w:val="center"/>
            </w:pPr>
            <w:r>
              <w:rPr>
                <w:i/>
                <w:iCs/>
                <w:color w:val="52514E"/>
                <w:sz w:val="15"/>
                <w:szCs w:val="15"/>
              </w:rPr>
              <w:t>Figure 3: Active ageing (Gareth1953 All Right Now, 2011)</w:t>
            </w:r>
          </w:p>
        </w:tc>
        <w:tc>
          <w:tcPr>
            <w:tcW w:w="2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90" w:type="dxa"/>
              <w:left w:w="100" w:type="dxa"/>
              <w:bottom w:w="60" w:type="dxa"/>
              <w:right w:w="100" w:type="dxa"/>
            </w:tcMar>
          </w:tcPr>
          <w:p w14:paraId="0D15EBAA" w14:textId="77777777" w:rsidR="00C71DF1" w:rsidRDefault="00C71DF1"/>
        </w:tc>
        <w:tc>
          <w:tcPr>
            <w:tcW w:w="4640" w:type="dxa"/>
            <w:tcBorders>
              <w:top w:val="single" w:sz="8" w:space="0" w:color="8EAADB"/>
              <w:left w:val="single" w:sz="8" w:space="0" w:color="8EAADB"/>
              <w:bottom w:val="single" w:sz="8" w:space="0" w:color="8EAADB"/>
              <w:right w:val="single" w:sz="8" w:space="0" w:color="8EAADB"/>
            </w:tcBorders>
            <w:tcMar>
              <w:top w:w="90" w:type="dxa"/>
              <w:left w:w="100" w:type="dxa"/>
              <w:bottom w:w="60" w:type="dxa"/>
              <w:right w:w="100" w:type="dxa"/>
            </w:tcMar>
          </w:tcPr>
          <w:p w14:paraId="0D15EBAB" w14:textId="77777777" w:rsidR="00C71DF1" w:rsidRDefault="00641D8D">
            <w:pPr>
              <w:shd w:val="clear" w:color="auto" w:fill="1F4E79"/>
              <w:spacing w:after="8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 Care, Empowerment and Support Needs</w:t>
            </w:r>
          </w:p>
          <w:p w14:paraId="0D15EBAC" w14:textId="77777777" w:rsidR="00C71DF1" w:rsidRDefault="00641D8D">
            <w:pPr>
              <w:spacing w:after="70" w:line="245" w:lineRule="auto"/>
            </w:pPr>
            <w:r>
              <w:t>The WHO (2015) links healthy ageing to functional ability: being able to do what you value. It depends on both health and environment (Figure 1). Key needs are:</w:t>
            </w:r>
          </w:p>
          <w:p w14:paraId="0D15EBAD" w14:textId="77777777" w:rsidR="00C71DF1" w:rsidRDefault="00641D8D">
            <w:pPr>
              <w:pStyle w:val="ListParagraph"/>
              <w:numPr>
                <w:ilvl w:val="0"/>
                <w:numId w:val="2"/>
              </w:numPr>
              <w:spacing w:after="45" w:line="245" w:lineRule="auto"/>
            </w:pPr>
            <w:r>
              <w:rPr>
                <w:b/>
                <w:bCs/>
              </w:rPr>
              <w:t>Functional ability:</w:t>
            </w:r>
            <w:r>
              <w:t xml:space="preserve"> help to wash, dress and move safely. About 1 in 3 people over 65 fall each year (NICE, 2025).</w:t>
            </w:r>
          </w:p>
          <w:p w14:paraId="0D15EBAE" w14:textId="77777777" w:rsidR="00C71DF1" w:rsidRDefault="00641D8D">
            <w:pPr>
              <w:pStyle w:val="ListParagraph"/>
              <w:numPr>
                <w:ilvl w:val="0"/>
                <w:numId w:val="2"/>
              </w:numPr>
              <w:spacing w:after="45" w:line="245" w:lineRule="auto"/>
            </w:pPr>
            <w:r>
              <w:rPr>
                <w:b/>
                <w:bCs/>
              </w:rPr>
              <w:t>Independence, freedom and choice:</w:t>
            </w:r>
            <w:r>
              <w:t xml:space="preserve"> control over care and daily life.</w:t>
            </w:r>
          </w:p>
          <w:p w14:paraId="0D15EBAF" w14:textId="77777777" w:rsidR="00C71DF1" w:rsidRDefault="00641D8D">
            <w:pPr>
              <w:pStyle w:val="ListParagraph"/>
              <w:numPr>
                <w:ilvl w:val="0"/>
                <w:numId w:val="2"/>
              </w:numPr>
              <w:spacing w:after="45" w:line="245" w:lineRule="auto"/>
            </w:pPr>
            <w:r>
              <w:rPr>
                <w:b/>
                <w:bCs/>
              </w:rPr>
              <w:t>Social connection:</w:t>
            </w:r>
            <w:r>
              <w:t xml:space="preserve"> 940,000 older people are often lonely (Age UK, 2024c).</w:t>
            </w:r>
          </w:p>
          <w:p w14:paraId="0D15EBB0" w14:textId="77777777" w:rsidR="00C71DF1" w:rsidRDefault="00641D8D">
            <w:pPr>
              <w:spacing w:after="70" w:line="245" w:lineRule="auto"/>
            </w:pPr>
            <w:r>
              <w:t>However, older people are not one group, and ageism can limit the care and choices they are offered (WHO, 2021).</w:t>
            </w:r>
          </w:p>
          <w:p w14:paraId="0D15EBB1" w14:textId="77777777" w:rsidR="00C71DF1" w:rsidRDefault="00641D8D">
            <w:pPr>
              <w:shd w:val="clear" w:color="auto" w:fill="1F4E79"/>
              <w:spacing w:before="140" w:after="8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 UK Approaches and Policy</w:t>
            </w:r>
          </w:p>
          <w:p w14:paraId="0D15EBB2" w14:textId="77777777" w:rsidR="00C71DF1" w:rsidRDefault="00641D8D">
            <w:pPr>
              <w:spacing w:after="70" w:line="245" w:lineRule="auto"/>
            </w:pPr>
            <w:r>
              <w:rPr>
                <w:b/>
                <w:bCs/>
              </w:rPr>
              <w:t>Policy:</w:t>
            </w:r>
            <w:r>
              <w:t xml:space="preserve"> The Care Act 2014 makes wellbeing and prevention a legal duty and gives people with eligible needs personal budgets for more choice. The </w:t>
            </w:r>
            <w:proofErr w:type="gramStart"/>
            <w:r>
              <w:t>10 Year</w:t>
            </w:r>
            <w:proofErr w:type="gramEnd"/>
            <w:r>
              <w:t xml:space="preserve"> Health Plan (DHSC, 2025) aims to move care into communities and online.</w:t>
            </w:r>
          </w:p>
          <w:p w14:paraId="0D15EBB3" w14:textId="77777777" w:rsidR="00C71DF1" w:rsidRDefault="00641D8D">
            <w:pPr>
              <w:spacing w:after="70" w:line="245" w:lineRule="auto"/>
            </w:pPr>
            <w:r>
              <w:rPr>
                <w:b/>
                <w:bCs/>
              </w:rPr>
              <w:t>What works:</w:t>
            </w:r>
            <w:r>
              <w:t xml:space="preserve"> Reablement (short-term support at home) led to better outcomes at discharge, but results varied between people and services (Beresford et al., 2019). The Wigan Deal, a strengths-based model, is seen as best practice; healthy life expectancy there rose (Naylor and Wellings, 2019).</w:t>
            </w:r>
          </w:p>
          <w:p w14:paraId="0D15EBB4" w14:textId="77777777" w:rsidR="00C71DF1" w:rsidRDefault="00641D8D">
            <w:pPr>
              <w:spacing w:after="70" w:line="245" w:lineRule="auto"/>
            </w:pPr>
            <w:r>
              <w:rPr>
                <w:b/>
                <w:bCs/>
              </w:rPr>
              <w:t>Technology:</w:t>
            </w:r>
            <w:r>
              <w:t xml:space="preserve"> Telecare (alarms and sensors) is widely used, but large UK trials found it did not significantly reduce hospital use or delay care home moves (Steventon et al., 2013; Howard et al., 2021). Technology should support, not replace, human care.</w:t>
            </w:r>
          </w:p>
        </w:tc>
        <w:tc>
          <w:tcPr>
            <w:tcW w:w="2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90" w:type="dxa"/>
              <w:left w:w="100" w:type="dxa"/>
              <w:bottom w:w="60" w:type="dxa"/>
              <w:right w:w="100" w:type="dxa"/>
            </w:tcMar>
          </w:tcPr>
          <w:p w14:paraId="0D15EBB5" w14:textId="77777777" w:rsidR="00C71DF1" w:rsidRDefault="00C71DF1"/>
        </w:tc>
        <w:tc>
          <w:tcPr>
            <w:tcW w:w="4640" w:type="dxa"/>
            <w:tcBorders>
              <w:top w:val="single" w:sz="8" w:space="0" w:color="8EAADB"/>
              <w:left w:val="single" w:sz="8" w:space="0" w:color="8EAADB"/>
              <w:bottom w:val="single" w:sz="8" w:space="0" w:color="8EAADB"/>
              <w:right w:val="single" w:sz="8" w:space="0" w:color="8EAADB"/>
            </w:tcBorders>
            <w:tcMar>
              <w:top w:w="90" w:type="dxa"/>
              <w:left w:w="100" w:type="dxa"/>
              <w:bottom w:w="60" w:type="dxa"/>
              <w:right w:w="100" w:type="dxa"/>
            </w:tcMar>
          </w:tcPr>
          <w:p w14:paraId="0D15EBB6" w14:textId="77777777" w:rsidR="00C71DF1" w:rsidRDefault="00641D8D">
            <w:pPr>
              <w:spacing w:before="40"/>
              <w:jc w:val="center"/>
            </w:pPr>
            <w:r>
              <w:rPr>
                <w:noProof/>
              </w:rPr>
              <w:drawing>
                <wp:inline distT="0" distB="0" distL="0" distR="0" wp14:anchorId="0D15EBE1" wp14:editId="0D15EBE2">
                  <wp:extent cx="2743200" cy="1666875"/>
                  <wp:effectExtent l="0" t="0" r="0" b="0"/>
                  <wp:docPr id="2030858170" name="fig2_barriers.png" descr="fig2_barriers.png" title="fig2_barrier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15EBB7" w14:textId="77777777" w:rsidR="00C71DF1" w:rsidRDefault="00641D8D">
            <w:pPr>
              <w:spacing w:before="30" w:after="60"/>
              <w:jc w:val="center"/>
            </w:pPr>
            <w:r>
              <w:rPr>
                <w:i/>
                <w:iCs/>
                <w:color w:val="52514E"/>
                <w:sz w:val="15"/>
                <w:szCs w:val="15"/>
              </w:rPr>
              <w:t>Figure 2: Older people facing barriers (ONS, 2023; Age UK, 2024a, 2024b, 2024c)</w:t>
            </w:r>
          </w:p>
          <w:p w14:paraId="0D15EBB8" w14:textId="77777777" w:rsidR="00C71DF1" w:rsidRDefault="00641D8D">
            <w:pPr>
              <w:shd w:val="clear" w:color="auto" w:fill="1F4E79"/>
              <w:spacing w:before="140" w:after="8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 Challenges to Independence</w:t>
            </w:r>
          </w:p>
          <w:p w14:paraId="0D15EBB9" w14:textId="77777777" w:rsidR="00C71DF1" w:rsidRDefault="00641D8D">
            <w:pPr>
              <w:pStyle w:val="ListParagraph"/>
              <w:numPr>
                <w:ilvl w:val="0"/>
                <w:numId w:val="2"/>
              </w:numPr>
              <w:spacing w:after="45" w:line="245" w:lineRule="auto"/>
            </w:pPr>
            <w:r>
              <w:rPr>
                <w:b/>
                <w:bCs/>
              </w:rPr>
              <w:t>Unmet need:</w:t>
            </w:r>
            <w:r>
              <w:t xml:space="preserve"> about 2 million older people in England have unmet care needs (Age UK, 2024a).</w:t>
            </w:r>
          </w:p>
          <w:p w14:paraId="0D15EBBA" w14:textId="77777777" w:rsidR="00C71DF1" w:rsidRDefault="00641D8D">
            <w:pPr>
              <w:pStyle w:val="ListParagraph"/>
              <w:numPr>
                <w:ilvl w:val="0"/>
                <w:numId w:val="2"/>
              </w:numPr>
              <w:spacing w:after="45" w:line="245" w:lineRule="auto"/>
            </w:pPr>
            <w:r>
              <w:rPr>
                <w:b/>
                <w:bCs/>
              </w:rPr>
              <w:t>Staff shortages:</w:t>
            </w:r>
            <w:r>
              <w:t xml:space="preserve"> 111,000 care jobs are </w:t>
            </w:r>
            <w:proofErr w:type="gramStart"/>
            <w:r>
              <w:t>empty</w:t>
            </w:r>
            <w:proofErr w:type="gramEnd"/>
            <w:r>
              <w:t xml:space="preserve"> and turnover is 23.1% (Skills for Care, 2025).</w:t>
            </w:r>
          </w:p>
          <w:p w14:paraId="0D15EBBB" w14:textId="77777777" w:rsidR="00C71DF1" w:rsidRDefault="00641D8D">
            <w:pPr>
              <w:pStyle w:val="ListParagraph"/>
              <w:numPr>
                <w:ilvl w:val="0"/>
                <w:numId w:val="2"/>
              </w:numPr>
              <w:spacing w:after="45" w:line="245" w:lineRule="auto"/>
            </w:pPr>
            <w:r>
              <w:rPr>
                <w:b/>
                <w:bCs/>
              </w:rPr>
              <w:t>Cost:</w:t>
            </w:r>
            <w:r>
              <w:t xml:space="preserve"> the cap on care costs was cancelled (HM Treasury, 2024), so many still face high bills.</w:t>
            </w:r>
          </w:p>
          <w:p w14:paraId="0D15EBBC" w14:textId="77777777" w:rsidR="00C71DF1" w:rsidRDefault="00641D8D">
            <w:pPr>
              <w:pStyle w:val="ListParagraph"/>
              <w:numPr>
                <w:ilvl w:val="0"/>
                <w:numId w:val="2"/>
              </w:numPr>
              <w:spacing w:after="45" w:line="245" w:lineRule="auto"/>
            </w:pPr>
            <w:r>
              <w:rPr>
                <w:b/>
                <w:bCs/>
              </w:rPr>
              <w:t>Digital exclusion:</w:t>
            </w:r>
            <w:r>
              <w:t xml:space="preserve"> 4.7 million over-65s lack basic internet skills (Age UK, 2024b).</w:t>
            </w:r>
          </w:p>
          <w:p w14:paraId="0D15EBBD" w14:textId="77777777" w:rsidR="00C71DF1" w:rsidRDefault="00641D8D">
            <w:pPr>
              <w:shd w:val="clear" w:color="auto" w:fill="1F4E79"/>
              <w:spacing w:before="140" w:after="8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 Recommendations and Conclusion</w:t>
            </w:r>
          </w:p>
          <w:p w14:paraId="0D15EBBE" w14:textId="77777777" w:rsidR="00C71DF1" w:rsidRDefault="00641D8D">
            <w:pPr>
              <w:pStyle w:val="ListParagraph"/>
              <w:numPr>
                <w:ilvl w:val="0"/>
                <w:numId w:val="2"/>
              </w:numPr>
              <w:spacing w:after="45" w:line="245" w:lineRule="auto"/>
            </w:pPr>
            <w:r>
              <w:t>Invest in prevention and reablement.</w:t>
            </w:r>
          </w:p>
          <w:p w14:paraId="0D15EBBF" w14:textId="77777777" w:rsidR="00C71DF1" w:rsidRDefault="00641D8D">
            <w:pPr>
              <w:pStyle w:val="ListParagraph"/>
              <w:numPr>
                <w:ilvl w:val="0"/>
                <w:numId w:val="2"/>
              </w:numPr>
              <w:spacing w:after="45" w:line="245" w:lineRule="auto"/>
            </w:pPr>
            <w:r>
              <w:t>Better pay and training to keep care staff.</w:t>
            </w:r>
          </w:p>
          <w:p w14:paraId="0D15EBC0" w14:textId="77777777" w:rsidR="00C71DF1" w:rsidRDefault="00641D8D">
            <w:pPr>
              <w:pStyle w:val="ListParagraph"/>
              <w:numPr>
                <w:ilvl w:val="0"/>
                <w:numId w:val="2"/>
              </w:numPr>
              <w:spacing w:after="45" w:line="245" w:lineRule="auto"/>
            </w:pPr>
            <w:r>
              <w:t>Free digital skills support, always with an offline option.</w:t>
            </w:r>
          </w:p>
          <w:p w14:paraId="0D15EBC1" w14:textId="77777777" w:rsidR="00C71DF1" w:rsidRDefault="00641D8D">
            <w:pPr>
              <w:pStyle w:val="ListParagraph"/>
              <w:numPr>
                <w:ilvl w:val="0"/>
                <w:numId w:val="2"/>
              </w:numPr>
              <w:spacing w:after="45" w:line="245" w:lineRule="auto"/>
            </w:pPr>
            <w:r>
              <w:t>Co-produce services with older people, as in Wigan.</w:t>
            </w:r>
          </w:p>
          <w:p w14:paraId="0D15EBC2" w14:textId="77777777" w:rsidR="00C71DF1" w:rsidRDefault="00641D8D">
            <w:pPr>
              <w:spacing w:after="70" w:line="245" w:lineRule="auto"/>
            </w:pPr>
            <w:r>
              <w:rPr>
                <w:b/>
                <w:bCs/>
              </w:rPr>
              <w:t>Barriers:</w:t>
            </w:r>
            <w:r>
              <w:t xml:space="preserve"> money and staff. </w:t>
            </w:r>
            <w:r>
              <w:rPr>
                <w:b/>
                <w:bCs/>
              </w:rPr>
              <w:t>Solutions:</w:t>
            </w:r>
            <w:r>
              <w:t xml:space="preserve"> shared NHS and council budgets through Integrated Care Systems (Health and Care Act 2022) and long-term reform via the Casey Commission (2025).</w:t>
            </w:r>
          </w:p>
          <w:p w14:paraId="0D15EBC3" w14:textId="77777777" w:rsidR="00C71DF1" w:rsidRDefault="00641D8D">
            <w:pPr>
              <w:spacing w:after="70" w:line="245" w:lineRule="auto"/>
            </w:pPr>
            <w:r>
              <w:rPr>
                <w:b/>
                <w:bCs/>
              </w:rPr>
              <w:t>Conclusion:</w:t>
            </w:r>
            <w:r>
              <w:t xml:space="preserve"> UK policy supports independence, but unmet need, staff shortages and digital exclusion limit real choice. Services that work with older people, not just for them, can empower them.</w:t>
            </w:r>
          </w:p>
        </w:tc>
      </w:tr>
    </w:tbl>
    <w:p w14:paraId="0D15EBC5" w14:textId="77777777" w:rsidR="00C71DF1" w:rsidRDefault="00641D8D">
      <w:r>
        <w:br w:type="page"/>
      </w:r>
    </w:p>
    <w:p w14:paraId="0D15EBC6" w14:textId="77777777" w:rsidR="00C71DF1" w:rsidRDefault="00641D8D">
      <w:pPr>
        <w:spacing w:after="200"/>
      </w:pPr>
      <w:r>
        <w:rPr>
          <w:b/>
          <w:bCs/>
          <w:sz w:val="28"/>
          <w:szCs w:val="28"/>
        </w:rPr>
        <w:lastRenderedPageBreak/>
        <w:t>References</w:t>
      </w:r>
    </w:p>
    <w:p w14:paraId="0D15EBC7" w14:textId="77777777" w:rsidR="00C71DF1" w:rsidRDefault="00641D8D">
      <w:pPr>
        <w:spacing w:after="80"/>
        <w:ind w:left="567" w:hanging="567"/>
      </w:pPr>
      <w:r>
        <w:t xml:space="preserve">Age UK (2024a) </w:t>
      </w:r>
      <w:r>
        <w:rPr>
          <w:i/>
          <w:iCs/>
        </w:rPr>
        <w:t>The state of health and care of older people in England 2024</w:t>
      </w:r>
      <w:r>
        <w:t>. London: Age UK. Available at: https://www.ageuk.org.uk/siteassets/documents/reports-and-publications/reports-and-briefings/health--wellbeing/state-of-health-and-care/state_of_health_and_social_care_24.pdf (Accessed: 30 September 2026).</w:t>
      </w:r>
    </w:p>
    <w:p w14:paraId="0D15EBC8" w14:textId="77777777" w:rsidR="00C71DF1" w:rsidRDefault="00641D8D">
      <w:pPr>
        <w:spacing w:after="80"/>
        <w:ind w:left="567" w:hanging="567"/>
      </w:pPr>
      <w:r>
        <w:t xml:space="preserve">Age UK (2024b) </w:t>
      </w:r>
      <w:r>
        <w:rPr>
          <w:i/>
          <w:iCs/>
        </w:rPr>
        <w:t>More than 1 in 3 over 65s (4.7 million) lack the basic skills to use the internet successfully</w:t>
      </w:r>
      <w:r>
        <w:t>. Available at: https://www.ageuk.org.uk/latest-press/articles/2024/more-than-1-in-3-over-65s-4.7-million-lack-the-basic-skills-to-use-the-internet-successfully/ (Accessed: 30 September 2026).</w:t>
      </w:r>
    </w:p>
    <w:p w14:paraId="0D15EBC9" w14:textId="77777777" w:rsidR="00C71DF1" w:rsidRDefault="00641D8D">
      <w:pPr>
        <w:spacing w:after="80"/>
        <w:ind w:left="567" w:hanging="567"/>
      </w:pPr>
      <w:r>
        <w:t xml:space="preserve">Age UK (2024c) </w:t>
      </w:r>
      <w:r>
        <w:rPr>
          <w:i/>
          <w:iCs/>
        </w:rPr>
        <w:t>Age UK’s new report shows ‘you are not alone in feeling lonely’</w:t>
      </w:r>
      <w:r>
        <w:t>. Available at: https://www.ageuk.org.uk/latest-press/articles/age-uks-new-report-shows-you-are-not-alone-in-feeling-lonely/ (Accessed: 30 September 2026).</w:t>
      </w:r>
    </w:p>
    <w:p w14:paraId="0D15EBCA" w14:textId="77777777" w:rsidR="00C71DF1" w:rsidRDefault="00641D8D">
      <w:pPr>
        <w:spacing w:after="80"/>
        <w:ind w:left="567" w:hanging="567"/>
      </w:pPr>
      <w:r>
        <w:t xml:space="preserve">Beresford, B. </w:t>
      </w:r>
      <w:r>
        <w:rPr>
          <w:i/>
          <w:iCs/>
        </w:rPr>
        <w:t>et al.</w:t>
      </w:r>
      <w:r>
        <w:t xml:space="preserve"> (2019) ‘Reablement services for people at risk of needing social care: the </w:t>
      </w:r>
      <w:proofErr w:type="spellStart"/>
      <w:r>
        <w:t>MoRe</w:t>
      </w:r>
      <w:proofErr w:type="spellEnd"/>
      <w:r>
        <w:t xml:space="preserve"> mixed-methods evaluation’, </w:t>
      </w:r>
      <w:r>
        <w:rPr>
          <w:i/>
          <w:iCs/>
        </w:rPr>
        <w:t>Health Services and Delivery Research</w:t>
      </w:r>
      <w:r>
        <w:t>, 7(16). Available at: https://doi.org/10.3310/hsdr07160 (Accessed: 30 September 2026).</w:t>
      </w:r>
    </w:p>
    <w:p w14:paraId="0D15EBCB" w14:textId="77777777" w:rsidR="00C71DF1" w:rsidRDefault="00641D8D">
      <w:pPr>
        <w:spacing w:after="80"/>
        <w:ind w:left="567" w:hanging="567"/>
      </w:pPr>
      <w:r>
        <w:rPr>
          <w:i/>
          <w:iCs/>
        </w:rPr>
        <w:t>Care Act 2014</w:t>
      </w:r>
      <w:r>
        <w:t>, c. 23. Available at: https://www.legislation.gov.uk/ukpga/2014/23/contents (Accessed: 30 September 2026).</w:t>
      </w:r>
    </w:p>
    <w:p w14:paraId="0D15EBCC" w14:textId="77777777" w:rsidR="00C71DF1" w:rsidRDefault="00641D8D">
      <w:pPr>
        <w:spacing w:after="80"/>
        <w:ind w:left="567" w:hanging="567"/>
      </w:pPr>
      <w:r>
        <w:t xml:space="preserve">Casey Commission (2025) </w:t>
      </w:r>
      <w:r>
        <w:rPr>
          <w:i/>
          <w:iCs/>
        </w:rPr>
        <w:t>Independent Commission on Adult Social Care: terms of reference</w:t>
      </w:r>
      <w:r>
        <w:t>. Available at: https://caseycommission.co.uk/about/terms-of-reference/ (Accessed: 30 September 2026).</w:t>
      </w:r>
    </w:p>
    <w:p w14:paraId="0D15EBCD" w14:textId="77777777" w:rsidR="00C71DF1" w:rsidRDefault="00641D8D">
      <w:pPr>
        <w:spacing w:after="80"/>
        <w:ind w:left="567" w:hanging="567"/>
      </w:pPr>
      <w:r>
        <w:t xml:space="preserve">Cumming, E. and Henry, W.E. (1961) </w:t>
      </w:r>
      <w:r>
        <w:rPr>
          <w:i/>
          <w:iCs/>
        </w:rPr>
        <w:t>Growing old: the process of disengagement</w:t>
      </w:r>
      <w:r>
        <w:t>. New York: Basic Books.</w:t>
      </w:r>
    </w:p>
    <w:p w14:paraId="0D15EBCE" w14:textId="77777777" w:rsidR="00C71DF1" w:rsidRDefault="00641D8D">
      <w:pPr>
        <w:spacing w:after="80"/>
        <w:ind w:left="567" w:hanging="567"/>
      </w:pPr>
      <w:r>
        <w:t xml:space="preserve">Department of Health and Social Care (DHSC) (2025) </w:t>
      </w:r>
      <w:r>
        <w:rPr>
          <w:i/>
          <w:iCs/>
        </w:rPr>
        <w:t>Fit for the future: 10 Year Health Plan for England</w:t>
      </w:r>
      <w:r>
        <w:t>. London: DHSC. Available at: https://www.gov.uk/government/publications/10-year-health-plan-for-england-fit-for-the-future (Accessed: 30 September 2026).</w:t>
      </w:r>
    </w:p>
    <w:p w14:paraId="0D15EBCF" w14:textId="77777777" w:rsidR="00C71DF1" w:rsidRDefault="00641D8D">
      <w:pPr>
        <w:spacing w:after="80"/>
        <w:ind w:left="567" w:hanging="567"/>
      </w:pPr>
      <w:r>
        <w:t xml:space="preserve">Gareth1953 All Right Now (2011) </w:t>
      </w:r>
      <w:r>
        <w:rPr>
          <w:i/>
          <w:iCs/>
        </w:rPr>
        <w:t>Godalming - Oct 2011 - The Magnificent Seven</w:t>
      </w:r>
      <w:r>
        <w:t xml:space="preserve"> [Photograph]. Available at: https://www.flickr.com/photos/40837632@N05/6258849294 (Accessed: 12 October 2026). Licensed under CC BY 2.0.</w:t>
      </w:r>
    </w:p>
    <w:p w14:paraId="0D15EBD0" w14:textId="77777777" w:rsidR="00C71DF1" w:rsidRDefault="00641D8D">
      <w:pPr>
        <w:spacing w:after="80"/>
        <w:ind w:left="567" w:hanging="567"/>
      </w:pPr>
      <w:r>
        <w:t xml:space="preserve">Havighurst, R.J. (1961) ‘Successful aging’, </w:t>
      </w:r>
      <w:r>
        <w:rPr>
          <w:i/>
          <w:iCs/>
        </w:rPr>
        <w:t>The Gerontologist</w:t>
      </w:r>
      <w:r>
        <w:t>, 1(1), pp. 8–13. Available at: https://doi.org/10.1093/geront/1.1.8 (Accessed: 30 September 2026).</w:t>
      </w:r>
    </w:p>
    <w:p w14:paraId="0D15EBD1" w14:textId="77777777" w:rsidR="00C71DF1" w:rsidRDefault="00641D8D">
      <w:pPr>
        <w:spacing w:after="80"/>
        <w:ind w:left="567" w:hanging="567"/>
      </w:pPr>
      <w:r>
        <w:rPr>
          <w:i/>
          <w:iCs/>
        </w:rPr>
        <w:t>Health and Care Act 2022</w:t>
      </w:r>
      <w:r>
        <w:t>, c. 31. Available at: https://www.legislation.gov.uk/ukpga/2022/31/contents (Accessed: 30 September 2026).</w:t>
      </w:r>
    </w:p>
    <w:p w14:paraId="0D15EBD2" w14:textId="77777777" w:rsidR="00C71DF1" w:rsidRDefault="00641D8D">
      <w:pPr>
        <w:spacing w:after="80"/>
        <w:ind w:left="567" w:hanging="567"/>
      </w:pPr>
      <w:r>
        <w:t xml:space="preserve">HM Treasury (2024) </w:t>
      </w:r>
      <w:r>
        <w:rPr>
          <w:i/>
          <w:iCs/>
        </w:rPr>
        <w:t>Fixing the foundations: public spending audit 2024–25</w:t>
      </w:r>
      <w:r>
        <w:t xml:space="preserve"> (CP 1133). London: HM Treasury. Available at: https://www.gov.uk/government/publications/fixing-the-foundations-public-spending-audit-2024-25 (Accessed: 30 September 2026).</w:t>
      </w:r>
    </w:p>
    <w:p w14:paraId="0D15EBD3" w14:textId="77777777" w:rsidR="00C71DF1" w:rsidRDefault="00641D8D">
      <w:pPr>
        <w:spacing w:after="80"/>
        <w:ind w:left="567" w:hanging="567"/>
      </w:pPr>
      <w:r>
        <w:t xml:space="preserve">Howard, R. </w:t>
      </w:r>
      <w:r>
        <w:rPr>
          <w:i/>
          <w:iCs/>
        </w:rPr>
        <w:t>et al.</w:t>
      </w:r>
      <w:r>
        <w:t xml:space="preserve"> (2021) ‘The effectiveness and cost-effectiveness of assistive technology and telecare for independent living in dementia: a randomised controlled trial’, </w:t>
      </w:r>
      <w:r>
        <w:rPr>
          <w:i/>
          <w:iCs/>
        </w:rPr>
        <w:t>Age and Ageing</w:t>
      </w:r>
      <w:r>
        <w:t>, 50(3), pp. 882–890. Available at: https://academic.oup.com/ageing/article/50/3/882/6109729 (Accessed: 30 September 2026).</w:t>
      </w:r>
    </w:p>
    <w:p w14:paraId="0D15EBD4" w14:textId="77777777" w:rsidR="00C71DF1" w:rsidRDefault="00641D8D">
      <w:pPr>
        <w:spacing w:after="80"/>
        <w:ind w:left="567" w:hanging="567"/>
      </w:pPr>
      <w:r>
        <w:t xml:space="preserve">National Institute for Health and Care Excellence (NICE) (2025) </w:t>
      </w:r>
      <w:r>
        <w:rPr>
          <w:i/>
          <w:iCs/>
        </w:rPr>
        <w:t>Falls: assessment and prevention in older people and in people 50 and over at higher risk</w:t>
      </w:r>
      <w:r>
        <w:t xml:space="preserve"> (NICE guideline NG249). Available at: https://www.nice.org.uk/guidance/ng249 (Accessed: 30 September 2026).</w:t>
      </w:r>
    </w:p>
    <w:p w14:paraId="0D15EBD5" w14:textId="77777777" w:rsidR="00C71DF1" w:rsidRDefault="00641D8D">
      <w:pPr>
        <w:spacing w:after="80"/>
        <w:ind w:left="567" w:hanging="567"/>
      </w:pPr>
      <w:r>
        <w:t xml:space="preserve">Naylor, C. and Wellings, D. (2019) </w:t>
      </w:r>
      <w:r>
        <w:rPr>
          <w:i/>
          <w:iCs/>
        </w:rPr>
        <w:t>A citizen-led approach to health and care: lessons from the Wigan Deal</w:t>
      </w:r>
      <w:r>
        <w:t>. London: The King’s Fund. Available at: https://www.kingsfund.org.uk/insight-and-analysis/reports/wigan-deal (Accessed: 30 September 2026).</w:t>
      </w:r>
    </w:p>
    <w:p w14:paraId="0D15EBD6" w14:textId="77777777" w:rsidR="00C71DF1" w:rsidRDefault="00641D8D">
      <w:pPr>
        <w:spacing w:after="80"/>
        <w:ind w:left="567" w:hanging="567"/>
      </w:pPr>
      <w:r>
        <w:t xml:space="preserve">Office for National Statistics (ONS) (2023) </w:t>
      </w:r>
      <w:r>
        <w:rPr>
          <w:i/>
          <w:iCs/>
        </w:rPr>
        <w:t>Profile of the older population living in England and Wales in 2021 and changes since 2011</w:t>
      </w:r>
      <w:r>
        <w:t>. Available at: https://www.ons.gov.uk/peoplepopulationandcommunity/birthsdeathsandmarriages/ageing/articles/profileoftheolderpopulationlivinginenglandandwalesin2021andchangessince2011/2023-04-03 (Accessed: 30 September 2026).</w:t>
      </w:r>
    </w:p>
    <w:p w14:paraId="0D15EBD7" w14:textId="77777777" w:rsidR="00C71DF1" w:rsidRDefault="00641D8D">
      <w:pPr>
        <w:spacing w:after="80"/>
        <w:ind w:left="567" w:hanging="567"/>
      </w:pPr>
      <w:r>
        <w:t xml:space="preserve">Skills for Care (2025) </w:t>
      </w:r>
      <w:r>
        <w:rPr>
          <w:i/>
          <w:iCs/>
        </w:rPr>
        <w:t>The state of the adult social care sector and workforce in England 2025</w:t>
      </w:r>
      <w:r>
        <w:t>. Leeds: Skills for Care. Available at: https://www.skillsforcare.org.uk/Adult-Social-Care-Workforce-Data/workforceintelligence/resources/Reports/National/The-state-of-the-adult-social-care-sector-and-workforce-in-England-2025.pdf (Accessed: 30 September 2026).</w:t>
      </w:r>
    </w:p>
    <w:p w14:paraId="0D15EBD8" w14:textId="77777777" w:rsidR="00C71DF1" w:rsidRDefault="00641D8D">
      <w:pPr>
        <w:spacing w:after="80"/>
        <w:ind w:left="567" w:hanging="567"/>
      </w:pPr>
      <w:r>
        <w:t xml:space="preserve">Steventon, A. </w:t>
      </w:r>
      <w:r>
        <w:rPr>
          <w:i/>
          <w:iCs/>
        </w:rPr>
        <w:t>et al.</w:t>
      </w:r>
      <w:r>
        <w:t xml:space="preserve"> (2013) ‘Effect of telecare on use of health and social care services: findings from the Whole Systems Demonstrator cluster randomised trial’, </w:t>
      </w:r>
      <w:r>
        <w:rPr>
          <w:i/>
          <w:iCs/>
        </w:rPr>
        <w:t>Age and Ageing</w:t>
      </w:r>
      <w:r>
        <w:t>, 42(4), pp. 501–508. Available at: https://doi.org/10.1093/ageing/aft008 (Accessed: 30 September 2026).</w:t>
      </w:r>
    </w:p>
    <w:p w14:paraId="0D15EBD9" w14:textId="77777777" w:rsidR="00C71DF1" w:rsidRDefault="00641D8D">
      <w:pPr>
        <w:spacing w:after="80"/>
        <w:ind w:left="567" w:hanging="567"/>
      </w:pPr>
      <w:r>
        <w:t xml:space="preserve">World Health Organization (WHO) (2015) </w:t>
      </w:r>
      <w:r>
        <w:rPr>
          <w:i/>
          <w:iCs/>
        </w:rPr>
        <w:t>World report on ageing and health</w:t>
      </w:r>
      <w:r>
        <w:t>. Geneva: WHO. Available at: https://www.who.int/publications/i/item/9789241565042 (Accessed: 30 September 2026).</w:t>
      </w:r>
    </w:p>
    <w:p w14:paraId="0D15EBDA" w14:textId="77777777" w:rsidR="00C71DF1" w:rsidRDefault="00641D8D">
      <w:pPr>
        <w:spacing w:after="80"/>
        <w:ind w:left="567" w:hanging="567"/>
      </w:pPr>
      <w:r>
        <w:t xml:space="preserve">World Health Organization (WHO) (2021) </w:t>
      </w:r>
      <w:r>
        <w:rPr>
          <w:i/>
          <w:iCs/>
        </w:rPr>
        <w:t>Global report on ageism</w:t>
      </w:r>
      <w:r>
        <w:t>. Geneva: WHO. Available at: https://www.who.int/publications/i/item/9789240016866 (Accessed: 30 September 2026).</w:t>
      </w:r>
    </w:p>
    <w:sectPr w:rsidR="00C71DF1">
      <w:pgSz w:w="15840" w:h="12240" w:orient="landscape"/>
      <w:pgMar w:top="620" w:right="720" w:bottom="500" w:left="720" w:header="300" w:footer="30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0479A"/>
    <w:multiLevelType w:val="hybridMultilevel"/>
    <w:tmpl w:val="42648002"/>
    <w:lvl w:ilvl="0" w:tplc="6BE6E6E4">
      <w:start w:val="1"/>
      <w:numFmt w:val="bullet"/>
      <w:lvlText w:val="•"/>
      <w:lvlJc w:val="left"/>
      <w:pPr>
        <w:ind w:left="230" w:hanging="190"/>
      </w:pPr>
    </w:lvl>
    <w:lvl w:ilvl="1" w:tplc="5C0251A6">
      <w:numFmt w:val="decimal"/>
      <w:lvlText w:val=""/>
      <w:lvlJc w:val="left"/>
    </w:lvl>
    <w:lvl w:ilvl="2" w:tplc="AD181F84">
      <w:numFmt w:val="decimal"/>
      <w:lvlText w:val=""/>
      <w:lvlJc w:val="left"/>
    </w:lvl>
    <w:lvl w:ilvl="3" w:tplc="71B49FC6">
      <w:numFmt w:val="decimal"/>
      <w:lvlText w:val=""/>
      <w:lvlJc w:val="left"/>
    </w:lvl>
    <w:lvl w:ilvl="4" w:tplc="F0546D6C">
      <w:numFmt w:val="decimal"/>
      <w:lvlText w:val=""/>
      <w:lvlJc w:val="left"/>
    </w:lvl>
    <w:lvl w:ilvl="5" w:tplc="4F746950">
      <w:numFmt w:val="decimal"/>
      <w:lvlText w:val=""/>
      <w:lvlJc w:val="left"/>
    </w:lvl>
    <w:lvl w:ilvl="6" w:tplc="8C181B1A">
      <w:numFmt w:val="decimal"/>
      <w:lvlText w:val=""/>
      <w:lvlJc w:val="left"/>
    </w:lvl>
    <w:lvl w:ilvl="7" w:tplc="2F4CBB06">
      <w:numFmt w:val="decimal"/>
      <w:lvlText w:val=""/>
      <w:lvlJc w:val="left"/>
    </w:lvl>
    <w:lvl w:ilvl="8" w:tplc="4746D40C">
      <w:numFmt w:val="decimal"/>
      <w:lvlText w:val=""/>
      <w:lvlJc w:val="left"/>
    </w:lvl>
  </w:abstractNum>
  <w:abstractNum w:abstractNumId="1" w15:restartNumberingAfterBreak="0">
    <w:nsid w:val="1CFA625C"/>
    <w:multiLevelType w:val="hybridMultilevel"/>
    <w:tmpl w:val="33862356"/>
    <w:lvl w:ilvl="0" w:tplc="1472A5D0">
      <w:start w:val="1"/>
      <w:numFmt w:val="bullet"/>
      <w:lvlText w:val="●"/>
      <w:lvlJc w:val="left"/>
      <w:pPr>
        <w:ind w:left="720" w:hanging="360"/>
      </w:pPr>
    </w:lvl>
    <w:lvl w:ilvl="1" w:tplc="CE2C14C4">
      <w:start w:val="1"/>
      <w:numFmt w:val="bullet"/>
      <w:lvlText w:val="○"/>
      <w:lvlJc w:val="left"/>
      <w:pPr>
        <w:ind w:left="1440" w:hanging="360"/>
      </w:pPr>
    </w:lvl>
    <w:lvl w:ilvl="2" w:tplc="04E2D326">
      <w:start w:val="1"/>
      <w:numFmt w:val="bullet"/>
      <w:lvlText w:val="■"/>
      <w:lvlJc w:val="left"/>
      <w:pPr>
        <w:ind w:left="2160" w:hanging="360"/>
      </w:pPr>
    </w:lvl>
    <w:lvl w:ilvl="3" w:tplc="1AEAC1F2">
      <w:start w:val="1"/>
      <w:numFmt w:val="bullet"/>
      <w:lvlText w:val="●"/>
      <w:lvlJc w:val="left"/>
      <w:pPr>
        <w:ind w:left="2880" w:hanging="360"/>
      </w:pPr>
    </w:lvl>
    <w:lvl w:ilvl="4" w:tplc="F2727ECE">
      <w:start w:val="1"/>
      <w:numFmt w:val="bullet"/>
      <w:lvlText w:val="○"/>
      <w:lvlJc w:val="left"/>
      <w:pPr>
        <w:ind w:left="3600" w:hanging="360"/>
      </w:pPr>
    </w:lvl>
    <w:lvl w:ilvl="5" w:tplc="15B2CEE2">
      <w:start w:val="1"/>
      <w:numFmt w:val="bullet"/>
      <w:lvlText w:val="■"/>
      <w:lvlJc w:val="left"/>
      <w:pPr>
        <w:ind w:left="4320" w:hanging="360"/>
      </w:pPr>
    </w:lvl>
    <w:lvl w:ilvl="6" w:tplc="5A60992E">
      <w:start w:val="1"/>
      <w:numFmt w:val="bullet"/>
      <w:lvlText w:val="●"/>
      <w:lvlJc w:val="left"/>
      <w:pPr>
        <w:ind w:left="5040" w:hanging="360"/>
      </w:pPr>
    </w:lvl>
    <w:lvl w:ilvl="7" w:tplc="23DE77DE">
      <w:start w:val="1"/>
      <w:numFmt w:val="bullet"/>
      <w:lvlText w:val="●"/>
      <w:lvlJc w:val="left"/>
      <w:pPr>
        <w:ind w:left="5760" w:hanging="360"/>
      </w:pPr>
    </w:lvl>
    <w:lvl w:ilvl="8" w:tplc="E5B28E9A">
      <w:start w:val="1"/>
      <w:numFmt w:val="bullet"/>
      <w:lvlText w:val="●"/>
      <w:lvlJc w:val="left"/>
      <w:pPr>
        <w:ind w:left="6480" w:hanging="360"/>
      </w:pPr>
    </w:lvl>
  </w:abstractNum>
  <w:num w:numId="1" w16cid:durableId="1948346996">
    <w:abstractNumId w:val="1"/>
    <w:lvlOverride w:ilvl="0">
      <w:startOverride w:val="1"/>
    </w:lvlOverride>
  </w:num>
  <w:num w:numId="2" w16cid:durableId="3913271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DF1"/>
    <w:rsid w:val="002401EF"/>
    <w:rsid w:val="002F01AB"/>
    <w:rsid w:val="00455B2F"/>
    <w:rsid w:val="007333D5"/>
    <w:rsid w:val="007C68C7"/>
    <w:rsid w:val="00C71DF1"/>
    <w:rsid w:val="00E9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5EB92"/>
  <w15:docId w15:val="{ECC0BF6F-12B5-4CF1-A697-2257ACEF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19"/>
        <w:szCs w:val="19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1071</Words>
  <Characters>7253</Characters>
  <Application>Microsoft Office Word</Application>
  <DocSecurity>0</DocSecurity>
  <Lines>142</Lines>
  <Paragraphs>59</Paragraphs>
  <ScaleCrop>false</ScaleCrop>
  <Company/>
  <LinksUpToDate>false</LinksUpToDate>
  <CharactersWithSpaces>8280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BMHP6027 Component 1 Poster</dc:title>
  <dc:creator>Beniamin Apostol</dc:creator>
  <cp:lastModifiedBy>Beniamin Apostol</cp:lastModifiedBy>
  <cp:revision>2</cp:revision>
  <dcterms:created xsi:type="dcterms:W3CDTF">2026-10-13T10:27:00Z</dcterms:created>
  <dcterms:modified xsi:type="dcterms:W3CDTF">2026-10-13T10:27:00Z</dcterms:modified>
</cp:coreProperties>
</file>