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10C2F" w14:textId="77777777" w:rsidR="00A759F7" w:rsidRDefault="00A759F7">
      <w:pPr>
        <w:spacing w:before="240" w:after="240" w:line="360" w:lineRule="auto"/>
        <w:jc w:val="both"/>
        <w:rPr>
          <w:color w:val="5B9BD5"/>
          <w:sz w:val="24"/>
          <w:szCs w:val="24"/>
        </w:rPr>
      </w:pPr>
    </w:p>
    <w:p w14:paraId="513D5F2F" w14:textId="77777777" w:rsidR="00A759F7" w:rsidRDefault="00A759F7">
      <w:pPr>
        <w:spacing w:before="240" w:after="240" w:line="360" w:lineRule="auto"/>
        <w:jc w:val="both"/>
        <w:rPr>
          <w:color w:val="5B9BD5"/>
          <w:sz w:val="24"/>
          <w:szCs w:val="24"/>
        </w:rPr>
      </w:pPr>
    </w:p>
    <w:p w14:paraId="3A796E6F" w14:textId="77777777" w:rsidR="00A759F7" w:rsidRDefault="00D1114C">
      <w:pPr>
        <w:spacing w:before="1540" w:after="240" w:line="240" w:lineRule="auto"/>
        <w:ind w:left="2160" w:firstLine="720"/>
        <w:rPr>
          <w:color w:val="5B9BD5"/>
          <w:sz w:val="24"/>
          <w:szCs w:val="24"/>
        </w:rPr>
      </w:pPr>
      <w:bookmarkStart w:id="0" w:name="_gjdgxs" w:colFirst="0" w:colLast="0"/>
      <w:bookmarkEnd w:id="0"/>
      <w:r>
        <w:rPr>
          <w:rFonts w:ascii="Calibri" w:eastAsia="Calibri" w:hAnsi="Calibri" w:cs="Calibri"/>
          <w:noProof/>
          <w:color w:val="5B9BD5"/>
        </w:rPr>
        <w:drawing>
          <wp:inline distT="0" distB="0" distL="0" distR="0" wp14:anchorId="44E9D6B8" wp14:editId="59DF1DA5">
            <wp:extent cx="1727622" cy="915987"/>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1727622" cy="915987"/>
                    </a:xfrm>
                    <a:prstGeom prst="rect">
                      <a:avLst/>
                    </a:prstGeom>
                    <a:ln/>
                  </pic:spPr>
                </pic:pic>
              </a:graphicData>
            </a:graphic>
          </wp:inline>
        </w:drawing>
      </w:r>
    </w:p>
    <w:p w14:paraId="5F8E626D" w14:textId="51FAD1C4" w:rsidR="00A759F7" w:rsidRDefault="00D1114C">
      <w:pPr>
        <w:spacing w:before="240" w:after="240" w:line="360" w:lineRule="auto"/>
        <w:jc w:val="center"/>
        <w:rPr>
          <w:color w:val="5B9BD5"/>
          <w:sz w:val="34"/>
          <w:szCs w:val="34"/>
        </w:rPr>
      </w:pPr>
      <w:r>
        <w:rPr>
          <w:color w:val="5B9BD5"/>
          <w:sz w:val="34"/>
          <w:szCs w:val="34"/>
        </w:rPr>
        <w:t xml:space="preserve">Analysis of Financial Statements of </w:t>
      </w:r>
      <w:r w:rsidR="00CC498D">
        <w:rPr>
          <w:color w:val="5B9BD5"/>
          <w:sz w:val="34"/>
          <w:szCs w:val="34"/>
        </w:rPr>
        <w:t>Marriott</w:t>
      </w:r>
      <w:r>
        <w:rPr>
          <w:color w:val="5B9BD5"/>
          <w:sz w:val="34"/>
          <w:szCs w:val="34"/>
        </w:rPr>
        <w:t xml:space="preserve"> International</w:t>
      </w:r>
    </w:p>
    <w:p w14:paraId="7462E216" w14:textId="77777777" w:rsidR="00A759F7" w:rsidRDefault="00D1114C">
      <w:pPr>
        <w:spacing w:line="360" w:lineRule="auto"/>
        <w:ind w:left="2880" w:firstLine="720"/>
        <w:jc w:val="both"/>
        <w:rPr>
          <w:color w:val="5B9BD5"/>
          <w:sz w:val="30"/>
          <w:szCs w:val="30"/>
        </w:rPr>
      </w:pPr>
      <w:r>
        <w:rPr>
          <w:rFonts w:ascii="Calibri" w:eastAsia="Calibri" w:hAnsi="Calibri" w:cs="Calibri"/>
          <w:noProof/>
          <w:color w:val="5B9BD5"/>
        </w:rPr>
        <w:drawing>
          <wp:inline distT="0" distB="0" distL="0" distR="0" wp14:anchorId="5F8123BF" wp14:editId="78454A4C">
            <wp:extent cx="1124258" cy="702661"/>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1124258" cy="702661"/>
                    </a:xfrm>
                    <a:prstGeom prst="rect">
                      <a:avLst/>
                    </a:prstGeom>
                    <a:ln/>
                  </pic:spPr>
                </pic:pic>
              </a:graphicData>
            </a:graphic>
          </wp:inline>
        </w:drawing>
      </w:r>
    </w:p>
    <w:p w14:paraId="108854D0" w14:textId="77777777" w:rsidR="00A759F7" w:rsidRDefault="00A759F7">
      <w:pPr>
        <w:spacing w:before="240" w:after="240" w:line="360" w:lineRule="auto"/>
        <w:jc w:val="center"/>
        <w:rPr>
          <w:color w:val="5B9BD5"/>
          <w:sz w:val="30"/>
          <w:szCs w:val="30"/>
        </w:rPr>
      </w:pPr>
    </w:p>
    <w:p w14:paraId="592A7BEA" w14:textId="77777777" w:rsidR="00A759F7" w:rsidRDefault="00A759F7">
      <w:pPr>
        <w:spacing w:before="240" w:after="240" w:line="360" w:lineRule="auto"/>
        <w:jc w:val="center"/>
        <w:rPr>
          <w:color w:val="5B9BD5"/>
          <w:sz w:val="30"/>
          <w:szCs w:val="30"/>
        </w:rPr>
      </w:pPr>
    </w:p>
    <w:p w14:paraId="4DE09D5E" w14:textId="77777777" w:rsidR="00A759F7" w:rsidRDefault="00A759F7">
      <w:pPr>
        <w:spacing w:before="240" w:after="240" w:line="360" w:lineRule="auto"/>
        <w:rPr>
          <w:color w:val="5B9BD5"/>
          <w:sz w:val="30"/>
          <w:szCs w:val="30"/>
        </w:rPr>
      </w:pPr>
    </w:p>
    <w:p w14:paraId="3D02056D" w14:textId="6617F17B" w:rsidR="00A759F7" w:rsidRDefault="00D1114C">
      <w:pPr>
        <w:spacing w:before="240" w:after="240" w:line="360" w:lineRule="auto"/>
        <w:ind w:left="2160" w:firstLine="720"/>
        <w:rPr>
          <w:color w:val="5B9BD5"/>
          <w:sz w:val="24"/>
          <w:szCs w:val="24"/>
        </w:rPr>
      </w:pPr>
      <w:r>
        <w:rPr>
          <w:color w:val="5B9BD5"/>
          <w:sz w:val="24"/>
          <w:szCs w:val="24"/>
        </w:rPr>
        <w:t>Name:</w:t>
      </w:r>
      <w:r w:rsidR="00CC498D">
        <w:rPr>
          <w:color w:val="5B9BD5"/>
          <w:sz w:val="24"/>
          <w:szCs w:val="24"/>
        </w:rPr>
        <w:t xml:space="preserve"> </w:t>
      </w:r>
      <w:r>
        <w:rPr>
          <w:color w:val="5B9BD5"/>
          <w:sz w:val="24"/>
          <w:szCs w:val="24"/>
        </w:rPr>
        <w:t>Md</w:t>
      </w:r>
      <w:r w:rsidR="00CC498D">
        <w:rPr>
          <w:color w:val="5B9BD5"/>
          <w:sz w:val="24"/>
          <w:szCs w:val="24"/>
        </w:rPr>
        <w:t xml:space="preserve"> </w:t>
      </w:r>
      <w:r>
        <w:rPr>
          <w:color w:val="5B9BD5"/>
          <w:sz w:val="24"/>
          <w:szCs w:val="24"/>
        </w:rPr>
        <w:t>S</w:t>
      </w:r>
      <w:r w:rsidR="00CC498D">
        <w:rPr>
          <w:color w:val="5B9BD5"/>
          <w:sz w:val="24"/>
          <w:szCs w:val="24"/>
        </w:rPr>
        <w:t>h</w:t>
      </w:r>
      <w:r>
        <w:rPr>
          <w:color w:val="5B9BD5"/>
          <w:sz w:val="24"/>
          <w:szCs w:val="24"/>
        </w:rPr>
        <w:t>ahidul Islam</w:t>
      </w:r>
    </w:p>
    <w:p w14:paraId="1196FE1E" w14:textId="77777777" w:rsidR="00A759F7" w:rsidRDefault="00D1114C">
      <w:pPr>
        <w:spacing w:before="240" w:after="240" w:line="360" w:lineRule="auto"/>
        <w:ind w:left="2880"/>
        <w:rPr>
          <w:color w:val="5B9BD5"/>
          <w:sz w:val="24"/>
          <w:szCs w:val="24"/>
        </w:rPr>
      </w:pPr>
      <w:r>
        <w:rPr>
          <w:color w:val="5B9BD5"/>
          <w:sz w:val="24"/>
          <w:szCs w:val="24"/>
        </w:rPr>
        <w:t>ID:2026286</w:t>
      </w:r>
    </w:p>
    <w:p w14:paraId="689F7E5E" w14:textId="77777777" w:rsidR="00A759F7" w:rsidRDefault="00D1114C">
      <w:pPr>
        <w:spacing w:before="240" w:after="240" w:line="360" w:lineRule="auto"/>
        <w:rPr>
          <w:color w:val="5B9BD5"/>
          <w:sz w:val="24"/>
          <w:szCs w:val="24"/>
        </w:rPr>
      </w:pPr>
      <w:r>
        <w:rPr>
          <w:color w:val="5B9BD5"/>
          <w:sz w:val="24"/>
          <w:szCs w:val="24"/>
        </w:rPr>
        <w:tab/>
        <w:t xml:space="preserve">                                Module </w:t>
      </w:r>
      <w:proofErr w:type="gramStart"/>
      <w:r>
        <w:rPr>
          <w:color w:val="5B9BD5"/>
          <w:sz w:val="24"/>
          <w:szCs w:val="24"/>
        </w:rPr>
        <w:t>Name :</w:t>
      </w:r>
      <w:proofErr w:type="gramEnd"/>
      <w:r>
        <w:rPr>
          <w:color w:val="5B9BD5"/>
          <w:sz w:val="24"/>
          <w:szCs w:val="24"/>
        </w:rPr>
        <w:t xml:space="preserve"> Financial Management </w:t>
      </w:r>
    </w:p>
    <w:p w14:paraId="49BFC233" w14:textId="77777777" w:rsidR="00A759F7" w:rsidRDefault="00D1114C" w:rsidP="009766D0">
      <w:pPr>
        <w:spacing w:line="360" w:lineRule="auto"/>
        <w:ind w:left="2160" w:firstLine="720"/>
        <w:rPr>
          <w:color w:val="5B9BD5"/>
          <w:sz w:val="24"/>
          <w:szCs w:val="24"/>
        </w:rPr>
      </w:pPr>
      <w:r>
        <w:rPr>
          <w:color w:val="5B9BD5"/>
          <w:sz w:val="24"/>
          <w:szCs w:val="24"/>
        </w:rPr>
        <w:t xml:space="preserve">Module </w:t>
      </w:r>
      <w:proofErr w:type="gramStart"/>
      <w:r>
        <w:rPr>
          <w:color w:val="5B9BD5"/>
          <w:sz w:val="24"/>
          <w:szCs w:val="24"/>
        </w:rPr>
        <w:t>ID :</w:t>
      </w:r>
      <w:proofErr w:type="gramEnd"/>
      <w:r>
        <w:rPr>
          <w:color w:val="5B9BD5"/>
          <w:sz w:val="24"/>
          <w:szCs w:val="24"/>
        </w:rPr>
        <w:t xml:space="preserve"> BMIH5001</w:t>
      </w:r>
    </w:p>
    <w:p w14:paraId="5C8A0780" w14:textId="77777777" w:rsidR="009766D0" w:rsidRPr="009766D0" w:rsidRDefault="009766D0" w:rsidP="009766D0">
      <w:pPr>
        <w:spacing w:line="360" w:lineRule="auto"/>
        <w:ind w:left="2160" w:firstLine="720"/>
        <w:rPr>
          <w:color w:val="5B9BD5"/>
          <w:sz w:val="24"/>
          <w:szCs w:val="24"/>
        </w:rPr>
      </w:pPr>
      <w:r>
        <w:rPr>
          <w:color w:val="5B9BD5"/>
          <w:sz w:val="24"/>
          <w:szCs w:val="24"/>
        </w:rPr>
        <w:t xml:space="preserve">Module Tutor: </w:t>
      </w:r>
      <w:r w:rsidRPr="009766D0">
        <w:rPr>
          <w:color w:val="5B9BD5"/>
          <w:sz w:val="24"/>
          <w:szCs w:val="24"/>
        </w:rPr>
        <w:t xml:space="preserve">Christopher </w:t>
      </w:r>
      <w:r>
        <w:rPr>
          <w:color w:val="5B9BD5"/>
          <w:sz w:val="24"/>
          <w:szCs w:val="24"/>
        </w:rPr>
        <w:t>W</w:t>
      </w:r>
      <w:r w:rsidRPr="009766D0">
        <w:rPr>
          <w:color w:val="5B9BD5"/>
          <w:sz w:val="24"/>
          <w:szCs w:val="24"/>
        </w:rPr>
        <w:t>ilkin</w:t>
      </w:r>
    </w:p>
    <w:p w14:paraId="364EA5B3" w14:textId="77777777" w:rsidR="00A759F7" w:rsidRDefault="00A759F7">
      <w:pPr>
        <w:pStyle w:val="Heading1"/>
        <w:keepNext w:val="0"/>
        <w:keepLines w:val="0"/>
        <w:spacing w:before="480" w:line="360" w:lineRule="auto"/>
        <w:jc w:val="both"/>
        <w:rPr>
          <w:b/>
          <w:sz w:val="24"/>
          <w:szCs w:val="24"/>
        </w:rPr>
      </w:pPr>
      <w:bookmarkStart w:id="1" w:name="_ylenhcg3593q" w:colFirst="0" w:colLast="0"/>
      <w:bookmarkEnd w:id="1"/>
    </w:p>
    <w:p w14:paraId="02378299" w14:textId="77777777" w:rsidR="003C7394" w:rsidRDefault="003C7394">
      <w:pPr>
        <w:rPr>
          <w:b/>
          <w:sz w:val="24"/>
          <w:szCs w:val="24"/>
        </w:rPr>
      </w:pPr>
      <w:bookmarkStart w:id="2" w:name="_xd7tqzgra5xo" w:colFirst="0" w:colLast="0"/>
      <w:bookmarkEnd w:id="2"/>
      <w:r>
        <w:rPr>
          <w:b/>
          <w:sz w:val="24"/>
          <w:szCs w:val="24"/>
        </w:rPr>
        <w:br w:type="page"/>
      </w:r>
    </w:p>
    <w:p w14:paraId="2699CE66" w14:textId="77777777" w:rsidR="003C7394" w:rsidRPr="00B4752E" w:rsidRDefault="003C7394" w:rsidP="003C7394">
      <w:pPr>
        <w:pStyle w:val="TOCHeading"/>
        <w:spacing w:line="360" w:lineRule="auto"/>
        <w:jc w:val="both"/>
        <w:rPr>
          <w:rFonts w:asciiTheme="minorBidi" w:hAnsiTheme="minorBidi" w:cstheme="minorBidi"/>
          <w:sz w:val="24"/>
          <w:szCs w:val="24"/>
        </w:rPr>
      </w:pPr>
      <w:r w:rsidRPr="00B4752E">
        <w:rPr>
          <w:rFonts w:asciiTheme="minorBidi" w:hAnsiTheme="minorBidi" w:cstheme="minorBidi"/>
          <w:sz w:val="24"/>
          <w:szCs w:val="24"/>
        </w:rPr>
        <w:lastRenderedPageBreak/>
        <w:t>Table of Contents</w:t>
      </w:r>
    </w:p>
    <w:p w14:paraId="758FD5FA" w14:textId="77777777" w:rsidR="003C7394" w:rsidRPr="00B4752E" w:rsidRDefault="003C7394" w:rsidP="003C7394">
      <w:pPr>
        <w:pStyle w:val="TOC1"/>
        <w:tabs>
          <w:tab w:val="right" w:leader="dot" w:pos="9016"/>
        </w:tabs>
        <w:spacing w:line="360" w:lineRule="auto"/>
        <w:jc w:val="both"/>
        <w:rPr>
          <w:rFonts w:asciiTheme="minorBidi" w:eastAsiaTheme="minorEastAsia" w:hAnsiTheme="minorBidi"/>
          <w:noProof/>
          <w:sz w:val="24"/>
          <w:szCs w:val="24"/>
          <w:lang w:eastAsia="en-GB"/>
        </w:rPr>
      </w:pPr>
      <w:r w:rsidRPr="00B4752E">
        <w:rPr>
          <w:rFonts w:asciiTheme="minorBidi" w:hAnsiTheme="minorBidi"/>
          <w:sz w:val="24"/>
          <w:szCs w:val="24"/>
        </w:rPr>
        <w:fldChar w:fldCharType="begin"/>
      </w:r>
      <w:r w:rsidRPr="00B4752E">
        <w:rPr>
          <w:rFonts w:asciiTheme="minorBidi" w:hAnsiTheme="minorBidi"/>
          <w:sz w:val="24"/>
          <w:szCs w:val="24"/>
        </w:rPr>
        <w:instrText xml:space="preserve"> TOC \o "1-3" \h \z \u </w:instrText>
      </w:r>
      <w:r w:rsidRPr="00B4752E">
        <w:rPr>
          <w:rFonts w:asciiTheme="minorBidi" w:hAnsiTheme="minorBidi"/>
          <w:sz w:val="24"/>
          <w:szCs w:val="24"/>
        </w:rPr>
        <w:fldChar w:fldCharType="separate"/>
      </w:r>
      <w:hyperlink w:anchor="_Toc463944599" w:history="1">
        <w:r w:rsidRPr="00B4752E">
          <w:rPr>
            <w:rStyle w:val="Hyperlink"/>
            <w:rFonts w:asciiTheme="minorBidi" w:hAnsiTheme="minorBidi"/>
            <w:noProof/>
            <w:sz w:val="24"/>
            <w:szCs w:val="24"/>
          </w:rPr>
          <w:t>Executive Summary</w:t>
        </w:r>
        <w:r w:rsidRPr="00B4752E">
          <w:rPr>
            <w:rFonts w:asciiTheme="minorBidi" w:hAnsiTheme="minorBidi"/>
            <w:noProof/>
            <w:webHidden/>
            <w:sz w:val="24"/>
            <w:szCs w:val="24"/>
          </w:rPr>
          <w:tab/>
        </w:r>
        <w:r>
          <w:rPr>
            <w:rFonts w:asciiTheme="minorBidi" w:hAnsiTheme="minorBidi"/>
            <w:noProof/>
            <w:webHidden/>
            <w:sz w:val="24"/>
            <w:szCs w:val="24"/>
          </w:rPr>
          <w:t>3</w:t>
        </w:r>
      </w:hyperlink>
    </w:p>
    <w:p w14:paraId="2A10CE22" w14:textId="77777777" w:rsidR="003C7394" w:rsidRPr="00B4752E" w:rsidRDefault="00000000" w:rsidP="003C7394">
      <w:pPr>
        <w:pStyle w:val="TOC1"/>
        <w:tabs>
          <w:tab w:val="right" w:leader="dot" w:pos="9016"/>
        </w:tabs>
        <w:spacing w:line="360" w:lineRule="auto"/>
        <w:jc w:val="both"/>
        <w:rPr>
          <w:rFonts w:asciiTheme="minorBidi" w:eastAsiaTheme="minorEastAsia" w:hAnsiTheme="minorBidi"/>
          <w:noProof/>
          <w:sz w:val="24"/>
          <w:szCs w:val="24"/>
          <w:lang w:eastAsia="en-GB"/>
        </w:rPr>
      </w:pPr>
      <w:hyperlink w:anchor="_Toc463944600" w:history="1">
        <w:r w:rsidR="003C7394" w:rsidRPr="00B4752E">
          <w:rPr>
            <w:rStyle w:val="Hyperlink"/>
            <w:rFonts w:asciiTheme="minorBidi" w:hAnsiTheme="minorBidi"/>
            <w:noProof/>
            <w:sz w:val="24"/>
            <w:szCs w:val="24"/>
          </w:rPr>
          <w:t>Introduction</w:t>
        </w:r>
        <w:r w:rsidR="003C7394" w:rsidRPr="00B4752E">
          <w:rPr>
            <w:rFonts w:asciiTheme="minorBidi" w:hAnsiTheme="minorBidi"/>
            <w:noProof/>
            <w:webHidden/>
            <w:sz w:val="24"/>
            <w:szCs w:val="24"/>
          </w:rPr>
          <w:tab/>
        </w:r>
        <w:r w:rsidR="003C7394">
          <w:rPr>
            <w:rFonts w:asciiTheme="minorBidi" w:hAnsiTheme="minorBidi"/>
            <w:noProof/>
            <w:webHidden/>
            <w:sz w:val="24"/>
            <w:szCs w:val="24"/>
          </w:rPr>
          <w:t>4</w:t>
        </w:r>
      </w:hyperlink>
    </w:p>
    <w:p w14:paraId="61C0C0FF" w14:textId="77777777" w:rsidR="003C7394" w:rsidRPr="00B4752E" w:rsidRDefault="00000000" w:rsidP="003C7394">
      <w:pPr>
        <w:pStyle w:val="TOC1"/>
        <w:tabs>
          <w:tab w:val="right" w:leader="dot" w:pos="9016"/>
        </w:tabs>
        <w:spacing w:line="360" w:lineRule="auto"/>
        <w:jc w:val="both"/>
        <w:rPr>
          <w:rFonts w:asciiTheme="minorBidi" w:eastAsiaTheme="minorEastAsia" w:hAnsiTheme="minorBidi"/>
          <w:noProof/>
          <w:sz w:val="24"/>
          <w:szCs w:val="24"/>
          <w:lang w:eastAsia="en-GB"/>
        </w:rPr>
      </w:pPr>
      <w:hyperlink w:anchor="_Toc463944602" w:history="1">
        <w:r w:rsidR="003C7394" w:rsidRPr="00B4752E">
          <w:rPr>
            <w:rStyle w:val="Hyperlink"/>
            <w:rFonts w:asciiTheme="minorBidi" w:hAnsiTheme="minorBidi"/>
            <w:noProof/>
            <w:sz w:val="24"/>
            <w:szCs w:val="24"/>
          </w:rPr>
          <w:t>Financial Analysis Trends</w:t>
        </w:r>
        <w:r w:rsidR="003C7394" w:rsidRPr="00B4752E">
          <w:rPr>
            <w:rFonts w:asciiTheme="minorBidi" w:hAnsiTheme="minorBidi"/>
            <w:noProof/>
            <w:webHidden/>
            <w:sz w:val="24"/>
            <w:szCs w:val="24"/>
          </w:rPr>
          <w:tab/>
        </w:r>
        <w:r w:rsidR="003C7394">
          <w:rPr>
            <w:rFonts w:asciiTheme="minorBidi" w:hAnsiTheme="minorBidi"/>
            <w:noProof/>
            <w:webHidden/>
            <w:sz w:val="24"/>
            <w:szCs w:val="24"/>
          </w:rPr>
          <w:t>5</w:t>
        </w:r>
      </w:hyperlink>
    </w:p>
    <w:p w14:paraId="3AB8DDE3" w14:textId="77777777" w:rsidR="003C7394" w:rsidRPr="00B4752E" w:rsidRDefault="00000000" w:rsidP="003C7394">
      <w:pPr>
        <w:pStyle w:val="TOC2"/>
        <w:tabs>
          <w:tab w:val="right" w:leader="dot" w:pos="9016"/>
        </w:tabs>
        <w:spacing w:line="360" w:lineRule="auto"/>
        <w:jc w:val="both"/>
        <w:rPr>
          <w:rFonts w:asciiTheme="minorBidi" w:hAnsiTheme="minorBidi"/>
          <w:noProof/>
          <w:sz w:val="24"/>
          <w:szCs w:val="24"/>
        </w:rPr>
      </w:pPr>
      <w:hyperlink w:anchor="_Toc463944603" w:history="1">
        <w:r w:rsidR="003C7394" w:rsidRPr="00B4752E">
          <w:rPr>
            <w:rStyle w:val="Hyperlink"/>
            <w:rFonts w:asciiTheme="minorBidi" w:hAnsiTheme="minorBidi"/>
            <w:noProof/>
            <w:sz w:val="24"/>
            <w:szCs w:val="24"/>
          </w:rPr>
          <w:t>Profitability</w:t>
        </w:r>
        <w:r w:rsidR="003C7394" w:rsidRPr="00B4752E">
          <w:rPr>
            <w:rFonts w:asciiTheme="minorBidi" w:hAnsiTheme="minorBidi"/>
            <w:noProof/>
            <w:webHidden/>
            <w:sz w:val="24"/>
            <w:szCs w:val="24"/>
          </w:rPr>
          <w:tab/>
          <w:t>5</w:t>
        </w:r>
      </w:hyperlink>
    </w:p>
    <w:p w14:paraId="612532D7" w14:textId="77777777" w:rsidR="003C7394" w:rsidRPr="00B4752E" w:rsidRDefault="00000000" w:rsidP="003C7394">
      <w:pPr>
        <w:pStyle w:val="TOC2"/>
        <w:tabs>
          <w:tab w:val="right" w:leader="dot" w:pos="9016"/>
        </w:tabs>
        <w:spacing w:line="360" w:lineRule="auto"/>
        <w:jc w:val="both"/>
        <w:rPr>
          <w:rFonts w:asciiTheme="minorBidi" w:hAnsiTheme="minorBidi"/>
          <w:noProof/>
          <w:sz w:val="24"/>
          <w:szCs w:val="24"/>
        </w:rPr>
      </w:pPr>
      <w:hyperlink w:anchor="_Toc463944604" w:history="1">
        <w:r w:rsidR="003C7394" w:rsidRPr="00B4752E">
          <w:rPr>
            <w:rStyle w:val="Hyperlink"/>
            <w:rFonts w:asciiTheme="minorBidi" w:hAnsiTheme="minorBidi"/>
            <w:noProof/>
            <w:sz w:val="24"/>
            <w:szCs w:val="24"/>
          </w:rPr>
          <w:t>Liquidity</w:t>
        </w:r>
        <w:r w:rsidR="003C7394" w:rsidRPr="00B4752E">
          <w:rPr>
            <w:rFonts w:asciiTheme="minorBidi" w:hAnsiTheme="minorBidi"/>
            <w:noProof/>
            <w:webHidden/>
            <w:sz w:val="24"/>
            <w:szCs w:val="24"/>
          </w:rPr>
          <w:tab/>
        </w:r>
        <w:r w:rsidR="003C7394">
          <w:rPr>
            <w:rFonts w:asciiTheme="minorBidi" w:hAnsiTheme="minorBidi"/>
            <w:noProof/>
            <w:webHidden/>
            <w:sz w:val="24"/>
            <w:szCs w:val="24"/>
          </w:rPr>
          <w:t>15</w:t>
        </w:r>
      </w:hyperlink>
    </w:p>
    <w:p w14:paraId="6B1C5917" w14:textId="77777777" w:rsidR="003C7394" w:rsidRPr="00B4752E" w:rsidRDefault="00000000" w:rsidP="003C7394">
      <w:pPr>
        <w:pStyle w:val="TOC2"/>
        <w:tabs>
          <w:tab w:val="right" w:leader="dot" w:pos="9016"/>
        </w:tabs>
        <w:spacing w:line="360" w:lineRule="auto"/>
        <w:jc w:val="both"/>
        <w:rPr>
          <w:rFonts w:asciiTheme="minorBidi" w:hAnsiTheme="minorBidi"/>
          <w:noProof/>
          <w:sz w:val="24"/>
          <w:szCs w:val="24"/>
        </w:rPr>
      </w:pPr>
      <w:hyperlink w:anchor="_Toc463944605" w:history="1">
        <w:r w:rsidR="003C7394" w:rsidRPr="00B4752E">
          <w:rPr>
            <w:rStyle w:val="Hyperlink"/>
            <w:rFonts w:asciiTheme="minorBidi" w:hAnsiTheme="minorBidi"/>
            <w:noProof/>
            <w:sz w:val="24"/>
            <w:szCs w:val="24"/>
          </w:rPr>
          <w:t>Gearing</w:t>
        </w:r>
        <w:r w:rsidR="003C7394" w:rsidRPr="00B4752E">
          <w:rPr>
            <w:rFonts w:asciiTheme="minorBidi" w:hAnsiTheme="minorBidi"/>
            <w:noProof/>
            <w:webHidden/>
            <w:sz w:val="24"/>
            <w:szCs w:val="24"/>
          </w:rPr>
          <w:tab/>
          <w:t>1</w:t>
        </w:r>
        <w:r w:rsidR="003C7394">
          <w:rPr>
            <w:rFonts w:asciiTheme="minorBidi" w:hAnsiTheme="minorBidi"/>
            <w:noProof/>
            <w:webHidden/>
            <w:sz w:val="24"/>
            <w:szCs w:val="24"/>
          </w:rPr>
          <w:t>8</w:t>
        </w:r>
      </w:hyperlink>
    </w:p>
    <w:p w14:paraId="3992B247" w14:textId="77777777" w:rsidR="003C7394" w:rsidRPr="00B4752E" w:rsidRDefault="00000000" w:rsidP="003C7394">
      <w:pPr>
        <w:pStyle w:val="TOC1"/>
        <w:tabs>
          <w:tab w:val="right" w:leader="dot" w:pos="9016"/>
        </w:tabs>
        <w:spacing w:line="360" w:lineRule="auto"/>
        <w:jc w:val="both"/>
        <w:rPr>
          <w:rFonts w:asciiTheme="minorBidi" w:eastAsiaTheme="minorEastAsia" w:hAnsiTheme="minorBidi"/>
          <w:noProof/>
          <w:sz w:val="24"/>
          <w:szCs w:val="24"/>
          <w:lang w:eastAsia="en-GB"/>
        </w:rPr>
      </w:pPr>
      <w:hyperlink w:anchor="_Toc463944606" w:history="1">
        <w:r w:rsidR="003C7394" w:rsidRPr="00B4752E">
          <w:rPr>
            <w:rStyle w:val="Hyperlink"/>
            <w:rFonts w:asciiTheme="minorBidi" w:hAnsiTheme="minorBidi"/>
            <w:noProof/>
            <w:sz w:val="24"/>
            <w:szCs w:val="24"/>
          </w:rPr>
          <w:t>Knowledge from Ratio Analysis</w:t>
        </w:r>
        <w:r w:rsidR="003C7394" w:rsidRPr="00B4752E">
          <w:rPr>
            <w:rFonts w:asciiTheme="minorBidi" w:hAnsiTheme="minorBidi"/>
            <w:noProof/>
            <w:webHidden/>
            <w:sz w:val="24"/>
            <w:szCs w:val="24"/>
          </w:rPr>
          <w:tab/>
        </w:r>
        <w:r w:rsidR="003C7394">
          <w:rPr>
            <w:rFonts w:asciiTheme="minorBidi" w:hAnsiTheme="minorBidi"/>
            <w:noProof/>
            <w:webHidden/>
            <w:sz w:val="24"/>
            <w:szCs w:val="24"/>
          </w:rPr>
          <w:t>20</w:t>
        </w:r>
      </w:hyperlink>
    </w:p>
    <w:p w14:paraId="4BCE2F6D" w14:textId="77777777" w:rsidR="003C7394" w:rsidRPr="00B4752E" w:rsidRDefault="00000000" w:rsidP="003C7394">
      <w:pPr>
        <w:pStyle w:val="TOC1"/>
        <w:tabs>
          <w:tab w:val="right" w:leader="dot" w:pos="9016"/>
        </w:tabs>
        <w:spacing w:line="360" w:lineRule="auto"/>
        <w:jc w:val="both"/>
        <w:rPr>
          <w:rFonts w:asciiTheme="minorBidi" w:eastAsiaTheme="minorEastAsia" w:hAnsiTheme="minorBidi"/>
          <w:noProof/>
          <w:sz w:val="24"/>
          <w:szCs w:val="24"/>
          <w:lang w:eastAsia="en-GB"/>
        </w:rPr>
      </w:pPr>
      <w:hyperlink w:anchor="_Toc463944607" w:history="1">
        <w:r w:rsidR="003C7394" w:rsidRPr="00B4752E">
          <w:rPr>
            <w:rStyle w:val="Hyperlink"/>
            <w:rFonts w:asciiTheme="minorBidi" w:hAnsiTheme="minorBidi"/>
            <w:noProof/>
            <w:sz w:val="24"/>
            <w:szCs w:val="24"/>
          </w:rPr>
          <w:t>Benefits and Limitations of Ratio Analysis</w:t>
        </w:r>
        <w:r w:rsidR="003C7394" w:rsidRPr="00B4752E">
          <w:rPr>
            <w:rFonts w:asciiTheme="minorBidi" w:hAnsiTheme="minorBidi"/>
            <w:noProof/>
            <w:webHidden/>
            <w:sz w:val="24"/>
            <w:szCs w:val="24"/>
          </w:rPr>
          <w:tab/>
        </w:r>
        <w:r w:rsidR="003C7394">
          <w:rPr>
            <w:rFonts w:asciiTheme="minorBidi" w:hAnsiTheme="minorBidi"/>
            <w:noProof/>
            <w:webHidden/>
            <w:sz w:val="24"/>
            <w:szCs w:val="24"/>
          </w:rPr>
          <w:t>21</w:t>
        </w:r>
      </w:hyperlink>
    </w:p>
    <w:p w14:paraId="3FFE3613" w14:textId="77777777" w:rsidR="003C7394" w:rsidRPr="00B4752E" w:rsidRDefault="00000000" w:rsidP="000A58AC">
      <w:pPr>
        <w:pStyle w:val="TOC1"/>
        <w:tabs>
          <w:tab w:val="right" w:leader="dot" w:pos="9016"/>
        </w:tabs>
        <w:spacing w:line="360" w:lineRule="auto"/>
        <w:jc w:val="both"/>
        <w:rPr>
          <w:rFonts w:asciiTheme="minorBidi" w:eastAsiaTheme="minorEastAsia" w:hAnsiTheme="minorBidi"/>
          <w:noProof/>
          <w:sz w:val="24"/>
          <w:szCs w:val="24"/>
          <w:lang w:eastAsia="en-GB"/>
        </w:rPr>
      </w:pPr>
      <w:hyperlink w:anchor="_Toc463944608" w:history="1">
        <w:r w:rsidR="003C7394" w:rsidRPr="00B4752E">
          <w:rPr>
            <w:rStyle w:val="Hyperlink"/>
            <w:rFonts w:asciiTheme="minorBidi" w:hAnsiTheme="minorBidi"/>
            <w:noProof/>
            <w:sz w:val="24"/>
            <w:szCs w:val="24"/>
          </w:rPr>
          <w:t>Conclusion</w:t>
        </w:r>
        <w:r w:rsidR="003C7394" w:rsidRPr="00B4752E">
          <w:rPr>
            <w:rFonts w:asciiTheme="minorBidi" w:hAnsiTheme="minorBidi"/>
            <w:noProof/>
            <w:webHidden/>
            <w:sz w:val="24"/>
            <w:szCs w:val="24"/>
          </w:rPr>
          <w:tab/>
        </w:r>
        <w:r w:rsidR="003C7394">
          <w:rPr>
            <w:rFonts w:asciiTheme="minorBidi" w:hAnsiTheme="minorBidi"/>
            <w:noProof/>
            <w:webHidden/>
            <w:sz w:val="24"/>
            <w:szCs w:val="24"/>
          </w:rPr>
          <w:t>22</w:t>
        </w:r>
      </w:hyperlink>
    </w:p>
    <w:p w14:paraId="166D49B3" w14:textId="77777777" w:rsidR="003C7394" w:rsidRPr="00B4752E" w:rsidRDefault="00000000" w:rsidP="003C7394">
      <w:pPr>
        <w:pStyle w:val="TOC1"/>
        <w:tabs>
          <w:tab w:val="right" w:leader="dot" w:pos="9016"/>
        </w:tabs>
        <w:spacing w:line="360" w:lineRule="auto"/>
        <w:jc w:val="both"/>
        <w:rPr>
          <w:rFonts w:asciiTheme="minorBidi" w:eastAsiaTheme="minorEastAsia" w:hAnsiTheme="minorBidi"/>
          <w:noProof/>
          <w:sz w:val="24"/>
          <w:szCs w:val="24"/>
          <w:lang w:eastAsia="en-GB"/>
        </w:rPr>
      </w:pPr>
      <w:hyperlink w:anchor="_Toc463944609" w:history="1">
        <w:r w:rsidR="003C7394" w:rsidRPr="00B4752E">
          <w:rPr>
            <w:rStyle w:val="Hyperlink"/>
            <w:rFonts w:asciiTheme="minorBidi" w:hAnsiTheme="minorBidi"/>
            <w:noProof/>
            <w:sz w:val="24"/>
            <w:szCs w:val="24"/>
          </w:rPr>
          <w:t>Bibliography</w:t>
        </w:r>
        <w:r w:rsidR="003C7394" w:rsidRPr="00B4752E">
          <w:rPr>
            <w:rFonts w:asciiTheme="minorBidi" w:hAnsiTheme="minorBidi"/>
            <w:noProof/>
            <w:webHidden/>
            <w:sz w:val="24"/>
            <w:szCs w:val="24"/>
          </w:rPr>
          <w:tab/>
        </w:r>
        <w:r w:rsidR="003C7394">
          <w:rPr>
            <w:rFonts w:asciiTheme="minorBidi" w:hAnsiTheme="minorBidi"/>
            <w:noProof/>
            <w:webHidden/>
            <w:sz w:val="24"/>
            <w:szCs w:val="24"/>
          </w:rPr>
          <w:t>23</w:t>
        </w:r>
      </w:hyperlink>
    </w:p>
    <w:p w14:paraId="79B126D9" w14:textId="77777777" w:rsidR="003C7394" w:rsidRDefault="003C7394" w:rsidP="003C7394">
      <w:pPr>
        <w:pStyle w:val="Heading1"/>
        <w:keepNext w:val="0"/>
        <w:keepLines w:val="0"/>
        <w:spacing w:before="480" w:line="360" w:lineRule="auto"/>
        <w:jc w:val="both"/>
        <w:rPr>
          <w:rFonts w:asciiTheme="minorBidi" w:hAnsiTheme="minorBidi"/>
          <w:b/>
          <w:bCs/>
          <w:noProof/>
          <w:sz w:val="24"/>
          <w:szCs w:val="24"/>
        </w:rPr>
      </w:pPr>
      <w:r w:rsidRPr="00B4752E">
        <w:rPr>
          <w:rFonts w:asciiTheme="minorBidi" w:hAnsiTheme="minorBidi"/>
          <w:b/>
          <w:bCs/>
          <w:noProof/>
          <w:sz w:val="24"/>
          <w:szCs w:val="24"/>
        </w:rPr>
        <w:fldChar w:fldCharType="end"/>
      </w:r>
    </w:p>
    <w:p w14:paraId="1C2C5655" w14:textId="77777777" w:rsidR="003C7394" w:rsidRDefault="003C7394">
      <w:pPr>
        <w:rPr>
          <w:rFonts w:asciiTheme="minorBidi" w:hAnsiTheme="minorBidi"/>
          <w:b/>
          <w:bCs/>
          <w:noProof/>
          <w:sz w:val="24"/>
          <w:szCs w:val="24"/>
        </w:rPr>
      </w:pPr>
      <w:r>
        <w:rPr>
          <w:rFonts w:asciiTheme="minorBidi" w:hAnsiTheme="minorBidi"/>
          <w:b/>
          <w:bCs/>
          <w:noProof/>
          <w:sz w:val="24"/>
          <w:szCs w:val="24"/>
        </w:rPr>
        <w:br w:type="page"/>
      </w:r>
    </w:p>
    <w:p w14:paraId="6BF8CC53" w14:textId="77777777" w:rsidR="00A759F7" w:rsidRDefault="00D1114C">
      <w:pPr>
        <w:pStyle w:val="Heading1"/>
        <w:keepNext w:val="0"/>
        <w:keepLines w:val="0"/>
        <w:spacing w:before="480" w:line="360" w:lineRule="auto"/>
        <w:jc w:val="both"/>
        <w:rPr>
          <w:b/>
          <w:sz w:val="24"/>
          <w:szCs w:val="24"/>
        </w:rPr>
      </w:pPr>
      <w:bookmarkStart w:id="3" w:name="_ud6p31qvb6p2" w:colFirst="0" w:colLast="0"/>
      <w:bookmarkStart w:id="4" w:name="_n7vqwfvgopah" w:colFirst="0" w:colLast="0"/>
      <w:bookmarkStart w:id="5" w:name="_kdrzrcd1xmo9" w:colFirst="0" w:colLast="0"/>
      <w:bookmarkStart w:id="6" w:name="_yuu8sguqsgln" w:colFirst="0" w:colLast="0"/>
      <w:bookmarkEnd w:id="3"/>
      <w:bookmarkEnd w:id="4"/>
      <w:bookmarkEnd w:id="5"/>
      <w:bookmarkEnd w:id="6"/>
      <w:r>
        <w:rPr>
          <w:b/>
          <w:sz w:val="24"/>
          <w:szCs w:val="24"/>
        </w:rPr>
        <w:lastRenderedPageBreak/>
        <w:t>Executive Summary</w:t>
      </w:r>
    </w:p>
    <w:p w14:paraId="42C37700" w14:textId="77777777" w:rsidR="00A759F7" w:rsidRDefault="00D1114C">
      <w:pPr>
        <w:spacing w:before="240" w:after="240" w:line="360" w:lineRule="auto"/>
        <w:jc w:val="both"/>
        <w:rPr>
          <w:sz w:val="24"/>
          <w:szCs w:val="24"/>
        </w:rPr>
      </w:pPr>
      <w:r>
        <w:rPr>
          <w:sz w:val="24"/>
          <w:szCs w:val="24"/>
        </w:rPr>
        <w:t>If one wants to check the profitability, efficacy, and liquidity of a company, the ratio analysis method is a handy tool. It uses the company’s income report and balance sheet to prepare a financial statement containing a few financial ratios such as profitability and liquidity ratios. This report will be about these financial ratios based on the financial statements of Marriott International Inc. We’ll be focusing on the years 2020 and 2021. The company is running its business in 139 countries and has 8,000 branches. In 2020, the Marriott hotel has seen a significant decrease in its sales and lost a lot of liquidity. However, in 2021, the statistics are in favor, as it is making a profit. It is partly due to better asset management and sales. However, it is not a perfect tool since it doesn’t consider the social and cultural aspects.</w:t>
      </w:r>
    </w:p>
    <w:p w14:paraId="5FB915BD" w14:textId="77777777" w:rsidR="00A759F7" w:rsidRDefault="00D1114C">
      <w:pPr>
        <w:spacing w:before="240" w:after="240" w:line="360" w:lineRule="auto"/>
        <w:jc w:val="both"/>
        <w:rPr>
          <w:sz w:val="24"/>
          <w:szCs w:val="24"/>
        </w:rPr>
      </w:pPr>
      <w:r>
        <w:rPr>
          <w:sz w:val="24"/>
          <w:szCs w:val="24"/>
        </w:rPr>
        <w:t xml:space="preserve"> </w:t>
      </w:r>
    </w:p>
    <w:p w14:paraId="5A83CC39" w14:textId="77777777" w:rsidR="00A759F7" w:rsidRDefault="00D1114C">
      <w:pPr>
        <w:spacing w:before="240" w:after="240" w:line="360" w:lineRule="auto"/>
        <w:jc w:val="both"/>
        <w:rPr>
          <w:sz w:val="24"/>
          <w:szCs w:val="24"/>
        </w:rPr>
      </w:pPr>
      <w:r>
        <w:rPr>
          <w:sz w:val="24"/>
          <w:szCs w:val="24"/>
        </w:rPr>
        <w:t xml:space="preserve"> </w:t>
      </w:r>
    </w:p>
    <w:p w14:paraId="0D3E9B60" w14:textId="77777777" w:rsidR="00A759F7" w:rsidRDefault="00D1114C">
      <w:pPr>
        <w:spacing w:before="240" w:after="240" w:line="360" w:lineRule="auto"/>
        <w:jc w:val="both"/>
        <w:rPr>
          <w:sz w:val="24"/>
          <w:szCs w:val="24"/>
        </w:rPr>
      </w:pPr>
      <w:r>
        <w:rPr>
          <w:sz w:val="24"/>
          <w:szCs w:val="24"/>
        </w:rPr>
        <w:t xml:space="preserve"> </w:t>
      </w:r>
    </w:p>
    <w:p w14:paraId="35DB5E3C" w14:textId="77777777" w:rsidR="00A759F7" w:rsidRDefault="00D1114C">
      <w:pPr>
        <w:spacing w:before="240" w:after="240" w:line="360" w:lineRule="auto"/>
        <w:jc w:val="both"/>
        <w:rPr>
          <w:sz w:val="24"/>
          <w:szCs w:val="24"/>
        </w:rPr>
      </w:pPr>
      <w:r>
        <w:rPr>
          <w:sz w:val="24"/>
          <w:szCs w:val="24"/>
        </w:rPr>
        <w:t xml:space="preserve"> </w:t>
      </w:r>
    </w:p>
    <w:p w14:paraId="3BBAEBA7" w14:textId="77777777" w:rsidR="00A759F7" w:rsidRDefault="00D1114C">
      <w:pPr>
        <w:spacing w:before="240" w:after="240" w:line="360" w:lineRule="auto"/>
        <w:jc w:val="both"/>
        <w:rPr>
          <w:sz w:val="24"/>
          <w:szCs w:val="24"/>
        </w:rPr>
      </w:pPr>
      <w:r>
        <w:rPr>
          <w:sz w:val="24"/>
          <w:szCs w:val="24"/>
        </w:rPr>
        <w:t xml:space="preserve"> </w:t>
      </w:r>
    </w:p>
    <w:p w14:paraId="0CEF46EE" w14:textId="77777777" w:rsidR="00A759F7" w:rsidRDefault="00D1114C">
      <w:pPr>
        <w:spacing w:before="240" w:after="240" w:line="360" w:lineRule="auto"/>
        <w:jc w:val="both"/>
        <w:rPr>
          <w:sz w:val="24"/>
          <w:szCs w:val="24"/>
        </w:rPr>
      </w:pPr>
      <w:r>
        <w:rPr>
          <w:sz w:val="24"/>
          <w:szCs w:val="24"/>
        </w:rPr>
        <w:t xml:space="preserve"> </w:t>
      </w:r>
    </w:p>
    <w:p w14:paraId="5280C318" w14:textId="77777777" w:rsidR="00A759F7" w:rsidRDefault="00D1114C">
      <w:pPr>
        <w:spacing w:before="240" w:after="240" w:line="360" w:lineRule="auto"/>
        <w:jc w:val="both"/>
        <w:rPr>
          <w:sz w:val="24"/>
          <w:szCs w:val="24"/>
        </w:rPr>
      </w:pPr>
      <w:r>
        <w:rPr>
          <w:sz w:val="24"/>
          <w:szCs w:val="24"/>
        </w:rPr>
        <w:t xml:space="preserve"> </w:t>
      </w:r>
    </w:p>
    <w:p w14:paraId="30C9571F" w14:textId="77777777" w:rsidR="00A759F7" w:rsidRDefault="00D1114C">
      <w:pPr>
        <w:spacing w:before="240" w:after="240" w:line="360" w:lineRule="auto"/>
        <w:jc w:val="both"/>
        <w:rPr>
          <w:sz w:val="24"/>
          <w:szCs w:val="24"/>
        </w:rPr>
      </w:pPr>
      <w:r>
        <w:rPr>
          <w:sz w:val="24"/>
          <w:szCs w:val="24"/>
        </w:rPr>
        <w:t xml:space="preserve"> </w:t>
      </w:r>
    </w:p>
    <w:p w14:paraId="37200D37" w14:textId="77777777" w:rsidR="00A759F7" w:rsidRDefault="00D1114C">
      <w:pPr>
        <w:spacing w:before="240" w:after="240" w:line="360" w:lineRule="auto"/>
        <w:jc w:val="both"/>
        <w:rPr>
          <w:sz w:val="24"/>
          <w:szCs w:val="24"/>
        </w:rPr>
      </w:pPr>
      <w:r>
        <w:rPr>
          <w:sz w:val="24"/>
          <w:szCs w:val="24"/>
        </w:rPr>
        <w:t xml:space="preserve"> </w:t>
      </w:r>
    </w:p>
    <w:p w14:paraId="63A7BF5C" w14:textId="77777777" w:rsidR="003C7394" w:rsidRDefault="00D1114C" w:rsidP="003C7394">
      <w:pPr>
        <w:spacing w:before="240" w:after="240" w:line="360" w:lineRule="auto"/>
        <w:jc w:val="both"/>
        <w:rPr>
          <w:sz w:val="24"/>
          <w:szCs w:val="24"/>
        </w:rPr>
      </w:pPr>
      <w:r>
        <w:rPr>
          <w:sz w:val="24"/>
          <w:szCs w:val="24"/>
        </w:rPr>
        <w:t xml:space="preserve"> </w:t>
      </w:r>
    </w:p>
    <w:p w14:paraId="35651818" w14:textId="77777777" w:rsidR="003C7394" w:rsidRDefault="003C7394">
      <w:pPr>
        <w:rPr>
          <w:sz w:val="24"/>
          <w:szCs w:val="24"/>
        </w:rPr>
      </w:pPr>
    </w:p>
    <w:p w14:paraId="025A2B3C" w14:textId="77777777" w:rsidR="003C7394" w:rsidRDefault="003C7394">
      <w:pPr>
        <w:rPr>
          <w:sz w:val="24"/>
          <w:szCs w:val="24"/>
        </w:rPr>
      </w:pPr>
    </w:p>
    <w:p w14:paraId="58396075" w14:textId="77777777" w:rsidR="003C7394" w:rsidRDefault="003C7394">
      <w:pPr>
        <w:rPr>
          <w:b/>
          <w:sz w:val="24"/>
          <w:szCs w:val="24"/>
        </w:rPr>
      </w:pPr>
      <w:r>
        <w:rPr>
          <w:b/>
          <w:sz w:val="24"/>
          <w:szCs w:val="24"/>
        </w:rPr>
        <w:br w:type="page"/>
      </w:r>
    </w:p>
    <w:p w14:paraId="2C36432C" w14:textId="77777777" w:rsidR="00A759F7" w:rsidRDefault="00D1114C" w:rsidP="003C7394">
      <w:pPr>
        <w:spacing w:before="240" w:after="240" w:line="360" w:lineRule="auto"/>
        <w:jc w:val="both"/>
        <w:rPr>
          <w:sz w:val="24"/>
          <w:szCs w:val="24"/>
        </w:rPr>
      </w:pPr>
      <w:r>
        <w:rPr>
          <w:b/>
          <w:sz w:val="24"/>
          <w:szCs w:val="24"/>
        </w:rPr>
        <w:lastRenderedPageBreak/>
        <w:t>Introduction</w:t>
      </w:r>
    </w:p>
    <w:p w14:paraId="38BBB139" w14:textId="77777777" w:rsidR="00A759F7" w:rsidRDefault="00D1114C">
      <w:pPr>
        <w:pStyle w:val="Heading1"/>
        <w:keepNext w:val="0"/>
        <w:keepLines w:val="0"/>
        <w:spacing w:before="480" w:line="360" w:lineRule="auto"/>
        <w:jc w:val="both"/>
        <w:rPr>
          <w:sz w:val="24"/>
          <w:szCs w:val="24"/>
        </w:rPr>
      </w:pPr>
      <w:bookmarkStart w:id="7" w:name="_imer103mwvqq" w:colFirst="0" w:colLast="0"/>
      <w:bookmarkEnd w:id="7"/>
      <w:r>
        <w:rPr>
          <w:sz w:val="24"/>
          <w:szCs w:val="24"/>
        </w:rPr>
        <w:t>Ratio analysis is one of the most important tools to measure a company’s ability to profit from its business and how efficient it is. It also tells us the condition of the company’s liquidity. The purpose of this report is to analyze the financial statements of Marriott International Inc. for the years 2020 and 2021. The company currently has over 8,000 branches throughout the 139 countries in which it does business. This report will look at three financial ratios: Profitability, Liquidity, and Gearing to understand the condition of its business and provide insights. The analysis will be followed by commenting on the ratio analysis method and its limitations of it.</w:t>
      </w:r>
    </w:p>
    <w:p w14:paraId="138AA111" w14:textId="77777777" w:rsidR="00A759F7" w:rsidRDefault="00D1114C">
      <w:pPr>
        <w:spacing w:before="240" w:after="240" w:line="360" w:lineRule="auto"/>
        <w:jc w:val="both"/>
        <w:rPr>
          <w:sz w:val="24"/>
          <w:szCs w:val="24"/>
        </w:rPr>
      </w:pPr>
      <w:r>
        <w:rPr>
          <w:sz w:val="24"/>
          <w:szCs w:val="24"/>
        </w:rPr>
        <w:t xml:space="preserve"> </w:t>
      </w:r>
    </w:p>
    <w:p w14:paraId="4851B5FC" w14:textId="77777777" w:rsidR="003C7394" w:rsidRDefault="003C7394">
      <w:pPr>
        <w:rPr>
          <w:b/>
          <w:sz w:val="24"/>
          <w:szCs w:val="24"/>
        </w:rPr>
      </w:pPr>
      <w:r>
        <w:rPr>
          <w:b/>
          <w:sz w:val="24"/>
          <w:szCs w:val="24"/>
        </w:rPr>
        <w:br w:type="page"/>
      </w:r>
    </w:p>
    <w:p w14:paraId="01BF4FDB" w14:textId="77777777" w:rsidR="00A759F7" w:rsidRDefault="00D1114C">
      <w:pPr>
        <w:spacing w:before="240" w:after="240" w:line="360" w:lineRule="auto"/>
        <w:jc w:val="both"/>
        <w:rPr>
          <w:b/>
          <w:sz w:val="24"/>
          <w:szCs w:val="24"/>
        </w:rPr>
      </w:pPr>
      <w:r>
        <w:rPr>
          <w:b/>
          <w:sz w:val="24"/>
          <w:szCs w:val="24"/>
        </w:rPr>
        <w:lastRenderedPageBreak/>
        <w:t>Financial Analysis Trends</w:t>
      </w:r>
    </w:p>
    <w:p w14:paraId="236726BA" w14:textId="77777777" w:rsidR="00A759F7" w:rsidRDefault="00D1114C">
      <w:pPr>
        <w:spacing w:before="240" w:after="240" w:line="360" w:lineRule="auto"/>
        <w:jc w:val="both"/>
        <w:rPr>
          <w:sz w:val="24"/>
          <w:szCs w:val="24"/>
        </w:rPr>
      </w:pPr>
      <w:r>
        <w:rPr>
          <w:sz w:val="24"/>
          <w:szCs w:val="24"/>
        </w:rPr>
        <w:t>The financial trend of Marriot International Inc. from its financial statements for 2021 and 2020 is shown and compared down below.</w:t>
      </w:r>
    </w:p>
    <w:p w14:paraId="474580D1" w14:textId="77777777" w:rsidR="00A759F7" w:rsidRDefault="00D1114C">
      <w:pPr>
        <w:spacing w:before="240" w:after="240" w:line="360" w:lineRule="auto"/>
        <w:jc w:val="both"/>
        <w:rPr>
          <w:sz w:val="24"/>
          <w:szCs w:val="24"/>
        </w:rPr>
      </w:pPr>
      <w:r>
        <w:rPr>
          <w:sz w:val="24"/>
          <w:szCs w:val="24"/>
        </w:rPr>
        <w:t>The financial statements of Marriott International Inc. show a clear upward trend from 2020 to 2021. Below, we’re going to be taking a look at the ratio analysis report.</w:t>
      </w:r>
    </w:p>
    <w:p w14:paraId="506BBB33" w14:textId="77777777" w:rsidR="00A759F7" w:rsidRDefault="00D1114C">
      <w:pPr>
        <w:pStyle w:val="Heading2"/>
        <w:keepNext w:val="0"/>
        <w:keepLines w:val="0"/>
        <w:spacing w:after="80" w:line="360" w:lineRule="auto"/>
        <w:jc w:val="both"/>
        <w:rPr>
          <w:b/>
          <w:sz w:val="24"/>
          <w:szCs w:val="24"/>
        </w:rPr>
      </w:pPr>
      <w:bookmarkStart w:id="8" w:name="_xelj52k9bey9" w:colFirst="0" w:colLast="0"/>
      <w:bookmarkEnd w:id="8"/>
      <w:r>
        <w:rPr>
          <w:b/>
          <w:sz w:val="24"/>
          <w:szCs w:val="24"/>
        </w:rPr>
        <w:t>Profitability</w:t>
      </w:r>
    </w:p>
    <w:p w14:paraId="4FF9753C" w14:textId="77777777" w:rsidR="00A759F7" w:rsidRDefault="00D1114C">
      <w:pPr>
        <w:spacing w:before="240" w:after="240" w:line="360" w:lineRule="auto"/>
        <w:jc w:val="both"/>
        <w:rPr>
          <w:sz w:val="24"/>
          <w:szCs w:val="24"/>
        </w:rPr>
      </w:pPr>
      <w:r>
        <w:rPr>
          <w:sz w:val="24"/>
          <w:szCs w:val="24"/>
        </w:rPr>
        <w:t>We’re going to be putting the profitability ratio data from the given link of the financial statements.</w:t>
      </w:r>
    </w:p>
    <w:p w14:paraId="3013533E" w14:textId="77777777" w:rsidR="00A759F7" w:rsidRDefault="00D1114C">
      <w:pPr>
        <w:spacing w:before="240" w:after="240" w:line="360" w:lineRule="auto"/>
        <w:jc w:val="both"/>
        <w:rPr>
          <w:b/>
          <w:sz w:val="24"/>
          <w:szCs w:val="24"/>
        </w:rPr>
      </w:pPr>
      <w:r>
        <w:rPr>
          <w:b/>
          <w:sz w:val="24"/>
          <w:szCs w:val="24"/>
        </w:rPr>
        <w:t>Net Profit Margin</w:t>
      </w:r>
    </w:p>
    <w:p w14:paraId="706D4032" w14:textId="77777777" w:rsidR="00A759F7" w:rsidRDefault="00D1114C" w:rsidP="003C7394">
      <w:pPr>
        <w:spacing w:before="240" w:after="240" w:line="360" w:lineRule="auto"/>
        <w:jc w:val="both"/>
        <w:rPr>
          <w:sz w:val="24"/>
          <w:szCs w:val="24"/>
        </w:rPr>
      </w:pPr>
      <w:r>
        <w:rPr>
          <w:sz w:val="24"/>
          <w:szCs w:val="24"/>
        </w:rPr>
        <w:t xml:space="preserve">Net profit margin is one of the major financial ratios. It shows how much a company is profitable. (Berk &amp; </w:t>
      </w:r>
      <w:proofErr w:type="spellStart"/>
      <w:r>
        <w:rPr>
          <w:sz w:val="24"/>
          <w:szCs w:val="24"/>
        </w:rPr>
        <w:t>Demarzo</w:t>
      </w:r>
      <w:proofErr w:type="spellEnd"/>
      <w:r>
        <w:rPr>
          <w:sz w:val="24"/>
          <w:szCs w:val="24"/>
        </w:rPr>
        <w:t>, 2020)</w:t>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3614"/>
        <w:gridCol w:w="2640"/>
        <w:gridCol w:w="2771"/>
      </w:tblGrid>
      <w:tr w:rsidR="00A759F7" w14:paraId="47AA5089" w14:textId="77777777">
        <w:trPr>
          <w:trHeight w:val="650"/>
        </w:trPr>
        <w:tc>
          <w:tcPr>
            <w:tcW w:w="3613"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2A44B3BA" w14:textId="77777777" w:rsidR="00A759F7" w:rsidRDefault="00D1114C">
            <w:pPr>
              <w:spacing w:before="240" w:line="360" w:lineRule="auto"/>
              <w:jc w:val="both"/>
              <w:rPr>
                <w:sz w:val="24"/>
                <w:szCs w:val="24"/>
              </w:rPr>
            </w:pPr>
            <w:r>
              <w:rPr>
                <w:sz w:val="24"/>
                <w:szCs w:val="24"/>
              </w:rPr>
              <w:t>Year</w:t>
            </w:r>
          </w:p>
        </w:tc>
        <w:tc>
          <w:tcPr>
            <w:tcW w:w="2640"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28AFC043" w14:textId="77777777" w:rsidR="00A759F7" w:rsidRDefault="00D1114C">
            <w:pPr>
              <w:spacing w:before="240" w:line="360" w:lineRule="auto"/>
              <w:jc w:val="both"/>
              <w:rPr>
                <w:sz w:val="24"/>
                <w:szCs w:val="24"/>
              </w:rPr>
            </w:pPr>
            <w:r>
              <w:rPr>
                <w:sz w:val="24"/>
                <w:szCs w:val="24"/>
              </w:rPr>
              <w:t>2021</w:t>
            </w:r>
          </w:p>
        </w:tc>
        <w:tc>
          <w:tcPr>
            <w:tcW w:w="2771"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796F8E12" w14:textId="77777777" w:rsidR="00A759F7" w:rsidRDefault="00D1114C">
            <w:pPr>
              <w:spacing w:before="240" w:line="360" w:lineRule="auto"/>
              <w:jc w:val="both"/>
              <w:rPr>
                <w:sz w:val="24"/>
                <w:szCs w:val="24"/>
              </w:rPr>
            </w:pPr>
            <w:r>
              <w:rPr>
                <w:sz w:val="24"/>
                <w:szCs w:val="24"/>
              </w:rPr>
              <w:t>2020</w:t>
            </w:r>
          </w:p>
        </w:tc>
      </w:tr>
      <w:tr w:rsidR="00A759F7" w14:paraId="2107B223" w14:textId="77777777">
        <w:trPr>
          <w:trHeight w:val="935"/>
        </w:trPr>
        <w:tc>
          <w:tcPr>
            <w:tcW w:w="3613"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6BE06551" w14:textId="77777777" w:rsidR="00A759F7" w:rsidRDefault="00D1114C">
            <w:pPr>
              <w:spacing w:before="240" w:line="360" w:lineRule="auto"/>
              <w:jc w:val="both"/>
              <w:rPr>
                <w:sz w:val="24"/>
                <w:szCs w:val="24"/>
              </w:rPr>
            </w:pPr>
            <w:r>
              <w:rPr>
                <w:sz w:val="24"/>
                <w:szCs w:val="24"/>
              </w:rPr>
              <w:t>Formula= TTM Revenue/TTM Net Income</w:t>
            </w:r>
          </w:p>
        </w:tc>
        <w:tc>
          <w:tcPr>
            <w:tcW w:w="2640"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A9BD48E" w14:textId="77777777" w:rsidR="00A759F7" w:rsidRDefault="00D1114C">
            <w:pPr>
              <w:spacing w:before="240" w:line="360" w:lineRule="auto"/>
              <w:jc w:val="both"/>
              <w:rPr>
                <w:sz w:val="24"/>
                <w:szCs w:val="24"/>
              </w:rPr>
            </w:pPr>
            <w:r>
              <w:rPr>
                <w:sz w:val="24"/>
                <w:szCs w:val="24"/>
              </w:rPr>
              <w:t>$1.10B /$13.86B</w:t>
            </w:r>
          </w:p>
        </w:tc>
        <w:tc>
          <w:tcPr>
            <w:tcW w:w="2771"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67361670" w14:textId="77777777" w:rsidR="00A759F7" w:rsidRDefault="00D1114C">
            <w:pPr>
              <w:spacing w:before="240" w:line="360" w:lineRule="auto"/>
              <w:jc w:val="both"/>
              <w:rPr>
                <w:sz w:val="24"/>
                <w:szCs w:val="24"/>
              </w:rPr>
            </w:pPr>
            <w:r>
              <w:rPr>
                <w:sz w:val="24"/>
                <w:szCs w:val="24"/>
              </w:rPr>
              <w:t>$-0.27B /$0.08B</w:t>
            </w:r>
          </w:p>
        </w:tc>
      </w:tr>
      <w:tr w:rsidR="00A759F7" w14:paraId="3B2A61A1" w14:textId="77777777">
        <w:trPr>
          <w:trHeight w:val="575"/>
        </w:trPr>
        <w:tc>
          <w:tcPr>
            <w:tcW w:w="3613"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49AE53" w14:textId="77777777" w:rsidR="00A759F7" w:rsidRDefault="00D1114C">
            <w:pPr>
              <w:spacing w:before="240" w:line="360" w:lineRule="auto"/>
              <w:jc w:val="both"/>
              <w:rPr>
                <w:b/>
                <w:sz w:val="24"/>
                <w:szCs w:val="24"/>
              </w:rPr>
            </w:pPr>
            <w:r>
              <w:rPr>
                <w:b/>
                <w:sz w:val="24"/>
                <w:szCs w:val="24"/>
              </w:rPr>
              <w:t>Ratio</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08B1762E" w14:textId="77777777" w:rsidR="00A759F7" w:rsidRDefault="00D1114C">
            <w:pPr>
              <w:spacing w:before="240" w:line="360" w:lineRule="auto"/>
              <w:jc w:val="both"/>
              <w:rPr>
                <w:b/>
                <w:sz w:val="24"/>
                <w:szCs w:val="24"/>
              </w:rPr>
            </w:pPr>
            <w:r>
              <w:rPr>
                <w:b/>
                <w:sz w:val="24"/>
                <w:szCs w:val="24"/>
              </w:rPr>
              <w:t>7.93</w:t>
            </w:r>
          </w:p>
        </w:tc>
        <w:tc>
          <w:tcPr>
            <w:tcW w:w="2771" w:type="dxa"/>
            <w:tcBorders>
              <w:top w:val="nil"/>
              <w:left w:val="nil"/>
              <w:bottom w:val="single" w:sz="8" w:space="0" w:color="000000"/>
              <w:right w:val="single" w:sz="8" w:space="0" w:color="000000"/>
            </w:tcBorders>
            <w:tcMar>
              <w:top w:w="100" w:type="dxa"/>
              <w:left w:w="100" w:type="dxa"/>
              <w:bottom w:w="100" w:type="dxa"/>
              <w:right w:w="100" w:type="dxa"/>
            </w:tcMar>
          </w:tcPr>
          <w:p w14:paraId="1B0F75E4" w14:textId="77777777" w:rsidR="00A759F7" w:rsidRDefault="00D1114C">
            <w:pPr>
              <w:spacing w:before="240" w:line="360" w:lineRule="auto"/>
              <w:jc w:val="both"/>
              <w:rPr>
                <w:b/>
                <w:sz w:val="24"/>
                <w:szCs w:val="24"/>
              </w:rPr>
            </w:pPr>
            <w:r>
              <w:rPr>
                <w:b/>
                <w:sz w:val="24"/>
                <w:szCs w:val="24"/>
              </w:rPr>
              <w:t>-2.58</w:t>
            </w:r>
          </w:p>
        </w:tc>
      </w:tr>
    </w:tbl>
    <w:p w14:paraId="63F020FF" w14:textId="77777777" w:rsidR="00A759F7" w:rsidRDefault="00D1114C">
      <w:pPr>
        <w:spacing w:before="240" w:after="240" w:line="360" w:lineRule="auto"/>
        <w:jc w:val="both"/>
        <w:rPr>
          <w:sz w:val="24"/>
          <w:szCs w:val="24"/>
        </w:rPr>
      </w:pPr>
      <w:r>
        <w:rPr>
          <w:noProof/>
          <w:sz w:val="24"/>
          <w:szCs w:val="24"/>
        </w:rPr>
        <w:lastRenderedPageBreak/>
        <w:drawing>
          <wp:inline distT="114300" distB="114300" distL="114300" distR="114300" wp14:anchorId="154045BD" wp14:editId="5DC02E83">
            <wp:extent cx="5731200" cy="45847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5731200" cy="4584700"/>
                    </a:xfrm>
                    <a:prstGeom prst="rect">
                      <a:avLst/>
                    </a:prstGeom>
                    <a:ln/>
                  </pic:spPr>
                </pic:pic>
              </a:graphicData>
            </a:graphic>
          </wp:inline>
        </w:drawing>
      </w:r>
      <w:r>
        <w:rPr>
          <w:sz w:val="24"/>
          <w:szCs w:val="24"/>
        </w:rPr>
        <w:t xml:space="preserve">                                        </w:t>
      </w:r>
    </w:p>
    <w:p w14:paraId="0E2EC9BB" w14:textId="77777777" w:rsidR="00A759F7" w:rsidRDefault="00D1114C">
      <w:pPr>
        <w:spacing w:before="240" w:after="240" w:line="360" w:lineRule="auto"/>
        <w:ind w:left="2160" w:firstLine="720"/>
        <w:jc w:val="both"/>
        <w:rPr>
          <w:sz w:val="24"/>
          <w:szCs w:val="24"/>
        </w:rPr>
      </w:pPr>
      <w:r>
        <w:rPr>
          <w:sz w:val="24"/>
          <w:szCs w:val="24"/>
        </w:rPr>
        <w:t>Figure 01: Net Margin</w:t>
      </w:r>
    </w:p>
    <w:p w14:paraId="33FDBE69" w14:textId="77777777" w:rsidR="00A759F7" w:rsidRDefault="00A759F7">
      <w:pPr>
        <w:spacing w:before="240" w:after="240" w:line="360" w:lineRule="auto"/>
        <w:jc w:val="both"/>
        <w:rPr>
          <w:sz w:val="24"/>
          <w:szCs w:val="24"/>
        </w:rPr>
      </w:pPr>
    </w:p>
    <w:p w14:paraId="287E93D1" w14:textId="77777777" w:rsidR="00A759F7" w:rsidRDefault="00A759F7">
      <w:pPr>
        <w:spacing w:before="240" w:after="240" w:line="360" w:lineRule="auto"/>
        <w:jc w:val="both"/>
        <w:rPr>
          <w:sz w:val="24"/>
          <w:szCs w:val="24"/>
        </w:rPr>
      </w:pPr>
    </w:p>
    <w:p w14:paraId="1AF99251" w14:textId="77777777" w:rsidR="00A759F7" w:rsidRDefault="00A759F7">
      <w:pPr>
        <w:spacing w:before="240" w:after="240" w:line="360" w:lineRule="auto"/>
        <w:jc w:val="both"/>
        <w:rPr>
          <w:sz w:val="24"/>
          <w:szCs w:val="24"/>
        </w:rPr>
      </w:pPr>
    </w:p>
    <w:p w14:paraId="736EFBA6" w14:textId="77777777" w:rsidR="00A759F7" w:rsidRDefault="00D1114C">
      <w:pPr>
        <w:spacing w:before="240" w:after="240" w:line="360" w:lineRule="auto"/>
        <w:jc w:val="both"/>
        <w:rPr>
          <w:sz w:val="24"/>
          <w:szCs w:val="24"/>
        </w:rPr>
      </w:pPr>
      <w:r>
        <w:rPr>
          <w:sz w:val="24"/>
          <w:szCs w:val="24"/>
        </w:rPr>
        <w:t>The graph report shows clearly that the company had taken a dip in profitability in 2020 which reached its bottom in March of 2021. After the market resumed its normalcy, the Marriott started getting back its business profitability it had back in 2019.</w:t>
      </w:r>
    </w:p>
    <w:p w14:paraId="03B9016D" w14:textId="77777777" w:rsidR="00A759F7" w:rsidRDefault="00D1114C">
      <w:pPr>
        <w:spacing w:before="240" w:after="240" w:line="360" w:lineRule="auto"/>
        <w:jc w:val="both"/>
        <w:rPr>
          <w:b/>
          <w:sz w:val="24"/>
          <w:szCs w:val="24"/>
        </w:rPr>
      </w:pPr>
      <w:r>
        <w:rPr>
          <w:b/>
          <w:sz w:val="24"/>
          <w:szCs w:val="24"/>
        </w:rPr>
        <w:t>Gross Margin</w:t>
      </w:r>
    </w:p>
    <w:p w14:paraId="6B785849" w14:textId="77777777" w:rsidR="00A759F7" w:rsidRDefault="00D1114C">
      <w:pPr>
        <w:spacing w:before="240" w:after="240" w:line="360" w:lineRule="auto"/>
        <w:jc w:val="both"/>
        <w:rPr>
          <w:sz w:val="24"/>
          <w:szCs w:val="24"/>
        </w:rPr>
      </w:pPr>
      <w:r>
        <w:rPr>
          <w:sz w:val="24"/>
          <w:szCs w:val="24"/>
        </w:rPr>
        <w:t>Gross margin is the amount of money a company has after taking out the direct cost of production and purchase. It shows how well a company can generate revenue. (Al-</w:t>
      </w:r>
      <w:proofErr w:type="spellStart"/>
      <w:r>
        <w:rPr>
          <w:sz w:val="24"/>
          <w:szCs w:val="24"/>
        </w:rPr>
        <w:t>Watter</w:t>
      </w:r>
      <w:proofErr w:type="spellEnd"/>
      <w:r>
        <w:rPr>
          <w:sz w:val="24"/>
          <w:szCs w:val="24"/>
        </w:rPr>
        <w:t xml:space="preserve"> et Al., 2018). </w:t>
      </w:r>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3578"/>
        <w:gridCol w:w="2651"/>
        <w:gridCol w:w="2796"/>
      </w:tblGrid>
      <w:tr w:rsidR="00A759F7" w14:paraId="7B836818" w14:textId="77777777">
        <w:trPr>
          <w:trHeight w:val="650"/>
        </w:trPr>
        <w:tc>
          <w:tcPr>
            <w:tcW w:w="357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02DFD060" w14:textId="77777777" w:rsidR="00A759F7" w:rsidRDefault="00D1114C">
            <w:pPr>
              <w:spacing w:before="240" w:line="360" w:lineRule="auto"/>
              <w:jc w:val="both"/>
              <w:rPr>
                <w:sz w:val="24"/>
                <w:szCs w:val="24"/>
              </w:rPr>
            </w:pPr>
            <w:r>
              <w:rPr>
                <w:sz w:val="24"/>
                <w:szCs w:val="24"/>
              </w:rPr>
              <w:lastRenderedPageBreak/>
              <w:t>Year</w:t>
            </w:r>
          </w:p>
        </w:tc>
        <w:tc>
          <w:tcPr>
            <w:tcW w:w="2651"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5F499D0F" w14:textId="77777777" w:rsidR="00A759F7" w:rsidRDefault="00D1114C">
            <w:pPr>
              <w:spacing w:before="240" w:line="360" w:lineRule="auto"/>
              <w:jc w:val="both"/>
              <w:rPr>
                <w:sz w:val="24"/>
                <w:szCs w:val="24"/>
              </w:rPr>
            </w:pPr>
            <w:r>
              <w:rPr>
                <w:sz w:val="24"/>
                <w:szCs w:val="24"/>
              </w:rPr>
              <w:t>2021</w:t>
            </w:r>
          </w:p>
        </w:tc>
        <w:tc>
          <w:tcPr>
            <w:tcW w:w="2796"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261B2C68" w14:textId="77777777" w:rsidR="00A759F7" w:rsidRDefault="00D1114C">
            <w:pPr>
              <w:spacing w:before="240" w:line="360" w:lineRule="auto"/>
              <w:jc w:val="both"/>
              <w:rPr>
                <w:sz w:val="24"/>
                <w:szCs w:val="24"/>
              </w:rPr>
            </w:pPr>
            <w:r>
              <w:rPr>
                <w:sz w:val="24"/>
                <w:szCs w:val="24"/>
              </w:rPr>
              <w:t>2020</w:t>
            </w:r>
          </w:p>
        </w:tc>
      </w:tr>
      <w:tr w:rsidR="00A759F7" w14:paraId="390DE400" w14:textId="77777777">
        <w:trPr>
          <w:trHeight w:val="935"/>
        </w:trPr>
        <w:tc>
          <w:tcPr>
            <w:tcW w:w="3578"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7B3D6A82" w14:textId="77777777" w:rsidR="00A759F7" w:rsidRDefault="00D1114C">
            <w:pPr>
              <w:spacing w:before="240" w:line="360" w:lineRule="auto"/>
              <w:jc w:val="both"/>
              <w:rPr>
                <w:sz w:val="24"/>
                <w:szCs w:val="24"/>
              </w:rPr>
            </w:pPr>
            <w:r>
              <w:rPr>
                <w:sz w:val="24"/>
                <w:szCs w:val="24"/>
              </w:rPr>
              <w:t>Formula= TTM Gross Profit /TTM Revenue</w:t>
            </w:r>
          </w:p>
        </w:tc>
        <w:tc>
          <w:tcPr>
            <w:tcW w:w="2651"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7E2BFEED" w14:textId="77777777" w:rsidR="00A759F7" w:rsidRDefault="00D1114C">
            <w:pPr>
              <w:spacing w:before="240" w:line="360" w:lineRule="auto"/>
              <w:jc w:val="both"/>
              <w:rPr>
                <w:sz w:val="24"/>
                <w:szCs w:val="24"/>
              </w:rPr>
            </w:pPr>
            <w:r>
              <w:rPr>
                <w:sz w:val="24"/>
                <w:szCs w:val="24"/>
              </w:rPr>
              <w:t>$2.80B /$13.86B</w:t>
            </w:r>
          </w:p>
        </w:tc>
        <w:tc>
          <w:tcPr>
            <w:tcW w:w="2796"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78DFB41E" w14:textId="77777777" w:rsidR="00A759F7" w:rsidRDefault="00D1114C">
            <w:pPr>
              <w:spacing w:before="240" w:line="360" w:lineRule="auto"/>
              <w:jc w:val="both"/>
              <w:rPr>
                <w:sz w:val="24"/>
                <w:szCs w:val="24"/>
              </w:rPr>
            </w:pPr>
            <w:r>
              <w:rPr>
                <w:sz w:val="24"/>
                <w:szCs w:val="24"/>
              </w:rPr>
              <w:t>$1.46B /$10.57B</w:t>
            </w:r>
          </w:p>
        </w:tc>
      </w:tr>
      <w:tr w:rsidR="00A759F7" w14:paraId="7E20958E" w14:textId="77777777">
        <w:trPr>
          <w:trHeight w:val="575"/>
        </w:trPr>
        <w:tc>
          <w:tcPr>
            <w:tcW w:w="3578"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4F0ACA3" w14:textId="77777777" w:rsidR="00A759F7" w:rsidRDefault="00D1114C">
            <w:pPr>
              <w:spacing w:before="240" w:line="360" w:lineRule="auto"/>
              <w:jc w:val="both"/>
              <w:rPr>
                <w:b/>
                <w:sz w:val="24"/>
                <w:szCs w:val="24"/>
              </w:rPr>
            </w:pPr>
            <w:r>
              <w:rPr>
                <w:b/>
                <w:sz w:val="24"/>
                <w:szCs w:val="24"/>
              </w:rPr>
              <w:t>Ratio</w:t>
            </w:r>
          </w:p>
        </w:tc>
        <w:tc>
          <w:tcPr>
            <w:tcW w:w="2651" w:type="dxa"/>
            <w:tcBorders>
              <w:top w:val="nil"/>
              <w:left w:val="nil"/>
              <w:bottom w:val="single" w:sz="8" w:space="0" w:color="000000"/>
              <w:right w:val="single" w:sz="8" w:space="0" w:color="000000"/>
            </w:tcBorders>
            <w:tcMar>
              <w:top w:w="100" w:type="dxa"/>
              <w:left w:w="100" w:type="dxa"/>
              <w:bottom w:w="100" w:type="dxa"/>
              <w:right w:w="100" w:type="dxa"/>
            </w:tcMar>
          </w:tcPr>
          <w:p w14:paraId="001BE4DA" w14:textId="77777777" w:rsidR="00A759F7" w:rsidRDefault="00D1114C">
            <w:pPr>
              <w:spacing w:before="240" w:line="360" w:lineRule="auto"/>
              <w:jc w:val="both"/>
              <w:rPr>
                <w:b/>
                <w:sz w:val="24"/>
                <w:szCs w:val="24"/>
              </w:rPr>
            </w:pPr>
            <w:r>
              <w:rPr>
                <w:b/>
                <w:sz w:val="24"/>
                <w:szCs w:val="24"/>
              </w:rPr>
              <w:t>20.21</w:t>
            </w:r>
          </w:p>
        </w:tc>
        <w:tc>
          <w:tcPr>
            <w:tcW w:w="2796" w:type="dxa"/>
            <w:tcBorders>
              <w:top w:val="nil"/>
              <w:left w:val="nil"/>
              <w:bottom w:val="single" w:sz="8" w:space="0" w:color="000000"/>
              <w:right w:val="single" w:sz="8" w:space="0" w:color="000000"/>
            </w:tcBorders>
            <w:tcMar>
              <w:top w:w="100" w:type="dxa"/>
              <w:left w:w="100" w:type="dxa"/>
              <w:bottom w:w="100" w:type="dxa"/>
              <w:right w:w="100" w:type="dxa"/>
            </w:tcMar>
          </w:tcPr>
          <w:p w14:paraId="4927276E" w14:textId="77777777" w:rsidR="00A759F7" w:rsidRDefault="00D1114C">
            <w:pPr>
              <w:spacing w:before="240" w:line="360" w:lineRule="auto"/>
              <w:jc w:val="both"/>
              <w:rPr>
                <w:b/>
                <w:sz w:val="24"/>
                <w:szCs w:val="24"/>
              </w:rPr>
            </w:pPr>
            <w:r>
              <w:rPr>
                <w:b/>
                <w:sz w:val="24"/>
                <w:szCs w:val="24"/>
              </w:rPr>
              <w:t>13.80</w:t>
            </w:r>
          </w:p>
        </w:tc>
      </w:tr>
    </w:tbl>
    <w:p w14:paraId="431654B5" w14:textId="77777777" w:rsidR="00A759F7" w:rsidRDefault="00D1114C">
      <w:pPr>
        <w:spacing w:before="240" w:after="240" w:line="360" w:lineRule="auto"/>
        <w:jc w:val="both"/>
        <w:rPr>
          <w:sz w:val="24"/>
          <w:szCs w:val="24"/>
        </w:rPr>
      </w:pPr>
      <w:r>
        <w:rPr>
          <w:noProof/>
          <w:sz w:val="24"/>
          <w:szCs w:val="24"/>
        </w:rPr>
        <w:drawing>
          <wp:inline distT="114300" distB="114300" distL="114300" distR="114300" wp14:anchorId="30C5430A" wp14:editId="1AA99C3E">
            <wp:extent cx="5731200" cy="4673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4673600"/>
                    </a:xfrm>
                    <a:prstGeom prst="rect">
                      <a:avLst/>
                    </a:prstGeom>
                    <a:ln/>
                  </pic:spPr>
                </pic:pic>
              </a:graphicData>
            </a:graphic>
          </wp:inline>
        </w:drawing>
      </w:r>
    </w:p>
    <w:p w14:paraId="4ABC81CA" w14:textId="77777777" w:rsidR="00A759F7" w:rsidRDefault="00D1114C">
      <w:pPr>
        <w:spacing w:before="240" w:after="240" w:line="360" w:lineRule="auto"/>
        <w:ind w:left="2160" w:firstLine="720"/>
        <w:jc w:val="both"/>
        <w:rPr>
          <w:sz w:val="24"/>
          <w:szCs w:val="24"/>
        </w:rPr>
      </w:pPr>
      <w:r>
        <w:rPr>
          <w:sz w:val="24"/>
          <w:szCs w:val="24"/>
        </w:rPr>
        <w:t>Figure 02: Gross Margin</w:t>
      </w:r>
    </w:p>
    <w:p w14:paraId="3CCBFAA6" w14:textId="77777777" w:rsidR="00A759F7" w:rsidRDefault="00D1114C">
      <w:pPr>
        <w:spacing w:before="240" w:after="240" w:line="360" w:lineRule="auto"/>
        <w:jc w:val="both"/>
        <w:rPr>
          <w:sz w:val="24"/>
          <w:szCs w:val="24"/>
        </w:rPr>
      </w:pPr>
      <w:r>
        <w:rPr>
          <w:sz w:val="24"/>
          <w:szCs w:val="24"/>
        </w:rPr>
        <w:t>In figure 2, you can see that the company had a significant deep in gross margin ratio which meant the company is making less sales. In 2021, it started to make sales better and surpassed its profit and revenue in had at the end of 2019.</w:t>
      </w:r>
    </w:p>
    <w:p w14:paraId="785B8B17" w14:textId="77777777" w:rsidR="00A759F7" w:rsidRDefault="00D1114C">
      <w:pPr>
        <w:spacing w:before="240" w:after="240" w:line="360" w:lineRule="auto"/>
        <w:jc w:val="both"/>
        <w:rPr>
          <w:b/>
          <w:color w:val="202124"/>
          <w:sz w:val="24"/>
          <w:szCs w:val="24"/>
          <w:highlight w:val="white"/>
        </w:rPr>
      </w:pPr>
      <w:r>
        <w:rPr>
          <w:b/>
          <w:color w:val="202124"/>
          <w:sz w:val="24"/>
          <w:szCs w:val="24"/>
          <w:highlight w:val="white"/>
        </w:rPr>
        <w:t>EBIT Margin</w:t>
      </w:r>
    </w:p>
    <w:p w14:paraId="6AF3FAEC" w14:textId="77777777" w:rsidR="00A759F7" w:rsidRDefault="00D1114C">
      <w:pPr>
        <w:spacing w:before="240" w:after="240" w:line="360" w:lineRule="auto"/>
        <w:jc w:val="both"/>
        <w:rPr>
          <w:sz w:val="24"/>
          <w:szCs w:val="24"/>
        </w:rPr>
      </w:pPr>
      <w:r>
        <w:rPr>
          <w:sz w:val="24"/>
          <w:szCs w:val="24"/>
        </w:rPr>
        <w:lastRenderedPageBreak/>
        <w:t xml:space="preserve">EBIT margin can be defined as profit the business is making from its core operations. It is calculated before the interest and taxes. It gives us a true understanding of a company’s core products and services. These components will need to get replaced or fixed eventually and that is important information for the shareholders and future investors. (Brigham &amp; Ehrhardt, 2020) </w:t>
      </w:r>
    </w:p>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3541"/>
        <w:gridCol w:w="2713"/>
        <w:gridCol w:w="2771"/>
      </w:tblGrid>
      <w:tr w:rsidR="00A759F7" w14:paraId="23DCA076" w14:textId="77777777">
        <w:trPr>
          <w:trHeight w:val="740"/>
        </w:trPr>
        <w:tc>
          <w:tcPr>
            <w:tcW w:w="3540"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2CEE1C75" w14:textId="77777777" w:rsidR="00A759F7" w:rsidRDefault="00D1114C">
            <w:pPr>
              <w:spacing w:before="240" w:after="160" w:line="360" w:lineRule="auto"/>
              <w:jc w:val="both"/>
              <w:rPr>
                <w:sz w:val="24"/>
                <w:szCs w:val="24"/>
              </w:rPr>
            </w:pPr>
            <w:r>
              <w:rPr>
                <w:sz w:val="24"/>
                <w:szCs w:val="24"/>
              </w:rPr>
              <w:t>Year</w:t>
            </w:r>
          </w:p>
        </w:tc>
        <w:tc>
          <w:tcPr>
            <w:tcW w:w="2713"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45C67D8F" w14:textId="77777777" w:rsidR="00A759F7" w:rsidRDefault="00D1114C">
            <w:pPr>
              <w:spacing w:before="240" w:after="160" w:line="360" w:lineRule="auto"/>
              <w:jc w:val="both"/>
              <w:rPr>
                <w:sz w:val="24"/>
                <w:szCs w:val="24"/>
              </w:rPr>
            </w:pPr>
            <w:r>
              <w:rPr>
                <w:sz w:val="24"/>
                <w:szCs w:val="24"/>
              </w:rPr>
              <w:t>2021</w:t>
            </w:r>
          </w:p>
        </w:tc>
        <w:tc>
          <w:tcPr>
            <w:tcW w:w="2771"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6ACBB49B" w14:textId="77777777" w:rsidR="00A759F7" w:rsidRDefault="00D1114C">
            <w:pPr>
              <w:spacing w:before="240" w:after="160" w:line="360" w:lineRule="auto"/>
              <w:jc w:val="both"/>
              <w:rPr>
                <w:sz w:val="24"/>
                <w:szCs w:val="24"/>
              </w:rPr>
            </w:pPr>
            <w:r>
              <w:rPr>
                <w:sz w:val="24"/>
                <w:szCs w:val="24"/>
              </w:rPr>
              <w:t>2020</w:t>
            </w:r>
          </w:p>
        </w:tc>
      </w:tr>
      <w:tr w:rsidR="00A759F7" w14:paraId="34BA9C72" w14:textId="77777777">
        <w:trPr>
          <w:trHeight w:val="650"/>
        </w:trPr>
        <w:tc>
          <w:tcPr>
            <w:tcW w:w="3540"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620495F9" w14:textId="77777777" w:rsidR="00A759F7" w:rsidRDefault="00D1114C">
            <w:pPr>
              <w:spacing w:before="240" w:line="360" w:lineRule="auto"/>
              <w:jc w:val="both"/>
              <w:rPr>
                <w:sz w:val="24"/>
                <w:szCs w:val="24"/>
              </w:rPr>
            </w:pPr>
            <w:r>
              <w:rPr>
                <w:sz w:val="24"/>
                <w:szCs w:val="24"/>
              </w:rPr>
              <w:t>Formula= EBIT/Total Revenue</w:t>
            </w:r>
          </w:p>
        </w:tc>
        <w:tc>
          <w:tcPr>
            <w:tcW w:w="2713"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64FA59C1" w14:textId="77777777" w:rsidR="00A759F7" w:rsidRDefault="00D1114C">
            <w:pPr>
              <w:spacing w:before="240" w:line="360" w:lineRule="auto"/>
              <w:jc w:val="both"/>
              <w:rPr>
                <w:sz w:val="24"/>
                <w:szCs w:val="24"/>
              </w:rPr>
            </w:pPr>
            <w:r>
              <w:rPr>
                <w:sz w:val="24"/>
                <w:szCs w:val="24"/>
              </w:rPr>
              <w:t>$1.75B/$13.86B</w:t>
            </w:r>
          </w:p>
        </w:tc>
        <w:tc>
          <w:tcPr>
            <w:tcW w:w="2771"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73523B52" w14:textId="77777777" w:rsidR="00A759F7" w:rsidRDefault="00D1114C">
            <w:pPr>
              <w:spacing w:before="240" w:line="360" w:lineRule="auto"/>
              <w:jc w:val="both"/>
              <w:rPr>
                <w:sz w:val="24"/>
                <w:szCs w:val="24"/>
              </w:rPr>
            </w:pPr>
            <w:r>
              <w:rPr>
                <w:sz w:val="24"/>
                <w:szCs w:val="24"/>
              </w:rPr>
              <w:t>$0.08B /$10.57B</w:t>
            </w:r>
          </w:p>
        </w:tc>
      </w:tr>
      <w:tr w:rsidR="00A759F7" w14:paraId="653160B3" w14:textId="77777777">
        <w:trPr>
          <w:trHeight w:val="740"/>
        </w:trPr>
        <w:tc>
          <w:tcPr>
            <w:tcW w:w="354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108B5E" w14:textId="77777777" w:rsidR="00A759F7" w:rsidRDefault="00D1114C">
            <w:pPr>
              <w:spacing w:before="240" w:after="160" w:line="360" w:lineRule="auto"/>
              <w:jc w:val="both"/>
              <w:rPr>
                <w:b/>
                <w:sz w:val="24"/>
                <w:szCs w:val="24"/>
              </w:rPr>
            </w:pPr>
            <w:r>
              <w:rPr>
                <w:b/>
                <w:sz w:val="24"/>
                <w:szCs w:val="24"/>
              </w:rPr>
              <w:t>Ratio</w:t>
            </w:r>
          </w:p>
        </w:tc>
        <w:tc>
          <w:tcPr>
            <w:tcW w:w="2713" w:type="dxa"/>
            <w:tcBorders>
              <w:top w:val="nil"/>
              <w:left w:val="nil"/>
              <w:bottom w:val="single" w:sz="8" w:space="0" w:color="000000"/>
              <w:right w:val="single" w:sz="8" w:space="0" w:color="000000"/>
            </w:tcBorders>
            <w:tcMar>
              <w:top w:w="100" w:type="dxa"/>
              <w:left w:w="100" w:type="dxa"/>
              <w:bottom w:w="100" w:type="dxa"/>
              <w:right w:w="100" w:type="dxa"/>
            </w:tcMar>
          </w:tcPr>
          <w:p w14:paraId="73BF79B3" w14:textId="77777777" w:rsidR="00A759F7" w:rsidRDefault="00D1114C">
            <w:pPr>
              <w:spacing w:before="240" w:after="160" w:line="360" w:lineRule="auto"/>
              <w:jc w:val="both"/>
              <w:rPr>
                <w:b/>
                <w:sz w:val="24"/>
                <w:szCs w:val="24"/>
              </w:rPr>
            </w:pPr>
            <w:r>
              <w:rPr>
                <w:b/>
                <w:sz w:val="24"/>
                <w:szCs w:val="24"/>
              </w:rPr>
              <w:t xml:space="preserve">.13         </w:t>
            </w:r>
            <w:r>
              <w:rPr>
                <w:b/>
                <w:sz w:val="24"/>
                <w:szCs w:val="24"/>
              </w:rPr>
              <w:tab/>
            </w:r>
          </w:p>
        </w:tc>
        <w:tc>
          <w:tcPr>
            <w:tcW w:w="2771" w:type="dxa"/>
            <w:tcBorders>
              <w:top w:val="nil"/>
              <w:left w:val="nil"/>
              <w:bottom w:val="single" w:sz="8" w:space="0" w:color="000000"/>
              <w:right w:val="single" w:sz="8" w:space="0" w:color="000000"/>
            </w:tcBorders>
            <w:tcMar>
              <w:top w:w="100" w:type="dxa"/>
              <w:left w:w="100" w:type="dxa"/>
              <w:bottom w:w="100" w:type="dxa"/>
              <w:right w:w="100" w:type="dxa"/>
            </w:tcMar>
          </w:tcPr>
          <w:p w14:paraId="13ACBF3E" w14:textId="77777777" w:rsidR="00A759F7" w:rsidRDefault="00D1114C">
            <w:pPr>
              <w:spacing w:before="240" w:after="160" w:line="360" w:lineRule="auto"/>
              <w:jc w:val="both"/>
              <w:rPr>
                <w:b/>
                <w:sz w:val="24"/>
                <w:szCs w:val="24"/>
              </w:rPr>
            </w:pPr>
            <w:r>
              <w:rPr>
                <w:b/>
                <w:sz w:val="24"/>
                <w:szCs w:val="24"/>
              </w:rPr>
              <w:t>0.08</w:t>
            </w:r>
          </w:p>
        </w:tc>
      </w:tr>
    </w:tbl>
    <w:p w14:paraId="32578F31" w14:textId="77777777" w:rsidR="00A759F7" w:rsidRDefault="00D1114C">
      <w:pPr>
        <w:spacing w:before="240" w:after="240" w:line="360" w:lineRule="auto"/>
        <w:jc w:val="both"/>
        <w:rPr>
          <w:sz w:val="24"/>
          <w:szCs w:val="24"/>
        </w:rPr>
      </w:pPr>
      <w:r>
        <w:rPr>
          <w:noProof/>
          <w:sz w:val="24"/>
          <w:szCs w:val="24"/>
        </w:rPr>
        <w:drawing>
          <wp:inline distT="114300" distB="114300" distL="114300" distR="114300" wp14:anchorId="77DBC68B" wp14:editId="455CC266">
            <wp:extent cx="5731200" cy="40259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4025900"/>
                    </a:xfrm>
                    <a:prstGeom prst="rect">
                      <a:avLst/>
                    </a:prstGeom>
                    <a:ln/>
                  </pic:spPr>
                </pic:pic>
              </a:graphicData>
            </a:graphic>
          </wp:inline>
        </w:drawing>
      </w:r>
    </w:p>
    <w:p w14:paraId="641D0E4F" w14:textId="77777777" w:rsidR="00A759F7" w:rsidRDefault="00D1114C">
      <w:pPr>
        <w:spacing w:before="240" w:after="240" w:line="360" w:lineRule="auto"/>
        <w:ind w:left="2880" w:firstLine="720"/>
        <w:jc w:val="both"/>
        <w:rPr>
          <w:sz w:val="24"/>
          <w:szCs w:val="24"/>
        </w:rPr>
      </w:pPr>
      <w:r>
        <w:rPr>
          <w:sz w:val="24"/>
          <w:szCs w:val="24"/>
        </w:rPr>
        <w:t>Figure 03: EBIT Margin</w:t>
      </w:r>
    </w:p>
    <w:p w14:paraId="49BADFCA" w14:textId="77777777" w:rsidR="00A759F7" w:rsidRDefault="00D1114C">
      <w:pPr>
        <w:spacing w:before="240" w:after="240" w:line="360" w:lineRule="auto"/>
        <w:jc w:val="both"/>
        <w:rPr>
          <w:sz w:val="24"/>
          <w:szCs w:val="24"/>
        </w:rPr>
      </w:pPr>
      <w:r>
        <w:rPr>
          <w:sz w:val="24"/>
          <w:szCs w:val="24"/>
        </w:rPr>
        <w:t>The graph clearly shows that the company was making much less profit in 2020 compared to its previous and next years. From April of 2021, the company saw its growth coming back and even improved upon 2019’s year-end report.</w:t>
      </w:r>
    </w:p>
    <w:p w14:paraId="21282239" w14:textId="77777777" w:rsidR="00A759F7" w:rsidRDefault="00D1114C">
      <w:pPr>
        <w:spacing w:before="240" w:after="240" w:line="360" w:lineRule="auto"/>
        <w:jc w:val="both"/>
        <w:rPr>
          <w:b/>
          <w:sz w:val="24"/>
          <w:szCs w:val="24"/>
        </w:rPr>
      </w:pPr>
      <w:r>
        <w:rPr>
          <w:b/>
          <w:sz w:val="24"/>
          <w:szCs w:val="24"/>
        </w:rPr>
        <w:lastRenderedPageBreak/>
        <w:t>Return on Equity</w:t>
      </w:r>
    </w:p>
    <w:p w14:paraId="1BB5B662" w14:textId="77777777" w:rsidR="00A759F7" w:rsidRDefault="00D1114C">
      <w:pPr>
        <w:spacing w:before="240" w:after="240" w:line="360" w:lineRule="auto"/>
        <w:jc w:val="both"/>
        <w:rPr>
          <w:sz w:val="24"/>
          <w:szCs w:val="24"/>
        </w:rPr>
      </w:pPr>
      <w:r>
        <w:rPr>
          <w:sz w:val="24"/>
          <w:szCs w:val="24"/>
        </w:rPr>
        <w:t>Return on equity is a measure of the business’s ability to make a profit in relation to the shareholders’ equity profile. (Titman et al, 2018)</w:t>
      </w:r>
    </w:p>
    <w:p w14:paraId="252280A1" w14:textId="77777777" w:rsidR="00A759F7" w:rsidRDefault="00A759F7">
      <w:pPr>
        <w:spacing w:before="240" w:after="240" w:line="360" w:lineRule="auto"/>
        <w:jc w:val="both"/>
        <w:rPr>
          <w:sz w:val="24"/>
          <w:szCs w:val="24"/>
        </w:rPr>
      </w:pPr>
    </w:p>
    <w:p w14:paraId="37AD6EB7" w14:textId="77777777" w:rsidR="00A759F7" w:rsidRDefault="00A759F7">
      <w:pPr>
        <w:spacing w:before="240" w:after="240" w:line="360" w:lineRule="auto"/>
        <w:jc w:val="both"/>
        <w:rPr>
          <w:sz w:val="24"/>
          <w:szCs w:val="24"/>
        </w:rPr>
      </w:pPr>
    </w:p>
    <w:tbl>
      <w:tblPr>
        <w:tblStyle w:val="a2"/>
        <w:tblW w:w="9025" w:type="dxa"/>
        <w:tblBorders>
          <w:top w:val="nil"/>
          <w:left w:val="nil"/>
          <w:bottom w:val="nil"/>
          <w:right w:val="nil"/>
          <w:insideH w:val="nil"/>
          <w:insideV w:val="nil"/>
        </w:tblBorders>
        <w:tblLayout w:type="fixed"/>
        <w:tblLook w:val="0600" w:firstRow="0" w:lastRow="0" w:firstColumn="0" w:lastColumn="0" w:noHBand="1" w:noVBand="1"/>
      </w:tblPr>
      <w:tblGrid>
        <w:gridCol w:w="3622"/>
        <w:gridCol w:w="2622"/>
        <w:gridCol w:w="2781"/>
      </w:tblGrid>
      <w:tr w:rsidR="00A759F7" w14:paraId="324A9315" w14:textId="77777777">
        <w:trPr>
          <w:trHeight w:val="590"/>
        </w:trPr>
        <w:tc>
          <w:tcPr>
            <w:tcW w:w="3621"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137D2E3C" w14:textId="77777777" w:rsidR="00A759F7" w:rsidRDefault="00D1114C">
            <w:pPr>
              <w:spacing w:before="240" w:line="360" w:lineRule="auto"/>
              <w:jc w:val="both"/>
              <w:rPr>
                <w:sz w:val="24"/>
                <w:szCs w:val="24"/>
              </w:rPr>
            </w:pPr>
            <w:r>
              <w:rPr>
                <w:sz w:val="24"/>
                <w:szCs w:val="24"/>
              </w:rPr>
              <w:t>Year</w:t>
            </w:r>
          </w:p>
        </w:tc>
        <w:tc>
          <w:tcPr>
            <w:tcW w:w="2622"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44637FC6" w14:textId="77777777" w:rsidR="00A759F7" w:rsidRDefault="00D1114C">
            <w:pPr>
              <w:spacing w:before="240" w:line="360" w:lineRule="auto"/>
              <w:jc w:val="both"/>
              <w:rPr>
                <w:sz w:val="24"/>
                <w:szCs w:val="24"/>
              </w:rPr>
            </w:pPr>
            <w:r>
              <w:rPr>
                <w:sz w:val="24"/>
                <w:szCs w:val="24"/>
              </w:rPr>
              <w:t>2021</w:t>
            </w:r>
          </w:p>
        </w:tc>
        <w:tc>
          <w:tcPr>
            <w:tcW w:w="2781"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3829AFD0" w14:textId="77777777" w:rsidR="00A759F7" w:rsidRDefault="00D1114C">
            <w:pPr>
              <w:spacing w:before="240" w:line="360" w:lineRule="auto"/>
              <w:jc w:val="both"/>
              <w:rPr>
                <w:sz w:val="24"/>
                <w:szCs w:val="24"/>
              </w:rPr>
            </w:pPr>
            <w:r>
              <w:rPr>
                <w:sz w:val="24"/>
                <w:szCs w:val="24"/>
              </w:rPr>
              <w:t>2020</w:t>
            </w:r>
          </w:p>
        </w:tc>
      </w:tr>
      <w:tr w:rsidR="00A759F7" w14:paraId="44563055" w14:textId="77777777">
        <w:trPr>
          <w:trHeight w:val="935"/>
        </w:trPr>
        <w:tc>
          <w:tcPr>
            <w:tcW w:w="3621"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71F96245" w14:textId="77777777" w:rsidR="00A759F7" w:rsidRDefault="00D1114C">
            <w:pPr>
              <w:spacing w:before="240" w:line="360" w:lineRule="auto"/>
              <w:jc w:val="both"/>
              <w:rPr>
                <w:sz w:val="24"/>
                <w:szCs w:val="24"/>
              </w:rPr>
            </w:pPr>
            <w:r>
              <w:rPr>
                <w:sz w:val="24"/>
                <w:szCs w:val="24"/>
              </w:rPr>
              <w:t>Formula= TTM Net Income /Shareholder's Equity</w:t>
            </w:r>
          </w:p>
        </w:tc>
        <w:tc>
          <w:tcPr>
            <w:tcW w:w="2622"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073BE283" w14:textId="77777777" w:rsidR="00A759F7" w:rsidRDefault="00D1114C">
            <w:pPr>
              <w:spacing w:before="240" w:line="360" w:lineRule="auto"/>
              <w:jc w:val="both"/>
              <w:rPr>
                <w:sz w:val="24"/>
                <w:szCs w:val="24"/>
              </w:rPr>
            </w:pPr>
            <w:r>
              <w:rPr>
                <w:sz w:val="24"/>
                <w:szCs w:val="24"/>
              </w:rPr>
              <w:t>$1.10B /$1.41B</w:t>
            </w:r>
          </w:p>
        </w:tc>
        <w:tc>
          <w:tcPr>
            <w:tcW w:w="2781"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F6D6F5E" w14:textId="77777777" w:rsidR="00A759F7" w:rsidRDefault="00D1114C">
            <w:pPr>
              <w:spacing w:before="240" w:line="360" w:lineRule="auto"/>
              <w:jc w:val="both"/>
              <w:rPr>
                <w:sz w:val="24"/>
                <w:szCs w:val="24"/>
              </w:rPr>
            </w:pPr>
            <w:r>
              <w:rPr>
                <w:sz w:val="24"/>
                <w:szCs w:val="24"/>
              </w:rPr>
              <w:t>$-0.27B /$0.43B</w:t>
            </w:r>
          </w:p>
        </w:tc>
      </w:tr>
      <w:tr w:rsidR="00A759F7" w14:paraId="43634F5E" w14:textId="77777777">
        <w:trPr>
          <w:trHeight w:val="575"/>
        </w:trPr>
        <w:tc>
          <w:tcPr>
            <w:tcW w:w="3621"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988F5C9" w14:textId="77777777" w:rsidR="00A759F7" w:rsidRDefault="00D1114C">
            <w:pPr>
              <w:spacing w:before="240" w:line="360" w:lineRule="auto"/>
              <w:jc w:val="both"/>
              <w:rPr>
                <w:b/>
                <w:sz w:val="24"/>
                <w:szCs w:val="24"/>
              </w:rPr>
            </w:pPr>
            <w:r>
              <w:rPr>
                <w:b/>
                <w:sz w:val="24"/>
                <w:szCs w:val="24"/>
              </w:rPr>
              <w:t>Ratio</w:t>
            </w:r>
          </w:p>
        </w:tc>
        <w:tc>
          <w:tcPr>
            <w:tcW w:w="2622" w:type="dxa"/>
            <w:tcBorders>
              <w:top w:val="nil"/>
              <w:left w:val="nil"/>
              <w:bottom w:val="single" w:sz="8" w:space="0" w:color="000000"/>
              <w:right w:val="single" w:sz="8" w:space="0" w:color="000000"/>
            </w:tcBorders>
            <w:tcMar>
              <w:top w:w="100" w:type="dxa"/>
              <w:left w:w="100" w:type="dxa"/>
              <w:bottom w:w="100" w:type="dxa"/>
              <w:right w:w="100" w:type="dxa"/>
            </w:tcMar>
          </w:tcPr>
          <w:p w14:paraId="5649EFBE" w14:textId="77777777" w:rsidR="00A759F7" w:rsidRDefault="00D1114C">
            <w:pPr>
              <w:spacing w:before="240" w:line="360" w:lineRule="auto"/>
              <w:jc w:val="both"/>
              <w:rPr>
                <w:b/>
                <w:sz w:val="24"/>
                <w:szCs w:val="24"/>
              </w:rPr>
            </w:pPr>
            <w:r>
              <w:rPr>
                <w:b/>
                <w:sz w:val="24"/>
                <w:szCs w:val="24"/>
              </w:rPr>
              <w:t>77.72</w:t>
            </w:r>
          </w:p>
        </w:tc>
        <w:tc>
          <w:tcPr>
            <w:tcW w:w="2781" w:type="dxa"/>
            <w:tcBorders>
              <w:top w:val="nil"/>
              <w:left w:val="nil"/>
              <w:bottom w:val="single" w:sz="8" w:space="0" w:color="000000"/>
              <w:right w:val="single" w:sz="8" w:space="0" w:color="000000"/>
            </w:tcBorders>
            <w:tcMar>
              <w:top w:w="100" w:type="dxa"/>
              <w:left w:w="100" w:type="dxa"/>
              <w:bottom w:w="100" w:type="dxa"/>
              <w:right w:w="100" w:type="dxa"/>
            </w:tcMar>
          </w:tcPr>
          <w:p w14:paraId="6D7F300D" w14:textId="77777777" w:rsidR="00A759F7" w:rsidRDefault="00D1114C">
            <w:pPr>
              <w:spacing w:before="240" w:line="360" w:lineRule="auto"/>
              <w:jc w:val="both"/>
              <w:rPr>
                <w:b/>
                <w:sz w:val="24"/>
                <w:szCs w:val="24"/>
              </w:rPr>
            </w:pPr>
            <w:r>
              <w:rPr>
                <w:b/>
                <w:sz w:val="24"/>
                <w:szCs w:val="24"/>
              </w:rPr>
              <w:t>-62.093</w:t>
            </w:r>
          </w:p>
        </w:tc>
      </w:tr>
    </w:tbl>
    <w:p w14:paraId="53E8B1AC" w14:textId="77777777" w:rsidR="00A759F7" w:rsidRDefault="00D1114C">
      <w:pPr>
        <w:spacing w:before="240" w:after="240" w:line="360" w:lineRule="auto"/>
        <w:jc w:val="both"/>
        <w:rPr>
          <w:sz w:val="24"/>
          <w:szCs w:val="24"/>
        </w:rPr>
      </w:pPr>
      <w:r>
        <w:rPr>
          <w:noProof/>
          <w:sz w:val="24"/>
          <w:szCs w:val="24"/>
        </w:rPr>
        <w:drawing>
          <wp:inline distT="114300" distB="114300" distL="114300" distR="114300" wp14:anchorId="129A9F4B" wp14:editId="50DDCAB9">
            <wp:extent cx="5731200" cy="47371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4737100"/>
                    </a:xfrm>
                    <a:prstGeom prst="rect">
                      <a:avLst/>
                    </a:prstGeom>
                    <a:ln/>
                  </pic:spPr>
                </pic:pic>
              </a:graphicData>
            </a:graphic>
          </wp:inline>
        </w:drawing>
      </w:r>
    </w:p>
    <w:p w14:paraId="20F4FC3D" w14:textId="77777777" w:rsidR="00A759F7" w:rsidRDefault="00D1114C">
      <w:pPr>
        <w:spacing w:before="240" w:after="240" w:line="360" w:lineRule="auto"/>
        <w:ind w:left="2160" w:firstLine="720"/>
        <w:jc w:val="both"/>
        <w:rPr>
          <w:sz w:val="24"/>
          <w:szCs w:val="24"/>
        </w:rPr>
      </w:pPr>
      <w:r>
        <w:rPr>
          <w:sz w:val="24"/>
          <w:szCs w:val="24"/>
        </w:rPr>
        <w:lastRenderedPageBreak/>
        <w:t>Figure 04: ROE Margin</w:t>
      </w:r>
    </w:p>
    <w:p w14:paraId="717D6116" w14:textId="77777777" w:rsidR="00A759F7" w:rsidRDefault="00D1114C">
      <w:pPr>
        <w:spacing w:before="240" w:after="240" w:line="360" w:lineRule="auto"/>
        <w:jc w:val="both"/>
        <w:rPr>
          <w:sz w:val="24"/>
          <w:szCs w:val="24"/>
        </w:rPr>
      </w:pPr>
      <w:r>
        <w:rPr>
          <w:sz w:val="24"/>
          <w:szCs w:val="24"/>
        </w:rPr>
        <w:t>Over the last 2 years, the company has seen a phase of low profit against the equity. It had a negative margin from the end of 2020 to the beginning of 2021. After March 2021, the company saw a boost in profit.</w:t>
      </w:r>
    </w:p>
    <w:p w14:paraId="72027A48" w14:textId="77777777" w:rsidR="00A759F7" w:rsidRDefault="00D1114C">
      <w:pPr>
        <w:spacing w:before="240" w:after="240" w:line="360" w:lineRule="auto"/>
        <w:jc w:val="both"/>
        <w:rPr>
          <w:sz w:val="24"/>
          <w:szCs w:val="24"/>
        </w:rPr>
      </w:pPr>
      <w:r>
        <w:rPr>
          <w:sz w:val="24"/>
          <w:szCs w:val="24"/>
        </w:rPr>
        <w:t xml:space="preserve"> </w:t>
      </w:r>
    </w:p>
    <w:p w14:paraId="641A0E92" w14:textId="77777777" w:rsidR="00A759F7" w:rsidRDefault="00D1114C">
      <w:pPr>
        <w:spacing w:before="240" w:after="240" w:line="360" w:lineRule="auto"/>
        <w:jc w:val="both"/>
        <w:rPr>
          <w:b/>
          <w:sz w:val="24"/>
          <w:szCs w:val="24"/>
        </w:rPr>
      </w:pPr>
      <w:r>
        <w:rPr>
          <w:b/>
          <w:sz w:val="24"/>
          <w:szCs w:val="24"/>
        </w:rPr>
        <w:t>Return on Investment</w:t>
      </w:r>
    </w:p>
    <w:p w14:paraId="56ADDEF7" w14:textId="77777777" w:rsidR="00A759F7" w:rsidRDefault="00D1114C">
      <w:pPr>
        <w:spacing w:before="240" w:after="240" w:line="360" w:lineRule="auto"/>
        <w:jc w:val="both"/>
        <w:rPr>
          <w:sz w:val="24"/>
          <w:szCs w:val="24"/>
        </w:rPr>
      </w:pPr>
      <w:r>
        <w:rPr>
          <w:sz w:val="24"/>
          <w:szCs w:val="24"/>
        </w:rPr>
        <w:t>The return on investment is a profitability measurement of a company in relation to the investment amount (Brigham and Houston, 2012).</w:t>
      </w:r>
    </w:p>
    <w:p w14:paraId="674F8118" w14:textId="77777777" w:rsidR="00A759F7" w:rsidRDefault="00D1114C">
      <w:pPr>
        <w:spacing w:before="240" w:after="240" w:line="360" w:lineRule="auto"/>
        <w:jc w:val="both"/>
        <w:rPr>
          <w:sz w:val="24"/>
          <w:szCs w:val="24"/>
        </w:rPr>
      </w:pPr>
      <w:r>
        <w:rPr>
          <w:sz w:val="24"/>
          <w:szCs w:val="24"/>
        </w:rPr>
        <w:t>ROI is one of the major financial ratios that decides the company’s investment profile. Return on invest is going to measure the company’s profitability against the investment money.</w:t>
      </w:r>
    </w:p>
    <w:tbl>
      <w:tblPr>
        <w:tblStyle w:val="a3"/>
        <w:tblW w:w="9025" w:type="dxa"/>
        <w:tblBorders>
          <w:top w:val="nil"/>
          <w:left w:val="nil"/>
          <w:bottom w:val="nil"/>
          <w:right w:val="nil"/>
          <w:insideH w:val="nil"/>
          <w:insideV w:val="nil"/>
        </w:tblBorders>
        <w:tblLayout w:type="fixed"/>
        <w:tblLook w:val="0600" w:firstRow="0" w:lastRow="0" w:firstColumn="0" w:lastColumn="0" w:noHBand="1" w:noVBand="1"/>
      </w:tblPr>
      <w:tblGrid>
        <w:gridCol w:w="3599"/>
        <w:gridCol w:w="2626"/>
        <w:gridCol w:w="2800"/>
      </w:tblGrid>
      <w:tr w:rsidR="00A759F7" w14:paraId="06B2B3CC" w14:textId="77777777">
        <w:trPr>
          <w:trHeight w:val="650"/>
        </w:trPr>
        <w:tc>
          <w:tcPr>
            <w:tcW w:w="359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70186DFA" w14:textId="77777777" w:rsidR="00A759F7" w:rsidRDefault="00D1114C">
            <w:pPr>
              <w:spacing w:before="240" w:line="360" w:lineRule="auto"/>
              <w:jc w:val="both"/>
              <w:rPr>
                <w:sz w:val="24"/>
                <w:szCs w:val="24"/>
              </w:rPr>
            </w:pPr>
            <w:r>
              <w:rPr>
                <w:sz w:val="24"/>
                <w:szCs w:val="24"/>
              </w:rPr>
              <w:t>Year</w:t>
            </w:r>
          </w:p>
        </w:tc>
        <w:tc>
          <w:tcPr>
            <w:tcW w:w="2626"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743FFE1D" w14:textId="77777777" w:rsidR="00A759F7" w:rsidRDefault="00D1114C">
            <w:pPr>
              <w:spacing w:before="240" w:line="360" w:lineRule="auto"/>
              <w:jc w:val="both"/>
              <w:rPr>
                <w:sz w:val="24"/>
                <w:szCs w:val="24"/>
              </w:rPr>
            </w:pPr>
            <w:r>
              <w:rPr>
                <w:sz w:val="24"/>
                <w:szCs w:val="24"/>
              </w:rPr>
              <w:t>2021</w:t>
            </w:r>
          </w:p>
        </w:tc>
        <w:tc>
          <w:tcPr>
            <w:tcW w:w="2800"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560486C2" w14:textId="77777777" w:rsidR="00A759F7" w:rsidRDefault="00D1114C">
            <w:pPr>
              <w:spacing w:before="240" w:line="360" w:lineRule="auto"/>
              <w:jc w:val="both"/>
              <w:rPr>
                <w:sz w:val="24"/>
                <w:szCs w:val="24"/>
              </w:rPr>
            </w:pPr>
            <w:r>
              <w:rPr>
                <w:sz w:val="24"/>
                <w:szCs w:val="24"/>
              </w:rPr>
              <w:t>2020</w:t>
            </w:r>
          </w:p>
        </w:tc>
      </w:tr>
      <w:tr w:rsidR="00A759F7" w14:paraId="4C78EB49" w14:textId="77777777">
        <w:trPr>
          <w:trHeight w:val="935"/>
        </w:trPr>
        <w:tc>
          <w:tcPr>
            <w:tcW w:w="3598"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10A83B21" w14:textId="77777777" w:rsidR="00A759F7" w:rsidRDefault="00D1114C">
            <w:pPr>
              <w:spacing w:before="240" w:line="360" w:lineRule="auto"/>
              <w:jc w:val="both"/>
              <w:rPr>
                <w:sz w:val="24"/>
                <w:szCs w:val="24"/>
              </w:rPr>
            </w:pPr>
            <w:r>
              <w:rPr>
                <w:sz w:val="24"/>
                <w:szCs w:val="24"/>
              </w:rPr>
              <w:t>Formula= TTM Net Income/LT Investments &amp; Debt</w:t>
            </w:r>
          </w:p>
        </w:tc>
        <w:tc>
          <w:tcPr>
            <w:tcW w:w="2626"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0F1264D" w14:textId="77777777" w:rsidR="00A759F7" w:rsidRDefault="00D1114C">
            <w:pPr>
              <w:spacing w:before="240" w:line="360" w:lineRule="auto"/>
              <w:jc w:val="both"/>
              <w:rPr>
                <w:sz w:val="24"/>
                <w:szCs w:val="24"/>
              </w:rPr>
            </w:pPr>
            <w:r>
              <w:rPr>
                <w:sz w:val="24"/>
                <w:szCs w:val="24"/>
              </w:rPr>
              <w:t>$0.08B /$9.63B</w:t>
            </w:r>
          </w:p>
        </w:tc>
        <w:tc>
          <w:tcPr>
            <w:tcW w:w="2800"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5E570C1F" w14:textId="77777777" w:rsidR="00A759F7" w:rsidRDefault="00D1114C">
            <w:pPr>
              <w:spacing w:before="240" w:line="360" w:lineRule="auto"/>
              <w:jc w:val="both"/>
              <w:rPr>
                <w:sz w:val="24"/>
                <w:szCs w:val="24"/>
              </w:rPr>
            </w:pPr>
            <w:r>
              <w:rPr>
                <w:sz w:val="24"/>
                <w:szCs w:val="24"/>
              </w:rPr>
              <w:t>$1.75B /$10.57B</w:t>
            </w:r>
          </w:p>
        </w:tc>
      </w:tr>
      <w:tr w:rsidR="00A759F7" w14:paraId="271C5CA1" w14:textId="77777777">
        <w:trPr>
          <w:trHeight w:val="575"/>
        </w:trPr>
        <w:tc>
          <w:tcPr>
            <w:tcW w:w="3598"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E72A2F" w14:textId="77777777" w:rsidR="00A759F7" w:rsidRDefault="00D1114C">
            <w:pPr>
              <w:spacing w:before="240" w:line="360" w:lineRule="auto"/>
              <w:jc w:val="both"/>
              <w:rPr>
                <w:b/>
                <w:sz w:val="24"/>
                <w:szCs w:val="24"/>
              </w:rPr>
            </w:pPr>
            <w:r>
              <w:rPr>
                <w:b/>
                <w:sz w:val="24"/>
                <w:szCs w:val="24"/>
              </w:rPr>
              <w:t>Ratio</w:t>
            </w:r>
          </w:p>
        </w:tc>
        <w:tc>
          <w:tcPr>
            <w:tcW w:w="2626" w:type="dxa"/>
            <w:tcBorders>
              <w:top w:val="nil"/>
              <w:left w:val="nil"/>
              <w:bottom w:val="single" w:sz="8" w:space="0" w:color="000000"/>
              <w:right w:val="single" w:sz="8" w:space="0" w:color="000000"/>
            </w:tcBorders>
            <w:tcMar>
              <w:top w:w="100" w:type="dxa"/>
              <w:left w:w="100" w:type="dxa"/>
              <w:bottom w:w="100" w:type="dxa"/>
              <w:right w:w="100" w:type="dxa"/>
            </w:tcMar>
          </w:tcPr>
          <w:p w14:paraId="204A1EAC" w14:textId="77777777" w:rsidR="00A759F7" w:rsidRDefault="00D1114C">
            <w:pPr>
              <w:spacing w:before="240" w:line="360" w:lineRule="auto"/>
              <w:jc w:val="both"/>
              <w:rPr>
                <w:b/>
                <w:sz w:val="24"/>
                <w:szCs w:val="24"/>
              </w:rPr>
            </w:pPr>
            <w:r>
              <w:rPr>
                <w:b/>
                <w:sz w:val="24"/>
                <w:szCs w:val="24"/>
              </w:rPr>
              <w:t>10.23</w:t>
            </w:r>
          </w:p>
        </w:tc>
        <w:tc>
          <w:tcPr>
            <w:tcW w:w="2800" w:type="dxa"/>
            <w:tcBorders>
              <w:top w:val="nil"/>
              <w:left w:val="nil"/>
              <w:bottom w:val="single" w:sz="8" w:space="0" w:color="000000"/>
              <w:right w:val="single" w:sz="8" w:space="0" w:color="000000"/>
            </w:tcBorders>
            <w:tcMar>
              <w:top w:w="100" w:type="dxa"/>
              <w:left w:w="100" w:type="dxa"/>
              <w:bottom w:w="100" w:type="dxa"/>
              <w:right w:w="100" w:type="dxa"/>
            </w:tcMar>
          </w:tcPr>
          <w:p w14:paraId="56877EE8" w14:textId="77777777" w:rsidR="00A759F7" w:rsidRDefault="00D1114C">
            <w:pPr>
              <w:spacing w:before="240" w:line="360" w:lineRule="auto"/>
              <w:jc w:val="both"/>
              <w:rPr>
                <w:b/>
                <w:sz w:val="24"/>
                <w:szCs w:val="24"/>
              </w:rPr>
            </w:pPr>
            <w:r>
              <w:rPr>
                <w:b/>
                <w:sz w:val="24"/>
                <w:szCs w:val="24"/>
              </w:rPr>
              <w:t>-2.77</w:t>
            </w:r>
          </w:p>
        </w:tc>
      </w:tr>
    </w:tbl>
    <w:p w14:paraId="061A57DF" w14:textId="77777777" w:rsidR="00A759F7" w:rsidRDefault="00D1114C">
      <w:pPr>
        <w:spacing w:before="240" w:after="240" w:line="360" w:lineRule="auto"/>
        <w:jc w:val="both"/>
        <w:rPr>
          <w:sz w:val="24"/>
          <w:szCs w:val="24"/>
        </w:rPr>
      </w:pPr>
      <w:r>
        <w:rPr>
          <w:noProof/>
          <w:sz w:val="24"/>
          <w:szCs w:val="24"/>
        </w:rPr>
        <w:lastRenderedPageBreak/>
        <w:drawing>
          <wp:inline distT="114300" distB="114300" distL="114300" distR="114300" wp14:anchorId="67B70A2C" wp14:editId="740E3A8F">
            <wp:extent cx="5731200" cy="4584700"/>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731200" cy="4584700"/>
                    </a:xfrm>
                    <a:prstGeom prst="rect">
                      <a:avLst/>
                    </a:prstGeom>
                    <a:ln/>
                  </pic:spPr>
                </pic:pic>
              </a:graphicData>
            </a:graphic>
          </wp:inline>
        </w:drawing>
      </w:r>
    </w:p>
    <w:p w14:paraId="3BA9AF26" w14:textId="77777777" w:rsidR="00A759F7" w:rsidRDefault="00D1114C">
      <w:pPr>
        <w:spacing w:before="240" w:after="240" w:line="360" w:lineRule="auto"/>
        <w:ind w:left="2880" w:firstLine="720"/>
        <w:jc w:val="both"/>
        <w:rPr>
          <w:sz w:val="24"/>
          <w:szCs w:val="24"/>
        </w:rPr>
      </w:pPr>
      <w:r>
        <w:rPr>
          <w:sz w:val="24"/>
          <w:szCs w:val="24"/>
        </w:rPr>
        <w:t>Figure 05: ROI</w:t>
      </w:r>
    </w:p>
    <w:p w14:paraId="77B113ED" w14:textId="77777777" w:rsidR="00A759F7" w:rsidRDefault="00D1114C">
      <w:pPr>
        <w:spacing w:before="240" w:after="240" w:line="360" w:lineRule="auto"/>
        <w:jc w:val="both"/>
        <w:rPr>
          <w:sz w:val="24"/>
          <w:szCs w:val="24"/>
        </w:rPr>
      </w:pPr>
      <w:r>
        <w:rPr>
          <w:sz w:val="24"/>
          <w:szCs w:val="24"/>
        </w:rPr>
        <w:t xml:space="preserve"> </w:t>
      </w:r>
    </w:p>
    <w:p w14:paraId="5F56641B" w14:textId="77777777" w:rsidR="00A759F7" w:rsidRDefault="00D1114C">
      <w:pPr>
        <w:spacing w:before="240" w:after="240" w:line="360" w:lineRule="auto"/>
        <w:jc w:val="both"/>
        <w:rPr>
          <w:sz w:val="24"/>
          <w:szCs w:val="24"/>
        </w:rPr>
      </w:pPr>
      <w:r>
        <w:rPr>
          <w:sz w:val="24"/>
          <w:szCs w:val="24"/>
        </w:rPr>
        <w:t>In figure 5, the graph tells us that the company’s ROI was on a downward curve from its average ratio until March 2021. After that it saw an upward curve which ended with a ratio of 10.23. The company is on a trajectory to make more profit in 2022 after subtracting the operating costs.</w:t>
      </w:r>
    </w:p>
    <w:p w14:paraId="104B4723" w14:textId="77777777" w:rsidR="00A759F7" w:rsidRDefault="00D1114C">
      <w:pPr>
        <w:spacing w:before="240" w:after="240" w:line="360" w:lineRule="auto"/>
        <w:jc w:val="both"/>
        <w:rPr>
          <w:b/>
          <w:sz w:val="24"/>
          <w:szCs w:val="24"/>
        </w:rPr>
      </w:pPr>
      <w:r>
        <w:rPr>
          <w:b/>
          <w:sz w:val="24"/>
          <w:szCs w:val="24"/>
        </w:rPr>
        <w:t>Operating Margin</w:t>
      </w:r>
    </w:p>
    <w:p w14:paraId="32F4CFB3" w14:textId="77777777" w:rsidR="00A759F7" w:rsidRDefault="00D1114C">
      <w:pPr>
        <w:spacing w:before="240" w:after="240" w:line="360" w:lineRule="auto"/>
        <w:jc w:val="both"/>
        <w:rPr>
          <w:sz w:val="24"/>
          <w:szCs w:val="24"/>
        </w:rPr>
      </w:pPr>
      <w:r>
        <w:rPr>
          <w:sz w:val="24"/>
          <w:szCs w:val="24"/>
        </w:rPr>
        <w:t>Operating margin can be defined as the company’s actual profitability rate after removing all the taxes and non-operating costs. It presents a clear view of the company’s condition to the investors. (Vaidya, 2019)</w:t>
      </w:r>
    </w:p>
    <w:tbl>
      <w:tblPr>
        <w:tblStyle w:val="a4"/>
        <w:tblW w:w="9025" w:type="dxa"/>
        <w:tblBorders>
          <w:top w:val="nil"/>
          <w:left w:val="nil"/>
          <w:bottom w:val="nil"/>
          <w:right w:val="nil"/>
          <w:insideH w:val="nil"/>
          <w:insideV w:val="nil"/>
        </w:tblBorders>
        <w:tblLayout w:type="fixed"/>
        <w:tblLook w:val="0600" w:firstRow="0" w:lastRow="0" w:firstColumn="0" w:lastColumn="0" w:noHBand="1" w:noVBand="1"/>
      </w:tblPr>
      <w:tblGrid>
        <w:gridCol w:w="3541"/>
        <w:gridCol w:w="2713"/>
        <w:gridCol w:w="2771"/>
      </w:tblGrid>
      <w:tr w:rsidR="00A759F7" w14:paraId="6E1146D7" w14:textId="77777777">
        <w:trPr>
          <w:trHeight w:val="650"/>
        </w:trPr>
        <w:tc>
          <w:tcPr>
            <w:tcW w:w="3540"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74D0D287" w14:textId="77777777" w:rsidR="00A759F7" w:rsidRDefault="00D1114C">
            <w:pPr>
              <w:spacing w:before="240" w:line="360" w:lineRule="auto"/>
              <w:jc w:val="both"/>
              <w:rPr>
                <w:sz w:val="24"/>
                <w:szCs w:val="24"/>
              </w:rPr>
            </w:pPr>
            <w:r>
              <w:rPr>
                <w:sz w:val="24"/>
                <w:szCs w:val="24"/>
              </w:rPr>
              <w:t>Year</w:t>
            </w:r>
          </w:p>
        </w:tc>
        <w:tc>
          <w:tcPr>
            <w:tcW w:w="2713"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0A297058" w14:textId="77777777" w:rsidR="00A759F7" w:rsidRDefault="00D1114C">
            <w:pPr>
              <w:spacing w:before="240" w:line="360" w:lineRule="auto"/>
              <w:jc w:val="both"/>
              <w:rPr>
                <w:sz w:val="24"/>
                <w:szCs w:val="24"/>
              </w:rPr>
            </w:pPr>
            <w:r>
              <w:rPr>
                <w:sz w:val="24"/>
                <w:szCs w:val="24"/>
              </w:rPr>
              <w:t>2021</w:t>
            </w:r>
          </w:p>
        </w:tc>
        <w:tc>
          <w:tcPr>
            <w:tcW w:w="2771"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72C797A3" w14:textId="77777777" w:rsidR="00A759F7" w:rsidRDefault="00D1114C">
            <w:pPr>
              <w:spacing w:before="240" w:line="360" w:lineRule="auto"/>
              <w:jc w:val="both"/>
              <w:rPr>
                <w:sz w:val="24"/>
                <w:szCs w:val="24"/>
              </w:rPr>
            </w:pPr>
            <w:r>
              <w:rPr>
                <w:sz w:val="24"/>
                <w:szCs w:val="24"/>
              </w:rPr>
              <w:t>2020</w:t>
            </w:r>
          </w:p>
        </w:tc>
      </w:tr>
      <w:tr w:rsidR="00A759F7" w14:paraId="2520DA9A" w14:textId="77777777">
        <w:trPr>
          <w:trHeight w:val="650"/>
        </w:trPr>
        <w:tc>
          <w:tcPr>
            <w:tcW w:w="3540"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27D7A569" w14:textId="77777777" w:rsidR="00A759F7" w:rsidRDefault="00D1114C">
            <w:pPr>
              <w:spacing w:before="240" w:line="360" w:lineRule="auto"/>
              <w:jc w:val="both"/>
              <w:rPr>
                <w:sz w:val="24"/>
                <w:szCs w:val="24"/>
              </w:rPr>
            </w:pPr>
            <w:r>
              <w:rPr>
                <w:sz w:val="24"/>
                <w:szCs w:val="24"/>
              </w:rPr>
              <w:lastRenderedPageBreak/>
              <w:t>Formula= EBIT/Total Revenue</w:t>
            </w:r>
          </w:p>
        </w:tc>
        <w:tc>
          <w:tcPr>
            <w:tcW w:w="2713"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16F17800" w14:textId="77777777" w:rsidR="00A759F7" w:rsidRDefault="00D1114C">
            <w:pPr>
              <w:spacing w:before="240" w:line="360" w:lineRule="auto"/>
              <w:jc w:val="both"/>
              <w:rPr>
                <w:sz w:val="24"/>
                <w:szCs w:val="24"/>
              </w:rPr>
            </w:pPr>
            <w:r>
              <w:rPr>
                <w:sz w:val="24"/>
                <w:szCs w:val="24"/>
              </w:rPr>
              <w:t>$1.75B/$13.86B</w:t>
            </w:r>
          </w:p>
        </w:tc>
        <w:tc>
          <w:tcPr>
            <w:tcW w:w="2771"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48955D15" w14:textId="77777777" w:rsidR="00A759F7" w:rsidRDefault="00D1114C">
            <w:pPr>
              <w:spacing w:before="240" w:line="360" w:lineRule="auto"/>
              <w:jc w:val="both"/>
              <w:rPr>
                <w:sz w:val="24"/>
                <w:szCs w:val="24"/>
              </w:rPr>
            </w:pPr>
            <w:r>
              <w:rPr>
                <w:sz w:val="24"/>
                <w:szCs w:val="24"/>
              </w:rPr>
              <w:t>$0.08B /$10.57B</w:t>
            </w:r>
          </w:p>
        </w:tc>
      </w:tr>
      <w:tr w:rsidR="00A759F7" w14:paraId="6FCEB7D5" w14:textId="77777777">
        <w:trPr>
          <w:trHeight w:val="575"/>
        </w:trPr>
        <w:tc>
          <w:tcPr>
            <w:tcW w:w="354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6F15F7" w14:textId="77777777" w:rsidR="00A759F7" w:rsidRDefault="00D1114C">
            <w:pPr>
              <w:spacing w:before="240" w:line="360" w:lineRule="auto"/>
              <w:jc w:val="both"/>
              <w:rPr>
                <w:b/>
                <w:sz w:val="24"/>
                <w:szCs w:val="24"/>
              </w:rPr>
            </w:pPr>
            <w:r>
              <w:rPr>
                <w:b/>
                <w:sz w:val="24"/>
                <w:szCs w:val="24"/>
              </w:rPr>
              <w:t>Ratio</w:t>
            </w:r>
          </w:p>
        </w:tc>
        <w:tc>
          <w:tcPr>
            <w:tcW w:w="2713" w:type="dxa"/>
            <w:tcBorders>
              <w:top w:val="nil"/>
              <w:left w:val="nil"/>
              <w:bottom w:val="single" w:sz="8" w:space="0" w:color="000000"/>
              <w:right w:val="single" w:sz="8" w:space="0" w:color="000000"/>
            </w:tcBorders>
            <w:tcMar>
              <w:top w:w="100" w:type="dxa"/>
              <w:left w:w="100" w:type="dxa"/>
              <w:bottom w:w="100" w:type="dxa"/>
              <w:right w:w="100" w:type="dxa"/>
            </w:tcMar>
          </w:tcPr>
          <w:p w14:paraId="58AAA4A2" w14:textId="77777777" w:rsidR="00A759F7" w:rsidRDefault="00D1114C">
            <w:pPr>
              <w:spacing w:before="240" w:line="360" w:lineRule="auto"/>
              <w:jc w:val="both"/>
              <w:rPr>
                <w:b/>
                <w:sz w:val="24"/>
                <w:szCs w:val="24"/>
              </w:rPr>
            </w:pPr>
            <w:r>
              <w:rPr>
                <w:b/>
                <w:sz w:val="24"/>
                <w:szCs w:val="24"/>
              </w:rPr>
              <w:t>12.62</w:t>
            </w:r>
          </w:p>
        </w:tc>
        <w:tc>
          <w:tcPr>
            <w:tcW w:w="2771" w:type="dxa"/>
            <w:tcBorders>
              <w:top w:val="nil"/>
              <w:left w:val="nil"/>
              <w:bottom w:val="single" w:sz="8" w:space="0" w:color="000000"/>
              <w:right w:val="single" w:sz="8" w:space="0" w:color="000000"/>
            </w:tcBorders>
            <w:tcMar>
              <w:top w:w="100" w:type="dxa"/>
              <w:left w:w="100" w:type="dxa"/>
              <w:bottom w:w="100" w:type="dxa"/>
              <w:right w:w="100" w:type="dxa"/>
            </w:tcMar>
          </w:tcPr>
          <w:p w14:paraId="257AB717" w14:textId="77777777" w:rsidR="00A759F7" w:rsidRDefault="00D1114C">
            <w:pPr>
              <w:spacing w:before="240" w:line="360" w:lineRule="auto"/>
              <w:jc w:val="both"/>
              <w:rPr>
                <w:b/>
                <w:sz w:val="24"/>
                <w:szCs w:val="24"/>
              </w:rPr>
            </w:pPr>
            <w:r>
              <w:rPr>
                <w:b/>
                <w:sz w:val="24"/>
                <w:szCs w:val="24"/>
              </w:rPr>
              <w:t>.79</w:t>
            </w:r>
          </w:p>
        </w:tc>
      </w:tr>
    </w:tbl>
    <w:p w14:paraId="686F5558" w14:textId="77777777" w:rsidR="00A759F7" w:rsidRDefault="00D1114C">
      <w:pPr>
        <w:spacing w:before="240" w:after="240" w:line="360" w:lineRule="auto"/>
        <w:jc w:val="both"/>
        <w:rPr>
          <w:sz w:val="24"/>
          <w:szCs w:val="24"/>
        </w:rPr>
      </w:pPr>
      <w:r>
        <w:rPr>
          <w:noProof/>
          <w:sz w:val="24"/>
          <w:szCs w:val="24"/>
        </w:rPr>
        <w:drawing>
          <wp:inline distT="114300" distB="114300" distL="114300" distR="114300" wp14:anchorId="60E97476" wp14:editId="7725BE16">
            <wp:extent cx="5731200" cy="45466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4546600"/>
                    </a:xfrm>
                    <a:prstGeom prst="rect">
                      <a:avLst/>
                    </a:prstGeom>
                    <a:ln/>
                  </pic:spPr>
                </pic:pic>
              </a:graphicData>
            </a:graphic>
          </wp:inline>
        </w:drawing>
      </w:r>
    </w:p>
    <w:p w14:paraId="122A11A0" w14:textId="77777777" w:rsidR="00A759F7" w:rsidRDefault="00D1114C">
      <w:pPr>
        <w:spacing w:before="240" w:after="240" w:line="360" w:lineRule="auto"/>
        <w:ind w:left="2160"/>
        <w:jc w:val="both"/>
        <w:rPr>
          <w:sz w:val="24"/>
          <w:szCs w:val="24"/>
        </w:rPr>
      </w:pPr>
      <w:r>
        <w:rPr>
          <w:sz w:val="24"/>
          <w:szCs w:val="24"/>
        </w:rPr>
        <w:t>Figure 06: Operating Margin</w:t>
      </w:r>
    </w:p>
    <w:p w14:paraId="72F2D5E1" w14:textId="77777777" w:rsidR="00A759F7" w:rsidRDefault="00D1114C">
      <w:pPr>
        <w:spacing w:before="240" w:after="240" w:line="360" w:lineRule="auto"/>
        <w:jc w:val="both"/>
        <w:rPr>
          <w:sz w:val="24"/>
          <w:szCs w:val="24"/>
        </w:rPr>
      </w:pPr>
      <w:r>
        <w:rPr>
          <w:sz w:val="24"/>
          <w:szCs w:val="24"/>
        </w:rPr>
        <w:t>Figure 6 shows that the Marriot Hotel has only saw a small period of downward curve in March 2020 which resulted in a 0.79 ratio. In 2021, the company ended with a 12.62 operating margin which translates to increasing profit for the investors.</w:t>
      </w:r>
    </w:p>
    <w:p w14:paraId="6903FFC3" w14:textId="77777777" w:rsidR="00A759F7" w:rsidRDefault="00D1114C">
      <w:pPr>
        <w:spacing w:before="240" w:after="240" w:line="360" w:lineRule="auto"/>
        <w:jc w:val="both"/>
        <w:rPr>
          <w:b/>
          <w:sz w:val="24"/>
          <w:szCs w:val="24"/>
        </w:rPr>
      </w:pPr>
      <w:r>
        <w:rPr>
          <w:b/>
          <w:sz w:val="24"/>
          <w:szCs w:val="24"/>
        </w:rPr>
        <w:t>Return On Assets</w:t>
      </w:r>
    </w:p>
    <w:p w14:paraId="5977D2C0" w14:textId="77777777" w:rsidR="00A759F7" w:rsidRDefault="00D1114C">
      <w:pPr>
        <w:spacing w:before="240" w:after="240" w:line="360" w:lineRule="auto"/>
        <w:jc w:val="both"/>
        <w:rPr>
          <w:sz w:val="24"/>
          <w:szCs w:val="24"/>
        </w:rPr>
      </w:pPr>
      <w:r>
        <w:rPr>
          <w:sz w:val="24"/>
          <w:szCs w:val="24"/>
        </w:rPr>
        <w:t xml:space="preserve">Return on assets, in short, ROA tells how </w:t>
      </w:r>
      <w:proofErr w:type="spellStart"/>
      <w:r>
        <w:rPr>
          <w:sz w:val="24"/>
          <w:szCs w:val="24"/>
        </w:rPr>
        <w:t>how</w:t>
      </w:r>
      <w:proofErr w:type="spellEnd"/>
      <w:r>
        <w:rPr>
          <w:sz w:val="24"/>
          <w:szCs w:val="24"/>
        </w:rPr>
        <w:t xml:space="preserve"> profitable a company is. This financial ratio shows if the company is making enough profits in relation to the total asset. (Beers, 2019)</w:t>
      </w:r>
    </w:p>
    <w:p w14:paraId="64DCF3B4" w14:textId="77777777" w:rsidR="00A759F7" w:rsidRDefault="00A759F7">
      <w:pPr>
        <w:spacing w:before="240" w:after="240" w:line="360" w:lineRule="auto"/>
        <w:jc w:val="both"/>
        <w:rPr>
          <w:sz w:val="24"/>
          <w:szCs w:val="24"/>
        </w:rPr>
      </w:pPr>
    </w:p>
    <w:p w14:paraId="0B7E2612" w14:textId="77777777" w:rsidR="00A759F7" w:rsidRDefault="00A759F7">
      <w:pPr>
        <w:spacing w:before="240" w:after="240" w:line="360" w:lineRule="auto"/>
        <w:jc w:val="both"/>
        <w:rPr>
          <w:sz w:val="24"/>
          <w:szCs w:val="24"/>
        </w:rPr>
      </w:pPr>
    </w:p>
    <w:p w14:paraId="018746AD" w14:textId="77777777" w:rsidR="00A759F7" w:rsidRDefault="00A759F7">
      <w:pPr>
        <w:spacing w:before="240" w:after="240" w:line="360" w:lineRule="auto"/>
        <w:jc w:val="both"/>
        <w:rPr>
          <w:sz w:val="24"/>
          <w:szCs w:val="24"/>
        </w:rPr>
      </w:pPr>
    </w:p>
    <w:p w14:paraId="3DAF0EEC" w14:textId="77777777" w:rsidR="00A759F7" w:rsidRDefault="00A759F7">
      <w:pPr>
        <w:spacing w:before="240" w:after="240" w:line="360" w:lineRule="auto"/>
        <w:jc w:val="both"/>
        <w:rPr>
          <w:sz w:val="24"/>
          <w:szCs w:val="24"/>
        </w:rPr>
      </w:pPr>
    </w:p>
    <w:p w14:paraId="7FDC56CA" w14:textId="77777777" w:rsidR="00A759F7" w:rsidRDefault="00A759F7">
      <w:pPr>
        <w:spacing w:before="240" w:after="240" w:line="360" w:lineRule="auto"/>
        <w:jc w:val="both"/>
        <w:rPr>
          <w:sz w:val="24"/>
          <w:szCs w:val="24"/>
        </w:rPr>
      </w:pPr>
    </w:p>
    <w:tbl>
      <w:tblPr>
        <w:tblStyle w:val="a5"/>
        <w:tblW w:w="9025" w:type="dxa"/>
        <w:tblBorders>
          <w:top w:val="nil"/>
          <w:left w:val="nil"/>
          <w:bottom w:val="nil"/>
          <w:right w:val="nil"/>
          <w:insideH w:val="nil"/>
          <w:insideV w:val="nil"/>
        </w:tblBorders>
        <w:tblLayout w:type="fixed"/>
        <w:tblLook w:val="0600" w:firstRow="0" w:lastRow="0" w:firstColumn="0" w:lastColumn="0" w:noHBand="1" w:noVBand="1"/>
      </w:tblPr>
      <w:tblGrid>
        <w:gridCol w:w="3497"/>
        <w:gridCol w:w="2684"/>
        <w:gridCol w:w="2844"/>
      </w:tblGrid>
      <w:tr w:rsidR="00A759F7" w14:paraId="6EB605E6" w14:textId="77777777">
        <w:trPr>
          <w:trHeight w:val="650"/>
        </w:trPr>
        <w:tc>
          <w:tcPr>
            <w:tcW w:w="3497"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42FA6DA2" w14:textId="77777777" w:rsidR="00A759F7" w:rsidRDefault="00D1114C">
            <w:pPr>
              <w:spacing w:before="240" w:line="360" w:lineRule="auto"/>
              <w:jc w:val="both"/>
              <w:rPr>
                <w:sz w:val="24"/>
                <w:szCs w:val="24"/>
              </w:rPr>
            </w:pPr>
            <w:r>
              <w:rPr>
                <w:sz w:val="24"/>
                <w:szCs w:val="24"/>
              </w:rPr>
              <w:t>Year</w:t>
            </w:r>
          </w:p>
        </w:tc>
        <w:tc>
          <w:tcPr>
            <w:tcW w:w="2684"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1C4CA935" w14:textId="77777777" w:rsidR="00A759F7" w:rsidRDefault="00D1114C">
            <w:pPr>
              <w:spacing w:before="240" w:line="360" w:lineRule="auto"/>
              <w:jc w:val="both"/>
              <w:rPr>
                <w:sz w:val="24"/>
                <w:szCs w:val="24"/>
              </w:rPr>
            </w:pPr>
            <w:r>
              <w:rPr>
                <w:sz w:val="24"/>
                <w:szCs w:val="24"/>
              </w:rPr>
              <w:t>2021</w:t>
            </w:r>
          </w:p>
        </w:tc>
        <w:tc>
          <w:tcPr>
            <w:tcW w:w="2844"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4404296D" w14:textId="77777777" w:rsidR="00A759F7" w:rsidRDefault="00D1114C">
            <w:pPr>
              <w:spacing w:before="240" w:line="360" w:lineRule="auto"/>
              <w:jc w:val="both"/>
              <w:rPr>
                <w:sz w:val="24"/>
                <w:szCs w:val="24"/>
              </w:rPr>
            </w:pPr>
            <w:r>
              <w:rPr>
                <w:sz w:val="24"/>
                <w:szCs w:val="24"/>
              </w:rPr>
              <w:t>2020</w:t>
            </w:r>
          </w:p>
        </w:tc>
      </w:tr>
      <w:tr w:rsidR="00A759F7" w14:paraId="0550D88E" w14:textId="77777777">
        <w:trPr>
          <w:trHeight w:val="935"/>
        </w:trPr>
        <w:tc>
          <w:tcPr>
            <w:tcW w:w="3497"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580D3773" w14:textId="77777777" w:rsidR="00A759F7" w:rsidRDefault="00D1114C">
            <w:pPr>
              <w:spacing w:before="240" w:line="360" w:lineRule="auto"/>
              <w:jc w:val="both"/>
              <w:rPr>
                <w:sz w:val="24"/>
                <w:szCs w:val="24"/>
              </w:rPr>
            </w:pPr>
            <w:r>
              <w:rPr>
                <w:sz w:val="24"/>
                <w:szCs w:val="24"/>
              </w:rPr>
              <w:t>Formula= TTM Net Income/Total Assets</w:t>
            </w:r>
          </w:p>
        </w:tc>
        <w:tc>
          <w:tcPr>
            <w:tcW w:w="2684"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0E150A07" w14:textId="77777777" w:rsidR="00A759F7" w:rsidRDefault="00D1114C">
            <w:pPr>
              <w:spacing w:before="240" w:line="360" w:lineRule="auto"/>
              <w:jc w:val="both"/>
              <w:rPr>
                <w:sz w:val="24"/>
                <w:szCs w:val="24"/>
              </w:rPr>
            </w:pPr>
            <w:r>
              <w:rPr>
                <w:sz w:val="24"/>
                <w:szCs w:val="24"/>
              </w:rPr>
              <w:t>$1.10B/$25.55B</w:t>
            </w:r>
          </w:p>
        </w:tc>
        <w:tc>
          <w:tcPr>
            <w:tcW w:w="2844"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582E5A73" w14:textId="77777777" w:rsidR="00A759F7" w:rsidRDefault="00D1114C">
            <w:pPr>
              <w:spacing w:before="240" w:line="360" w:lineRule="auto"/>
              <w:jc w:val="both"/>
              <w:rPr>
                <w:sz w:val="24"/>
                <w:szCs w:val="24"/>
              </w:rPr>
            </w:pPr>
            <w:r>
              <w:rPr>
                <w:sz w:val="24"/>
                <w:szCs w:val="24"/>
              </w:rPr>
              <w:t>$-0.27B/$24.70B</w:t>
            </w:r>
          </w:p>
        </w:tc>
      </w:tr>
      <w:tr w:rsidR="00A759F7" w14:paraId="6455FA15" w14:textId="77777777">
        <w:trPr>
          <w:trHeight w:val="575"/>
        </w:trPr>
        <w:tc>
          <w:tcPr>
            <w:tcW w:w="3497"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906CD9" w14:textId="77777777" w:rsidR="00A759F7" w:rsidRDefault="00D1114C">
            <w:pPr>
              <w:spacing w:before="240" w:line="360" w:lineRule="auto"/>
              <w:jc w:val="both"/>
              <w:rPr>
                <w:b/>
                <w:sz w:val="24"/>
                <w:szCs w:val="24"/>
              </w:rPr>
            </w:pPr>
            <w:r>
              <w:rPr>
                <w:b/>
                <w:sz w:val="24"/>
                <w:szCs w:val="24"/>
              </w:rPr>
              <w:t>Ratio</w:t>
            </w:r>
          </w:p>
        </w:tc>
        <w:tc>
          <w:tcPr>
            <w:tcW w:w="2684" w:type="dxa"/>
            <w:tcBorders>
              <w:top w:val="nil"/>
              <w:left w:val="nil"/>
              <w:bottom w:val="single" w:sz="8" w:space="0" w:color="000000"/>
              <w:right w:val="single" w:sz="8" w:space="0" w:color="000000"/>
            </w:tcBorders>
            <w:tcMar>
              <w:top w:w="100" w:type="dxa"/>
              <w:left w:w="100" w:type="dxa"/>
              <w:bottom w:w="100" w:type="dxa"/>
              <w:right w:w="100" w:type="dxa"/>
            </w:tcMar>
          </w:tcPr>
          <w:p w14:paraId="04AC6939" w14:textId="77777777" w:rsidR="00A759F7" w:rsidRDefault="00D1114C">
            <w:pPr>
              <w:spacing w:before="240" w:line="360" w:lineRule="auto"/>
              <w:jc w:val="both"/>
              <w:rPr>
                <w:b/>
                <w:sz w:val="24"/>
                <w:szCs w:val="24"/>
              </w:rPr>
            </w:pPr>
            <w:r>
              <w:rPr>
                <w:b/>
                <w:sz w:val="24"/>
                <w:szCs w:val="24"/>
              </w:rPr>
              <w:t>4.3</w:t>
            </w:r>
          </w:p>
        </w:tc>
        <w:tc>
          <w:tcPr>
            <w:tcW w:w="2844" w:type="dxa"/>
            <w:tcBorders>
              <w:top w:val="nil"/>
              <w:left w:val="nil"/>
              <w:bottom w:val="single" w:sz="8" w:space="0" w:color="000000"/>
              <w:right w:val="single" w:sz="8" w:space="0" w:color="000000"/>
            </w:tcBorders>
            <w:tcMar>
              <w:top w:w="100" w:type="dxa"/>
              <w:left w:w="100" w:type="dxa"/>
              <w:bottom w:w="100" w:type="dxa"/>
              <w:right w:w="100" w:type="dxa"/>
            </w:tcMar>
          </w:tcPr>
          <w:p w14:paraId="654D5F82" w14:textId="77777777" w:rsidR="00A759F7" w:rsidRDefault="00D1114C">
            <w:pPr>
              <w:spacing w:before="240" w:line="360" w:lineRule="auto"/>
              <w:jc w:val="both"/>
              <w:rPr>
                <w:b/>
                <w:sz w:val="24"/>
                <w:szCs w:val="24"/>
              </w:rPr>
            </w:pPr>
            <w:r>
              <w:rPr>
                <w:b/>
                <w:sz w:val="24"/>
                <w:szCs w:val="24"/>
              </w:rPr>
              <w:t>-1.1</w:t>
            </w:r>
          </w:p>
        </w:tc>
      </w:tr>
    </w:tbl>
    <w:p w14:paraId="5167DB22" w14:textId="77777777" w:rsidR="00A759F7" w:rsidRDefault="00D1114C">
      <w:pPr>
        <w:spacing w:before="240" w:after="240" w:line="360" w:lineRule="auto"/>
        <w:jc w:val="both"/>
        <w:rPr>
          <w:sz w:val="24"/>
          <w:szCs w:val="24"/>
        </w:rPr>
      </w:pPr>
      <w:r>
        <w:rPr>
          <w:noProof/>
          <w:sz w:val="24"/>
          <w:szCs w:val="24"/>
        </w:rPr>
        <w:drawing>
          <wp:inline distT="114300" distB="114300" distL="114300" distR="114300" wp14:anchorId="7DFA4F6B" wp14:editId="06C5BEC6">
            <wp:extent cx="5731200" cy="45974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731200" cy="4597400"/>
                    </a:xfrm>
                    <a:prstGeom prst="rect">
                      <a:avLst/>
                    </a:prstGeom>
                    <a:ln/>
                  </pic:spPr>
                </pic:pic>
              </a:graphicData>
            </a:graphic>
          </wp:inline>
        </w:drawing>
      </w:r>
    </w:p>
    <w:p w14:paraId="184E8996" w14:textId="77777777" w:rsidR="00A759F7" w:rsidRDefault="00D1114C">
      <w:pPr>
        <w:spacing w:before="240" w:after="240" w:line="360" w:lineRule="auto"/>
        <w:ind w:left="1440" w:firstLine="720"/>
        <w:jc w:val="both"/>
        <w:rPr>
          <w:sz w:val="24"/>
          <w:szCs w:val="24"/>
        </w:rPr>
      </w:pPr>
      <w:r>
        <w:rPr>
          <w:sz w:val="24"/>
          <w:szCs w:val="24"/>
        </w:rPr>
        <w:lastRenderedPageBreak/>
        <w:t>Figure 07: Return on Assets</w:t>
      </w:r>
    </w:p>
    <w:p w14:paraId="1800F7FE" w14:textId="77777777" w:rsidR="00A759F7" w:rsidRDefault="00D1114C">
      <w:pPr>
        <w:spacing w:before="240" w:after="240" w:line="360" w:lineRule="auto"/>
        <w:jc w:val="both"/>
        <w:rPr>
          <w:sz w:val="24"/>
          <w:szCs w:val="24"/>
        </w:rPr>
      </w:pPr>
      <w:r>
        <w:rPr>
          <w:sz w:val="24"/>
          <w:szCs w:val="24"/>
        </w:rPr>
        <w:t>If you look at the table and the graph above, you can see the Marriott started the year 2020 on a high note, but with the COVID policy in place, it started losing income. However, at the end of 2021, the hotel managed to return to where it was in 2019.Both income and asset has increased which is a sign of high profitability.</w:t>
      </w:r>
    </w:p>
    <w:p w14:paraId="78367D19" w14:textId="77777777" w:rsidR="00A759F7" w:rsidRDefault="00D1114C">
      <w:pPr>
        <w:spacing w:before="240" w:after="240" w:line="360" w:lineRule="auto"/>
        <w:jc w:val="both"/>
        <w:rPr>
          <w:sz w:val="24"/>
          <w:szCs w:val="24"/>
        </w:rPr>
      </w:pPr>
      <w:r>
        <w:rPr>
          <w:sz w:val="24"/>
          <w:szCs w:val="24"/>
        </w:rPr>
        <w:t xml:space="preserve"> </w:t>
      </w:r>
    </w:p>
    <w:p w14:paraId="5D6A2044" w14:textId="77777777" w:rsidR="003C7394" w:rsidRDefault="003C7394">
      <w:pPr>
        <w:rPr>
          <w:b/>
          <w:sz w:val="24"/>
          <w:szCs w:val="24"/>
        </w:rPr>
      </w:pPr>
      <w:r>
        <w:rPr>
          <w:b/>
          <w:sz w:val="24"/>
          <w:szCs w:val="24"/>
        </w:rPr>
        <w:br w:type="page"/>
      </w:r>
    </w:p>
    <w:p w14:paraId="4B64B807" w14:textId="77777777" w:rsidR="00A759F7" w:rsidRDefault="00D1114C">
      <w:pPr>
        <w:spacing w:before="240" w:after="240" w:line="360" w:lineRule="auto"/>
        <w:jc w:val="both"/>
        <w:rPr>
          <w:b/>
          <w:sz w:val="24"/>
          <w:szCs w:val="24"/>
        </w:rPr>
      </w:pPr>
      <w:r>
        <w:rPr>
          <w:b/>
          <w:sz w:val="24"/>
          <w:szCs w:val="24"/>
        </w:rPr>
        <w:lastRenderedPageBreak/>
        <w:t>Liquidity</w:t>
      </w:r>
    </w:p>
    <w:p w14:paraId="71F4D0E3" w14:textId="77777777" w:rsidR="00A759F7" w:rsidRDefault="00D1114C">
      <w:pPr>
        <w:spacing w:before="240" w:after="240" w:line="360" w:lineRule="auto"/>
        <w:jc w:val="both"/>
        <w:rPr>
          <w:sz w:val="24"/>
          <w:szCs w:val="24"/>
        </w:rPr>
      </w:pPr>
      <w:r>
        <w:rPr>
          <w:sz w:val="24"/>
          <w:szCs w:val="24"/>
        </w:rPr>
        <w:t xml:space="preserve">Liquidity ratio is another determinant of a company’s financial condition. It lets us know how the company is doing regarding its debts and asset management. (Berk &amp; </w:t>
      </w:r>
      <w:proofErr w:type="spellStart"/>
      <w:r>
        <w:rPr>
          <w:sz w:val="24"/>
          <w:szCs w:val="24"/>
        </w:rPr>
        <w:t>Demarzo</w:t>
      </w:r>
      <w:proofErr w:type="spellEnd"/>
      <w:r>
        <w:rPr>
          <w:sz w:val="24"/>
          <w:szCs w:val="24"/>
        </w:rPr>
        <w:t>, 2020)</w:t>
      </w:r>
    </w:p>
    <w:p w14:paraId="57FE8754" w14:textId="77777777" w:rsidR="00A759F7" w:rsidRDefault="00D1114C">
      <w:pPr>
        <w:spacing w:before="240" w:after="240" w:line="360" w:lineRule="auto"/>
        <w:jc w:val="both"/>
        <w:rPr>
          <w:b/>
          <w:sz w:val="24"/>
          <w:szCs w:val="24"/>
        </w:rPr>
      </w:pPr>
      <w:r>
        <w:rPr>
          <w:b/>
          <w:sz w:val="24"/>
          <w:szCs w:val="24"/>
        </w:rPr>
        <w:t>Current Ratio</w:t>
      </w:r>
    </w:p>
    <w:p w14:paraId="5A9A8CE3" w14:textId="77777777" w:rsidR="00A759F7" w:rsidRDefault="00D1114C">
      <w:pPr>
        <w:spacing w:before="240" w:after="240" w:line="360" w:lineRule="auto"/>
        <w:jc w:val="both"/>
        <w:rPr>
          <w:sz w:val="24"/>
          <w:szCs w:val="24"/>
        </w:rPr>
      </w:pPr>
      <w:r>
        <w:rPr>
          <w:sz w:val="24"/>
          <w:szCs w:val="24"/>
        </w:rPr>
        <w:t>Current ratio is one of the vital liquidity ratios that determines a company’s ability to pay its short-term debts. Short-term debts refer to commitments that will mature inside the next 12 months. This is how it looks for Marriott International in 2020 and 2021.</w:t>
      </w:r>
    </w:p>
    <w:tbl>
      <w:tblPr>
        <w:tblStyle w:val="a6"/>
        <w:tblW w:w="9025" w:type="dxa"/>
        <w:tblBorders>
          <w:top w:val="nil"/>
          <w:left w:val="nil"/>
          <w:bottom w:val="nil"/>
          <w:right w:val="nil"/>
          <w:insideH w:val="nil"/>
          <w:insideV w:val="nil"/>
        </w:tblBorders>
        <w:tblLayout w:type="fixed"/>
        <w:tblLook w:val="0600" w:firstRow="0" w:lastRow="0" w:firstColumn="0" w:lastColumn="0" w:noHBand="1" w:noVBand="1"/>
      </w:tblPr>
      <w:tblGrid>
        <w:gridCol w:w="3541"/>
        <w:gridCol w:w="2669"/>
        <w:gridCol w:w="2815"/>
      </w:tblGrid>
      <w:tr w:rsidR="00A759F7" w14:paraId="6FFC5D34" w14:textId="77777777" w:rsidTr="003C7394">
        <w:trPr>
          <w:trHeight w:val="600"/>
        </w:trPr>
        <w:tc>
          <w:tcPr>
            <w:tcW w:w="3540"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761BC577" w14:textId="77777777" w:rsidR="00A759F7" w:rsidRDefault="00D1114C">
            <w:pPr>
              <w:spacing w:before="240" w:line="360" w:lineRule="auto"/>
              <w:jc w:val="both"/>
              <w:rPr>
                <w:sz w:val="24"/>
                <w:szCs w:val="24"/>
              </w:rPr>
            </w:pPr>
            <w:r>
              <w:rPr>
                <w:sz w:val="24"/>
                <w:szCs w:val="24"/>
              </w:rPr>
              <w:t>Year</w:t>
            </w:r>
          </w:p>
        </w:tc>
        <w:tc>
          <w:tcPr>
            <w:tcW w:w="2669"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227360BE" w14:textId="77777777" w:rsidR="00A759F7" w:rsidRDefault="00D1114C">
            <w:pPr>
              <w:spacing w:before="240" w:line="360" w:lineRule="auto"/>
              <w:jc w:val="both"/>
              <w:rPr>
                <w:sz w:val="24"/>
                <w:szCs w:val="24"/>
              </w:rPr>
            </w:pPr>
            <w:r>
              <w:rPr>
                <w:sz w:val="24"/>
                <w:szCs w:val="24"/>
              </w:rPr>
              <w:t>2021</w:t>
            </w:r>
          </w:p>
        </w:tc>
        <w:tc>
          <w:tcPr>
            <w:tcW w:w="2815"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3F530BE6" w14:textId="77777777" w:rsidR="00A759F7" w:rsidRDefault="00D1114C">
            <w:pPr>
              <w:spacing w:before="240" w:line="360" w:lineRule="auto"/>
              <w:jc w:val="both"/>
              <w:rPr>
                <w:sz w:val="24"/>
                <w:szCs w:val="24"/>
              </w:rPr>
            </w:pPr>
            <w:r>
              <w:rPr>
                <w:sz w:val="24"/>
                <w:szCs w:val="24"/>
              </w:rPr>
              <w:t>2020</w:t>
            </w:r>
          </w:p>
        </w:tc>
      </w:tr>
      <w:tr w:rsidR="00A759F7" w14:paraId="2480DA25" w14:textId="77777777">
        <w:trPr>
          <w:trHeight w:val="935"/>
        </w:trPr>
        <w:tc>
          <w:tcPr>
            <w:tcW w:w="3540"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3F908E40" w14:textId="77777777" w:rsidR="00A759F7" w:rsidRDefault="00D1114C">
            <w:pPr>
              <w:spacing w:before="240" w:line="360" w:lineRule="auto"/>
              <w:jc w:val="both"/>
              <w:rPr>
                <w:sz w:val="24"/>
                <w:szCs w:val="24"/>
              </w:rPr>
            </w:pPr>
            <w:r>
              <w:rPr>
                <w:sz w:val="24"/>
                <w:szCs w:val="24"/>
              </w:rPr>
              <w:t>Formula= Current Assets/Current Liabilities</w:t>
            </w:r>
          </w:p>
        </w:tc>
        <w:tc>
          <w:tcPr>
            <w:tcW w:w="2669"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7ADF88E" w14:textId="77777777" w:rsidR="00A759F7" w:rsidRDefault="00D1114C">
            <w:pPr>
              <w:spacing w:before="240" w:line="360" w:lineRule="auto"/>
              <w:jc w:val="both"/>
              <w:rPr>
                <w:sz w:val="24"/>
                <w:szCs w:val="24"/>
              </w:rPr>
            </w:pPr>
            <w:r>
              <w:rPr>
                <w:sz w:val="24"/>
                <w:szCs w:val="24"/>
              </w:rPr>
              <w:t>$3.63B/$6.41B</w:t>
            </w:r>
          </w:p>
        </w:tc>
        <w:tc>
          <w:tcPr>
            <w:tcW w:w="2815"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5825281E" w14:textId="77777777" w:rsidR="00A759F7" w:rsidRDefault="00D1114C">
            <w:pPr>
              <w:spacing w:before="240" w:line="360" w:lineRule="auto"/>
              <w:jc w:val="both"/>
              <w:rPr>
                <w:sz w:val="24"/>
                <w:szCs w:val="24"/>
              </w:rPr>
            </w:pPr>
            <w:r>
              <w:rPr>
                <w:sz w:val="24"/>
                <w:szCs w:val="24"/>
              </w:rPr>
              <w:t>$2.83B/$5.75B</w:t>
            </w:r>
          </w:p>
        </w:tc>
      </w:tr>
      <w:tr w:rsidR="00A759F7" w14:paraId="2ED0AB66" w14:textId="77777777">
        <w:trPr>
          <w:trHeight w:val="575"/>
        </w:trPr>
        <w:tc>
          <w:tcPr>
            <w:tcW w:w="354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3D8FB6" w14:textId="77777777" w:rsidR="00A759F7" w:rsidRDefault="00D1114C">
            <w:pPr>
              <w:spacing w:before="240" w:line="360" w:lineRule="auto"/>
              <w:jc w:val="both"/>
              <w:rPr>
                <w:b/>
                <w:sz w:val="24"/>
                <w:szCs w:val="24"/>
              </w:rPr>
            </w:pPr>
            <w:r>
              <w:rPr>
                <w:b/>
                <w:sz w:val="24"/>
                <w:szCs w:val="24"/>
              </w:rPr>
              <w:t>Ratio</w:t>
            </w:r>
          </w:p>
        </w:tc>
        <w:tc>
          <w:tcPr>
            <w:tcW w:w="2669" w:type="dxa"/>
            <w:tcBorders>
              <w:top w:val="nil"/>
              <w:left w:val="nil"/>
              <w:bottom w:val="single" w:sz="8" w:space="0" w:color="000000"/>
              <w:right w:val="single" w:sz="8" w:space="0" w:color="000000"/>
            </w:tcBorders>
            <w:tcMar>
              <w:top w:w="100" w:type="dxa"/>
              <w:left w:w="100" w:type="dxa"/>
              <w:bottom w:w="100" w:type="dxa"/>
              <w:right w:w="100" w:type="dxa"/>
            </w:tcMar>
          </w:tcPr>
          <w:p w14:paraId="1ABF23E5" w14:textId="77777777" w:rsidR="00A759F7" w:rsidRDefault="00D1114C">
            <w:pPr>
              <w:spacing w:before="240" w:line="360" w:lineRule="auto"/>
              <w:jc w:val="both"/>
              <w:rPr>
                <w:b/>
                <w:sz w:val="24"/>
                <w:szCs w:val="24"/>
              </w:rPr>
            </w:pPr>
            <w:r>
              <w:rPr>
                <w:b/>
                <w:sz w:val="24"/>
                <w:szCs w:val="24"/>
              </w:rPr>
              <w:t>.57</w:t>
            </w:r>
          </w:p>
        </w:tc>
        <w:tc>
          <w:tcPr>
            <w:tcW w:w="2815" w:type="dxa"/>
            <w:tcBorders>
              <w:top w:val="nil"/>
              <w:left w:val="nil"/>
              <w:bottom w:val="single" w:sz="8" w:space="0" w:color="000000"/>
              <w:right w:val="single" w:sz="8" w:space="0" w:color="000000"/>
            </w:tcBorders>
            <w:tcMar>
              <w:top w:w="100" w:type="dxa"/>
              <w:left w:w="100" w:type="dxa"/>
              <w:bottom w:w="100" w:type="dxa"/>
              <w:right w:w="100" w:type="dxa"/>
            </w:tcMar>
          </w:tcPr>
          <w:p w14:paraId="31D0B586" w14:textId="77777777" w:rsidR="00A759F7" w:rsidRDefault="00D1114C">
            <w:pPr>
              <w:spacing w:before="240" w:line="360" w:lineRule="auto"/>
              <w:jc w:val="both"/>
              <w:rPr>
                <w:b/>
                <w:sz w:val="24"/>
                <w:szCs w:val="24"/>
              </w:rPr>
            </w:pPr>
            <w:r>
              <w:rPr>
                <w:b/>
                <w:sz w:val="24"/>
                <w:szCs w:val="24"/>
              </w:rPr>
              <w:t>.49</w:t>
            </w:r>
          </w:p>
        </w:tc>
      </w:tr>
    </w:tbl>
    <w:p w14:paraId="164C3A1B" w14:textId="77777777" w:rsidR="00A759F7" w:rsidRDefault="00D1114C">
      <w:pPr>
        <w:spacing w:before="240" w:after="240" w:line="360" w:lineRule="auto"/>
        <w:jc w:val="both"/>
        <w:rPr>
          <w:sz w:val="24"/>
          <w:szCs w:val="24"/>
        </w:rPr>
      </w:pPr>
      <w:r>
        <w:rPr>
          <w:noProof/>
          <w:sz w:val="24"/>
          <w:szCs w:val="24"/>
        </w:rPr>
        <w:lastRenderedPageBreak/>
        <w:drawing>
          <wp:inline distT="114300" distB="114300" distL="114300" distR="114300" wp14:anchorId="6B3471FE" wp14:editId="560602BA">
            <wp:extent cx="5731200" cy="44069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31200" cy="4406900"/>
                    </a:xfrm>
                    <a:prstGeom prst="rect">
                      <a:avLst/>
                    </a:prstGeom>
                    <a:ln/>
                  </pic:spPr>
                </pic:pic>
              </a:graphicData>
            </a:graphic>
          </wp:inline>
        </w:drawing>
      </w:r>
    </w:p>
    <w:p w14:paraId="055DCD51" w14:textId="77777777" w:rsidR="00A759F7" w:rsidRDefault="00D1114C">
      <w:pPr>
        <w:spacing w:before="240" w:after="240" w:line="360" w:lineRule="auto"/>
        <w:ind w:left="2160" w:firstLine="720"/>
        <w:jc w:val="both"/>
        <w:rPr>
          <w:sz w:val="24"/>
          <w:szCs w:val="24"/>
        </w:rPr>
      </w:pPr>
      <w:r>
        <w:rPr>
          <w:sz w:val="24"/>
          <w:szCs w:val="24"/>
        </w:rPr>
        <w:t>Figure 08: Current Ratio</w:t>
      </w:r>
    </w:p>
    <w:p w14:paraId="7A9A560B" w14:textId="77777777" w:rsidR="00A759F7" w:rsidRDefault="00D1114C">
      <w:pPr>
        <w:spacing w:before="240" w:after="240" w:line="360" w:lineRule="auto"/>
        <w:jc w:val="both"/>
        <w:rPr>
          <w:sz w:val="24"/>
          <w:szCs w:val="24"/>
        </w:rPr>
      </w:pPr>
      <w:r>
        <w:rPr>
          <w:sz w:val="24"/>
          <w:szCs w:val="24"/>
        </w:rPr>
        <w:t>We can see from the graph (figure 08) that the year 2020 was a bad year with a lower current ratio. In 2021, the company is now more capable of paying its short-term obligations. However, the current ratio isn’t satisfactory enough.</w:t>
      </w:r>
    </w:p>
    <w:p w14:paraId="0DE3D7FD" w14:textId="77777777" w:rsidR="00A759F7" w:rsidRDefault="00D1114C">
      <w:pPr>
        <w:spacing w:before="240" w:after="240" w:line="360" w:lineRule="auto"/>
        <w:jc w:val="both"/>
        <w:rPr>
          <w:b/>
          <w:sz w:val="24"/>
          <w:szCs w:val="24"/>
        </w:rPr>
      </w:pPr>
      <w:r>
        <w:rPr>
          <w:b/>
          <w:sz w:val="24"/>
          <w:szCs w:val="24"/>
        </w:rPr>
        <w:t>Receivable Turnover</w:t>
      </w:r>
    </w:p>
    <w:p w14:paraId="78E1BF47" w14:textId="77777777" w:rsidR="00A759F7" w:rsidRDefault="00D1114C">
      <w:pPr>
        <w:spacing w:before="240" w:after="240" w:line="360" w:lineRule="auto"/>
        <w:jc w:val="both"/>
        <w:rPr>
          <w:sz w:val="24"/>
          <w:szCs w:val="24"/>
        </w:rPr>
      </w:pPr>
      <w:r>
        <w:rPr>
          <w:sz w:val="24"/>
          <w:szCs w:val="24"/>
        </w:rPr>
        <w:t xml:space="preserve">Receivable turnover ratio is an accounting measure. It can be used to determine the company’s ability to collect debts and extend credit (Suraya, 2018). This is how </w:t>
      </w:r>
      <w:proofErr w:type="spellStart"/>
      <w:r>
        <w:rPr>
          <w:sz w:val="24"/>
          <w:szCs w:val="24"/>
        </w:rPr>
        <w:t>how</w:t>
      </w:r>
      <w:proofErr w:type="spellEnd"/>
      <w:r>
        <w:rPr>
          <w:sz w:val="24"/>
          <w:szCs w:val="24"/>
        </w:rPr>
        <w:t xml:space="preserve"> it looks for Marriott International.</w:t>
      </w:r>
    </w:p>
    <w:tbl>
      <w:tblPr>
        <w:tblStyle w:val="a7"/>
        <w:tblW w:w="9025" w:type="dxa"/>
        <w:tblBorders>
          <w:top w:val="nil"/>
          <w:left w:val="nil"/>
          <w:bottom w:val="nil"/>
          <w:right w:val="nil"/>
          <w:insideH w:val="nil"/>
          <w:insideV w:val="nil"/>
        </w:tblBorders>
        <w:tblLayout w:type="fixed"/>
        <w:tblLook w:val="0600" w:firstRow="0" w:lastRow="0" w:firstColumn="0" w:lastColumn="0" w:noHBand="1" w:noVBand="1"/>
      </w:tblPr>
      <w:tblGrid>
        <w:gridCol w:w="3608"/>
        <w:gridCol w:w="2636"/>
        <w:gridCol w:w="2781"/>
      </w:tblGrid>
      <w:tr w:rsidR="00A759F7" w14:paraId="6605E640" w14:textId="77777777">
        <w:trPr>
          <w:trHeight w:val="740"/>
        </w:trPr>
        <w:tc>
          <w:tcPr>
            <w:tcW w:w="3607"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0773F3BE" w14:textId="77777777" w:rsidR="00A759F7" w:rsidRDefault="00D1114C">
            <w:pPr>
              <w:spacing w:before="240" w:after="160" w:line="360" w:lineRule="auto"/>
              <w:jc w:val="both"/>
              <w:rPr>
                <w:sz w:val="24"/>
                <w:szCs w:val="24"/>
              </w:rPr>
            </w:pPr>
            <w:r>
              <w:rPr>
                <w:sz w:val="24"/>
                <w:szCs w:val="24"/>
              </w:rPr>
              <w:t>Year</w:t>
            </w:r>
          </w:p>
        </w:tc>
        <w:tc>
          <w:tcPr>
            <w:tcW w:w="2636"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065A77B3" w14:textId="77777777" w:rsidR="00A759F7" w:rsidRDefault="00D1114C">
            <w:pPr>
              <w:spacing w:before="240" w:after="160" w:line="360" w:lineRule="auto"/>
              <w:jc w:val="both"/>
              <w:rPr>
                <w:sz w:val="24"/>
                <w:szCs w:val="24"/>
              </w:rPr>
            </w:pPr>
            <w:r>
              <w:rPr>
                <w:sz w:val="24"/>
                <w:szCs w:val="24"/>
              </w:rPr>
              <w:t>2021</w:t>
            </w:r>
          </w:p>
        </w:tc>
        <w:tc>
          <w:tcPr>
            <w:tcW w:w="2781"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57AEBFEE" w14:textId="77777777" w:rsidR="00A759F7" w:rsidRDefault="00D1114C">
            <w:pPr>
              <w:spacing w:before="240" w:after="160" w:line="360" w:lineRule="auto"/>
              <w:jc w:val="both"/>
              <w:rPr>
                <w:sz w:val="24"/>
                <w:szCs w:val="24"/>
              </w:rPr>
            </w:pPr>
            <w:r>
              <w:rPr>
                <w:sz w:val="24"/>
                <w:szCs w:val="24"/>
              </w:rPr>
              <w:t>2020</w:t>
            </w:r>
          </w:p>
        </w:tc>
      </w:tr>
      <w:tr w:rsidR="00A759F7" w14:paraId="368A5865" w14:textId="77777777">
        <w:trPr>
          <w:trHeight w:val="935"/>
        </w:trPr>
        <w:tc>
          <w:tcPr>
            <w:tcW w:w="3607"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0B5F0875" w14:textId="77777777" w:rsidR="00A759F7" w:rsidRDefault="00D1114C">
            <w:pPr>
              <w:spacing w:before="240" w:line="360" w:lineRule="auto"/>
              <w:jc w:val="both"/>
              <w:rPr>
                <w:sz w:val="24"/>
                <w:szCs w:val="24"/>
              </w:rPr>
            </w:pPr>
            <w:r>
              <w:rPr>
                <w:sz w:val="24"/>
                <w:szCs w:val="24"/>
              </w:rPr>
              <w:t>Formula= net Sales/Average Account receivables</w:t>
            </w:r>
          </w:p>
        </w:tc>
        <w:tc>
          <w:tcPr>
            <w:tcW w:w="2636"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57D436DC" w14:textId="77777777" w:rsidR="00A759F7" w:rsidRDefault="00D1114C">
            <w:pPr>
              <w:spacing w:before="240" w:line="360" w:lineRule="auto"/>
              <w:jc w:val="both"/>
              <w:rPr>
                <w:sz w:val="24"/>
                <w:szCs w:val="24"/>
              </w:rPr>
            </w:pPr>
            <w:r>
              <w:rPr>
                <w:sz w:val="24"/>
                <w:szCs w:val="24"/>
              </w:rPr>
              <w:t>(data not available)</w:t>
            </w:r>
          </w:p>
        </w:tc>
        <w:tc>
          <w:tcPr>
            <w:tcW w:w="2781"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03498545" w14:textId="77777777" w:rsidR="00A759F7" w:rsidRDefault="00D1114C">
            <w:pPr>
              <w:spacing w:before="240" w:line="360" w:lineRule="auto"/>
              <w:jc w:val="both"/>
              <w:rPr>
                <w:sz w:val="24"/>
                <w:szCs w:val="24"/>
              </w:rPr>
            </w:pPr>
            <w:r>
              <w:rPr>
                <w:sz w:val="24"/>
                <w:szCs w:val="24"/>
              </w:rPr>
              <w:t>(data not available)</w:t>
            </w:r>
          </w:p>
        </w:tc>
      </w:tr>
      <w:tr w:rsidR="00A759F7" w14:paraId="39115EDB" w14:textId="77777777">
        <w:trPr>
          <w:trHeight w:val="740"/>
        </w:trPr>
        <w:tc>
          <w:tcPr>
            <w:tcW w:w="3607"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46DFA99" w14:textId="77777777" w:rsidR="00A759F7" w:rsidRDefault="00D1114C">
            <w:pPr>
              <w:spacing w:before="240" w:after="160" w:line="360" w:lineRule="auto"/>
              <w:jc w:val="both"/>
              <w:rPr>
                <w:b/>
                <w:sz w:val="24"/>
                <w:szCs w:val="24"/>
              </w:rPr>
            </w:pPr>
            <w:r>
              <w:rPr>
                <w:b/>
                <w:sz w:val="24"/>
                <w:szCs w:val="24"/>
              </w:rPr>
              <w:lastRenderedPageBreak/>
              <w:t>Ratio</w:t>
            </w:r>
          </w:p>
        </w:tc>
        <w:tc>
          <w:tcPr>
            <w:tcW w:w="2636" w:type="dxa"/>
            <w:tcBorders>
              <w:top w:val="nil"/>
              <w:left w:val="nil"/>
              <w:bottom w:val="single" w:sz="8" w:space="0" w:color="000000"/>
              <w:right w:val="single" w:sz="8" w:space="0" w:color="000000"/>
            </w:tcBorders>
            <w:tcMar>
              <w:top w:w="100" w:type="dxa"/>
              <w:left w:w="100" w:type="dxa"/>
              <w:bottom w:w="100" w:type="dxa"/>
              <w:right w:w="100" w:type="dxa"/>
            </w:tcMar>
          </w:tcPr>
          <w:p w14:paraId="3A33C39B" w14:textId="77777777" w:rsidR="00A759F7" w:rsidRDefault="00D1114C">
            <w:pPr>
              <w:spacing w:before="240" w:after="160" w:line="360" w:lineRule="auto"/>
              <w:jc w:val="both"/>
              <w:rPr>
                <w:b/>
                <w:sz w:val="24"/>
                <w:szCs w:val="24"/>
              </w:rPr>
            </w:pPr>
            <w:r>
              <w:rPr>
                <w:b/>
                <w:sz w:val="24"/>
                <w:szCs w:val="24"/>
              </w:rPr>
              <w:t>6.99</w:t>
            </w:r>
          </w:p>
        </w:tc>
        <w:tc>
          <w:tcPr>
            <w:tcW w:w="2781" w:type="dxa"/>
            <w:tcBorders>
              <w:top w:val="nil"/>
              <w:left w:val="nil"/>
              <w:bottom w:val="single" w:sz="8" w:space="0" w:color="000000"/>
              <w:right w:val="single" w:sz="8" w:space="0" w:color="000000"/>
            </w:tcBorders>
            <w:tcMar>
              <w:top w:w="100" w:type="dxa"/>
              <w:left w:w="100" w:type="dxa"/>
              <w:bottom w:w="100" w:type="dxa"/>
              <w:right w:w="100" w:type="dxa"/>
            </w:tcMar>
          </w:tcPr>
          <w:p w14:paraId="6EE3ED3E" w14:textId="77777777" w:rsidR="00A759F7" w:rsidRDefault="00D1114C">
            <w:pPr>
              <w:spacing w:before="240" w:after="160" w:line="360" w:lineRule="auto"/>
              <w:jc w:val="both"/>
              <w:rPr>
                <w:b/>
                <w:sz w:val="24"/>
                <w:szCs w:val="24"/>
              </w:rPr>
            </w:pPr>
            <w:r>
              <w:rPr>
                <w:b/>
                <w:sz w:val="24"/>
                <w:szCs w:val="24"/>
              </w:rPr>
              <w:t>5.98</w:t>
            </w:r>
          </w:p>
        </w:tc>
      </w:tr>
    </w:tbl>
    <w:p w14:paraId="6A70D0CC" w14:textId="77777777" w:rsidR="00A759F7" w:rsidRDefault="00D1114C">
      <w:pPr>
        <w:spacing w:before="240" w:after="240" w:line="360" w:lineRule="auto"/>
        <w:jc w:val="both"/>
        <w:rPr>
          <w:sz w:val="24"/>
          <w:szCs w:val="24"/>
        </w:rPr>
      </w:pPr>
      <w:r>
        <w:rPr>
          <w:sz w:val="24"/>
          <w:szCs w:val="24"/>
        </w:rPr>
        <w:t xml:space="preserve"> </w:t>
      </w:r>
      <w:r>
        <w:rPr>
          <w:sz w:val="24"/>
          <w:szCs w:val="24"/>
        </w:rPr>
        <w:tab/>
      </w:r>
      <w:r>
        <w:rPr>
          <w:sz w:val="24"/>
          <w:szCs w:val="24"/>
        </w:rPr>
        <w:tab/>
      </w:r>
      <w:r>
        <w:rPr>
          <w:sz w:val="24"/>
          <w:szCs w:val="24"/>
        </w:rPr>
        <w:tab/>
        <w:t xml:space="preserve">Figure 09: Receivables Turnover ratio </w:t>
      </w:r>
    </w:p>
    <w:p w14:paraId="050708C4" w14:textId="77777777" w:rsidR="003C7394" w:rsidRDefault="003C7394">
      <w:pPr>
        <w:rPr>
          <w:b/>
          <w:sz w:val="24"/>
          <w:szCs w:val="24"/>
        </w:rPr>
      </w:pPr>
      <w:bookmarkStart w:id="9" w:name="_ehor484tayf6" w:colFirst="0" w:colLast="0"/>
      <w:bookmarkEnd w:id="9"/>
      <w:r>
        <w:rPr>
          <w:b/>
          <w:sz w:val="24"/>
          <w:szCs w:val="24"/>
        </w:rPr>
        <w:br w:type="page"/>
      </w:r>
    </w:p>
    <w:p w14:paraId="79E7F4D5" w14:textId="77777777" w:rsidR="00A759F7" w:rsidRDefault="00D1114C">
      <w:pPr>
        <w:pStyle w:val="Heading2"/>
        <w:keepNext w:val="0"/>
        <w:keepLines w:val="0"/>
        <w:spacing w:after="80" w:line="360" w:lineRule="auto"/>
        <w:jc w:val="both"/>
        <w:rPr>
          <w:sz w:val="24"/>
          <w:szCs w:val="24"/>
        </w:rPr>
      </w:pPr>
      <w:r>
        <w:rPr>
          <w:b/>
          <w:sz w:val="24"/>
          <w:szCs w:val="24"/>
        </w:rPr>
        <w:lastRenderedPageBreak/>
        <w:t>Gearing</w:t>
      </w:r>
    </w:p>
    <w:p w14:paraId="52A880F8" w14:textId="77777777" w:rsidR="00A759F7" w:rsidRDefault="00D1114C">
      <w:pPr>
        <w:spacing w:before="240" w:after="240" w:line="360" w:lineRule="auto"/>
        <w:jc w:val="both"/>
        <w:rPr>
          <w:b/>
          <w:sz w:val="24"/>
          <w:szCs w:val="24"/>
        </w:rPr>
      </w:pPr>
      <w:r>
        <w:rPr>
          <w:b/>
          <w:sz w:val="24"/>
          <w:szCs w:val="24"/>
        </w:rPr>
        <w:t>Debt to Equity Ratio</w:t>
      </w:r>
    </w:p>
    <w:p w14:paraId="25689205" w14:textId="77777777" w:rsidR="00A759F7" w:rsidRDefault="00D1114C">
      <w:pPr>
        <w:spacing w:before="240" w:after="240" w:line="360" w:lineRule="auto"/>
        <w:jc w:val="both"/>
        <w:rPr>
          <w:sz w:val="24"/>
          <w:szCs w:val="24"/>
        </w:rPr>
      </w:pPr>
      <w:r>
        <w:rPr>
          <w:sz w:val="24"/>
          <w:szCs w:val="24"/>
        </w:rPr>
        <w:t xml:space="preserve">The debt to equity ratio tells us whether or not the company is capable of paying off its long-term </w:t>
      </w:r>
      <w:proofErr w:type="gramStart"/>
      <w:r>
        <w:rPr>
          <w:sz w:val="24"/>
          <w:szCs w:val="24"/>
        </w:rPr>
        <w:t>obligations.(</w:t>
      </w:r>
      <w:proofErr w:type="gramEnd"/>
      <w:r>
        <w:rPr>
          <w:sz w:val="24"/>
          <w:szCs w:val="24"/>
        </w:rPr>
        <w:t>Brigham et al, 2012)</w:t>
      </w:r>
    </w:p>
    <w:tbl>
      <w:tblPr>
        <w:tblStyle w:val="a8"/>
        <w:tblW w:w="9025" w:type="dxa"/>
        <w:tblBorders>
          <w:top w:val="nil"/>
          <w:left w:val="nil"/>
          <w:bottom w:val="nil"/>
          <w:right w:val="nil"/>
          <w:insideH w:val="nil"/>
          <w:insideV w:val="nil"/>
        </w:tblBorders>
        <w:tblLayout w:type="fixed"/>
        <w:tblLook w:val="0600" w:firstRow="0" w:lastRow="0" w:firstColumn="0" w:lastColumn="0" w:noHBand="1" w:noVBand="1"/>
      </w:tblPr>
      <w:tblGrid>
        <w:gridCol w:w="3521"/>
        <w:gridCol w:w="2680"/>
        <w:gridCol w:w="2824"/>
      </w:tblGrid>
      <w:tr w:rsidR="00A759F7" w14:paraId="733B5730" w14:textId="77777777">
        <w:trPr>
          <w:trHeight w:val="740"/>
        </w:trPr>
        <w:tc>
          <w:tcPr>
            <w:tcW w:w="3520"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37B6A12F" w14:textId="77777777" w:rsidR="00A759F7" w:rsidRDefault="00D1114C">
            <w:pPr>
              <w:spacing w:before="240" w:after="160" w:line="360" w:lineRule="auto"/>
              <w:jc w:val="both"/>
              <w:rPr>
                <w:sz w:val="24"/>
                <w:szCs w:val="24"/>
              </w:rPr>
            </w:pPr>
            <w:r>
              <w:rPr>
                <w:sz w:val="24"/>
                <w:szCs w:val="24"/>
              </w:rPr>
              <w:t>Year</w:t>
            </w:r>
          </w:p>
        </w:tc>
        <w:tc>
          <w:tcPr>
            <w:tcW w:w="2680"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745259F8" w14:textId="77777777" w:rsidR="00A759F7" w:rsidRDefault="00D1114C">
            <w:pPr>
              <w:spacing w:before="240" w:after="160" w:line="360" w:lineRule="auto"/>
              <w:jc w:val="both"/>
              <w:rPr>
                <w:sz w:val="24"/>
                <w:szCs w:val="24"/>
              </w:rPr>
            </w:pPr>
            <w:r>
              <w:rPr>
                <w:sz w:val="24"/>
                <w:szCs w:val="24"/>
              </w:rPr>
              <w:t>2021</w:t>
            </w:r>
          </w:p>
        </w:tc>
        <w:tc>
          <w:tcPr>
            <w:tcW w:w="2824" w:type="dxa"/>
            <w:tcBorders>
              <w:top w:val="single" w:sz="8" w:space="0" w:color="000000"/>
              <w:left w:val="nil"/>
              <w:bottom w:val="single" w:sz="8" w:space="0" w:color="000000"/>
              <w:right w:val="single" w:sz="8" w:space="0" w:color="000000"/>
            </w:tcBorders>
            <w:shd w:val="clear" w:color="auto" w:fill="DEEAF6"/>
            <w:tcMar>
              <w:top w:w="100" w:type="dxa"/>
              <w:left w:w="100" w:type="dxa"/>
              <w:bottom w:w="100" w:type="dxa"/>
              <w:right w:w="100" w:type="dxa"/>
            </w:tcMar>
          </w:tcPr>
          <w:p w14:paraId="16526D64" w14:textId="77777777" w:rsidR="00A759F7" w:rsidRDefault="00D1114C">
            <w:pPr>
              <w:spacing w:before="240" w:after="160" w:line="360" w:lineRule="auto"/>
              <w:jc w:val="both"/>
              <w:rPr>
                <w:sz w:val="24"/>
                <w:szCs w:val="24"/>
              </w:rPr>
            </w:pPr>
            <w:r>
              <w:rPr>
                <w:sz w:val="24"/>
                <w:szCs w:val="24"/>
              </w:rPr>
              <w:t>2020</w:t>
            </w:r>
          </w:p>
        </w:tc>
      </w:tr>
      <w:tr w:rsidR="00A759F7" w14:paraId="33F3FB82" w14:textId="77777777">
        <w:trPr>
          <w:trHeight w:val="935"/>
        </w:trPr>
        <w:tc>
          <w:tcPr>
            <w:tcW w:w="3520" w:type="dxa"/>
            <w:tcBorders>
              <w:top w:val="nil"/>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tcPr>
          <w:p w14:paraId="468CBFAD" w14:textId="77777777" w:rsidR="00A759F7" w:rsidRDefault="00D1114C">
            <w:pPr>
              <w:spacing w:before="240" w:line="360" w:lineRule="auto"/>
              <w:jc w:val="both"/>
              <w:rPr>
                <w:sz w:val="24"/>
                <w:szCs w:val="24"/>
              </w:rPr>
            </w:pPr>
            <w:r>
              <w:rPr>
                <w:sz w:val="24"/>
                <w:szCs w:val="24"/>
              </w:rPr>
              <w:t>Formula=Long term Debt/ Shareholder’s Equity</w:t>
            </w:r>
          </w:p>
        </w:tc>
        <w:tc>
          <w:tcPr>
            <w:tcW w:w="2680"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20A237C7" w14:textId="77777777" w:rsidR="00A759F7" w:rsidRDefault="00D1114C">
            <w:pPr>
              <w:spacing w:before="240" w:line="360" w:lineRule="auto"/>
              <w:jc w:val="both"/>
              <w:rPr>
                <w:sz w:val="24"/>
                <w:szCs w:val="24"/>
              </w:rPr>
            </w:pPr>
            <w:r>
              <w:rPr>
                <w:sz w:val="24"/>
                <w:szCs w:val="24"/>
              </w:rPr>
              <w:t>$24.14B/$1.41B</w:t>
            </w:r>
          </w:p>
        </w:tc>
        <w:tc>
          <w:tcPr>
            <w:tcW w:w="2824" w:type="dxa"/>
            <w:tcBorders>
              <w:top w:val="nil"/>
              <w:left w:val="nil"/>
              <w:bottom w:val="single" w:sz="8" w:space="0" w:color="000000"/>
              <w:right w:val="single" w:sz="8" w:space="0" w:color="000000"/>
            </w:tcBorders>
            <w:shd w:val="clear" w:color="auto" w:fill="DEEAF6"/>
            <w:tcMar>
              <w:top w:w="100" w:type="dxa"/>
              <w:left w:w="100" w:type="dxa"/>
              <w:bottom w:w="100" w:type="dxa"/>
              <w:right w:w="100" w:type="dxa"/>
            </w:tcMar>
          </w:tcPr>
          <w:p w14:paraId="0A427E4D" w14:textId="77777777" w:rsidR="00A759F7" w:rsidRDefault="00D1114C">
            <w:pPr>
              <w:spacing w:before="240" w:line="360" w:lineRule="auto"/>
              <w:jc w:val="both"/>
              <w:rPr>
                <w:sz w:val="24"/>
                <w:szCs w:val="24"/>
              </w:rPr>
            </w:pPr>
            <w:r>
              <w:rPr>
                <w:sz w:val="24"/>
                <w:szCs w:val="24"/>
              </w:rPr>
              <w:t>$24.27B/$0.43B</w:t>
            </w:r>
          </w:p>
        </w:tc>
      </w:tr>
      <w:tr w:rsidR="00A759F7" w14:paraId="6935379E" w14:textId="77777777">
        <w:trPr>
          <w:trHeight w:val="740"/>
        </w:trPr>
        <w:tc>
          <w:tcPr>
            <w:tcW w:w="352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2047229" w14:textId="77777777" w:rsidR="00A759F7" w:rsidRDefault="00D1114C">
            <w:pPr>
              <w:spacing w:before="240" w:after="160" w:line="360" w:lineRule="auto"/>
              <w:jc w:val="both"/>
              <w:rPr>
                <w:b/>
                <w:sz w:val="24"/>
                <w:szCs w:val="24"/>
              </w:rPr>
            </w:pPr>
            <w:r>
              <w:rPr>
                <w:b/>
                <w:sz w:val="24"/>
                <w:szCs w:val="24"/>
              </w:rPr>
              <w:t>Ratio</w:t>
            </w:r>
          </w:p>
        </w:tc>
        <w:tc>
          <w:tcPr>
            <w:tcW w:w="2680" w:type="dxa"/>
            <w:tcBorders>
              <w:top w:val="nil"/>
              <w:left w:val="nil"/>
              <w:bottom w:val="single" w:sz="8" w:space="0" w:color="000000"/>
              <w:right w:val="single" w:sz="8" w:space="0" w:color="000000"/>
            </w:tcBorders>
            <w:tcMar>
              <w:top w:w="100" w:type="dxa"/>
              <w:left w:w="100" w:type="dxa"/>
              <w:bottom w:w="100" w:type="dxa"/>
              <w:right w:w="100" w:type="dxa"/>
            </w:tcMar>
          </w:tcPr>
          <w:p w14:paraId="6F9C50C1" w14:textId="77777777" w:rsidR="00A759F7" w:rsidRDefault="00D1114C">
            <w:pPr>
              <w:spacing w:before="240" w:after="160" w:line="360" w:lineRule="auto"/>
              <w:jc w:val="both"/>
              <w:rPr>
                <w:sz w:val="24"/>
                <w:szCs w:val="24"/>
              </w:rPr>
            </w:pPr>
            <w:r>
              <w:rPr>
                <w:sz w:val="24"/>
                <w:szCs w:val="24"/>
              </w:rPr>
              <w:t>17.07</w:t>
            </w:r>
          </w:p>
        </w:tc>
        <w:tc>
          <w:tcPr>
            <w:tcW w:w="2824" w:type="dxa"/>
            <w:tcBorders>
              <w:top w:val="nil"/>
              <w:left w:val="nil"/>
              <w:bottom w:val="single" w:sz="8" w:space="0" w:color="000000"/>
              <w:right w:val="single" w:sz="8" w:space="0" w:color="000000"/>
            </w:tcBorders>
            <w:tcMar>
              <w:top w:w="100" w:type="dxa"/>
              <w:left w:w="100" w:type="dxa"/>
              <w:bottom w:w="100" w:type="dxa"/>
              <w:right w:w="100" w:type="dxa"/>
            </w:tcMar>
          </w:tcPr>
          <w:p w14:paraId="5AD2EF5A" w14:textId="77777777" w:rsidR="00A759F7" w:rsidRDefault="00D1114C">
            <w:pPr>
              <w:spacing w:before="240" w:after="160" w:line="360" w:lineRule="auto"/>
              <w:jc w:val="both"/>
              <w:rPr>
                <w:sz w:val="24"/>
                <w:szCs w:val="24"/>
              </w:rPr>
            </w:pPr>
            <w:r>
              <w:rPr>
                <w:sz w:val="24"/>
                <w:szCs w:val="24"/>
              </w:rPr>
              <w:t>56.44</w:t>
            </w:r>
          </w:p>
        </w:tc>
      </w:tr>
    </w:tbl>
    <w:p w14:paraId="39A3A621" w14:textId="77777777" w:rsidR="00A759F7" w:rsidRDefault="00D1114C">
      <w:pPr>
        <w:spacing w:before="240" w:after="240" w:line="360" w:lineRule="auto"/>
        <w:jc w:val="both"/>
        <w:rPr>
          <w:sz w:val="24"/>
          <w:szCs w:val="24"/>
        </w:rPr>
      </w:pPr>
      <w:r>
        <w:rPr>
          <w:noProof/>
          <w:sz w:val="24"/>
          <w:szCs w:val="24"/>
        </w:rPr>
        <w:drawing>
          <wp:inline distT="114300" distB="114300" distL="114300" distR="114300" wp14:anchorId="3FA37150" wp14:editId="7C3ED86F">
            <wp:extent cx="5731200" cy="45974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5731200" cy="4597400"/>
                    </a:xfrm>
                    <a:prstGeom prst="rect">
                      <a:avLst/>
                    </a:prstGeom>
                    <a:ln/>
                  </pic:spPr>
                </pic:pic>
              </a:graphicData>
            </a:graphic>
          </wp:inline>
        </w:drawing>
      </w:r>
      <w:r>
        <w:rPr>
          <w:sz w:val="24"/>
          <w:szCs w:val="24"/>
        </w:rPr>
        <w:t xml:space="preserve">                                    </w:t>
      </w:r>
    </w:p>
    <w:p w14:paraId="562911E2" w14:textId="77777777" w:rsidR="00A759F7" w:rsidRDefault="00D1114C">
      <w:pPr>
        <w:spacing w:before="240" w:after="240" w:line="360" w:lineRule="auto"/>
        <w:ind w:left="2160" w:firstLine="720"/>
        <w:jc w:val="both"/>
        <w:rPr>
          <w:sz w:val="24"/>
          <w:szCs w:val="24"/>
        </w:rPr>
      </w:pPr>
      <w:r>
        <w:rPr>
          <w:sz w:val="24"/>
          <w:szCs w:val="24"/>
        </w:rPr>
        <w:t>Figure 10: Debt/Equity Ratio</w:t>
      </w:r>
    </w:p>
    <w:p w14:paraId="009FF966" w14:textId="77777777" w:rsidR="00A759F7" w:rsidRDefault="00D1114C">
      <w:pPr>
        <w:spacing w:before="240" w:after="240" w:line="360" w:lineRule="auto"/>
        <w:jc w:val="both"/>
        <w:rPr>
          <w:sz w:val="24"/>
          <w:szCs w:val="24"/>
        </w:rPr>
      </w:pPr>
      <w:r>
        <w:rPr>
          <w:sz w:val="24"/>
          <w:szCs w:val="24"/>
        </w:rPr>
        <w:lastRenderedPageBreak/>
        <w:t>The company’s debt to equity ratio was the highest during the dip period in March of 2020. After the June of 2020, it saw improvement in this area and it ended the year 2021 on a high note with a 17.07 ratio.</w:t>
      </w:r>
    </w:p>
    <w:p w14:paraId="142F7FEB" w14:textId="77777777" w:rsidR="003C7394" w:rsidRDefault="00D1114C">
      <w:pPr>
        <w:spacing w:before="240" w:after="240" w:line="360" w:lineRule="auto"/>
        <w:jc w:val="both"/>
        <w:rPr>
          <w:sz w:val="24"/>
          <w:szCs w:val="24"/>
        </w:rPr>
      </w:pPr>
      <w:r>
        <w:rPr>
          <w:sz w:val="24"/>
          <w:szCs w:val="24"/>
        </w:rPr>
        <w:t xml:space="preserve"> </w:t>
      </w:r>
    </w:p>
    <w:p w14:paraId="7D4B273F" w14:textId="77777777" w:rsidR="003C7394" w:rsidRDefault="003C7394">
      <w:pPr>
        <w:rPr>
          <w:sz w:val="24"/>
          <w:szCs w:val="24"/>
        </w:rPr>
      </w:pPr>
      <w:r>
        <w:rPr>
          <w:sz w:val="24"/>
          <w:szCs w:val="24"/>
        </w:rPr>
        <w:br w:type="page"/>
      </w:r>
    </w:p>
    <w:p w14:paraId="472D8F2A" w14:textId="77777777" w:rsidR="00A759F7" w:rsidRDefault="00D1114C">
      <w:pPr>
        <w:spacing w:before="240" w:after="240" w:line="360" w:lineRule="auto"/>
        <w:jc w:val="both"/>
        <w:rPr>
          <w:b/>
          <w:sz w:val="24"/>
          <w:szCs w:val="24"/>
        </w:rPr>
      </w:pPr>
      <w:r>
        <w:rPr>
          <w:b/>
          <w:sz w:val="24"/>
          <w:szCs w:val="24"/>
        </w:rPr>
        <w:lastRenderedPageBreak/>
        <w:t>Knowledge from Ratio Analysis</w:t>
      </w:r>
    </w:p>
    <w:p w14:paraId="39DA1673" w14:textId="77777777" w:rsidR="00A759F7" w:rsidRDefault="00D1114C">
      <w:pPr>
        <w:spacing w:before="240" w:after="240" w:line="360" w:lineRule="auto"/>
        <w:jc w:val="both"/>
        <w:rPr>
          <w:sz w:val="24"/>
          <w:szCs w:val="24"/>
        </w:rPr>
      </w:pPr>
      <w:r>
        <w:rPr>
          <w:sz w:val="24"/>
          <w:szCs w:val="24"/>
        </w:rPr>
        <w:t>From the above ratio analysis reports of Marriott International Inc, it is evident that the company saw a downward motion in all of its financial reports. It was due to the policies during the pandemic that halted its business progress quite a lot. In 2020, the company struggled to make a profit and went into a high debt-to-equity ratio. It had to keep its operations up while not making enough sales. However, since the start of 2021, the company is back in form with a good number of sales and more ROI, ROA, and ROE. (Kim, 2018)</w:t>
      </w:r>
    </w:p>
    <w:p w14:paraId="7E9C0B98" w14:textId="77777777" w:rsidR="00A759F7" w:rsidRDefault="00A759F7">
      <w:pPr>
        <w:spacing w:before="240" w:after="240" w:line="360" w:lineRule="auto"/>
        <w:jc w:val="both"/>
        <w:rPr>
          <w:sz w:val="24"/>
          <w:szCs w:val="24"/>
        </w:rPr>
      </w:pPr>
    </w:p>
    <w:p w14:paraId="4375D3E9" w14:textId="77777777" w:rsidR="00A759F7" w:rsidRDefault="00D1114C">
      <w:pPr>
        <w:spacing w:before="240" w:after="240" w:line="360" w:lineRule="auto"/>
        <w:jc w:val="both"/>
        <w:rPr>
          <w:sz w:val="24"/>
          <w:szCs w:val="24"/>
        </w:rPr>
      </w:pPr>
      <w:r>
        <w:rPr>
          <w:sz w:val="24"/>
          <w:szCs w:val="24"/>
        </w:rPr>
        <w:t>It is also true that the ratio analysis doesn’t show the whole scenario of everything that caused the downturn in performance. It is an essential tool, but it is not a perfect tool. If the analysts of any company keep these fluctuations in mind, it will help them make better decisions. The minute changes in the company’s financial reports are detected in the ratio analysis which is important in making necessary changes</w:t>
      </w:r>
    </w:p>
    <w:p w14:paraId="1A4F57B5" w14:textId="77777777" w:rsidR="003C7394" w:rsidRDefault="003C7394">
      <w:pPr>
        <w:rPr>
          <w:b/>
          <w:sz w:val="24"/>
          <w:szCs w:val="24"/>
        </w:rPr>
      </w:pPr>
      <w:r>
        <w:rPr>
          <w:b/>
          <w:sz w:val="24"/>
          <w:szCs w:val="24"/>
        </w:rPr>
        <w:br w:type="page"/>
      </w:r>
    </w:p>
    <w:p w14:paraId="70E467DC" w14:textId="77777777" w:rsidR="00A759F7" w:rsidRDefault="00D1114C">
      <w:pPr>
        <w:spacing w:before="240" w:after="240" w:line="360" w:lineRule="auto"/>
        <w:jc w:val="both"/>
        <w:rPr>
          <w:b/>
          <w:sz w:val="24"/>
          <w:szCs w:val="24"/>
        </w:rPr>
      </w:pPr>
      <w:r>
        <w:rPr>
          <w:b/>
          <w:sz w:val="24"/>
          <w:szCs w:val="24"/>
        </w:rPr>
        <w:lastRenderedPageBreak/>
        <w:t>Benefits and Limitations of Ratio Analysis</w:t>
      </w:r>
    </w:p>
    <w:p w14:paraId="05714A1A" w14:textId="77777777" w:rsidR="00A759F7" w:rsidRDefault="00D1114C">
      <w:pPr>
        <w:spacing w:line="360" w:lineRule="auto"/>
        <w:jc w:val="both"/>
        <w:rPr>
          <w:color w:val="0E101A"/>
          <w:sz w:val="24"/>
          <w:szCs w:val="24"/>
        </w:rPr>
      </w:pPr>
      <w:r>
        <w:rPr>
          <w:color w:val="0E101A"/>
          <w:sz w:val="24"/>
          <w:szCs w:val="24"/>
        </w:rPr>
        <w:t>The ratio analysis method is no doubt an essential part of evaluating a company’s value and potential. It is especially significant to detect financial trends in large corporations such as Marriott International Inc. With a sound ratio analysis, it can become very easy to start making changes or improvements to the business policies. It tells the potential investors about the efficiency, profitability, and liquidity of the company. With the liquidity analysis, we can measure the company’s management condition. How it manages its assets and decreases its debt are important queries from current and potential shareholders.</w:t>
      </w:r>
    </w:p>
    <w:p w14:paraId="66347F91" w14:textId="77777777" w:rsidR="00A759F7" w:rsidRDefault="00D1114C">
      <w:pPr>
        <w:spacing w:line="360" w:lineRule="auto"/>
        <w:jc w:val="both"/>
        <w:rPr>
          <w:color w:val="0E101A"/>
          <w:sz w:val="24"/>
          <w:szCs w:val="24"/>
        </w:rPr>
      </w:pPr>
      <w:r>
        <w:rPr>
          <w:color w:val="0E101A"/>
          <w:sz w:val="24"/>
          <w:szCs w:val="24"/>
        </w:rPr>
        <w:t>With that said, ratio analysis has its flaws and is limited in terms of observational power. It depends on the one that’s using it. So, it is good to use the method while keeping reservations about it. (</w:t>
      </w:r>
      <w:proofErr w:type="spellStart"/>
      <w:r>
        <w:rPr>
          <w:color w:val="0E101A"/>
          <w:sz w:val="24"/>
          <w:szCs w:val="24"/>
        </w:rPr>
        <w:t>Valaskova</w:t>
      </w:r>
      <w:proofErr w:type="spellEnd"/>
      <w:r>
        <w:rPr>
          <w:color w:val="0E101A"/>
          <w:sz w:val="24"/>
          <w:szCs w:val="24"/>
        </w:rPr>
        <w:t xml:space="preserve"> et Al., 2018). Large industries and markets are a place of competition. A successful company rests its success on everyone related or unrelated to it. The economic, social, environmental, and cultural aspects can easily influence the company’s decisions. Ratio analysis is an easy and concise way of knowing the company’s current condition and it can also help us get some projected scores as well. However, simple data and results based on those data aren’t enough. If you want to understand a company’s business trends, it is important that you understand the reason behind the business policies. It is influenced by the state, the economy, and the social condition. Understanding the social and </w:t>
      </w:r>
      <w:proofErr w:type="spellStart"/>
      <w:r>
        <w:rPr>
          <w:color w:val="0E101A"/>
          <w:sz w:val="24"/>
          <w:szCs w:val="24"/>
        </w:rPr>
        <w:t>economical</w:t>
      </w:r>
      <w:proofErr w:type="spellEnd"/>
      <w:r>
        <w:rPr>
          <w:color w:val="0E101A"/>
          <w:sz w:val="24"/>
          <w:szCs w:val="24"/>
        </w:rPr>
        <w:t xml:space="preserve"> implications and circumstances can help us understand and use the ratio analysis method. The analysts are obligated to look for non-financial reasons and implications of the company’s business trends. Knowing the company’s prospects, it is unwise to apply the analysis at an inappropriate time. Following the ratio analysis blindly will certainly push the company into error and result in less profit. One other important factor is the bookkeeping style. Since many different corporations and entities use different bookkeeping styles, it is vital to know about the. It is helpful if the analysts use different approaches to understand the financial statements. Only then, it will be possible for the ratio analysis to come to an accurate ending.</w:t>
      </w:r>
    </w:p>
    <w:p w14:paraId="070EB964" w14:textId="77777777" w:rsidR="00A759F7" w:rsidRDefault="00A759F7">
      <w:pPr>
        <w:spacing w:line="360" w:lineRule="auto"/>
        <w:jc w:val="both"/>
        <w:rPr>
          <w:color w:val="0E101A"/>
          <w:sz w:val="24"/>
          <w:szCs w:val="24"/>
        </w:rPr>
      </w:pPr>
    </w:p>
    <w:p w14:paraId="5AEAF164" w14:textId="77777777" w:rsidR="003C7394" w:rsidRDefault="003C7394">
      <w:pPr>
        <w:rPr>
          <w:b/>
          <w:color w:val="0E101A"/>
          <w:sz w:val="30"/>
          <w:szCs w:val="30"/>
        </w:rPr>
      </w:pPr>
      <w:bookmarkStart w:id="10" w:name="_op54sly1qvev" w:colFirst="0" w:colLast="0"/>
      <w:bookmarkEnd w:id="10"/>
      <w:r>
        <w:rPr>
          <w:b/>
          <w:color w:val="0E101A"/>
          <w:sz w:val="30"/>
          <w:szCs w:val="30"/>
        </w:rPr>
        <w:br w:type="page"/>
      </w:r>
    </w:p>
    <w:p w14:paraId="023B6EC9" w14:textId="77777777" w:rsidR="00A759F7" w:rsidRDefault="00D1114C">
      <w:pPr>
        <w:pStyle w:val="Heading1"/>
        <w:keepNext w:val="0"/>
        <w:keepLines w:val="0"/>
        <w:spacing w:before="0" w:after="0" w:line="360" w:lineRule="auto"/>
        <w:jc w:val="both"/>
        <w:rPr>
          <w:b/>
          <w:color w:val="0E101A"/>
          <w:sz w:val="30"/>
          <w:szCs w:val="30"/>
        </w:rPr>
      </w:pPr>
      <w:r>
        <w:rPr>
          <w:b/>
          <w:color w:val="0E101A"/>
          <w:sz w:val="30"/>
          <w:szCs w:val="30"/>
        </w:rPr>
        <w:lastRenderedPageBreak/>
        <w:t>Conclusion</w:t>
      </w:r>
    </w:p>
    <w:p w14:paraId="3D15C63F" w14:textId="77777777" w:rsidR="00A759F7" w:rsidRDefault="00D1114C">
      <w:pPr>
        <w:spacing w:line="360" w:lineRule="auto"/>
        <w:jc w:val="both"/>
        <w:rPr>
          <w:color w:val="0E101A"/>
          <w:sz w:val="24"/>
          <w:szCs w:val="24"/>
        </w:rPr>
      </w:pPr>
      <w:r>
        <w:rPr>
          <w:color w:val="0E101A"/>
          <w:sz w:val="24"/>
          <w:szCs w:val="24"/>
        </w:rPr>
        <w:t>Marriott International Inc. has seen some ups and downs in its financial report in the years 2020 and 2021. The good news is that the hotel managed to change its downward curve to an upward curve in all of its financial trends. The ratio analysis shows us that it has better profitability, liquidity, and gearing ratios compared to 2020. It has better ROI, ROA, and ROE which tells us that the investors and shareholders are making profits. It has also increased current and receivable turnover ratios which means the company is in a good position to handle its short-term debts. On the other hand, it has a good debt-to-equity ratio that is better for paying its long-term debts. All of these have been possible due to making more sales after the lifting of covid restrictions and better asset management. With high profitability and good efficiency, the company has a good investment profile to attract more investors. It shows us that even with its limitations, ratio analysis can do so much to gauge the competency of a company and its management.</w:t>
      </w:r>
    </w:p>
    <w:p w14:paraId="076345B2" w14:textId="77777777" w:rsidR="00A759F7" w:rsidRDefault="00A759F7">
      <w:pPr>
        <w:spacing w:before="240" w:after="240" w:line="360" w:lineRule="auto"/>
        <w:jc w:val="both"/>
        <w:rPr>
          <w:sz w:val="24"/>
          <w:szCs w:val="24"/>
        </w:rPr>
      </w:pPr>
    </w:p>
    <w:p w14:paraId="067569E0" w14:textId="77777777" w:rsidR="00A759F7" w:rsidRDefault="00A759F7">
      <w:pPr>
        <w:spacing w:before="240" w:after="240" w:line="360" w:lineRule="auto"/>
        <w:jc w:val="both"/>
        <w:rPr>
          <w:sz w:val="24"/>
          <w:szCs w:val="24"/>
        </w:rPr>
      </w:pPr>
    </w:p>
    <w:p w14:paraId="616B704B" w14:textId="77777777" w:rsidR="00A759F7" w:rsidRDefault="00A759F7">
      <w:pPr>
        <w:spacing w:before="240" w:after="240" w:line="360" w:lineRule="auto"/>
        <w:jc w:val="both"/>
        <w:rPr>
          <w:sz w:val="24"/>
          <w:szCs w:val="24"/>
        </w:rPr>
      </w:pPr>
    </w:p>
    <w:p w14:paraId="71BFD6BE" w14:textId="77777777" w:rsidR="00A759F7" w:rsidRDefault="00A759F7">
      <w:pPr>
        <w:spacing w:before="240" w:after="240" w:line="360" w:lineRule="auto"/>
        <w:jc w:val="both"/>
        <w:rPr>
          <w:sz w:val="24"/>
          <w:szCs w:val="24"/>
        </w:rPr>
      </w:pPr>
    </w:p>
    <w:p w14:paraId="679E2DA2" w14:textId="77777777" w:rsidR="00A759F7" w:rsidRDefault="00A759F7">
      <w:pPr>
        <w:spacing w:before="240" w:after="240" w:line="360" w:lineRule="auto"/>
        <w:jc w:val="both"/>
        <w:rPr>
          <w:sz w:val="24"/>
          <w:szCs w:val="24"/>
        </w:rPr>
      </w:pPr>
    </w:p>
    <w:p w14:paraId="3A498E5F" w14:textId="77777777" w:rsidR="00A759F7" w:rsidRDefault="00D1114C">
      <w:pPr>
        <w:spacing w:before="240" w:after="240" w:line="360" w:lineRule="auto"/>
        <w:jc w:val="both"/>
        <w:rPr>
          <w:sz w:val="24"/>
          <w:szCs w:val="24"/>
        </w:rPr>
      </w:pPr>
      <w:r>
        <w:rPr>
          <w:sz w:val="24"/>
          <w:szCs w:val="24"/>
        </w:rPr>
        <w:t xml:space="preserve"> </w:t>
      </w:r>
    </w:p>
    <w:p w14:paraId="32E7A948" w14:textId="77777777" w:rsidR="00A759F7" w:rsidRDefault="00D1114C">
      <w:pPr>
        <w:spacing w:before="240" w:after="240" w:line="360" w:lineRule="auto"/>
        <w:jc w:val="both"/>
        <w:rPr>
          <w:sz w:val="24"/>
          <w:szCs w:val="24"/>
        </w:rPr>
      </w:pPr>
      <w:r>
        <w:rPr>
          <w:sz w:val="24"/>
          <w:szCs w:val="24"/>
        </w:rPr>
        <w:t xml:space="preserve"> </w:t>
      </w:r>
    </w:p>
    <w:p w14:paraId="7C55EFAB" w14:textId="77777777" w:rsidR="00A759F7" w:rsidRDefault="00A759F7">
      <w:pPr>
        <w:spacing w:before="240" w:after="240" w:line="360" w:lineRule="auto"/>
        <w:jc w:val="both"/>
        <w:rPr>
          <w:sz w:val="24"/>
          <w:szCs w:val="24"/>
        </w:rPr>
      </w:pPr>
    </w:p>
    <w:p w14:paraId="07D85C06" w14:textId="77777777" w:rsidR="003C7394" w:rsidRDefault="003C7394">
      <w:pPr>
        <w:rPr>
          <w:b/>
          <w:sz w:val="24"/>
          <w:szCs w:val="24"/>
        </w:rPr>
      </w:pPr>
      <w:r>
        <w:rPr>
          <w:b/>
          <w:sz w:val="24"/>
          <w:szCs w:val="24"/>
        </w:rPr>
        <w:br w:type="page"/>
      </w:r>
    </w:p>
    <w:p w14:paraId="124F110C" w14:textId="77777777" w:rsidR="00A759F7" w:rsidRDefault="00D1114C">
      <w:pPr>
        <w:spacing w:before="240" w:after="240" w:line="360" w:lineRule="auto"/>
        <w:jc w:val="both"/>
        <w:rPr>
          <w:b/>
          <w:sz w:val="24"/>
          <w:szCs w:val="24"/>
        </w:rPr>
      </w:pPr>
      <w:r>
        <w:rPr>
          <w:b/>
          <w:sz w:val="24"/>
          <w:szCs w:val="24"/>
        </w:rPr>
        <w:lastRenderedPageBreak/>
        <w:t>Bibliography</w:t>
      </w:r>
    </w:p>
    <w:p w14:paraId="7E4DBC0B" w14:textId="77777777" w:rsidR="00D1114C"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Marriott. (2019). About Marriott International | Corporate Informati</w:t>
      </w:r>
      <w:r>
        <w:rPr>
          <w:sz w:val="24"/>
          <w:szCs w:val="24"/>
        </w:rPr>
        <w:t>on. Retrieved from Marriott.com</w:t>
      </w:r>
    </w:p>
    <w:p w14:paraId="0733E52A" w14:textId="77777777" w:rsidR="00A759F7"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 xml:space="preserve">Titman, S., Martin, T., Keown, A. J., &amp; Martin, J. D. (2018). Financial </w:t>
      </w:r>
      <w:proofErr w:type="gramStart"/>
      <w:r w:rsidRPr="00D1114C">
        <w:rPr>
          <w:sz w:val="24"/>
          <w:szCs w:val="24"/>
        </w:rPr>
        <w:t>management :</w:t>
      </w:r>
      <w:proofErr w:type="gramEnd"/>
      <w:r w:rsidRPr="00D1114C">
        <w:rPr>
          <w:sz w:val="24"/>
          <w:szCs w:val="24"/>
        </w:rPr>
        <w:t xml:space="preserve"> principles and applications. Melbourne, Vic: Pearson Australia.</w:t>
      </w:r>
    </w:p>
    <w:p w14:paraId="6CEB36C6" w14:textId="77777777" w:rsidR="00A759F7"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 xml:space="preserve">Berk, J., &amp; </w:t>
      </w:r>
      <w:proofErr w:type="spellStart"/>
      <w:r w:rsidRPr="00D1114C">
        <w:rPr>
          <w:sz w:val="24"/>
          <w:szCs w:val="24"/>
        </w:rPr>
        <w:t>Demarzo</w:t>
      </w:r>
      <w:proofErr w:type="spellEnd"/>
      <w:r w:rsidRPr="00D1114C">
        <w:rPr>
          <w:sz w:val="24"/>
          <w:szCs w:val="24"/>
        </w:rPr>
        <w:t>, P. (2020). Corporate finance (5th ed.). Harlow: Pearson Education Limited.</w:t>
      </w:r>
    </w:p>
    <w:p w14:paraId="16A144D1" w14:textId="77777777" w:rsidR="00A759F7" w:rsidRPr="00D1114C" w:rsidRDefault="00D1114C" w:rsidP="00D1114C">
      <w:pPr>
        <w:pStyle w:val="ListParagraph"/>
        <w:numPr>
          <w:ilvl w:val="0"/>
          <w:numId w:val="1"/>
        </w:numPr>
        <w:spacing w:before="240" w:after="240" w:line="360" w:lineRule="auto"/>
        <w:jc w:val="both"/>
        <w:rPr>
          <w:color w:val="1155CC"/>
          <w:sz w:val="24"/>
          <w:szCs w:val="24"/>
          <w:u w:val="single"/>
        </w:rPr>
      </w:pPr>
      <w:r w:rsidRPr="00D1114C">
        <w:rPr>
          <w:sz w:val="24"/>
          <w:szCs w:val="24"/>
        </w:rPr>
        <w:t>Vaidya, D. (2019, August 12). Return on Capital Employed (ROCE) | Top Examples | Formula. Retrieved from Wallstreetmojo.com website:</w:t>
      </w:r>
      <w:hyperlink r:id="rId16">
        <w:r w:rsidRPr="00D1114C">
          <w:rPr>
            <w:sz w:val="24"/>
            <w:szCs w:val="24"/>
          </w:rPr>
          <w:t xml:space="preserve"> </w:t>
        </w:r>
      </w:hyperlink>
      <w:hyperlink r:id="rId17">
        <w:r w:rsidRPr="00D1114C">
          <w:rPr>
            <w:color w:val="1155CC"/>
            <w:sz w:val="24"/>
            <w:szCs w:val="24"/>
            <w:u w:val="single"/>
          </w:rPr>
          <w:t>https://www.wallstreetmojo.com/return-on-capital-employed-roce/</w:t>
        </w:r>
      </w:hyperlink>
    </w:p>
    <w:p w14:paraId="43D9B535" w14:textId="77777777" w:rsidR="00A759F7"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Vaidya, D. (2019). Dheeraj Vaidya. [online] Learn Investment Banking: Financial Modeling Training Courses Online. Available at:</w:t>
      </w:r>
      <w:hyperlink r:id="rId18">
        <w:r w:rsidRPr="00D1114C">
          <w:rPr>
            <w:sz w:val="24"/>
            <w:szCs w:val="24"/>
          </w:rPr>
          <w:t xml:space="preserve"> </w:t>
        </w:r>
      </w:hyperlink>
      <w:hyperlink r:id="rId19">
        <w:r w:rsidRPr="00D1114C">
          <w:rPr>
            <w:color w:val="1155CC"/>
            <w:sz w:val="24"/>
            <w:szCs w:val="24"/>
            <w:u w:val="single"/>
          </w:rPr>
          <w:t>https://www.wallstreetmojo.com/ratio-analysis/</w:t>
        </w:r>
      </w:hyperlink>
      <w:r w:rsidRPr="00D1114C">
        <w:rPr>
          <w:sz w:val="24"/>
          <w:szCs w:val="24"/>
        </w:rPr>
        <w:t>.</w:t>
      </w:r>
    </w:p>
    <w:p w14:paraId="12097D56" w14:textId="77777777" w:rsidR="00A759F7"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Brigham, E. F., &amp; Houston, J. F. (2012). Fundamentals of financial management: study guide. Mason, Ohio: South-Western Cengage Learning.</w:t>
      </w:r>
    </w:p>
    <w:p w14:paraId="1119FFDF" w14:textId="77777777" w:rsidR="00A759F7"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Al-</w:t>
      </w:r>
      <w:proofErr w:type="spellStart"/>
      <w:r w:rsidRPr="00D1114C">
        <w:rPr>
          <w:sz w:val="24"/>
          <w:szCs w:val="24"/>
        </w:rPr>
        <w:t>Wattar</w:t>
      </w:r>
      <w:proofErr w:type="spellEnd"/>
      <w:r w:rsidRPr="00D1114C">
        <w:rPr>
          <w:sz w:val="24"/>
          <w:szCs w:val="24"/>
        </w:rPr>
        <w:t xml:space="preserve">, Y.M.A., </w:t>
      </w:r>
      <w:proofErr w:type="spellStart"/>
      <w:r w:rsidRPr="00D1114C">
        <w:rPr>
          <w:sz w:val="24"/>
          <w:szCs w:val="24"/>
        </w:rPr>
        <w:t>Almagtome</w:t>
      </w:r>
      <w:proofErr w:type="spellEnd"/>
      <w:r w:rsidRPr="00D1114C">
        <w:rPr>
          <w:sz w:val="24"/>
          <w:szCs w:val="24"/>
        </w:rPr>
        <w:t>, A.H. and Al-</w:t>
      </w:r>
      <w:proofErr w:type="spellStart"/>
      <w:r w:rsidRPr="00D1114C">
        <w:rPr>
          <w:sz w:val="24"/>
          <w:szCs w:val="24"/>
        </w:rPr>
        <w:t>Shafeay</w:t>
      </w:r>
      <w:proofErr w:type="spellEnd"/>
      <w:r w:rsidRPr="00D1114C">
        <w:rPr>
          <w:sz w:val="24"/>
          <w:szCs w:val="24"/>
        </w:rPr>
        <w:t>, K.M. (2019). The role of integrating hotel sustainability reporting practices into an Accounting Information System to enhance Hotel Financial Performance: Evidence from Iraq. African Journal of Hospitality, Tourism and Leisure, 8(5), 1-16.</w:t>
      </w:r>
    </w:p>
    <w:p w14:paraId="2D79C742" w14:textId="77777777" w:rsidR="00A759F7"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 xml:space="preserve">Suraya, A. (2018) “The influence of accounts receivable turnover and inventory turnover on profitability at PT </w:t>
      </w:r>
      <w:proofErr w:type="spellStart"/>
      <w:r w:rsidRPr="00D1114C">
        <w:rPr>
          <w:sz w:val="24"/>
          <w:szCs w:val="24"/>
        </w:rPr>
        <w:t>Sumber</w:t>
      </w:r>
      <w:proofErr w:type="spellEnd"/>
      <w:r w:rsidRPr="00D1114C">
        <w:rPr>
          <w:sz w:val="24"/>
          <w:szCs w:val="24"/>
        </w:rPr>
        <w:t xml:space="preserve"> </w:t>
      </w:r>
      <w:proofErr w:type="spellStart"/>
      <w:r w:rsidRPr="00D1114C">
        <w:rPr>
          <w:sz w:val="24"/>
          <w:szCs w:val="24"/>
        </w:rPr>
        <w:t>Alfaria</w:t>
      </w:r>
      <w:proofErr w:type="spellEnd"/>
      <w:r w:rsidRPr="00D1114C">
        <w:rPr>
          <w:sz w:val="24"/>
          <w:szCs w:val="24"/>
        </w:rPr>
        <w:t xml:space="preserve"> </w:t>
      </w:r>
      <w:proofErr w:type="spellStart"/>
      <w:r w:rsidRPr="00D1114C">
        <w:rPr>
          <w:sz w:val="24"/>
          <w:szCs w:val="24"/>
        </w:rPr>
        <w:t>trijaya</w:t>
      </w:r>
      <w:proofErr w:type="spellEnd"/>
      <w:r w:rsidRPr="00D1114C">
        <w:rPr>
          <w:sz w:val="24"/>
          <w:szCs w:val="24"/>
        </w:rPr>
        <w:t xml:space="preserve"> </w:t>
      </w:r>
      <w:proofErr w:type="spellStart"/>
      <w:r w:rsidRPr="00D1114C">
        <w:rPr>
          <w:sz w:val="24"/>
          <w:szCs w:val="24"/>
        </w:rPr>
        <w:t>tbk</w:t>
      </w:r>
      <w:proofErr w:type="spellEnd"/>
      <w:r w:rsidRPr="00D1114C">
        <w:rPr>
          <w:sz w:val="24"/>
          <w:szCs w:val="24"/>
        </w:rPr>
        <w:t>,” PINISI Discretion Review, 2(1), p. 77.</w:t>
      </w:r>
    </w:p>
    <w:p w14:paraId="33DE0020" w14:textId="77777777" w:rsidR="00A759F7"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Robinson, T.R. (2020). International financial statement analysis. John Wiley &amp; Sons.</w:t>
      </w:r>
    </w:p>
    <w:p w14:paraId="66B79A99" w14:textId="77777777" w:rsidR="00A759F7" w:rsidRPr="00D1114C" w:rsidRDefault="00D1114C" w:rsidP="00D1114C">
      <w:pPr>
        <w:pStyle w:val="ListParagraph"/>
        <w:numPr>
          <w:ilvl w:val="0"/>
          <w:numId w:val="1"/>
        </w:numPr>
        <w:spacing w:before="240" w:after="240" w:line="360" w:lineRule="auto"/>
        <w:jc w:val="both"/>
        <w:rPr>
          <w:sz w:val="24"/>
          <w:szCs w:val="24"/>
        </w:rPr>
      </w:pPr>
      <w:proofErr w:type="spellStart"/>
      <w:r w:rsidRPr="00D1114C">
        <w:rPr>
          <w:sz w:val="24"/>
          <w:szCs w:val="24"/>
        </w:rPr>
        <w:t>Valaskova</w:t>
      </w:r>
      <w:proofErr w:type="spellEnd"/>
      <w:r w:rsidRPr="00D1114C">
        <w:rPr>
          <w:sz w:val="24"/>
          <w:szCs w:val="24"/>
        </w:rPr>
        <w:t xml:space="preserve">, K., </w:t>
      </w:r>
      <w:proofErr w:type="spellStart"/>
      <w:r w:rsidRPr="00D1114C">
        <w:rPr>
          <w:sz w:val="24"/>
          <w:szCs w:val="24"/>
        </w:rPr>
        <w:t>Kliestik</w:t>
      </w:r>
      <w:proofErr w:type="spellEnd"/>
      <w:r w:rsidRPr="00D1114C">
        <w:rPr>
          <w:sz w:val="24"/>
          <w:szCs w:val="24"/>
        </w:rPr>
        <w:t xml:space="preserve">, T. and </w:t>
      </w:r>
      <w:proofErr w:type="spellStart"/>
      <w:r w:rsidRPr="00D1114C">
        <w:rPr>
          <w:sz w:val="24"/>
          <w:szCs w:val="24"/>
        </w:rPr>
        <w:t>Kovacova</w:t>
      </w:r>
      <w:proofErr w:type="spellEnd"/>
      <w:r w:rsidRPr="00D1114C">
        <w:rPr>
          <w:sz w:val="24"/>
          <w:szCs w:val="24"/>
        </w:rPr>
        <w:t xml:space="preserve">, M. (2018). Management of financial risks in Slovak enterprises using regression analysis. </w:t>
      </w:r>
      <w:proofErr w:type="spellStart"/>
      <w:r w:rsidRPr="00D1114C">
        <w:rPr>
          <w:sz w:val="24"/>
          <w:szCs w:val="24"/>
        </w:rPr>
        <w:t>Oeconomia</w:t>
      </w:r>
      <w:proofErr w:type="spellEnd"/>
      <w:r w:rsidRPr="00D1114C">
        <w:rPr>
          <w:sz w:val="24"/>
          <w:szCs w:val="24"/>
        </w:rPr>
        <w:t xml:space="preserve"> </w:t>
      </w:r>
      <w:proofErr w:type="spellStart"/>
      <w:r w:rsidRPr="00D1114C">
        <w:rPr>
          <w:sz w:val="24"/>
          <w:szCs w:val="24"/>
        </w:rPr>
        <w:t>Copernicana</w:t>
      </w:r>
      <w:proofErr w:type="spellEnd"/>
      <w:r w:rsidRPr="00D1114C">
        <w:rPr>
          <w:sz w:val="24"/>
          <w:szCs w:val="24"/>
        </w:rPr>
        <w:t>, 9(1), 105-121.</w:t>
      </w:r>
    </w:p>
    <w:p w14:paraId="2CB2CAA8" w14:textId="77777777" w:rsidR="00A759F7"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Brigham, E. F., &amp; Ehrhardt, M. C. (2020). Financial Management: Theory &amp; Practice. Boston, MA: Cengage.</w:t>
      </w:r>
    </w:p>
    <w:p w14:paraId="62155829" w14:textId="77777777" w:rsidR="00A759F7" w:rsidRPr="00D1114C" w:rsidRDefault="00D1114C" w:rsidP="00D1114C">
      <w:pPr>
        <w:pStyle w:val="ListParagraph"/>
        <w:numPr>
          <w:ilvl w:val="0"/>
          <w:numId w:val="1"/>
        </w:numPr>
        <w:spacing w:before="240" w:after="240" w:line="360" w:lineRule="auto"/>
        <w:jc w:val="both"/>
        <w:rPr>
          <w:sz w:val="24"/>
          <w:szCs w:val="24"/>
        </w:rPr>
      </w:pPr>
      <w:r w:rsidRPr="00D1114C">
        <w:rPr>
          <w:sz w:val="24"/>
          <w:szCs w:val="24"/>
        </w:rPr>
        <w:t>Kim, S.Y. (2018). Predicting hospitality financial distress with ensemble models: the case of US hotels, restaurants, and amusement and recreation. Service Business, 12(3), 483-503.</w:t>
      </w:r>
    </w:p>
    <w:p w14:paraId="67E40185" w14:textId="77777777" w:rsidR="00D1114C" w:rsidRDefault="00D1114C" w:rsidP="00D1114C">
      <w:pPr>
        <w:pStyle w:val="ListParagraph"/>
        <w:numPr>
          <w:ilvl w:val="0"/>
          <w:numId w:val="1"/>
        </w:numPr>
        <w:spacing w:before="240" w:after="240" w:line="360" w:lineRule="auto"/>
        <w:jc w:val="both"/>
        <w:rPr>
          <w:sz w:val="24"/>
          <w:szCs w:val="24"/>
        </w:rPr>
      </w:pPr>
      <w:r w:rsidRPr="00D1114C">
        <w:rPr>
          <w:sz w:val="24"/>
          <w:szCs w:val="24"/>
        </w:rPr>
        <w:lastRenderedPageBreak/>
        <w:t>Beers, B. (2019). How Is Asset Turnover Calculat</w:t>
      </w:r>
      <w:r>
        <w:rPr>
          <w:sz w:val="24"/>
          <w:szCs w:val="24"/>
        </w:rPr>
        <w:t xml:space="preserve">ed? Retrieved from Investopedia </w:t>
      </w:r>
      <w:r w:rsidRPr="00D1114C">
        <w:rPr>
          <w:sz w:val="24"/>
          <w:szCs w:val="24"/>
        </w:rPr>
        <w:t>website:</w:t>
      </w:r>
    </w:p>
    <w:p w14:paraId="311B4959" w14:textId="77777777" w:rsidR="00D1114C" w:rsidRPr="00D1114C" w:rsidRDefault="00000000" w:rsidP="00D1114C">
      <w:pPr>
        <w:pStyle w:val="ListParagraph"/>
        <w:spacing w:before="240" w:after="240" w:line="360" w:lineRule="auto"/>
        <w:jc w:val="both"/>
        <w:rPr>
          <w:sz w:val="24"/>
          <w:szCs w:val="24"/>
        </w:rPr>
      </w:pPr>
      <w:hyperlink r:id="rId20" w:history="1">
        <w:r w:rsidR="00D1114C" w:rsidRPr="00D1114C">
          <w:rPr>
            <w:rStyle w:val="Hyperlink"/>
            <w:sz w:val="24"/>
            <w:szCs w:val="24"/>
          </w:rPr>
          <w:t>https://www.investopedia.com/ask/answers/032415/how-asset-turnover-calculated.asp</w:t>
        </w:r>
      </w:hyperlink>
    </w:p>
    <w:p w14:paraId="7ED9A2BC" w14:textId="77777777" w:rsidR="00D1114C" w:rsidRDefault="00D1114C">
      <w:pPr>
        <w:rPr>
          <w:sz w:val="24"/>
          <w:szCs w:val="24"/>
        </w:rPr>
      </w:pPr>
      <w:r>
        <w:rPr>
          <w:sz w:val="24"/>
          <w:szCs w:val="24"/>
        </w:rPr>
        <w:br w:type="page"/>
      </w:r>
    </w:p>
    <w:p w14:paraId="7E450A78" w14:textId="77777777" w:rsidR="00A759F7" w:rsidRPr="00D1114C" w:rsidRDefault="00A759F7" w:rsidP="00D1114C">
      <w:pPr>
        <w:spacing w:before="240" w:after="240" w:line="360" w:lineRule="auto"/>
        <w:jc w:val="both"/>
        <w:rPr>
          <w:sz w:val="24"/>
          <w:szCs w:val="24"/>
        </w:rPr>
      </w:pPr>
    </w:p>
    <w:p w14:paraId="39AF8751" w14:textId="77777777" w:rsidR="00A759F7" w:rsidRDefault="00D1114C">
      <w:pPr>
        <w:spacing w:before="240" w:after="240" w:line="360" w:lineRule="auto"/>
        <w:jc w:val="both"/>
        <w:rPr>
          <w:sz w:val="24"/>
          <w:szCs w:val="24"/>
        </w:rPr>
      </w:pPr>
      <w:r>
        <w:rPr>
          <w:sz w:val="24"/>
          <w:szCs w:val="24"/>
        </w:rPr>
        <w:t xml:space="preserve"> </w:t>
      </w:r>
    </w:p>
    <w:p w14:paraId="1DE713A8" w14:textId="77777777" w:rsidR="00A759F7" w:rsidRDefault="00A759F7">
      <w:pPr>
        <w:spacing w:line="360" w:lineRule="auto"/>
        <w:jc w:val="both"/>
        <w:rPr>
          <w:sz w:val="24"/>
          <w:szCs w:val="24"/>
        </w:rPr>
      </w:pPr>
    </w:p>
    <w:sectPr w:rsidR="00A759F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64994"/>
    <w:multiLevelType w:val="hybridMultilevel"/>
    <w:tmpl w:val="DE68B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4354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G0MDE1NTE1MzIxMzNR0lEKTi0uzszPAykwqgUAlIsDFiwAAAA="/>
  </w:docVars>
  <w:rsids>
    <w:rsidRoot w:val="00A759F7"/>
    <w:rsid w:val="000A58AC"/>
    <w:rsid w:val="003C7394"/>
    <w:rsid w:val="009766D0"/>
    <w:rsid w:val="00A759F7"/>
    <w:rsid w:val="00CC498D"/>
    <w:rsid w:val="00D111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ABF0C"/>
  <w15:docId w15:val="{60424050-F8DC-6D4E-8AD4-2FA1BA7A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C73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394"/>
    <w:rPr>
      <w:rFonts w:ascii="Tahoma" w:hAnsi="Tahoma" w:cs="Tahoma"/>
      <w:sz w:val="16"/>
      <w:szCs w:val="16"/>
    </w:rPr>
  </w:style>
  <w:style w:type="paragraph" w:styleId="TOCHeading">
    <w:name w:val="TOC Heading"/>
    <w:basedOn w:val="Heading1"/>
    <w:next w:val="Normal"/>
    <w:uiPriority w:val="39"/>
    <w:unhideWhenUsed/>
    <w:qFormat/>
    <w:rsid w:val="003C7394"/>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3C7394"/>
    <w:pPr>
      <w:spacing w:after="100" w:line="259" w:lineRule="auto"/>
    </w:pPr>
    <w:rPr>
      <w:rFonts w:asciiTheme="minorHAnsi" w:eastAsiaTheme="minorHAnsi" w:hAnsiTheme="minorHAnsi" w:cstheme="minorBidi"/>
      <w:lang w:val="en-GB"/>
    </w:rPr>
  </w:style>
  <w:style w:type="character" w:styleId="Hyperlink">
    <w:name w:val="Hyperlink"/>
    <w:basedOn w:val="DefaultParagraphFont"/>
    <w:uiPriority w:val="99"/>
    <w:unhideWhenUsed/>
    <w:rsid w:val="003C7394"/>
    <w:rPr>
      <w:color w:val="0000FF" w:themeColor="hyperlink"/>
      <w:u w:val="single"/>
    </w:rPr>
  </w:style>
  <w:style w:type="paragraph" w:styleId="TOC2">
    <w:name w:val="toc 2"/>
    <w:basedOn w:val="Normal"/>
    <w:next w:val="Normal"/>
    <w:autoRedefine/>
    <w:uiPriority w:val="39"/>
    <w:unhideWhenUsed/>
    <w:rsid w:val="003C7394"/>
    <w:pPr>
      <w:spacing w:after="100" w:line="259" w:lineRule="auto"/>
      <w:ind w:left="220"/>
    </w:pPr>
    <w:rPr>
      <w:rFonts w:asciiTheme="minorHAnsi" w:eastAsiaTheme="minorHAnsi" w:hAnsiTheme="minorHAnsi" w:cstheme="minorBidi"/>
      <w:lang w:val="en-GB"/>
    </w:rPr>
  </w:style>
  <w:style w:type="paragraph" w:styleId="ListParagraph">
    <w:name w:val="List Paragraph"/>
    <w:basedOn w:val="Normal"/>
    <w:uiPriority w:val="34"/>
    <w:qFormat/>
    <w:rsid w:val="00D111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wallstreetmojo.com/ratio-analysi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wallstreetmojo.com/return-on-capital-employed-roce/" TargetMode="External"/><Relationship Id="rId2" Type="http://schemas.openxmlformats.org/officeDocument/2006/relationships/styles" Target="styles.xml"/><Relationship Id="rId16" Type="http://schemas.openxmlformats.org/officeDocument/2006/relationships/hyperlink" Target="https://www.wallstreetmojo.com/return-on-capital-employed-roce/" TargetMode="External"/><Relationship Id="rId20" Type="http://schemas.openxmlformats.org/officeDocument/2006/relationships/hyperlink" Target="https://www.investopedia.com/ask/answers/032415/how-asset-turnover-calculated.asp"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www.wallstreetmojo.com/ratio-analysi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2371</Words>
  <Characters>13515</Characters>
  <Application>Microsoft Office Word</Application>
  <DocSecurity>0</DocSecurity>
  <Lines>112</Lines>
  <Paragraphs>31</Paragraphs>
  <ScaleCrop>false</ScaleCrop>
  <Company/>
  <LinksUpToDate>false</LinksUpToDate>
  <CharactersWithSpaces>15855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Shahidul Islam (2026286)</cp:lastModifiedBy>
  <cp:revision>2</cp:revision>
  <dcterms:created xsi:type="dcterms:W3CDTF">2022-12-09T14:22:00Z</dcterms:created>
  <dcterms:modified xsi:type="dcterms:W3CDTF">2022-12-09T14:22:00Z</dcterms:modified>
</cp:coreProperties>
</file>