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b w:val="1"/>
          <w:bCs w:val="1"/>
          <w:sz w:val="28"/>
          <w:szCs w:val="28"/>
        </w:rPr>
      </w:pPr>
      <w:r>
        <w:rPr>
          <w:b w:val="1"/>
          <w:bCs w:val="1"/>
          <w:sz w:val="28"/>
          <w:szCs w:val="28"/>
          <w:rtl w:val="0"/>
          <w:lang w:val="en-US"/>
        </w:rPr>
        <w:t>Module Title: Understanding Organisational Structure and Culture</w:t>
      </w:r>
    </w:p>
    <w:p>
      <w:pPr>
        <w:pStyle w:val="Body"/>
        <w:spacing w:line="480" w:lineRule="auto"/>
        <w:jc w:val="center"/>
        <w:rPr>
          <w:b w:val="1"/>
          <w:bCs w:val="1"/>
          <w:sz w:val="28"/>
          <w:szCs w:val="28"/>
        </w:rPr>
      </w:pPr>
      <w:r>
        <w:rPr>
          <w:b w:val="1"/>
          <w:bCs w:val="1"/>
          <w:sz w:val="28"/>
          <w:szCs w:val="28"/>
          <w:rtl w:val="0"/>
          <w:lang w:val="it-IT"/>
        </w:rPr>
        <w:t>Module code: LCBB4009</w:t>
      </w:r>
    </w:p>
    <w:p>
      <w:pPr>
        <w:pStyle w:val="Body"/>
        <w:spacing w:line="480" w:lineRule="auto"/>
        <w:jc w:val="center"/>
        <w:rPr>
          <w:b w:val="1"/>
          <w:bCs w:val="1"/>
        </w:rPr>
      </w:pPr>
      <w:r>
        <w:rPr>
          <w:b w:val="1"/>
          <w:bCs w:val="1"/>
          <w:rtl w:val="0"/>
          <w:lang w:val="en-US"/>
        </w:rPr>
        <w:t>Assignment Title: Component 2: Coursework: Individual report</w:t>
      </w:r>
    </w:p>
    <w:p>
      <w:pPr>
        <w:pStyle w:val="Body"/>
        <w:spacing w:line="480" w:lineRule="auto"/>
        <w:jc w:val="center"/>
        <w:rPr>
          <w:b w:val="1"/>
          <w:bCs w:val="1"/>
        </w:rPr>
      </w:pPr>
      <w:r>
        <w:rPr>
          <w:b w:val="1"/>
          <w:bCs w:val="1"/>
          <w:rtl w:val="0"/>
          <w:lang w:val="en-US"/>
        </w:rPr>
        <w:t>Student ID:</w:t>
      </w:r>
      <w:r>
        <w:rPr>
          <w:b w:val="1"/>
          <w:bCs w:val="1"/>
          <w:rtl w:val="0"/>
          <w:lang w:val="en-US"/>
        </w:rPr>
        <w:t>Baseeta Alam Naz</w:t>
      </w:r>
    </w:p>
    <w:p>
      <w:pPr>
        <w:pStyle w:val="Body"/>
        <w:spacing w:line="480" w:lineRule="auto"/>
        <w:jc w:val="center"/>
      </w:pPr>
      <w:r>
        <w:rPr>
          <w:b w:val="1"/>
          <w:bCs w:val="1"/>
          <w:rtl w:val="0"/>
        </w:rPr>
        <w:t>Student Name:</w:t>
      </w:r>
      <w:r>
        <w:rPr>
          <w:b w:val="1"/>
          <w:bCs w:val="1"/>
          <w:rtl w:val="0"/>
          <w:lang w:val="en-US"/>
        </w:rPr>
        <w:t>2532405</w:t>
      </w:r>
      <w:r>
        <w:rPr>
          <w:rFonts w:ascii="Arial Unicode MS" w:cs="Arial Unicode MS" w:hAnsi="Arial Unicode MS" w:eastAsia="Arial Unicode MS"/>
          <w:b w:val="0"/>
          <w:bCs w:val="0"/>
          <w:i w:val="0"/>
          <w:iCs w:val="0"/>
        </w:rPr>
        <w:br w:type="page"/>
      </w:r>
    </w:p>
    <w:p>
      <w:pPr>
        <w:pStyle w:val="TOC Heading"/>
        <w:spacing w:line="360" w:lineRule="auto"/>
        <w:jc w:val="center"/>
        <w:rPr>
          <w:rFonts w:ascii="Times New Roman" w:cs="Times New Roman" w:hAnsi="Times New Roman" w:eastAsia="Times New Roman"/>
          <w:b w:val="1"/>
          <w:bCs w:val="1"/>
        </w:rPr>
      </w:pPr>
      <w:r>
        <w:rPr>
          <w:rFonts w:ascii="Times New Roman" w:hAnsi="Times New Roman"/>
          <w:b w:val="1"/>
          <w:bCs w:val="1"/>
          <w:rtl w:val="0"/>
          <w:lang w:val="en-US"/>
        </w:rPr>
        <w:t>Table of Contents</w:t>
      </w:r>
    </w:p>
    <w:p>
      <w:pPr>
        <w:pStyle w:val="Body"/>
      </w:pPr>
      <w:r>
        <w:rPr>
          <w:b w:val="1"/>
          <w:bCs w:val="1"/>
        </w:rPr>
        <w:fldChar w:fldCharType="begin" w:fldLock="0"/>
      </w:r>
      <w:r>
        <w:rPr>
          <w:b w:val="1"/>
          <w:bCs w:val="1"/>
        </w:rPr>
        <w:instrText xml:space="preserve"> TOC \o 1-1 </w:instrText>
      </w:r>
      <w:r>
        <w:rPr>
          <w:b w:val="1"/>
          <w:bCs w:val="1"/>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Communication and Methods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Common Issues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Conclusion</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References</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Body"/>
      </w:pPr>
      <w:r>
        <w:rPr>
          <w:b w:val="1"/>
          <w:bCs w:val="1"/>
        </w:rPr>
        <w:fldChar w:fldCharType="end" w:fldLock="0"/>
      </w:r>
    </w:p>
    <w:p>
      <w:pPr>
        <w:pStyle w:val="Body"/>
        <w:spacing w:line="259" w:lineRule="auto"/>
        <w:jc w:val="left"/>
      </w:pPr>
      <w:r>
        <w:rPr>
          <w:rFonts w:ascii="Arial Unicode MS" w:cs="Arial Unicode MS" w:hAnsi="Arial Unicode MS" w:eastAsia="Arial Unicode MS"/>
          <w:b w:val="0"/>
          <w:bCs w:val="0"/>
          <w:i w:val="0"/>
          <w:iCs w:val="0"/>
        </w:rPr>
        <w:br w:type="page"/>
      </w:r>
    </w:p>
    <w:p>
      <w:pPr>
        <w:pStyle w:val="Heading"/>
      </w:pPr>
      <w:bookmarkStart w:name="_Toc" w:id="0"/>
      <w:r>
        <w:rPr>
          <w:rFonts w:cs="Arial Unicode MS" w:eastAsia="Arial Unicode MS"/>
          <w:rtl w:val="0"/>
          <w:lang w:val="fr-FR"/>
        </w:rPr>
        <w:t>Introduction</w:t>
      </w:r>
      <w:bookmarkEnd w:id="0"/>
    </w:p>
    <w:p>
      <w:pPr>
        <w:pStyle w:val="Body"/>
      </w:pPr>
      <w:r>
        <w:rPr>
          <w:rtl w:val="0"/>
          <w:lang w:val="en-US"/>
        </w:rPr>
        <w:t>Communication is essential in business because it helps in the exchange of information, coordination of activities, building of relationships and reaching common business goals (Beebe, Beebe and Ivy, 2022). This report examines the role of communication in the business environment, analysing the organisation of Premier Inn. The UK's biggest hotel brand, Premier Inn is owned by Whitbread plc with over 86,000 rooms in around 850 hotels, with an increasing number in Germany (Berry, 2022). This report will explore the primary forms of communication in a business context, the significance of these and the key issues that can arise within them, and how these issues can impact upon the business of Premier Inn. The report ends with practical recommendations for improving internal and external communication and providing a consistent service delivery.</w:t>
      </w:r>
    </w:p>
    <w:p>
      <w:pPr>
        <w:pStyle w:val="Heading"/>
      </w:pPr>
      <w:bookmarkStart w:name="_Toc1" w:id="1"/>
      <w:r>
        <w:rPr>
          <w:rFonts w:cs="Arial Unicode MS" w:eastAsia="Arial Unicode MS"/>
          <w:rtl w:val="0"/>
          <w:lang w:val="en-US"/>
        </w:rPr>
        <w:t>Communication and Methods</w:t>
      </w:r>
      <w:bookmarkEnd w:id="1"/>
    </w:p>
    <w:p>
      <w:pPr>
        <w:pStyle w:val="Body"/>
      </w:pPr>
      <w:r>
        <w:rPr>
          <w:rtl w:val="0"/>
          <w:lang w:val="en-US"/>
        </w:rPr>
        <w:t>Business communication is the exchange or conveyance of information, ideas, instructions, opinions and feedback between individuals or groups within an organisation to fulfil its goals. The Shannon-Weaver communication model emphasizes the sender, message, communication channel and receiver, and the fact that noise can cause distortion in the information that is sent and received. Likewise, the transactional view of communication focuses on the idea that communication is an ongoing, two-way process in which people simultaneously send, receive and interpret messages (Khadija and Omar, 2023).</w:t>
      </w:r>
    </w:p>
    <w:p>
      <w:pPr>
        <w:pStyle w:val="Body"/>
      </w:pPr>
      <w:r>
        <w:rPr>
          <w:rtl w:val="0"/>
          <w:lang w:val="en-US"/>
        </w:rPr>
        <w:t xml:space="preserve">Developing a robust communication strategy is key for Premier Inn to provide a consistent customer experience throughout a network of hotels spread across the country. All employees need to relay details of reservations, check in/check out, room availability, housekeeping, maintenance, complaints, health and safety and special guest needs. </w:t>
      </w:r>
    </w:p>
    <w:p>
      <w:pPr>
        <w:pStyle w:val="Body"/>
      </w:pPr>
      <w:r>
        <w:rPr>
          <w:rtl w:val="0"/>
          <w:lang w:val="en-US"/>
        </w:rPr>
        <w:t xml:space="preserve">Face to face communication is one of the important ways of communication. During the day to day running of the Premier Inn hotels, there should be a great deal of communication between reception staff, housekeeping, managers and the rest of the team. Face to face communications are especially helpful when information is critical, complex and/or sensitive as staff can clarify misunderstandings through questions and non-verbal communication as needed (Akilandeswari </w:t>
      </w:r>
      <w:r>
        <w:rPr>
          <w:i w:val="1"/>
          <w:iCs w:val="1"/>
          <w:rtl w:val="0"/>
          <w:lang w:val="nl-NL"/>
        </w:rPr>
        <w:t>et al.</w:t>
      </w:r>
      <w:r>
        <w:rPr>
          <w:rtl w:val="0"/>
          <w:lang w:val="en-US"/>
        </w:rPr>
        <w:t xml:space="preserve">, 2015). Team briefings are also an effective way for managers to communicate about operational priorities, customer-service expectations and changes to procedures. </w:t>
      </w:r>
    </w:p>
    <w:p>
      <w:pPr>
        <w:pStyle w:val="Body"/>
      </w:pPr>
      <w:r>
        <w:rPr>
          <w:rtl w:val="0"/>
          <w:lang w:val="en-US"/>
        </w:rPr>
        <w:t xml:space="preserve">Written communication is also a key tool. Emails, notices, policies, operational instructions, reports and internal documents provide employees with a permanent record of information. Written communication is especially useful in communicating formal procedures as employees can go back to it if necessary. Whitbread has also formal policies and procedures relating to its Code of Conduct, diversity and inclusion, working time and employee concerns (Bower, 2018). </w:t>
      </w:r>
    </w:p>
    <w:p>
      <w:pPr>
        <w:pStyle w:val="Body"/>
      </w:pPr>
      <w:r>
        <w:rPr>
          <w:rtl w:val="0"/>
          <w:lang w:val="en-US"/>
        </w:rPr>
        <w:t xml:space="preserve">Digital communication is becoming more and more relevant in the hospitality sector. Premier Inn gives its customers a number of ways to communicate with it, such as the ability to call the hotel, reach out to its Guest Relations Team, submit feedback on its online form or through WhatsApp. This means customers can contact us in a way that best fits them, to share their concerns or feedback. The daily communication that is faced by the customer is also a significant one. Reception staff are involved directly in communicating with guests from check-in to check-out (Sklar, 2021). They represent the organisation in terms of tone, clarity, listening and responding, which in turn affects the customer's perception of the organisation. Premier Inn has previously emphasised the need for disability awareness training and effective communication, meaning that it is able to help guests with varying needs. </w:t>
      </w:r>
    </w:p>
    <w:p>
      <w:pPr>
        <w:pStyle w:val="Body"/>
      </w:pPr>
      <w:r>
        <w:rPr>
          <w:rtl w:val="0"/>
          <w:lang w:val="en-US"/>
        </w:rPr>
        <w:t xml:space="preserve">Last but not least, employees' feedback and upward communication matters for the improvement of organisations. Whitbread uses a number of employee listening channels such as the Your Say survey, the elected employee forum </w:t>
      </w:r>
      <w:r>
        <w:rPr>
          <w:rtl w:val="1"/>
        </w:rPr>
        <w:t>‘</w:t>
      </w:r>
      <w:r>
        <w:rPr>
          <w:rtl w:val="0"/>
          <w:lang w:val="en-US"/>
        </w:rPr>
        <w:t xml:space="preserve">Our Voice' and All Ears which looks at specific business issues (Song </w:t>
      </w:r>
      <w:r>
        <w:rPr>
          <w:i w:val="1"/>
          <w:iCs w:val="1"/>
          <w:rtl w:val="0"/>
          <w:lang w:val="nl-NL"/>
        </w:rPr>
        <w:t>et al.</w:t>
      </w:r>
      <w:r>
        <w:rPr>
          <w:rtl w:val="0"/>
          <w:lang w:val="en-US"/>
        </w:rPr>
        <w:t xml:space="preserve">, 2026). Over 80% (more than 27,000) of its employees took part in its engagement survey in 2024 (Whitbread, 2025). Such mechanisms illustrate the possibility of communication moving from the employees to the managerial agents and vice versa. </w:t>
      </w:r>
    </w:p>
    <w:p>
      <w:pPr>
        <w:pStyle w:val="Heading"/>
      </w:pPr>
      <w:bookmarkStart w:name="_Toc2" w:id="2"/>
      <w:r>
        <w:rPr>
          <w:rFonts w:cs="Arial Unicode MS" w:eastAsia="Arial Unicode MS"/>
          <w:rtl w:val="0"/>
          <w:lang w:val="en-US"/>
        </w:rPr>
        <w:t>Common Issues</w:t>
      </w:r>
      <w:bookmarkEnd w:id="2"/>
    </w:p>
    <w:p>
      <w:pPr>
        <w:pStyle w:val="Body"/>
      </w:pPr>
      <w:r>
        <w:rPr>
          <w:rtl w:val="0"/>
          <w:lang w:val="en-US"/>
        </w:rPr>
        <w:t>Though there are a number of communication channels available, businesses can have communication issues. Communication is one of the common problems. It is when the message is unclear, incomplete or differently perceived by the receiver. Even a minor error can have repercussions on the ground in a hotel setting. For instance, when the information regarding a guests special need is not properly passed on from reception to housekeeping, they may get the wrong service. Likewise, problems with communication about the room condition can lead to delays in check-in and frustrate customers.</w:t>
      </w:r>
    </w:p>
    <w:p>
      <w:pPr>
        <w:pStyle w:val="Body"/>
      </w:pPr>
      <w:r>
        <w:rPr>
          <w:rtl w:val="0"/>
          <w:lang w:val="en-US"/>
        </w:rPr>
        <w:t>Premier Inn is a large operational scale making consistency difficult to achieve. The organization has around 850 hotels and a large number of employees, so information needs to be shared between various locations, levels of control and operating organizations. Effective head-office communication does not always translate to the effective implementation and understanding of the message throughout the hotel (Ghandour, Bilal and Mudassar, 2015). There can also be variation in managerial communication, which can lead to misunderstandings regarding policies and priorities.</w:t>
      </w:r>
    </w:p>
    <w:p>
      <w:pPr>
        <w:pStyle w:val="Body"/>
      </w:pPr>
      <w:r>
        <w:rPr>
          <w:rtl w:val="0"/>
          <w:lang w:val="en-US"/>
        </w:rPr>
        <w:t xml:space="preserve">Cultural and language differences are another challenge. Hospitality organisations have people from a variety of backgrounds and they serve customers from a variety of countries and cultures. Language, communication style, accents and cultural expectations and non-verbal communication can lead to misunderstandings (Fayoyin, 2015). As Premier Inn expands its efforts to operate internationally, and the presence of the hotel chain in Germany mounts and continues to grow, cross-cultural communication becomes more and more relevant. </w:t>
      </w:r>
    </w:p>
    <w:p>
      <w:pPr>
        <w:pStyle w:val="Body"/>
      </w:pPr>
      <w:r>
        <w:rPr>
          <w:rtl w:val="0"/>
          <w:lang w:val="en-US"/>
        </w:rPr>
        <w:t>The way employees communicate with the manager may also vary due to cultural differences. Some cultures may allow workers to voice challenges openly, whereas others may be more focused on hierarchy and roundabout expression. When managers take silence as a sign of consent, they might not be able to identify issues that are not being voiced by employees. This is why inclusive listening mechanisms are crucial (Zaumane, 2018).</w:t>
      </w:r>
    </w:p>
    <w:p>
      <w:pPr>
        <w:pStyle w:val="Body"/>
      </w:pPr>
      <w:r>
        <w:rPr>
          <w:rtl w:val="0"/>
          <w:lang w:val="en-US"/>
        </w:rPr>
        <w:t>One of the other challenges is communication between shifts. The hotel is open 24 hours a day and the staff members may have different work schedules. If key information is passed on by speaking, but not documented, the next worker might not have the background. This can lead to duplicate questions, ambiguous answers or the need for customers to repeat questions several times. The other one is information overload. Digital communication can provide a quick way to communicate information to a business, but the employees will receive a huge amount of emails, messages, notices and operational updates. Important information then can be hard to locate (Swart and Moola, 2025). When working in a hospitality environment, staff members don't have much time to digest long communications as they serve customers as well. Thus, available communication is not necessarily effective.</w:t>
      </w:r>
    </w:p>
    <w:p>
      <w:pPr>
        <w:pStyle w:val="Body"/>
      </w:pPr>
      <w:r>
        <w:rPr>
          <w:rtl w:val="0"/>
          <w:lang w:val="en-US"/>
        </w:rPr>
        <w:t>There may also be technological communication barriers. Digital channels help to make information more available, however they require employees to have the necessary systems, skills and access. In addition, customers can interact in a variety of ways, including by phone, WhatsApp, or by filling out an online form or directly with a hotel. Currently, there are multiple communication channels available for Premier Inn's Guest Relations service, such as phone, WhatsApp and online feedback (Vernuccio and Ceccotti, 2015). This gives customer</w:t>
      </w:r>
      <w:r>
        <w:rPr>
          <w:rtl w:val="1"/>
        </w:rPr>
        <w:t>’</w:t>
      </w:r>
      <w:r>
        <w:rPr>
          <w:rtl w:val="0"/>
          <w:lang w:val="en-US"/>
        </w:rPr>
        <w:t>s choice, but the organisation needs to make sure information fed into the different channels is coordinated and that information is not duplicated or missed out when dealing with customer issues.</w:t>
      </w:r>
    </w:p>
    <w:p>
      <w:pPr>
        <w:pStyle w:val="Body"/>
      </w:pPr>
      <w:r>
        <w:rPr>
          <w:rtl w:val="0"/>
          <w:lang w:val="en-US"/>
        </w:rPr>
        <w:t xml:space="preserve">Last but not least, lack of feedback may cause communication to become weak. Managers can give employees instructions but not much scope to discuss if they are practical for the employees to follow. Whitbread's employee engagement methods show evidence of this challenge being recognised. </w:t>
      </w:r>
    </w:p>
    <w:p>
      <w:pPr>
        <w:pStyle w:val="Heading"/>
      </w:pPr>
      <w:bookmarkStart w:name="_Toc3" w:id="3"/>
      <w:r>
        <w:rPr>
          <w:rFonts w:cs="Arial Unicode MS" w:eastAsia="Arial Unicode MS"/>
          <w:rtl w:val="0"/>
          <w:lang w:val="en-US"/>
        </w:rPr>
        <w:t>Recommendations</w:t>
      </w:r>
      <w:bookmarkEnd w:id="3"/>
    </w:p>
    <w:p>
      <w:pPr>
        <w:pStyle w:val="Body"/>
      </w:pPr>
      <w:r>
        <w:rPr>
          <w:rtl w:val="0"/>
          <w:lang w:val="en-US"/>
        </w:rPr>
        <w:t xml:space="preserve">Premier Inn needs to further improve two-way communication through increased frequency of briefings and feedback. Managers need to keep informational updates brief and provide ample opportunity for employees to voice issues and make suggestions. The Your Say and Our Voice processes should be linked to visible management actions in order to give employees a sense of the impact of their feedback on decision-making. </w:t>
      </w:r>
    </w:p>
    <w:p>
      <w:pPr>
        <w:pStyle w:val="Body"/>
      </w:pPr>
      <w:r>
        <w:rPr>
          <w:rtl w:val="0"/>
          <w:lang w:val="en-US"/>
        </w:rPr>
        <w:t>It should also be useful if the organisation develops a common, standardized communication method for key operational data. Any key information on guest needs, complaints, safety issues and room operations should be documented in the correct digital systems and not just through verbal, informal means (Abd Rahman, Ramli and Hamdan, 2022). This will help minimize the loss of information between shifts.</w:t>
      </w:r>
    </w:p>
    <w:p>
      <w:pPr>
        <w:pStyle w:val="Body"/>
      </w:pPr>
      <w:r>
        <w:rPr>
          <w:rtl w:val="0"/>
          <w:lang w:val="en-US"/>
        </w:rPr>
        <w:t xml:space="preserve">Regular cross-cultural communication and inclusive communication training should also be provided. Training should include recommendations on listening effectively, using clear language, being culturally aware, disability awareness and the handling of misunderstandings. Disability awareness training has been used by Premier Inn in the past to enhance staff's communication skills with guests of various needs, and can serve as a foundation to enhance inclusive communication practices (Mouboua, Atobatele and Akintayo, 2024). </w:t>
      </w:r>
    </w:p>
    <w:p>
      <w:pPr>
        <w:pStyle w:val="Body"/>
      </w:pPr>
      <w:r>
        <w:rPr>
          <w:rtl w:val="0"/>
          <w:lang w:val="en-US"/>
        </w:rPr>
        <w:t>Lastly, digital communication should be simplified by emphasizing important information and avoiding unnecessary information. There would be less information overload and less confusion among employees if there was uniformity in information flow throughout the organisation - from email to internal processes and operational communications.</w:t>
      </w:r>
    </w:p>
    <w:p>
      <w:pPr>
        <w:pStyle w:val="Heading"/>
      </w:pPr>
    </w:p>
    <w:p>
      <w:pPr>
        <w:pStyle w:val="Heading"/>
      </w:pPr>
      <w:bookmarkStart w:name="_Toc4" w:id="4"/>
      <w:r>
        <w:rPr>
          <w:rFonts w:cs="Arial Unicode MS" w:eastAsia="Arial Unicode MS"/>
          <w:rtl w:val="0"/>
          <w:lang w:val="it-IT"/>
        </w:rPr>
        <w:t>Conclusion</w:t>
      </w:r>
      <w:bookmarkEnd w:id="4"/>
    </w:p>
    <w:p>
      <w:pPr>
        <w:pStyle w:val="Body"/>
      </w:pPr>
      <w:r>
        <w:rPr>
          <w:rtl w:val="0"/>
          <w:lang w:val="en-US"/>
        </w:rPr>
        <w:t>Communication is critical to the effective functioning of a business as it helps to coordinate activities, support employees, respond to customers and accomplish organizational goals. The analysis applied to Premier Inn shows that there are various avenues of communication, from person-to-person to written, to digital, to customer service channels and to employee feedback channels. The accuracy and timely sharing of information is critical to quality in the hospitality sector and these are essential methods for this. Whitbread's existing initiatives to listen to its employees include Your Say, Our Voice and All Ears. However, the use of standardised operational communication, the inclusion of training, improved feedback mechanisms and digital coordination can be further improved to enhance communication. In conclusion, communication can play a significant role in ensuring the Premier Inn maintains service consistency, increases employee engagement and enhances the customer experience.</w:t>
      </w:r>
    </w:p>
    <w:p>
      <w:pPr>
        <w:pStyle w:val="Body"/>
        <w:spacing w:line="259" w:lineRule="auto"/>
        <w:jc w:val="left"/>
      </w:pPr>
      <w:r>
        <w:rPr>
          <w:rFonts w:ascii="Arial Unicode MS" w:cs="Arial Unicode MS" w:hAnsi="Arial Unicode MS" w:eastAsia="Arial Unicode MS"/>
          <w:b w:val="0"/>
          <w:bCs w:val="0"/>
          <w:i w:val="0"/>
          <w:iCs w:val="0"/>
        </w:rPr>
        <w:br w:type="page"/>
      </w:r>
    </w:p>
    <w:p>
      <w:pPr>
        <w:pStyle w:val="Heading"/>
      </w:pPr>
      <w:bookmarkStart w:name="_Toc5" w:id="5"/>
      <w:r>
        <w:rPr>
          <w:rFonts w:cs="Arial Unicode MS" w:eastAsia="Arial Unicode MS"/>
          <w:rtl w:val="0"/>
          <w:lang w:val="fr-FR"/>
        </w:rPr>
        <w:t>References</w:t>
      </w:r>
      <w:bookmarkEnd w:id="5"/>
    </w:p>
    <w:p>
      <w:pPr>
        <w:pStyle w:val="Bibliography"/>
        <w:spacing w:line="360" w:lineRule="auto"/>
        <w:ind w:left="720" w:hanging="720"/>
      </w:pPr>
      <w:r>
        <w:rPr>
          <w:rtl w:val="0"/>
          <w:lang w:val="en-US"/>
        </w:rPr>
        <w:t xml:space="preserve">Abd Rahman, R., Ramli, R. and Hamdan, Y. (2022) </w:t>
      </w:r>
      <w:r>
        <w:rPr>
          <w:rtl w:val="0"/>
          <w:lang w:val="en-US"/>
        </w:rPr>
        <w:t>‘</w:t>
      </w:r>
      <w:r>
        <w:rPr>
          <w:rtl w:val="0"/>
          <w:lang w:val="en-US"/>
        </w:rPr>
        <w:t>Digital Skills and Customer Relationship Management in Business Enhancement</w:t>
      </w:r>
      <w:r>
        <w:rPr>
          <w:rtl w:val="0"/>
          <w:lang w:val="en-US"/>
        </w:rPr>
        <w:t>–</w:t>
      </w:r>
      <w:r>
        <w:rPr>
          <w:rtl w:val="0"/>
          <w:lang w:val="en-US"/>
        </w:rPr>
        <w:t>An Application for the Participants of NCER Lifelong Education in Baling Community College</w:t>
      </w:r>
      <w:r>
        <w:rPr>
          <w:rtl w:val="0"/>
          <w:lang w:val="en-US"/>
        </w:rPr>
        <w:t>’</w:t>
      </w:r>
      <w:r>
        <w:rPr>
          <w:rtl w:val="0"/>
          <w:lang w:val="en-US"/>
        </w:rPr>
        <w:t xml:space="preserve">, </w:t>
      </w:r>
      <w:r>
        <w:rPr>
          <w:i w:val="1"/>
          <w:iCs w:val="1"/>
          <w:rtl w:val="0"/>
          <w:lang w:val="en-US"/>
        </w:rPr>
        <w:t>Politeknik &amp; Kolej Komuniti Journal of Life Long Learning</w:t>
      </w:r>
      <w:r>
        <w:rPr>
          <w:rtl w:val="0"/>
          <w:lang w:val="en-US"/>
        </w:rPr>
        <w:t>, 6(1), pp. 1</w:t>
      </w:r>
      <w:r>
        <w:rPr>
          <w:rtl w:val="0"/>
          <w:lang w:val="en-US"/>
        </w:rPr>
        <w:t>–</w:t>
      </w:r>
      <w:r>
        <w:rPr>
          <w:rtl w:val="0"/>
          <w:lang w:val="en-US"/>
        </w:rPr>
        <w:t>10.</w:t>
      </w:r>
    </w:p>
    <w:p>
      <w:pPr>
        <w:pStyle w:val="Bibliography"/>
        <w:spacing w:line="360" w:lineRule="auto"/>
        <w:ind w:left="720" w:hanging="720"/>
      </w:pPr>
      <w:r>
        <w:rPr>
          <w:rtl w:val="0"/>
          <w:lang w:val="en-US"/>
        </w:rPr>
        <w:t xml:space="preserve">Akilandeswari, V. </w:t>
      </w:r>
      <w:r>
        <w:rPr>
          <w:i w:val="1"/>
          <w:iCs w:val="1"/>
          <w:rtl w:val="0"/>
          <w:lang w:val="en-US"/>
        </w:rPr>
        <w:t>et al.</w:t>
      </w:r>
      <w:r>
        <w:rPr>
          <w:rtl w:val="0"/>
          <w:lang w:val="en-US"/>
        </w:rPr>
        <w:t xml:space="preserve"> (2015) </w:t>
      </w:r>
      <w:r>
        <w:rPr>
          <w:rtl w:val="0"/>
          <w:lang w:val="en-US"/>
        </w:rPr>
        <w:t>‘</w:t>
      </w:r>
      <w:r>
        <w:rPr>
          <w:rtl w:val="0"/>
          <w:lang w:val="en-US"/>
        </w:rPr>
        <w:t>Elements of effective communication</w:t>
      </w:r>
      <w:r>
        <w:rPr>
          <w:rtl w:val="0"/>
          <w:lang w:val="en-US"/>
        </w:rPr>
        <w:t>’</w:t>
      </w:r>
      <w:r>
        <w:rPr>
          <w:rtl w:val="0"/>
          <w:lang w:val="en-US"/>
        </w:rPr>
        <w:t xml:space="preserve">, </w:t>
      </w:r>
      <w:r>
        <w:rPr>
          <w:i w:val="1"/>
          <w:iCs w:val="1"/>
          <w:rtl w:val="0"/>
          <w:lang w:val="en-US"/>
        </w:rPr>
        <w:t>New Media and Mass Communication</w:t>
      </w:r>
      <w:r>
        <w:rPr>
          <w:rtl w:val="0"/>
          <w:lang w:val="en-US"/>
        </w:rPr>
        <w:t>, 37(2019), pp. 44</w:t>
      </w:r>
      <w:r>
        <w:rPr>
          <w:rtl w:val="0"/>
          <w:lang w:val="en-US"/>
        </w:rPr>
        <w:t>–</w:t>
      </w:r>
      <w:r>
        <w:rPr>
          <w:rtl w:val="0"/>
          <w:lang w:val="en-US"/>
        </w:rPr>
        <w:t>47.</w:t>
      </w:r>
    </w:p>
    <w:p>
      <w:pPr>
        <w:pStyle w:val="Bibliography"/>
        <w:spacing w:line="360" w:lineRule="auto"/>
        <w:ind w:left="720" w:hanging="720"/>
      </w:pPr>
      <w:r>
        <w:rPr>
          <w:rtl w:val="0"/>
          <w:lang w:val="en-US"/>
        </w:rPr>
        <w:t xml:space="preserve">Beebe, S.A., Beebe, S.J. and Ivy, D.K. (2022) </w:t>
      </w:r>
      <w:r>
        <w:rPr>
          <w:i w:val="1"/>
          <w:iCs w:val="1"/>
          <w:rtl w:val="0"/>
          <w:lang w:val="en-US"/>
        </w:rPr>
        <w:t>Communication: Principles for a lifetime</w:t>
      </w:r>
      <w:r>
        <w:rPr>
          <w:rtl w:val="0"/>
          <w:lang w:val="en-US"/>
        </w:rPr>
        <w:t>. 8th edn. Allyn &amp; Bacon Boston, MA. Available at: https://www.academia.edu/download/64048577/0133753824_Communication-Principles-for-a-Lifetime-6th-Edition.pdf (Accessed: 15 April 2026).</w:t>
      </w:r>
    </w:p>
    <w:p>
      <w:pPr>
        <w:pStyle w:val="Bibliography"/>
        <w:spacing w:line="360" w:lineRule="auto"/>
        <w:ind w:left="720" w:hanging="720"/>
      </w:pPr>
      <w:r>
        <w:rPr>
          <w:rtl w:val="0"/>
          <w:lang w:val="en-US"/>
        </w:rPr>
        <w:t xml:space="preserve">Berry, C.T.P. (2022) </w:t>
      </w:r>
      <w:r>
        <w:rPr>
          <w:i w:val="1"/>
          <w:iCs w:val="1"/>
          <w:rtl w:val="0"/>
          <w:lang w:val="en-US"/>
        </w:rPr>
        <w:t>Equity Research-Whitbread PLC</w:t>
      </w:r>
      <w:r>
        <w:rPr>
          <w:rtl w:val="0"/>
          <w:lang w:val="en-US"/>
        </w:rPr>
        <w:t>. Master</w:t>
      </w:r>
      <w:r>
        <w:rPr>
          <w:rtl w:val="0"/>
          <w:lang w:val="en-US"/>
        </w:rPr>
        <w:t>’</w:t>
      </w:r>
      <w:r>
        <w:rPr>
          <w:rtl w:val="0"/>
          <w:lang w:val="en-US"/>
        </w:rPr>
        <w:t>s Thesis. Universidade de Lisboa (Portugal). Available at: https://search.proquest.com/openview/e6c3253f2f2a0252d2bbc7a0a862121a/1?pq-origsite=gscholar&amp;cbl=2026366&amp;diss=y (Accessed: 15 August 2026).</w:t>
      </w:r>
    </w:p>
    <w:p>
      <w:pPr>
        <w:pStyle w:val="Bibliography"/>
        <w:spacing w:line="360" w:lineRule="auto"/>
        <w:ind w:left="720" w:hanging="720"/>
      </w:pPr>
      <w:r>
        <w:rPr>
          <w:rtl w:val="0"/>
          <w:lang w:val="en-US"/>
        </w:rPr>
        <w:t xml:space="preserve">Bower, J. (2018) </w:t>
      </w:r>
      <w:r>
        <w:rPr>
          <w:rtl w:val="0"/>
          <w:lang w:val="en-US"/>
        </w:rPr>
        <w:t>‘</w:t>
      </w:r>
      <w:r>
        <w:rPr>
          <w:rtl w:val="0"/>
          <w:lang w:val="en-US"/>
        </w:rPr>
        <w:t>Whitbread: routines and resource building on the path from brewer to retailer</w:t>
      </w:r>
      <w:r>
        <w:rPr>
          <w:rtl w:val="0"/>
          <w:lang w:val="en-US"/>
        </w:rPr>
        <w:t>’</w:t>
      </w:r>
      <w:r>
        <w:rPr>
          <w:rtl w:val="0"/>
          <w:lang w:val="en-US"/>
        </w:rPr>
        <w:t xml:space="preserve">, </w:t>
      </w:r>
      <w:r>
        <w:rPr>
          <w:i w:val="1"/>
          <w:iCs w:val="1"/>
          <w:rtl w:val="0"/>
          <w:lang w:val="en-US"/>
        </w:rPr>
        <w:t>Management &amp; Organizational History</w:t>
      </w:r>
      <w:r>
        <w:rPr>
          <w:rtl w:val="0"/>
          <w:lang w:val="en-US"/>
        </w:rPr>
        <w:t>, 13(1), pp. 1</w:t>
      </w:r>
      <w:r>
        <w:rPr>
          <w:rtl w:val="0"/>
          <w:lang w:val="en-US"/>
        </w:rPr>
        <w:t>–</w:t>
      </w:r>
      <w:r>
        <w:rPr>
          <w:rtl w:val="0"/>
          <w:lang w:val="en-US"/>
        </w:rPr>
        <w:t>23. Available at: https://doi.org/10.1080/17449359.2017.1408471.</w:t>
      </w:r>
    </w:p>
    <w:p>
      <w:pPr>
        <w:pStyle w:val="Bibliography"/>
        <w:spacing w:line="360" w:lineRule="auto"/>
        <w:ind w:left="720" w:hanging="720"/>
      </w:pPr>
      <w:r>
        <w:rPr>
          <w:rtl w:val="0"/>
          <w:lang w:val="en-US"/>
        </w:rPr>
        <w:t xml:space="preserve">Fayoyin, A. (2015) </w:t>
      </w:r>
      <w:r>
        <w:rPr>
          <w:rtl w:val="0"/>
          <w:lang w:val="en-US"/>
        </w:rPr>
        <w:t>‘</w:t>
      </w:r>
      <w:r>
        <w:rPr>
          <w:rtl w:val="0"/>
          <w:lang w:val="en-US"/>
        </w:rPr>
        <w:t>Internal communication challenges in international development organizations</w:t>
      </w:r>
      <w:r>
        <w:rPr>
          <w:rtl w:val="0"/>
          <w:lang w:val="en-US"/>
        </w:rPr>
        <w:t>’</w:t>
      </w:r>
      <w:r>
        <w:rPr>
          <w:rtl w:val="0"/>
          <w:lang w:val="en-US"/>
        </w:rPr>
        <w:t xml:space="preserve">, </w:t>
      </w:r>
      <w:r>
        <w:rPr>
          <w:i w:val="1"/>
          <w:iCs w:val="1"/>
          <w:rtl w:val="0"/>
          <w:lang w:val="en-US"/>
        </w:rPr>
        <w:t>International Journal of Research in Engineering and Applied Sciences</w:t>
      </w:r>
      <w:r>
        <w:rPr>
          <w:rtl w:val="0"/>
          <w:lang w:val="en-US"/>
        </w:rPr>
        <w:t>, 5(5), pp. 155</w:t>
      </w:r>
      <w:r>
        <w:rPr>
          <w:rtl w:val="0"/>
          <w:lang w:val="en-US"/>
        </w:rPr>
        <w:t>–</w:t>
      </w:r>
      <w:r>
        <w:rPr>
          <w:rtl w:val="0"/>
          <w:lang w:val="en-US"/>
        </w:rPr>
        <w:t>170.</w:t>
      </w:r>
    </w:p>
    <w:p>
      <w:pPr>
        <w:pStyle w:val="Bibliography"/>
        <w:spacing w:line="360" w:lineRule="auto"/>
        <w:ind w:left="720" w:hanging="720"/>
      </w:pPr>
      <w:r>
        <w:rPr>
          <w:rtl w:val="0"/>
          <w:lang w:val="en-US"/>
        </w:rPr>
        <w:t xml:space="preserve">Ghandour, R., Bilal, J. and Mudassar, H. (2015) </w:t>
      </w:r>
      <w:r>
        <w:rPr>
          <w:rtl w:val="0"/>
          <w:lang w:val="en-US"/>
        </w:rPr>
        <w:t>‘</w:t>
      </w:r>
      <w:r>
        <w:rPr>
          <w:rtl w:val="0"/>
          <w:lang w:val="en-US"/>
        </w:rPr>
        <w:t>Relationship between Service Quality, Customer Retention and the role of Social Media-Case study Premier Inn Hotel (UK)</w:t>
      </w:r>
      <w:r>
        <w:rPr>
          <w:rtl w:val="0"/>
          <w:lang w:val="en-US"/>
        </w:rPr>
        <w:t>’</w:t>
      </w:r>
      <w:r>
        <w:rPr>
          <w:rtl w:val="0"/>
          <w:lang w:val="en-US"/>
        </w:rPr>
        <w:t xml:space="preserve">, </w:t>
      </w:r>
      <w:r>
        <w:rPr>
          <w:i w:val="1"/>
          <w:iCs w:val="1"/>
          <w:rtl w:val="0"/>
          <w:lang w:val="en-US"/>
        </w:rPr>
        <w:t>Journal of Organizational Studies and Innovation</w:t>
      </w:r>
      <w:r>
        <w:rPr>
          <w:rtl w:val="0"/>
          <w:lang w:val="en-US"/>
        </w:rPr>
        <w:t>, 2(4), pp. 1</w:t>
      </w:r>
      <w:r>
        <w:rPr>
          <w:rtl w:val="0"/>
          <w:lang w:val="en-US"/>
        </w:rPr>
        <w:t>–</w:t>
      </w:r>
      <w:r>
        <w:rPr>
          <w:rtl w:val="0"/>
          <w:lang w:val="en-US"/>
        </w:rPr>
        <w:t>12.</w:t>
      </w:r>
    </w:p>
    <w:p>
      <w:pPr>
        <w:pStyle w:val="Bibliography"/>
        <w:spacing w:line="360" w:lineRule="auto"/>
        <w:ind w:left="720" w:hanging="720"/>
      </w:pPr>
      <w:r>
        <w:rPr>
          <w:rtl w:val="0"/>
          <w:lang w:val="en-US"/>
        </w:rPr>
        <w:t xml:space="preserve">Khadija, E. and Omar, T. (2023) </w:t>
      </w:r>
      <w:r>
        <w:rPr>
          <w:rtl w:val="0"/>
          <w:lang w:val="en-US"/>
        </w:rPr>
        <w:t>‘</w:t>
      </w:r>
      <w:r>
        <w:rPr>
          <w:rtl w:val="0"/>
          <w:lang w:val="en-US"/>
        </w:rPr>
        <w:t>Literature review on knowledge transfer models: From Shannon-Weaver (1949) to Kostova (1999)</w:t>
      </w:r>
      <w:r>
        <w:rPr>
          <w:rtl w:val="0"/>
          <w:lang w:val="en-US"/>
        </w:rPr>
        <w:t>’</w:t>
      </w:r>
      <w:r>
        <w:rPr>
          <w:rtl w:val="0"/>
          <w:lang w:val="en-US"/>
        </w:rPr>
        <w:t xml:space="preserve">, </w:t>
      </w:r>
      <w:r>
        <w:rPr>
          <w:i w:val="1"/>
          <w:iCs w:val="1"/>
          <w:rtl w:val="0"/>
          <w:lang w:val="en-US"/>
        </w:rPr>
        <w:t>African Scientific Journal</w:t>
      </w:r>
      <w:r>
        <w:rPr>
          <w:rtl w:val="0"/>
          <w:lang w:val="en-US"/>
        </w:rPr>
        <w:t>, 3(21), pp. 548</w:t>
      </w:r>
      <w:r>
        <w:rPr>
          <w:rtl w:val="0"/>
          <w:lang w:val="en-US"/>
        </w:rPr>
        <w:t>–</w:t>
      </w:r>
      <w:r>
        <w:rPr>
          <w:rtl w:val="0"/>
          <w:lang w:val="en-US"/>
        </w:rPr>
        <w:t>548.</w:t>
      </w:r>
    </w:p>
    <w:p>
      <w:pPr>
        <w:pStyle w:val="Bibliography"/>
        <w:spacing w:line="360" w:lineRule="auto"/>
        <w:ind w:left="720" w:hanging="720"/>
      </w:pPr>
      <w:r>
        <w:rPr>
          <w:rtl w:val="0"/>
          <w:lang w:val="en-US"/>
        </w:rPr>
        <w:t xml:space="preserve">Mouboua, P.D., Atobatele, F.A. and Akintayo, O.T. (2024) </w:t>
      </w:r>
      <w:r>
        <w:rPr>
          <w:rtl w:val="0"/>
          <w:lang w:val="en-US"/>
        </w:rPr>
        <w:t>‘</w:t>
      </w:r>
      <w:r>
        <w:rPr>
          <w:rtl w:val="0"/>
          <w:lang w:val="en-US"/>
        </w:rPr>
        <w:t>Cross-cultural competence in global HRD: Strategies for developing an inclusive and diverse workforce</w:t>
      </w:r>
      <w:r>
        <w:rPr>
          <w:rtl w:val="0"/>
          <w:lang w:val="en-US"/>
        </w:rPr>
        <w:t>’</w:t>
      </w:r>
      <w:r>
        <w:rPr>
          <w:rtl w:val="0"/>
          <w:lang w:val="en-US"/>
        </w:rPr>
        <w:t xml:space="preserve">, </w:t>
      </w:r>
      <w:r>
        <w:rPr>
          <w:i w:val="1"/>
          <w:iCs w:val="1"/>
          <w:rtl w:val="0"/>
          <w:lang w:val="en-US"/>
        </w:rPr>
        <w:t>International Journal of Science and Research Archive</w:t>
      </w:r>
      <w:r>
        <w:rPr>
          <w:rtl w:val="0"/>
          <w:lang w:val="en-US"/>
        </w:rPr>
        <w:t>, 12(1), pp. 103</w:t>
      </w:r>
      <w:r>
        <w:rPr>
          <w:rtl w:val="0"/>
          <w:lang w:val="en-US"/>
        </w:rPr>
        <w:t>–</w:t>
      </w:r>
      <w:r>
        <w:rPr>
          <w:rtl w:val="0"/>
          <w:lang w:val="en-US"/>
        </w:rPr>
        <w:t>113.</w:t>
      </w:r>
    </w:p>
    <w:p>
      <w:pPr>
        <w:pStyle w:val="Bibliography"/>
        <w:spacing w:line="360" w:lineRule="auto"/>
        <w:ind w:left="720" w:hanging="720"/>
      </w:pPr>
      <w:r>
        <w:rPr>
          <w:rtl w:val="0"/>
          <w:lang w:val="en-US"/>
        </w:rPr>
        <w:t xml:space="preserve">Sklar, B. (2021) </w:t>
      </w:r>
      <w:r>
        <w:rPr>
          <w:i w:val="1"/>
          <w:iCs w:val="1"/>
          <w:rtl w:val="0"/>
          <w:lang w:val="en-US"/>
        </w:rPr>
        <w:t>Digital communications: fundamentals and applications</w:t>
      </w:r>
      <w:r>
        <w:rPr>
          <w:rtl w:val="0"/>
          <w:lang w:val="en-US"/>
        </w:rPr>
        <w:t>. Pearson. Available at: https://books.google.com/books?hl=en&amp;lr=&amp;id=SNnPEAAAQBAJ&amp;oi=fnd&amp;pg=PT32&amp;dq=Principles+of+Digital+Communication&amp;ots=EFRXc_-yes&amp;sig=gtgqHHgiTecAMJsKCDzQzuGx82I (Accessed: 1 August 2026).</w:t>
      </w:r>
    </w:p>
    <w:p>
      <w:pPr>
        <w:pStyle w:val="Bibliography"/>
        <w:spacing w:line="360" w:lineRule="auto"/>
        <w:ind w:left="720" w:hanging="720"/>
      </w:pPr>
      <w:r>
        <w:rPr>
          <w:rtl w:val="0"/>
          <w:lang w:val="en-US"/>
        </w:rPr>
        <w:t xml:space="preserve">Song, J. </w:t>
      </w:r>
      <w:r>
        <w:rPr>
          <w:i w:val="1"/>
          <w:iCs w:val="1"/>
          <w:rtl w:val="0"/>
          <w:lang w:val="en-US"/>
        </w:rPr>
        <w:t>et al.</w:t>
      </w:r>
      <w:r>
        <w:rPr>
          <w:rtl w:val="0"/>
          <w:lang w:val="en-US"/>
        </w:rPr>
        <w:t xml:space="preserve"> (2026) </w:t>
      </w:r>
      <w:r>
        <w:rPr>
          <w:rtl w:val="0"/>
          <w:lang w:val="en-US"/>
        </w:rPr>
        <w:t>‘</w:t>
      </w:r>
      <w:r>
        <w:rPr>
          <w:rtl w:val="0"/>
          <w:lang w:val="en-US"/>
        </w:rPr>
        <w:t>From AI awareness to employee negative feedback seeking behavior in hotel: an examination with conservation of resources theory</w:t>
      </w:r>
      <w:r>
        <w:rPr>
          <w:rtl w:val="0"/>
          <w:lang w:val="en-US"/>
        </w:rPr>
        <w:t>’</w:t>
      </w:r>
      <w:r>
        <w:rPr>
          <w:rtl w:val="0"/>
          <w:lang w:val="en-US"/>
        </w:rPr>
        <w:t xml:space="preserve">, </w:t>
      </w:r>
      <w:r>
        <w:rPr>
          <w:i w:val="1"/>
          <w:iCs w:val="1"/>
          <w:rtl w:val="0"/>
          <w:lang w:val="en-US"/>
        </w:rPr>
        <w:t>Journal of Hospitality and Tourism Technology</w:t>
      </w:r>
      <w:r>
        <w:rPr>
          <w:rtl w:val="0"/>
          <w:lang w:val="en-US"/>
        </w:rPr>
        <w:t>, pp. 1</w:t>
      </w:r>
      <w:r>
        <w:rPr>
          <w:rtl w:val="0"/>
          <w:lang w:val="en-US"/>
        </w:rPr>
        <w:t>–</w:t>
      </w:r>
      <w:r>
        <w:rPr>
          <w:rtl w:val="0"/>
          <w:lang w:val="en-US"/>
        </w:rPr>
        <w:t>20.</w:t>
      </w:r>
    </w:p>
    <w:p>
      <w:pPr>
        <w:pStyle w:val="Bibliography"/>
        <w:spacing w:line="360" w:lineRule="auto"/>
        <w:ind w:left="720" w:hanging="720"/>
      </w:pPr>
      <w:r>
        <w:rPr>
          <w:rtl w:val="0"/>
          <w:lang w:val="en-US"/>
        </w:rPr>
        <w:t xml:space="preserve">Swart, C. and Moola, S. (2025) </w:t>
      </w:r>
      <w:r>
        <w:rPr>
          <w:rtl w:val="0"/>
          <w:lang w:val="en-US"/>
        </w:rPr>
        <w:t>‘</w:t>
      </w:r>
      <w:r>
        <w:rPr>
          <w:rtl w:val="0"/>
          <w:lang w:val="en-US"/>
        </w:rPr>
        <w:t>Internal Social Media and Organisational Communication: Opportunities and Challenges</w:t>
      </w:r>
      <w:r>
        <w:rPr>
          <w:rtl w:val="0"/>
          <w:lang w:val="en-US"/>
        </w:rPr>
        <w:t>’</w:t>
      </w:r>
      <w:r>
        <w:rPr>
          <w:rtl w:val="0"/>
          <w:lang w:val="en-US"/>
        </w:rPr>
        <w:t xml:space="preserve">, in S.E. Usadolo, B. Makwambeni, and Q.E. Usadolo (eds) </w:t>
      </w:r>
      <w:r>
        <w:rPr>
          <w:i w:val="1"/>
          <w:iCs w:val="1"/>
          <w:rtl w:val="0"/>
          <w:lang w:val="en-US"/>
        </w:rPr>
        <w:t>Organisational Communication in Africa</w:t>
      </w:r>
      <w:r>
        <w:rPr>
          <w:rtl w:val="0"/>
          <w:lang w:val="en-US"/>
        </w:rPr>
        <w:t>. Cham: Springer Nature Switzerland, pp. 35</w:t>
      </w:r>
      <w:r>
        <w:rPr>
          <w:rtl w:val="0"/>
          <w:lang w:val="en-US"/>
        </w:rPr>
        <w:t>–</w:t>
      </w:r>
      <w:r>
        <w:rPr>
          <w:rtl w:val="0"/>
          <w:lang w:val="en-US"/>
        </w:rPr>
        <w:t>62. Available at: https://doi.org/10.1007/978-3-031-70656-1_3.</w:t>
      </w:r>
    </w:p>
    <w:p>
      <w:pPr>
        <w:pStyle w:val="Bibliography"/>
        <w:spacing w:line="360" w:lineRule="auto"/>
        <w:ind w:left="720" w:hanging="720"/>
      </w:pPr>
      <w:r>
        <w:rPr>
          <w:rtl w:val="0"/>
          <w:lang w:val="en-US"/>
        </w:rPr>
        <w:t xml:space="preserve">Vernuccio, M. and Ceccotti, F. (2015) </w:t>
      </w:r>
      <w:r>
        <w:rPr>
          <w:rtl w:val="0"/>
          <w:lang w:val="en-US"/>
        </w:rPr>
        <w:t>‘</w:t>
      </w:r>
      <w:r>
        <w:rPr>
          <w:rtl w:val="0"/>
          <w:lang w:val="en-US"/>
        </w:rPr>
        <w:t>Strategic and organisational challenges in the integrated marketing communication paradigm shift: A holistic vision</w:t>
      </w:r>
      <w:r>
        <w:rPr>
          <w:rtl w:val="0"/>
          <w:lang w:val="en-US"/>
        </w:rPr>
        <w:t>’</w:t>
      </w:r>
      <w:r>
        <w:rPr>
          <w:rtl w:val="0"/>
          <w:lang w:val="en-US"/>
        </w:rPr>
        <w:t xml:space="preserve">, </w:t>
      </w:r>
      <w:r>
        <w:rPr>
          <w:i w:val="1"/>
          <w:iCs w:val="1"/>
          <w:rtl w:val="0"/>
          <w:lang w:val="en-US"/>
        </w:rPr>
        <w:t>European Management Journal</w:t>
      </w:r>
      <w:r>
        <w:rPr>
          <w:rtl w:val="0"/>
          <w:lang w:val="en-US"/>
        </w:rPr>
        <w:t>, 33(6), pp. 438</w:t>
      </w:r>
      <w:r>
        <w:rPr>
          <w:rtl w:val="0"/>
          <w:lang w:val="en-US"/>
        </w:rPr>
        <w:t>–</w:t>
      </w:r>
      <w:r>
        <w:rPr>
          <w:rtl w:val="0"/>
          <w:lang w:val="en-US"/>
        </w:rPr>
        <w:t>449.</w:t>
      </w:r>
    </w:p>
    <w:p>
      <w:pPr>
        <w:pStyle w:val="Bibliography"/>
        <w:spacing w:line="360" w:lineRule="auto"/>
        <w:ind w:left="720" w:hanging="720"/>
      </w:pPr>
      <w:r>
        <w:rPr>
          <w:rtl w:val="0"/>
          <w:lang w:val="en-US"/>
        </w:rPr>
        <w:t xml:space="preserve">Whitbread (2025) </w:t>
      </w:r>
      <w:r>
        <w:rPr>
          <w:rtl w:val="0"/>
          <w:lang w:val="en-US"/>
        </w:rPr>
        <w:t>‘</w:t>
      </w:r>
      <w:r>
        <w:rPr>
          <w:rtl w:val="0"/>
          <w:lang w:val="en-US"/>
        </w:rPr>
        <w:t>Whitbread Annual Report and Accounts 2024/25</w:t>
      </w:r>
      <w:r>
        <w:rPr>
          <w:rtl w:val="0"/>
          <w:lang w:val="en-US"/>
        </w:rPr>
        <w:t>’</w:t>
      </w:r>
      <w:r>
        <w:rPr>
          <w:rtl w:val="0"/>
          <w:lang w:val="en-US"/>
        </w:rPr>
        <w:t>. Available at: https://cdn.whitbread.co.uk/media/2025/05/Whitbread-PLC-Annual-Report-and-Accounts-2024-25.pdf.</w:t>
      </w:r>
    </w:p>
    <w:p>
      <w:pPr>
        <w:pStyle w:val="Bibliography"/>
        <w:spacing w:line="360" w:lineRule="auto"/>
        <w:ind w:left="720" w:hanging="720"/>
      </w:pPr>
      <w:r>
        <w:rPr>
          <w:rtl w:val="0"/>
          <w:lang w:val="en-US"/>
        </w:rPr>
        <w:t xml:space="preserve">Zaumane, I. (2018) </w:t>
      </w:r>
      <w:r>
        <w:rPr>
          <w:rtl w:val="0"/>
          <w:lang w:val="en-US"/>
        </w:rPr>
        <w:t>‘</w:t>
      </w:r>
      <w:r>
        <w:rPr>
          <w:rtl w:val="0"/>
          <w:lang w:val="en-US"/>
        </w:rPr>
        <w:t>Internal Communication Challenges in 21st Century Organization: Leadership Perspective</w:t>
      </w:r>
      <w:r>
        <w:rPr>
          <w:rtl w:val="0"/>
          <w:lang w:val="en-US"/>
        </w:rPr>
        <w:t>’</w:t>
      </w:r>
      <w:r>
        <w:rPr>
          <w:rtl w:val="0"/>
          <w:lang w:val="en-US"/>
        </w:rPr>
        <w:t xml:space="preserve">, </w:t>
      </w:r>
      <w:r>
        <w:rPr>
          <w:i w:val="1"/>
          <w:iCs w:val="1"/>
          <w:rtl w:val="0"/>
          <w:lang w:val="en-US"/>
        </w:rPr>
        <w:t>IJRDO-Journal of Business Management</w:t>
      </w:r>
      <w:r>
        <w:rPr>
          <w:rtl w:val="0"/>
          <w:lang w:val="en-US"/>
        </w:rPr>
        <w:t>, 4(2), pp. 92</w:t>
      </w:r>
      <w:r>
        <w:rPr>
          <w:rtl w:val="0"/>
          <w:lang w:val="en-US"/>
        </w:rPr>
        <w:t>–</w:t>
      </w:r>
      <w:r>
        <w:rPr>
          <w:rtl w:val="0"/>
          <w:lang w:val="en-US"/>
        </w:rPr>
        <w:t>101.</w:t>
      </w:r>
    </w:p>
    <w:sectPr>
      <w:headerReference w:type="default" r:id="rId4"/>
      <w:headerReference w:type="first" r:id="rId5"/>
      <w:footerReference w:type="default" r:id="rId6"/>
      <w:footerReference w:type="first" r:id="rId7"/>
      <w:pgSz w:w="11900" w:h="16840" w:orient="portrait"/>
      <w:pgMar w:top="1440" w:right="1440" w:bottom="1440" w:left="1440" w:header="708" w:footer="567"/>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2e74b5"/>
      <w:spacing w:val="0"/>
      <w:kern w:val="0"/>
      <w:position w:val="0"/>
      <w:sz w:val="28"/>
      <w:szCs w:val="28"/>
      <w:u w:val="none" w:color="2e74b5"/>
      <w:shd w:val="nil" w:color="auto" w:fill="auto"/>
      <w:vertAlign w:val="baseline"/>
      <w14:textOutline>
        <w14:noFill/>
      </w14:textOutline>
      <w14:textFill>
        <w14:solidFill>
          <w14:srgbClr w14:val="2E74B5"/>
        </w14:solidFill>
      </w14:textFill>
    </w:rPr>
  </w:style>
  <w:style w:type="paragraph" w:styleId="Bibliography">
    <w:name w:val="Bibliography"/>
    <w:next w:val="Body"/>
    <w:pPr>
      <w:keepNext w:val="0"/>
      <w:keepLines w:val="0"/>
      <w:pageBreakBefore w:val="0"/>
      <w:widowControl w:val="1"/>
      <w:shd w:val="clear" w:color="auto" w:fill="auto"/>
      <w:suppressAutoHyphens w:val="0"/>
      <w:bidi w:val="0"/>
      <w:spacing w:before="0" w:after="24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