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2246C" w14:textId="36540954" w:rsidR="00AF2EE1" w:rsidRDefault="00AF2EE1" w:rsidP="009D5037">
      <w:pPr>
        <w:jc w:val="center"/>
        <w:rPr>
          <w:b/>
          <w:sz w:val="32"/>
          <w:szCs w:val="32"/>
          <w:lang w:val="en-GB"/>
        </w:rPr>
      </w:pPr>
      <w:r>
        <w:rPr>
          <w:b/>
          <w:sz w:val="32"/>
          <w:szCs w:val="32"/>
          <w:lang w:val="en-GB"/>
        </w:rPr>
        <w:t>BA – Business Management Level 5, Term 3, Group 1</w:t>
      </w:r>
    </w:p>
    <w:p w14:paraId="50F6AFCF" w14:textId="0F00F9AD" w:rsidR="00AF2EE1" w:rsidRDefault="00AF2EE1" w:rsidP="009D5037">
      <w:pPr>
        <w:jc w:val="center"/>
        <w:rPr>
          <w:b/>
          <w:sz w:val="32"/>
          <w:szCs w:val="32"/>
          <w:lang w:val="en-GB"/>
        </w:rPr>
      </w:pPr>
      <w:proofErr w:type="gramStart"/>
      <w:r>
        <w:rPr>
          <w:b/>
          <w:sz w:val="32"/>
          <w:szCs w:val="32"/>
          <w:lang w:val="en-GB"/>
        </w:rPr>
        <w:t>( Weekends</w:t>
      </w:r>
      <w:proofErr w:type="gramEnd"/>
      <w:r>
        <w:rPr>
          <w:b/>
          <w:sz w:val="32"/>
          <w:szCs w:val="32"/>
          <w:lang w:val="en-GB"/>
        </w:rPr>
        <w:t xml:space="preserve"> )</w:t>
      </w:r>
    </w:p>
    <w:p w14:paraId="33771673" w14:textId="004B66AA" w:rsidR="00AF2EE1" w:rsidRDefault="00AF2EE1" w:rsidP="009D5037">
      <w:pPr>
        <w:jc w:val="center"/>
        <w:rPr>
          <w:b/>
          <w:sz w:val="32"/>
          <w:szCs w:val="32"/>
          <w:lang w:val="en-GB"/>
        </w:rPr>
      </w:pPr>
      <w:r>
        <w:rPr>
          <w:b/>
          <w:sz w:val="32"/>
          <w:szCs w:val="32"/>
          <w:lang w:val="en-GB"/>
        </w:rPr>
        <w:t>University of Wales Trinity Saint David</w:t>
      </w:r>
    </w:p>
    <w:p w14:paraId="67AE3E27" w14:textId="062BC4EF" w:rsidR="00AF2EE1" w:rsidRDefault="00AF2EE1" w:rsidP="009D5037">
      <w:pPr>
        <w:jc w:val="center"/>
        <w:rPr>
          <w:b/>
          <w:sz w:val="32"/>
          <w:szCs w:val="32"/>
          <w:lang w:val="en-GB"/>
        </w:rPr>
      </w:pPr>
      <w:r>
        <w:rPr>
          <w:b/>
          <w:sz w:val="32"/>
          <w:szCs w:val="32"/>
          <w:lang w:val="en-GB"/>
        </w:rPr>
        <w:t>Module:</w:t>
      </w:r>
    </w:p>
    <w:p w14:paraId="582EB8C0" w14:textId="7AA2E249" w:rsidR="00AF2EE1" w:rsidRDefault="00AF2EE1" w:rsidP="009D5037">
      <w:pPr>
        <w:jc w:val="center"/>
        <w:rPr>
          <w:b/>
          <w:sz w:val="32"/>
          <w:szCs w:val="32"/>
          <w:lang w:val="en-GB"/>
        </w:rPr>
      </w:pPr>
      <w:r>
        <w:rPr>
          <w:b/>
          <w:sz w:val="32"/>
          <w:szCs w:val="32"/>
          <w:lang w:val="en-GB"/>
        </w:rPr>
        <w:t>Management Economic</w:t>
      </w:r>
    </w:p>
    <w:p w14:paraId="55D005C7" w14:textId="445A2487" w:rsidR="00AF2EE1" w:rsidRDefault="00AF2EE1" w:rsidP="009D5037">
      <w:pPr>
        <w:jc w:val="center"/>
        <w:rPr>
          <w:b/>
          <w:sz w:val="32"/>
          <w:szCs w:val="32"/>
          <w:lang w:val="en-GB"/>
        </w:rPr>
      </w:pPr>
      <w:r>
        <w:rPr>
          <w:b/>
          <w:sz w:val="32"/>
          <w:szCs w:val="32"/>
          <w:lang w:val="en-GB"/>
        </w:rPr>
        <w:t>Assessment 1</w:t>
      </w:r>
    </w:p>
    <w:p w14:paraId="51381DCB" w14:textId="7EA80563" w:rsidR="00AF2EE1" w:rsidRDefault="00AF2EE1" w:rsidP="009D5037">
      <w:pPr>
        <w:jc w:val="center"/>
        <w:rPr>
          <w:b/>
          <w:sz w:val="32"/>
          <w:szCs w:val="32"/>
          <w:lang w:val="en-GB"/>
        </w:rPr>
      </w:pPr>
      <w:proofErr w:type="gramStart"/>
      <w:r>
        <w:rPr>
          <w:b/>
          <w:sz w:val="32"/>
          <w:szCs w:val="32"/>
          <w:lang w:val="en-GB"/>
        </w:rPr>
        <w:t>Student :</w:t>
      </w:r>
      <w:proofErr w:type="gramEnd"/>
      <w:r>
        <w:rPr>
          <w:b/>
          <w:sz w:val="32"/>
          <w:szCs w:val="32"/>
          <w:lang w:val="en-GB"/>
        </w:rPr>
        <w:t xml:space="preserve"> Rositsa </w:t>
      </w:r>
      <w:proofErr w:type="spellStart"/>
      <w:r>
        <w:rPr>
          <w:b/>
          <w:sz w:val="32"/>
          <w:szCs w:val="32"/>
          <w:lang w:val="en-GB"/>
        </w:rPr>
        <w:t>Mateva</w:t>
      </w:r>
      <w:proofErr w:type="spellEnd"/>
      <w:r>
        <w:rPr>
          <w:b/>
          <w:sz w:val="32"/>
          <w:szCs w:val="32"/>
          <w:lang w:val="en-GB"/>
        </w:rPr>
        <w:t xml:space="preserve"> ( ID: 2022688 )</w:t>
      </w:r>
    </w:p>
    <w:p w14:paraId="0EE39E7B" w14:textId="7099742C" w:rsidR="00AF2EE1" w:rsidRDefault="00AF2EE1" w:rsidP="009D5037">
      <w:pPr>
        <w:jc w:val="center"/>
        <w:rPr>
          <w:b/>
          <w:sz w:val="32"/>
          <w:szCs w:val="32"/>
          <w:lang w:val="en-GB"/>
        </w:rPr>
      </w:pPr>
      <w:proofErr w:type="gramStart"/>
      <w:r>
        <w:rPr>
          <w:b/>
          <w:sz w:val="32"/>
          <w:szCs w:val="32"/>
          <w:lang w:val="en-GB"/>
        </w:rPr>
        <w:t>Lecture :</w:t>
      </w:r>
      <w:proofErr w:type="gramEnd"/>
      <w:r>
        <w:rPr>
          <w:b/>
          <w:sz w:val="32"/>
          <w:szCs w:val="32"/>
          <w:lang w:val="en-GB"/>
        </w:rPr>
        <w:t xml:space="preserve"> Xavier </w:t>
      </w:r>
      <w:proofErr w:type="spellStart"/>
      <w:r>
        <w:rPr>
          <w:b/>
          <w:sz w:val="32"/>
          <w:szCs w:val="32"/>
          <w:lang w:val="en-GB"/>
        </w:rPr>
        <w:t>Matieni</w:t>
      </w:r>
      <w:proofErr w:type="spellEnd"/>
    </w:p>
    <w:p w14:paraId="4A0AAA5A" w14:textId="16362DF7" w:rsidR="00AF2EE1" w:rsidRDefault="00AF2EE1" w:rsidP="009D5037">
      <w:pPr>
        <w:jc w:val="center"/>
        <w:rPr>
          <w:b/>
          <w:sz w:val="32"/>
          <w:szCs w:val="32"/>
          <w:lang w:val="en-GB"/>
        </w:rPr>
      </w:pPr>
    </w:p>
    <w:p w14:paraId="378E2C74" w14:textId="644C422B" w:rsidR="00AF2EE1" w:rsidRDefault="00AF2EE1" w:rsidP="009D5037">
      <w:pPr>
        <w:jc w:val="center"/>
        <w:rPr>
          <w:b/>
          <w:sz w:val="32"/>
          <w:szCs w:val="32"/>
          <w:lang w:val="en-GB"/>
        </w:rPr>
      </w:pPr>
    </w:p>
    <w:p w14:paraId="5C935844" w14:textId="1BAE1115" w:rsidR="00AF2EE1" w:rsidRDefault="00AF2EE1" w:rsidP="009D5037">
      <w:pPr>
        <w:jc w:val="center"/>
        <w:rPr>
          <w:b/>
          <w:sz w:val="32"/>
          <w:szCs w:val="32"/>
          <w:lang w:val="en-GB"/>
        </w:rPr>
      </w:pPr>
    </w:p>
    <w:p w14:paraId="7FD20713" w14:textId="376669CD" w:rsidR="00AF2EE1" w:rsidRDefault="00AF2EE1" w:rsidP="009D5037">
      <w:pPr>
        <w:jc w:val="center"/>
        <w:rPr>
          <w:b/>
          <w:sz w:val="32"/>
          <w:szCs w:val="32"/>
          <w:lang w:val="en-GB"/>
        </w:rPr>
      </w:pPr>
    </w:p>
    <w:p w14:paraId="6EF5A7B9" w14:textId="613064A2" w:rsidR="00AF2EE1" w:rsidRDefault="00AF2EE1" w:rsidP="009D5037">
      <w:pPr>
        <w:jc w:val="center"/>
        <w:rPr>
          <w:b/>
          <w:sz w:val="32"/>
          <w:szCs w:val="32"/>
          <w:lang w:val="en-GB"/>
        </w:rPr>
      </w:pPr>
    </w:p>
    <w:p w14:paraId="18918195" w14:textId="2124E5BB" w:rsidR="00AF2EE1" w:rsidRDefault="00AF2EE1" w:rsidP="009D5037">
      <w:pPr>
        <w:jc w:val="center"/>
        <w:rPr>
          <w:b/>
          <w:sz w:val="32"/>
          <w:szCs w:val="32"/>
          <w:lang w:val="en-GB"/>
        </w:rPr>
      </w:pPr>
    </w:p>
    <w:p w14:paraId="1F8DFE0B" w14:textId="2557ADEF" w:rsidR="00AF2EE1" w:rsidRDefault="00AF2EE1" w:rsidP="009D5037">
      <w:pPr>
        <w:jc w:val="center"/>
        <w:rPr>
          <w:b/>
          <w:sz w:val="32"/>
          <w:szCs w:val="32"/>
          <w:lang w:val="en-GB"/>
        </w:rPr>
      </w:pPr>
    </w:p>
    <w:p w14:paraId="2FB87DAC" w14:textId="53B9ECC6" w:rsidR="00AF2EE1" w:rsidRDefault="00AF2EE1" w:rsidP="009D5037">
      <w:pPr>
        <w:jc w:val="center"/>
        <w:rPr>
          <w:b/>
          <w:sz w:val="32"/>
          <w:szCs w:val="32"/>
          <w:lang w:val="en-GB"/>
        </w:rPr>
      </w:pPr>
    </w:p>
    <w:p w14:paraId="1EBD581A" w14:textId="60E98DB3" w:rsidR="00AF2EE1" w:rsidRDefault="00AF2EE1" w:rsidP="009D5037">
      <w:pPr>
        <w:jc w:val="center"/>
        <w:rPr>
          <w:b/>
          <w:sz w:val="32"/>
          <w:szCs w:val="32"/>
          <w:lang w:val="en-GB"/>
        </w:rPr>
      </w:pPr>
    </w:p>
    <w:p w14:paraId="7AEDE4F7" w14:textId="1375C8E0" w:rsidR="00AF2EE1" w:rsidRDefault="00AF2EE1" w:rsidP="009D5037">
      <w:pPr>
        <w:jc w:val="center"/>
        <w:rPr>
          <w:b/>
          <w:sz w:val="32"/>
          <w:szCs w:val="32"/>
          <w:lang w:val="en-GB"/>
        </w:rPr>
      </w:pPr>
    </w:p>
    <w:p w14:paraId="28A7F7A4" w14:textId="4ED4263E" w:rsidR="00AF2EE1" w:rsidRDefault="00AF2EE1" w:rsidP="009D5037">
      <w:pPr>
        <w:jc w:val="center"/>
        <w:rPr>
          <w:b/>
          <w:sz w:val="32"/>
          <w:szCs w:val="32"/>
          <w:lang w:val="en-GB"/>
        </w:rPr>
      </w:pPr>
    </w:p>
    <w:p w14:paraId="3BCC064B" w14:textId="1D1A490F" w:rsidR="00AF2EE1" w:rsidRDefault="00AF2EE1" w:rsidP="009D5037">
      <w:pPr>
        <w:jc w:val="center"/>
        <w:rPr>
          <w:b/>
          <w:sz w:val="32"/>
          <w:szCs w:val="32"/>
          <w:lang w:val="en-GB"/>
        </w:rPr>
      </w:pPr>
    </w:p>
    <w:p w14:paraId="147187D0" w14:textId="6273F55A" w:rsidR="00AF2EE1" w:rsidRDefault="00AF2EE1" w:rsidP="009D5037">
      <w:pPr>
        <w:jc w:val="center"/>
        <w:rPr>
          <w:b/>
          <w:sz w:val="32"/>
          <w:szCs w:val="32"/>
          <w:lang w:val="en-GB"/>
        </w:rPr>
      </w:pPr>
    </w:p>
    <w:p w14:paraId="15985FC8" w14:textId="77777777" w:rsidR="00AF2EE1" w:rsidRPr="00AF2EE1" w:rsidRDefault="00AF2EE1" w:rsidP="009D5037">
      <w:pPr>
        <w:jc w:val="center"/>
        <w:rPr>
          <w:b/>
          <w:sz w:val="32"/>
          <w:szCs w:val="32"/>
          <w:lang w:val="en-GB"/>
        </w:rPr>
      </w:pPr>
    </w:p>
    <w:p w14:paraId="52A99C4B" w14:textId="77777777" w:rsidR="00AF2EE1" w:rsidRDefault="00AF2EE1" w:rsidP="009D5037">
      <w:pPr>
        <w:jc w:val="center"/>
        <w:rPr>
          <w:b/>
        </w:rPr>
      </w:pPr>
    </w:p>
    <w:p w14:paraId="483ACDB6" w14:textId="6A6C2A8F" w:rsidR="00EF1ACE" w:rsidRPr="009D5037" w:rsidRDefault="00EF1ACE" w:rsidP="009D5037">
      <w:pPr>
        <w:jc w:val="center"/>
        <w:rPr>
          <w:b/>
        </w:rPr>
      </w:pPr>
      <w:r w:rsidRPr="009D5037">
        <w:rPr>
          <w:b/>
        </w:rPr>
        <w:t>Part 1</w:t>
      </w:r>
    </w:p>
    <w:p w14:paraId="12F2A240" w14:textId="77777777" w:rsidR="003E21DC" w:rsidRPr="009D5037" w:rsidRDefault="0095148C" w:rsidP="00512564">
      <w:pPr>
        <w:rPr>
          <w:b/>
        </w:rPr>
      </w:pPr>
      <w:r w:rsidRPr="009D5037">
        <w:rPr>
          <w:b/>
        </w:rPr>
        <w:t>The Chosen Product</w:t>
      </w:r>
    </w:p>
    <w:p w14:paraId="014730A5" w14:textId="77777777" w:rsidR="00453F78" w:rsidRDefault="009D5037" w:rsidP="00512564">
      <w:r>
        <w:t>The chosen product is oil, one of the most important input products all over the world.</w:t>
      </w:r>
      <w:r w:rsidR="00C70AA8">
        <w:t xml:space="preserve"> There are, however, numerous oil companies all over the world. Hence, the focus company in this paper is the </w:t>
      </w:r>
      <w:r w:rsidR="00C70AA8" w:rsidRPr="00C70AA8">
        <w:t>Shell Energy Holdings Australia Limited</w:t>
      </w:r>
      <w:r w:rsidR="00C70AA8">
        <w:t xml:space="preserve"> from Australia. </w:t>
      </w:r>
      <w:r w:rsidR="00C70AA8" w:rsidRPr="00C70AA8">
        <w:t>An unlisted public business with foreign ownership, Shell Energy Holdings Australia Limited generates income from the exploration, assessment, development, and production of hydrocarbons, including oil, gas, and liquefied natural gas. Around 2,200 people work for the company, which has operations throughout Australia and is run out of Perth, Western Australia.</w:t>
      </w:r>
      <w:r w:rsidR="00FC386F" w:rsidRPr="00FC386F">
        <w:t xml:space="preserve"> Shell Energy provides business energy solutions and innovation across a portfolio of gas, electricity, environmental products and energy productivity solutions to commercial and industrial customers, helping them to thrive through the energy transition.</w:t>
      </w:r>
    </w:p>
    <w:p w14:paraId="2321D0AE" w14:textId="77777777" w:rsidR="0095148C" w:rsidRPr="00453F78" w:rsidRDefault="00EF1ACE" w:rsidP="00512564">
      <w:pPr>
        <w:rPr>
          <w:b/>
        </w:rPr>
      </w:pPr>
      <w:r w:rsidRPr="00453F78">
        <w:rPr>
          <w:b/>
        </w:rPr>
        <w:t>Reason for Choosing the Product</w:t>
      </w:r>
    </w:p>
    <w:p w14:paraId="634F7987" w14:textId="77777777" w:rsidR="00EF1ACE" w:rsidRDefault="00453F78" w:rsidP="00512564">
      <w:r w:rsidRPr="00453F78">
        <w:t>For many years, the oil sector has had a significant impact on our world's politics and economy. As 2020 takes off, we're understanding that demand might not be as strong as it previously was. Oil prices have fallen dramatically as a result of transportation restrictions brought on by the coronavirus in Asia. Additionally, there has been a significant pushback against fossil fuels in recent years, which has put increasing pressure on global oil companies to discover sustainable energy for the world. Despite the fact that there is still a high demand for oil and a limited supply, people are increasingly turning to alternative forms of energy.</w:t>
      </w:r>
    </w:p>
    <w:p w14:paraId="7AF61EF9" w14:textId="77777777" w:rsidR="00FC386F" w:rsidRDefault="00FC386F" w:rsidP="00512564">
      <w:r>
        <w:t xml:space="preserve">Because of the volatility of the oil market with the many factors influencing the demand and supply for oil, it is interesting to see the dynamics behind the working of the oil market – specifically, how oil prices </w:t>
      </w:r>
      <w:r w:rsidR="005C6460">
        <w:t>change</w:t>
      </w:r>
      <w:r>
        <w:t xml:space="preserve"> over time because of factors affecting or influencing oil demand and oil supply. </w:t>
      </w:r>
    </w:p>
    <w:p w14:paraId="4F0F2068" w14:textId="77777777" w:rsidR="005C6460" w:rsidRDefault="005C6460" w:rsidP="00512564"/>
    <w:p w14:paraId="125B09A1" w14:textId="77777777" w:rsidR="00EF1ACE" w:rsidRPr="005C6460" w:rsidRDefault="00EF1ACE" w:rsidP="0030123B">
      <w:pPr>
        <w:jc w:val="center"/>
        <w:rPr>
          <w:b/>
        </w:rPr>
      </w:pPr>
      <w:r w:rsidRPr="005C6460">
        <w:rPr>
          <w:b/>
        </w:rPr>
        <w:t>Part 2</w:t>
      </w:r>
    </w:p>
    <w:p w14:paraId="498D22C8" w14:textId="77777777" w:rsidR="00EF1ACE" w:rsidRDefault="009D3756" w:rsidP="00512564">
      <w:pPr>
        <w:rPr>
          <w:b/>
        </w:rPr>
      </w:pPr>
      <w:r w:rsidRPr="0030123B">
        <w:rPr>
          <w:b/>
        </w:rPr>
        <w:t>Price of Substitutes</w:t>
      </w:r>
    </w:p>
    <w:p w14:paraId="467C1C76" w14:textId="77777777" w:rsidR="0030123B" w:rsidRDefault="0030123B" w:rsidP="00512564">
      <w:r w:rsidRPr="0030123B">
        <w:t>Nuclear power, solar power, ethanol, and wind power are some of the primary substitutes for oil and gas energy. In the domestic and international energy markets, fossil fuels still outweigh these alternatives, but there is strong public support for increasing their use as industries move toward sustainability and more environmentally friendly corporate practices.</w:t>
      </w:r>
    </w:p>
    <w:p w14:paraId="225CB17D" w14:textId="77777777" w:rsidR="00387ECE" w:rsidRDefault="00387ECE" w:rsidP="00512564">
      <w:r>
        <w:t xml:space="preserve">Now, let us take a look how changes in the price of these substitutes will affect the oil market. Let us consider ethanol as a substitute. Before any change, suppose the oil market is in equilibrium as shown in figure 1 below. </w:t>
      </w:r>
    </w:p>
    <w:p w14:paraId="5911BAFC" w14:textId="77777777" w:rsidR="009D3756" w:rsidRDefault="0030123B" w:rsidP="00512564">
      <w:r>
        <w:rPr>
          <w:noProof/>
        </w:rPr>
        <w:lastRenderedPageBreak/>
        <w:drawing>
          <wp:inline distT="0" distB="0" distL="0" distR="0" wp14:anchorId="440D7705" wp14:editId="539BC66B">
            <wp:extent cx="5372100"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72100" cy="3314700"/>
                    </a:xfrm>
                    <a:prstGeom prst="rect">
                      <a:avLst/>
                    </a:prstGeom>
                    <a:noFill/>
                    <a:ln>
                      <a:noFill/>
                    </a:ln>
                  </pic:spPr>
                </pic:pic>
              </a:graphicData>
            </a:graphic>
          </wp:inline>
        </w:drawing>
      </w:r>
    </w:p>
    <w:p w14:paraId="183F46B1" w14:textId="77777777" w:rsidR="008811AC" w:rsidRDefault="008811AC" w:rsidP="008811AC">
      <w:pPr>
        <w:jc w:val="center"/>
      </w:pPr>
      <w:r>
        <w:t>Figure 1. Oil Market in Equilibrium</w:t>
      </w:r>
    </w:p>
    <w:p w14:paraId="4E87B26A" w14:textId="77777777" w:rsidR="008811AC" w:rsidRDefault="008811AC" w:rsidP="00387ECE"/>
    <w:p w14:paraId="46D47C9A" w14:textId="77777777" w:rsidR="00387ECE" w:rsidRPr="0030123B" w:rsidRDefault="00387ECE" w:rsidP="00387ECE">
      <w:r>
        <w:t>According to Trading Economics (</w:t>
      </w:r>
      <w:hyperlink r:id="rId5" w:history="1">
        <w:r w:rsidRPr="00A8020D">
          <w:rPr>
            <w:rStyle w:val="Hyperlink"/>
          </w:rPr>
          <w:t>https://tradingeconomics.com/commodity/ethanol</w:t>
        </w:r>
      </w:hyperlink>
      <w:r>
        <w:t xml:space="preserve">, 2022), the price of ethanol decreased since the beginning of 2022. </w:t>
      </w:r>
      <w:r w:rsidR="008811AC">
        <w:t xml:space="preserve">From standard economic theory, </w:t>
      </w:r>
      <w:r w:rsidR="00F94330">
        <w:t>an increase in the price of a substitute for a good will increase the demand for that good while a decrease in the price of a substitute for a good will decrease the demand for that good. Since ethanol is a substitute of oil fuel and its price has recently decreased, we can expect the demand for oil fuel to decrease. This is illustrated by the leftward shift in the demand for oil from D1 to D2</w:t>
      </w:r>
      <w:r w:rsidR="000F3E61">
        <w:t xml:space="preserve"> in figure </w:t>
      </w:r>
      <w:r w:rsidR="008904A7">
        <w:t>2</w:t>
      </w:r>
      <w:r w:rsidR="000F3E61">
        <w:t xml:space="preserve"> below</w:t>
      </w:r>
      <w:r w:rsidR="00F94330">
        <w:t xml:space="preserve">. As a result, the equilibrium price and quantity of oil both decreases. </w:t>
      </w:r>
      <w:r>
        <w:t xml:space="preserve"> </w:t>
      </w:r>
    </w:p>
    <w:p w14:paraId="60BCEF98" w14:textId="77777777" w:rsidR="00387ECE" w:rsidRDefault="00AA2AF7" w:rsidP="00AA2AF7">
      <w:pPr>
        <w:jc w:val="center"/>
      </w:pPr>
      <w:r>
        <w:rPr>
          <w:noProof/>
        </w:rPr>
        <w:lastRenderedPageBreak/>
        <w:drawing>
          <wp:inline distT="0" distB="0" distL="0" distR="0" wp14:anchorId="1A17DB47" wp14:editId="2043F58E">
            <wp:extent cx="5400675" cy="3248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0675" cy="3248025"/>
                    </a:xfrm>
                    <a:prstGeom prst="rect">
                      <a:avLst/>
                    </a:prstGeom>
                    <a:noFill/>
                    <a:ln>
                      <a:noFill/>
                    </a:ln>
                  </pic:spPr>
                </pic:pic>
              </a:graphicData>
            </a:graphic>
          </wp:inline>
        </w:drawing>
      </w:r>
    </w:p>
    <w:p w14:paraId="4B407748" w14:textId="77777777" w:rsidR="00AA2AF7" w:rsidRDefault="00AA2AF7" w:rsidP="00AA2AF7">
      <w:pPr>
        <w:jc w:val="center"/>
      </w:pPr>
      <w:r>
        <w:t>Figure 2. Result of a decrease in the price of ethanol as a substitute good for oil</w:t>
      </w:r>
    </w:p>
    <w:p w14:paraId="032CCF90" w14:textId="77777777" w:rsidR="00AA2AF7" w:rsidRDefault="00AA2AF7" w:rsidP="00512564"/>
    <w:p w14:paraId="692388F3" w14:textId="77777777" w:rsidR="009D3756" w:rsidRPr="00AA2AF7" w:rsidRDefault="009D3756" w:rsidP="00512564">
      <w:pPr>
        <w:rPr>
          <w:b/>
        </w:rPr>
      </w:pPr>
      <w:r w:rsidRPr="00AA2AF7">
        <w:rPr>
          <w:b/>
        </w:rPr>
        <w:t>Price of Complements</w:t>
      </w:r>
    </w:p>
    <w:p w14:paraId="1349B09E" w14:textId="77777777" w:rsidR="00E96670" w:rsidRDefault="00AA2AF7" w:rsidP="00512564">
      <w:r>
        <w:t xml:space="preserve">Vehicles and oil fuel are considered as complementary goods. That is, </w:t>
      </w:r>
      <w:r w:rsidR="00672B7F">
        <w:t xml:space="preserve">one cannot drive a vehicle without oil fuel in it. Cars need oil fuel to function. It cannot be used alone. </w:t>
      </w:r>
      <w:r w:rsidR="00F043EC">
        <w:t>According to in2013dollars (</w:t>
      </w:r>
      <w:hyperlink r:id="rId7" w:history="1">
        <w:r w:rsidR="00F043EC" w:rsidRPr="00A8020D">
          <w:rPr>
            <w:rStyle w:val="Hyperlink"/>
          </w:rPr>
          <w:t>https://www.in2013dollars.com/New-cars/price-inflation</w:t>
        </w:r>
      </w:hyperlink>
      <w:r w:rsidR="00F043EC">
        <w:t xml:space="preserve">, 2022), the car industry has faced significant inflation ever since. Car inflation was at 0.81 percent in 2020, which substantially grew to 5.56 percent in 2021, and then even doubled up to 10.57 percent in 2022. Thus, the price of cars </w:t>
      </w:r>
      <w:proofErr w:type="gramStart"/>
      <w:r w:rsidR="00F043EC">
        <w:t>have</w:t>
      </w:r>
      <w:proofErr w:type="gramEnd"/>
      <w:r w:rsidR="00F043EC">
        <w:t xml:space="preserve"> been increasing. </w:t>
      </w:r>
    </w:p>
    <w:p w14:paraId="0D095BD1" w14:textId="77777777" w:rsidR="009D3756" w:rsidRDefault="008104BC" w:rsidP="00512564">
      <w:r>
        <w:t xml:space="preserve">According to standard economic theory, an increase in the price of a </w:t>
      </w:r>
      <w:r w:rsidR="00FA2C67">
        <w:t>complement</w:t>
      </w:r>
      <w:r>
        <w:t xml:space="preserve"> for a good will </w:t>
      </w:r>
      <w:r w:rsidR="00100F89">
        <w:t>decrease</w:t>
      </w:r>
      <w:r>
        <w:t xml:space="preserve"> the demand for that good while a decrease in the price of a </w:t>
      </w:r>
      <w:r w:rsidR="00100F89">
        <w:t>complement</w:t>
      </w:r>
      <w:r>
        <w:t xml:space="preserve"> for a good will </w:t>
      </w:r>
      <w:r w:rsidR="00100F89">
        <w:t>increase</w:t>
      </w:r>
      <w:r>
        <w:t xml:space="preserve"> the demand for that good. Since </w:t>
      </w:r>
      <w:r w:rsidR="00100F89">
        <w:t>oil fuel</w:t>
      </w:r>
      <w:r>
        <w:t xml:space="preserve"> is </w:t>
      </w:r>
      <w:r w:rsidR="00100F89">
        <w:t>a complementary good to cars/vehicles</w:t>
      </w:r>
      <w:r>
        <w:t xml:space="preserve"> and its price has recently </w:t>
      </w:r>
      <w:r w:rsidR="00100F89">
        <w:t>increased</w:t>
      </w:r>
      <w:r>
        <w:t>, we can expect the demand for oil fuel to decrease. This is illustrated by the leftward shift in the demand for oil from D1 to D2</w:t>
      </w:r>
      <w:r w:rsidR="00100F89">
        <w:t xml:space="preserve"> in figure </w:t>
      </w:r>
      <w:r w:rsidR="008904A7">
        <w:t>3</w:t>
      </w:r>
      <w:r w:rsidR="00100F89">
        <w:t xml:space="preserve"> below</w:t>
      </w:r>
      <w:r>
        <w:t xml:space="preserve">. As a result, the equilibrium price and quantity of oil both decreases.  </w:t>
      </w:r>
    </w:p>
    <w:p w14:paraId="3B14202A" w14:textId="77777777" w:rsidR="008104BC" w:rsidRDefault="008104BC" w:rsidP="00512564">
      <w:r>
        <w:rPr>
          <w:noProof/>
        </w:rPr>
        <w:lastRenderedPageBreak/>
        <w:drawing>
          <wp:inline distT="0" distB="0" distL="0" distR="0" wp14:anchorId="6A301C5B" wp14:editId="52BCABBE">
            <wp:extent cx="5400675" cy="32480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0675" cy="3248025"/>
                    </a:xfrm>
                    <a:prstGeom prst="rect">
                      <a:avLst/>
                    </a:prstGeom>
                    <a:noFill/>
                    <a:ln>
                      <a:noFill/>
                    </a:ln>
                  </pic:spPr>
                </pic:pic>
              </a:graphicData>
            </a:graphic>
          </wp:inline>
        </w:drawing>
      </w:r>
    </w:p>
    <w:p w14:paraId="0E22D0CA" w14:textId="77777777" w:rsidR="000F3E61" w:rsidRDefault="000F3E61" w:rsidP="000F3E61">
      <w:pPr>
        <w:jc w:val="center"/>
      </w:pPr>
      <w:r>
        <w:t>Figure 3. Result of an increase in the price of car as a complementary good for oil</w:t>
      </w:r>
      <w:r w:rsidR="00772FCC">
        <w:t xml:space="preserve"> fuel</w:t>
      </w:r>
    </w:p>
    <w:p w14:paraId="68B08D94" w14:textId="77777777" w:rsidR="000F3E61" w:rsidRDefault="000F3E61" w:rsidP="00512564"/>
    <w:p w14:paraId="58344972" w14:textId="77777777" w:rsidR="009D3756" w:rsidRPr="00807156" w:rsidRDefault="009D3756" w:rsidP="00512564">
      <w:pPr>
        <w:rPr>
          <w:b/>
        </w:rPr>
      </w:pPr>
      <w:r w:rsidRPr="00807156">
        <w:rPr>
          <w:b/>
        </w:rPr>
        <w:t>Consumer Income</w:t>
      </w:r>
    </w:p>
    <w:p w14:paraId="68F27CB8" w14:textId="77777777" w:rsidR="009D3756" w:rsidRDefault="007F66D0" w:rsidP="00512564">
      <w:r>
        <w:t>Oil fuel</w:t>
      </w:r>
      <w:r w:rsidR="00D830F8" w:rsidRPr="00D830F8">
        <w:t xml:space="preserve"> is a normal good, since oil demand increases in line with an increase in income.</w:t>
      </w:r>
      <w:r>
        <w:t xml:space="preserve"> With higher income or purchasing power, people can buy more oil fuel to be used for things like driving their car more instead of commuting, going on long trips, etc. </w:t>
      </w:r>
    </w:p>
    <w:p w14:paraId="39A784AC" w14:textId="77777777" w:rsidR="00D04DEE" w:rsidRDefault="00251994" w:rsidP="00512564">
      <w:r>
        <w:t>According to IBISWorld (</w:t>
      </w:r>
      <w:hyperlink r:id="rId8" w:history="1">
        <w:r w:rsidRPr="00A8020D">
          <w:rPr>
            <w:rStyle w:val="Hyperlink"/>
          </w:rPr>
          <w:t>https://www.ibisworld.com/au/bed/real-household-disposable-income/33/</w:t>
        </w:r>
      </w:hyperlink>
      <w:r>
        <w:t xml:space="preserve">, 2022), in Australia, forecasts suggest that real </w:t>
      </w:r>
      <w:r w:rsidR="00877750">
        <w:t xml:space="preserve">household disposable income will fall by about 0.8 percent in 2022 to 2023 primarily due to rising interest rates and high inflation. </w:t>
      </w:r>
      <w:r w:rsidR="00B1274E">
        <w:t xml:space="preserve">According to standard economic theory, an increase in consumer incomes will lead to a higher demand for a normal good while a decrease in consumer incomes will lead to a lower demand for a normal good. Since it is projected that consumer incomes will fall, there will be a lower demand for oil fuel as a normal good. </w:t>
      </w:r>
      <w:r w:rsidR="00787038">
        <w:t xml:space="preserve">This is illustrated by the leftward shift in the demand for oil from D1 to D2 in figure </w:t>
      </w:r>
      <w:r w:rsidR="007F6C2A">
        <w:t>4</w:t>
      </w:r>
      <w:r w:rsidR="00787038">
        <w:t xml:space="preserve"> below. As a result, the equilibrium price and quantity of oil both decreases.  </w:t>
      </w:r>
    </w:p>
    <w:p w14:paraId="6A998E8D" w14:textId="77777777" w:rsidR="00787038" w:rsidRDefault="00787038" w:rsidP="00787038">
      <w:r>
        <w:rPr>
          <w:noProof/>
        </w:rPr>
        <w:lastRenderedPageBreak/>
        <w:drawing>
          <wp:inline distT="0" distB="0" distL="0" distR="0" wp14:anchorId="2B158C50" wp14:editId="74B4AF4D">
            <wp:extent cx="5400675" cy="32480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0675" cy="3248025"/>
                    </a:xfrm>
                    <a:prstGeom prst="rect">
                      <a:avLst/>
                    </a:prstGeom>
                    <a:noFill/>
                    <a:ln>
                      <a:noFill/>
                    </a:ln>
                  </pic:spPr>
                </pic:pic>
              </a:graphicData>
            </a:graphic>
          </wp:inline>
        </w:drawing>
      </w:r>
    </w:p>
    <w:p w14:paraId="1FFEAFC9" w14:textId="77777777" w:rsidR="00787038" w:rsidRDefault="00787038" w:rsidP="00787038">
      <w:pPr>
        <w:jc w:val="center"/>
      </w:pPr>
      <w:r>
        <w:t xml:space="preserve">Figure </w:t>
      </w:r>
      <w:r w:rsidR="00AE4A4F">
        <w:t>4</w:t>
      </w:r>
      <w:r>
        <w:t xml:space="preserve">. Result of </w:t>
      </w:r>
      <w:r w:rsidR="00935E20">
        <w:t>a decrease in consumer incomes to the equilibrium quantity and price of oil fuel</w:t>
      </w:r>
    </w:p>
    <w:p w14:paraId="08AA6F77" w14:textId="77777777" w:rsidR="00787038" w:rsidRDefault="00787038" w:rsidP="00512564"/>
    <w:p w14:paraId="0D82D99D" w14:textId="77777777" w:rsidR="009D3756" w:rsidRPr="00CD1355" w:rsidRDefault="009D3756" w:rsidP="00512564">
      <w:pPr>
        <w:rPr>
          <w:b/>
        </w:rPr>
      </w:pPr>
      <w:r w:rsidRPr="00CD1355">
        <w:rPr>
          <w:b/>
        </w:rPr>
        <w:t>Consumer Tastes and Preferences</w:t>
      </w:r>
    </w:p>
    <w:p w14:paraId="6FE3040B" w14:textId="77777777" w:rsidR="009D3756" w:rsidRDefault="006C1E17" w:rsidP="00512564">
      <w:r>
        <w:t xml:space="preserve">Consumer tastes and preferences for using oil fuel can be influenced by a lot of factors especially since oil fuel is used not only for cars or vehicles but for a lot of other purposes as well such as in </w:t>
      </w:r>
      <w:r w:rsidR="00EC0455">
        <w:t xml:space="preserve">the operation of </w:t>
      </w:r>
      <w:r>
        <w:t xml:space="preserve">machines that need oil fuel. </w:t>
      </w:r>
      <w:r w:rsidR="00CF4CF5">
        <w:t xml:space="preserve">Let us focus on one specific factor that could affect the tastes and preferences of consumers for oil fuel: the </w:t>
      </w:r>
      <w:r w:rsidR="007D73CF">
        <w:t xml:space="preserve">preference of people to walk or ride a bicycle instead of riding their cars. If people suddenly </w:t>
      </w:r>
      <w:proofErr w:type="gramStart"/>
      <w:r w:rsidR="007D73CF">
        <w:t>prefers</w:t>
      </w:r>
      <w:proofErr w:type="gramEnd"/>
      <w:r w:rsidR="007D73CF">
        <w:t xml:space="preserve"> to walk </w:t>
      </w:r>
      <w:r w:rsidR="00452F30">
        <w:t>or</w:t>
      </w:r>
      <w:r w:rsidR="007D73CF">
        <w:t xml:space="preserve"> ride a bicycle than ride their car, then there will be a decrease in the demand for oil. </w:t>
      </w:r>
    </w:p>
    <w:p w14:paraId="731F1A0C" w14:textId="77777777" w:rsidR="00AA1B6F" w:rsidRDefault="00AA1B6F" w:rsidP="00512564">
      <w:r>
        <w:t>According to the results of the National Walking and Cycling Participation Survey in 2021 (</w:t>
      </w:r>
      <w:hyperlink r:id="rId9" w:tgtFrame="_blank" w:history="1">
        <w:r w:rsidRPr="00AA1B6F">
          <w:rPr>
            <w:rFonts w:ascii="Arial" w:hAnsi="Arial" w:cs="Arial"/>
            <w:color w:val="1A0DAB"/>
            <w:sz w:val="21"/>
            <w:szCs w:val="21"/>
            <w:u w:val="single"/>
            <w:shd w:val="clear" w:color="auto" w:fill="FFFFFF"/>
          </w:rPr>
          <w:t>https://www.cwanz.com.au/wp-content/uploads/2021/08/NWCPS_2021_report_v2.0.pdf</w:t>
        </w:r>
      </w:hyperlink>
      <w:r>
        <w:t>), the COVID-19 pandemic appears to have significantly increased cycling participation compared to 2019; measured over the past week the participation rate increased from 13.8% in 2019 (95% CI: 12.8% – 14.8%), to 18.2% (95% CI: 17.2% - 19.3%) in 2021. The marked increase in participation is experienced by all age groups aside from young adults aged 18 to 29 and is most marked among young children (aged under 10) and adults aged 30 to 49.</w:t>
      </w:r>
    </w:p>
    <w:p w14:paraId="0B372889" w14:textId="77777777" w:rsidR="00A474A1" w:rsidRDefault="00A474A1" w:rsidP="00512564">
      <w:r>
        <w:t>Since it has happened that people had preferred to walk or ride a bicycle than ride their car, then there will be a decrease in the demand for oil.</w:t>
      </w:r>
      <w:r w:rsidR="002E493A" w:rsidRPr="002E493A">
        <w:t xml:space="preserve"> </w:t>
      </w:r>
      <w:r w:rsidR="002E493A">
        <w:t xml:space="preserve">This is illustrated by the leftward shift in the demand for oil from D1 to D2 in figure 5 below. As a result, the equilibrium price and quantity of oil both decreases.  </w:t>
      </w:r>
    </w:p>
    <w:p w14:paraId="5E1AD214" w14:textId="77777777" w:rsidR="009E3E78" w:rsidRDefault="009E3E78" w:rsidP="009E3E78">
      <w:r>
        <w:rPr>
          <w:noProof/>
        </w:rPr>
        <w:lastRenderedPageBreak/>
        <w:drawing>
          <wp:inline distT="0" distB="0" distL="0" distR="0" wp14:anchorId="52B61FCC" wp14:editId="2FEEB4A5">
            <wp:extent cx="5400675" cy="32480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00675" cy="3248025"/>
                    </a:xfrm>
                    <a:prstGeom prst="rect">
                      <a:avLst/>
                    </a:prstGeom>
                    <a:noFill/>
                    <a:ln>
                      <a:noFill/>
                    </a:ln>
                  </pic:spPr>
                </pic:pic>
              </a:graphicData>
            </a:graphic>
          </wp:inline>
        </w:drawing>
      </w:r>
    </w:p>
    <w:p w14:paraId="45FA3FF4" w14:textId="77777777" w:rsidR="009E3E78" w:rsidRDefault="009E3E78" w:rsidP="009E3E78">
      <w:pPr>
        <w:jc w:val="center"/>
      </w:pPr>
      <w:r>
        <w:t xml:space="preserve">Figure 5. Result of </w:t>
      </w:r>
      <w:r w:rsidR="0024641F">
        <w:t>a decrease in consumer tastes and preferences for oil</w:t>
      </w:r>
    </w:p>
    <w:p w14:paraId="2C7442B1" w14:textId="77777777" w:rsidR="009E3E78" w:rsidRDefault="009E3E78" w:rsidP="00512564"/>
    <w:p w14:paraId="032F4BFB" w14:textId="77777777" w:rsidR="009D3756" w:rsidRPr="009A48D6" w:rsidRDefault="009D3756" w:rsidP="00512564">
      <w:pPr>
        <w:rPr>
          <w:b/>
        </w:rPr>
      </w:pPr>
      <w:r w:rsidRPr="009A48D6">
        <w:rPr>
          <w:b/>
        </w:rPr>
        <w:t>Consumer Expectations of Price</w:t>
      </w:r>
    </w:p>
    <w:p w14:paraId="4882A131" w14:textId="77777777" w:rsidR="009A48D6" w:rsidRDefault="001C4AE1" w:rsidP="00512564">
      <w:r w:rsidRPr="001C4AE1">
        <w:t>One of the demand shifters is buyers' expectations</w:t>
      </w:r>
      <w:r>
        <w:t xml:space="preserve"> of prices</w:t>
      </w:r>
      <w:r w:rsidRPr="001C4AE1">
        <w:t>. If a buyer expects the price of a good to go down in the future, they hold off buying it today, so the demand for that good today decreases. On the other hand, if a buyer expects the price to go up in the future, the demand for the good today increases.</w:t>
      </w:r>
    </w:p>
    <w:p w14:paraId="566EB9CE" w14:textId="77777777" w:rsidR="009D3756" w:rsidRDefault="009A48D6" w:rsidP="00512564">
      <w:r>
        <w:t>According to trading economics</w:t>
      </w:r>
      <w:r w:rsidR="00264CDB">
        <w:t xml:space="preserve"> (</w:t>
      </w:r>
      <w:hyperlink r:id="rId10" w:anchor=":~:text=Inflation%20Expectations%20in%20Australia%20is,according%20to%20our%20econometric%20models" w:history="1">
        <w:r w:rsidR="00264CDB" w:rsidRPr="00A8020D">
          <w:rPr>
            <w:rStyle w:val="Hyperlink"/>
          </w:rPr>
          <w:t>https://tradingeconomics.com/australia/inflation-expectations#:~:text=Inflation%20Expectations%20in%20Australia%20is,according%20to%20our%20econometric%20models</w:t>
        </w:r>
      </w:hyperlink>
      <w:r w:rsidR="00264CDB" w:rsidRPr="00264CDB">
        <w:t>.</w:t>
      </w:r>
      <w:r w:rsidR="00264CDB">
        <w:t>, 2022)</w:t>
      </w:r>
      <w:r>
        <w:t>, i</w:t>
      </w:r>
      <w:r w:rsidRPr="009A48D6">
        <w:t>nflation expectations in Australia increased to 6% in November 2022 from 5.4% in October, rising for the first time since June and possibly reflecting recent data on official inflation, according to the Melbourne Institute. The November inflation expectation figure, based on a survey of consumers’ median expectations for price growth over the coming 12 months, was also the highest reading since July. The report further noted that uncertainty about inflation appears to have increased, with a decline in the proportion of consumers expecting higher inflation, and an increase in the proportion reporting ‘don’t know’ for year-ahead inflation. Wage expectations continue to be weak, with beliefs about inflation significantly outpacing beliefs about future wages.</w:t>
      </w:r>
    </w:p>
    <w:p w14:paraId="70DAFEFB" w14:textId="77777777" w:rsidR="00A5528A" w:rsidRDefault="00A5528A" w:rsidP="00512564">
      <w:r>
        <w:t>Moreover, according to 7news</w:t>
      </w:r>
      <w:r w:rsidR="00BA064E">
        <w:t xml:space="preserve"> (</w:t>
      </w:r>
      <w:hyperlink r:id="rId11" w:history="1">
        <w:r w:rsidR="00BA064E" w:rsidRPr="00A8020D">
          <w:rPr>
            <w:rStyle w:val="Hyperlink"/>
          </w:rPr>
          <w:t>https://7news.com.au/lifestyle/personal-finance/cost-of-petrol-expected-to-rise-again-after-global-oil-producers-slash-output-c-8473167</w:t>
        </w:r>
      </w:hyperlink>
      <w:r w:rsidR="00BA064E">
        <w:t>, 2022)</w:t>
      </w:r>
      <w:r>
        <w:t>, the c</w:t>
      </w:r>
      <w:r w:rsidRPr="00A5528A">
        <w:t>ost of petrol</w:t>
      </w:r>
      <w:r w:rsidR="00D52BD8">
        <w:t xml:space="preserve"> is</w:t>
      </w:r>
      <w:r w:rsidRPr="00A5528A">
        <w:t xml:space="preserve"> expected to rise again after global oil producers slash output</w:t>
      </w:r>
      <w:r w:rsidR="00DC7776">
        <w:t>, hence bringing in m</w:t>
      </w:r>
      <w:r w:rsidR="00DC7776" w:rsidRPr="00DC7776">
        <w:t>ore pain for Australian motorists after already being hit with a big price hike.</w:t>
      </w:r>
    </w:p>
    <w:p w14:paraId="1C74D9A6" w14:textId="77777777" w:rsidR="00261508" w:rsidRDefault="00862014" w:rsidP="00261508">
      <w:r>
        <w:t xml:space="preserve">Since </w:t>
      </w:r>
      <w:r w:rsidR="00261508">
        <w:t xml:space="preserve">consumers expect that the overall price of goods and services will increase in the future, and since oil fuel is a major input good, then an expectation of an increase in the price of oil in the future will lead to an increase in the demand for that good today. This is illustrated by the rightward shift in the demand </w:t>
      </w:r>
      <w:r w:rsidR="00261508">
        <w:lastRenderedPageBreak/>
        <w:t xml:space="preserve">for oil from D1 to D2 in figure 6 below. As a result, the equilibrium price and quantity of oil both </w:t>
      </w:r>
      <w:r w:rsidR="00170D11">
        <w:t>increases</w:t>
      </w:r>
      <w:r w:rsidR="00261508">
        <w:t xml:space="preserve">.  </w:t>
      </w:r>
    </w:p>
    <w:p w14:paraId="49CE6F86" w14:textId="77777777" w:rsidR="00862014" w:rsidRDefault="00862014" w:rsidP="00512564"/>
    <w:p w14:paraId="0F9946B1" w14:textId="77777777" w:rsidR="00804271" w:rsidRDefault="00804271" w:rsidP="00512564">
      <w:r>
        <w:rPr>
          <w:noProof/>
        </w:rPr>
        <w:drawing>
          <wp:inline distT="0" distB="0" distL="0" distR="0" wp14:anchorId="7394E81E" wp14:editId="3299C05C">
            <wp:extent cx="5619750" cy="3171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9750" cy="3171825"/>
                    </a:xfrm>
                    <a:prstGeom prst="rect">
                      <a:avLst/>
                    </a:prstGeom>
                    <a:noFill/>
                    <a:ln>
                      <a:noFill/>
                    </a:ln>
                  </pic:spPr>
                </pic:pic>
              </a:graphicData>
            </a:graphic>
          </wp:inline>
        </w:drawing>
      </w:r>
    </w:p>
    <w:p w14:paraId="0639B412" w14:textId="77777777" w:rsidR="00804271" w:rsidRDefault="00804271" w:rsidP="00804271">
      <w:pPr>
        <w:jc w:val="center"/>
      </w:pPr>
      <w:r>
        <w:t>Figure 6. Result of a</w:t>
      </w:r>
      <w:r w:rsidR="005716ED">
        <w:t>n increase in expected prices of oil in the future</w:t>
      </w:r>
    </w:p>
    <w:p w14:paraId="6EBDB9C1" w14:textId="77777777" w:rsidR="00804271" w:rsidRDefault="00804271" w:rsidP="00512564"/>
    <w:p w14:paraId="7F8C092F" w14:textId="77777777" w:rsidR="009D3756" w:rsidRPr="005552C2" w:rsidRDefault="009D3756" w:rsidP="00512564">
      <w:pPr>
        <w:rPr>
          <w:b/>
        </w:rPr>
      </w:pPr>
      <w:r w:rsidRPr="005552C2">
        <w:rPr>
          <w:b/>
        </w:rPr>
        <w:t>Demographics</w:t>
      </w:r>
    </w:p>
    <w:p w14:paraId="3A495BD1" w14:textId="77777777" w:rsidR="00EF1ACE" w:rsidRDefault="00A76EB1" w:rsidP="00512564">
      <w:r>
        <w:t xml:space="preserve">The demographics </w:t>
      </w:r>
      <w:r w:rsidR="00B7799C">
        <w:t xml:space="preserve">indicated by the number of buyers or consumers affect the demand for a good or service. According to standard microeconomic theory, an increase in the number of buyers will increase the demand for a good or service while a decrease in the number of buyers will decrease the demand for a good or service. </w:t>
      </w:r>
    </w:p>
    <w:p w14:paraId="2B5431A0" w14:textId="77777777" w:rsidR="00B7799C" w:rsidRDefault="00B7799C" w:rsidP="00512564">
      <w:r>
        <w:t>According to Macrotrends (</w:t>
      </w:r>
      <w:hyperlink r:id="rId13" w:history="1">
        <w:r w:rsidRPr="00A8020D">
          <w:rPr>
            <w:rStyle w:val="Hyperlink"/>
          </w:rPr>
          <w:t>https://www.macrotrends.net/countries/AUS/australia/population-growth-rate</w:t>
        </w:r>
      </w:hyperlink>
      <w:r>
        <w:t xml:space="preserve">, 2022), the population of Australia has been increasing though at a decreasing rate. There was a 1.51 percent increase in 2019 from 2018, a 1.23 percent increase in 2020 from 2019, a 0.98 percent increase in 2021 from 2020, and a 0.99 percent increase in 2022 from 2021. </w:t>
      </w:r>
    </w:p>
    <w:p w14:paraId="580092A7" w14:textId="77777777" w:rsidR="005137A6" w:rsidRDefault="005137A6" w:rsidP="00512564">
      <w:r>
        <w:t xml:space="preserve">Because of this increase in the population of Australia, we can predict that there will be an increase in the demand for oil. </w:t>
      </w:r>
      <w:r w:rsidR="00CE09A7">
        <w:t xml:space="preserve">This is illustrated by the rightward shift in the demand for oil from D1 to D2 in figure </w:t>
      </w:r>
      <w:r w:rsidR="00D342E8">
        <w:t>7</w:t>
      </w:r>
      <w:r w:rsidR="00CE09A7">
        <w:t xml:space="preserve"> below. As a result, the equilibrium price and quantity of oil both increases.  </w:t>
      </w:r>
    </w:p>
    <w:p w14:paraId="2906EE1B" w14:textId="77777777" w:rsidR="00CE09A7" w:rsidRDefault="00CE09A7" w:rsidP="00CE09A7">
      <w:r>
        <w:rPr>
          <w:noProof/>
        </w:rPr>
        <w:lastRenderedPageBreak/>
        <w:drawing>
          <wp:inline distT="0" distB="0" distL="0" distR="0" wp14:anchorId="4F754DD5" wp14:editId="6237B7FF">
            <wp:extent cx="5619750" cy="31718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9750" cy="3171825"/>
                    </a:xfrm>
                    <a:prstGeom prst="rect">
                      <a:avLst/>
                    </a:prstGeom>
                    <a:noFill/>
                    <a:ln>
                      <a:noFill/>
                    </a:ln>
                  </pic:spPr>
                </pic:pic>
              </a:graphicData>
            </a:graphic>
          </wp:inline>
        </w:drawing>
      </w:r>
    </w:p>
    <w:p w14:paraId="09E948B2" w14:textId="77777777" w:rsidR="00CE09A7" w:rsidRDefault="00CE09A7" w:rsidP="0034686A">
      <w:pPr>
        <w:jc w:val="center"/>
      </w:pPr>
      <w:r>
        <w:t xml:space="preserve">Figure 7. Result of an increase </w:t>
      </w:r>
      <w:r w:rsidR="00700EF7">
        <w:t>in the number of buyers in Australia</w:t>
      </w:r>
    </w:p>
    <w:p w14:paraId="559681B2" w14:textId="77777777" w:rsidR="00E41B8A" w:rsidRDefault="00E41B8A" w:rsidP="00512564"/>
    <w:p w14:paraId="09FA69E0" w14:textId="77777777" w:rsidR="00EF1ACE" w:rsidRPr="00E41B8A" w:rsidRDefault="00EF1ACE" w:rsidP="00E41B8A">
      <w:pPr>
        <w:jc w:val="center"/>
        <w:rPr>
          <w:b/>
        </w:rPr>
      </w:pPr>
      <w:r w:rsidRPr="00E41B8A">
        <w:rPr>
          <w:b/>
        </w:rPr>
        <w:t>Part 3</w:t>
      </w:r>
    </w:p>
    <w:p w14:paraId="66BC728A" w14:textId="77777777" w:rsidR="00B0281B" w:rsidRPr="00B0281B" w:rsidRDefault="00B0281B" w:rsidP="00512564">
      <w:pPr>
        <w:rPr>
          <w:b/>
        </w:rPr>
      </w:pPr>
      <w:r w:rsidRPr="00B0281B">
        <w:rPr>
          <w:b/>
        </w:rPr>
        <w:t>Oil Fuel – a Necessity</w:t>
      </w:r>
    </w:p>
    <w:p w14:paraId="668312DD" w14:textId="77777777" w:rsidR="00EF1ACE" w:rsidRDefault="00E1603C" w:rsidP="00512564">
      <w:r>
        <w:t>A</w:t>
      </w:r>
      <w:r w:rsidRPr="00E1603C">
        <w:t xml:space="preserve"> necessity good or a necessary good is a type of normal good. Necessity goods are product and services that consumers will buy regardless of the changes in their income levels, therefore making these products less sensitive to income change. </w:t>
      </w:r>
      <w:r>
        <w:t xml:space="preserve">Generally speaking, oil fuel is a necessity good. Since oil fuel is an input to many types of economic activities, especially in the use of cars or vehicles and machines, oil fuel is less sensitive to changes in income. Thus, the demand for oil fuel is inelastic. </w:t>
      </w:r>
      <w:r w:rsidR="00323762" w:rsidRPr="00323762">
        <w:t>Oil has a low elasticity of demand, meaning that the demand for oil doesn't change significantly when the price for it changes, given how dependent the global economy is on it.</w:t>
      </w:r>
    </w:p>
    <w:p w14:paraId="4D77965B" w14:textId="77777777" w:rsidR="00323762" w:rsidRDefault="00323762" w:rsidP="00512564">
      <w:r>
        <w:t>According to EIA (</w:t>
      </w:r>
      <w:hyperlink r:id="rId14" w:history="1">
        <w:r w:rsidRPr="00A8020D">
          <w:rPr>
            <w:rStyle w:val="Hyperlink"/>
          </w:rPr>
          <w:t>https://www.eia.gov/todayinenergy/detail.php?id=19191</w:t>
        </w:r>
      </w:hyperlink>
      <w:r>
        <w:t xml:space="preserve">, 2022), gasoline prices tend to have little effect on demand for car travel. This means that even with the recent increase in oil prices due to supply shocks, </w:t>
      </w:r>
      <w:r w:rsidR="0073798B">
        <w:t xml:space="preserve">the demand for oil fuel will not decrease substantially. </w:t>
      </w:r>
    </w:p>
    <w:p w14:paraId="7FCFF460" w14:textId="77777777" w:rsidR="00E1603C" w:rsidRPr="00B0281B" w:rsidRDefault="00B0281B" w:rsidP="00512564">
      <w:pPr>
        <w:rPr>
          <w:b/>
        </w:rPr>
      </w:pPr>
      <w:r w:rsidRPr="00B0281B">
        <w:rPr>
          <w:b/>
        </w:rPr>
        <w:t>Income Inelastic</w:t>
      </w:r>
    </w:p>
    <w:p w14:paraId="67DF067A" w14:textId="77777777" w:rsidR="00B0281B" w:rsidRDefault="00E917DF" w:rsidP="00512564">
      <w:r w:rsidRPr="00E917DF">
        <w:t>Income elasticity of demand refers to the sensitivity of the quantity demanded for a certain good to a change in the real income of consumers who buy this good.</w:t>
      </w:r>
      <w:r w:rsidR="00F63DFD">
        <w:t xml:space="preserve"> </w:t>
      </w:r>
      <w:r w:rsidR="0010105B">
        <w:t>According to Abdullahi and Sani (</w:t>
      </w:r>
      <w:hyperlink r:id="rId15" w:tgtFrame="_blank" w:history="1">
        <w:r w:rsidR="0010105B">
          <w:rPr>
            <w:rStyle w:val="Hyperlink"/>
            <w:rFonts w:ascii="Arial" w:hAnsi="Arial" w:cs="Arial"/>
            <w:color w:val="1A0DAB"/>
            <w:sz w:val="21"/>
            <w:szCs w:val="21"/>
            <w:shd w:val="clear" w:color="auto" w:fill="FFFFFF"/>
          </w:rPr>
          <w:t>https://ier.ut.ac.ir/article_85089_309e0f3cf70d30bb407b7c8cecc3015a.pdf</w:t>
        </w:r>
      </w:hyperlink>
      <w:r w:rsidR="0010105B">
        <w:t xml:space="preserve">, 2022), oil fuel demand is income inelastic in the short run. This means that changes in consumer incomes does not significantly change the demand for oil fuel. In other words, when consumer income decreases, they will not substantially decrease their consumption of fuel. </w:t>
      </w:r>
    </w:p>
    <w:p w14:paraId="72085D0B" w14:textId="77777777" w:rsidR="0010105B" w:rsidRPr="00CF457C" w:rsidRDefault="00CF457C" w:rsidP="00512564">
      <w:pPr>
        <w:rPr>
          <w:b/>
        </w:rPr>
      </w:pPr>
      <w:r w:rsidRPr="00CF457C">
        <w:rPr>
          <w:b/>
        </w:rPr>
        <w:t>Pricing Policy</w:t>
      </w:r>
    </w:p>
    <w:p w14:paraId="45E67053" w14:textId="77777777" w:rsidR="00CF457C" w:rsidRDefault="00CF457C" w:rsidP="00512564">
      <w:r w:rsidRPr="00CF457C">
        <w:lastRenderedPageBreak/>
        <w:t xml:space="preserve">For an inelastic good, a one percent change in the price results in a less than one percent change in the quantity demanded. A price increase for an inelastic good will increase total revenue while a price decrease for an inelastic good </w:t>
      </w:r>
      <w:proofErr w:type="gramStart"/>
      <w:r w:rsidRPr="00CF457C">
        <w:t>decreases</w:t>
      </w:r>
      <w:proofErr w:type="gramEnd"/>
      <w:r w:rsidRPr="00CF457C">
        <w:t xml:space="preserve"> total revenue.</w:t>
      </w:r>
      <w:r>
        <w:t xml:space="preserve"> Hence, the recommended pricing policy for oil fuel, for the benefit of the suppliers, is to increase the price of oil fuel in order to gain more revenue. </w:t>
      </w:r>
      <w:r w:rsidR="001F1864">
        <w:t xml:space="preserve">However, of course, the oil industry is a complicated one. </w:t>
      </w:r>
    </w:p>
    <w:p w14:paraId="346FE769" w14:textId="77777777" w:rsidR="00EF1ACE" w:rsidRDefault="00E3621A" w:rsidP="00512564">
      <w:r w:rsidRPr="00E3621A">
        <w:t>Oil's price is mostly influenced by market supply and demand, like the majority of commodities. Oil production and extraction costs are also a significant consideration. Hedgers are people who reduce risk in the production or consumption of oil, while speculators wager on price movements. A group of countries that produce oil known as OPEC has some control over the supply of oil. Everything from the production of electricity to the need for gasoline for automobiles and airplanes drives the need for oil.</w:t>
      </w:r>
    </w:p>
    <w:sectPr w:rsidR="00EF1A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564"/>
    <w:rsid w:val="000F3E61"/>
    <w:rsid w:val="00100F89"/>
    <w:rsid w:val="0010105B"/>
    <w:rsid w:val="00170D11"/>
    <w:rsid w:val="001C4AE1"/>
    <w:rsid w:val="001F1864"/>
    <w:rsid w:val="00214125"/>
    <w:rsid w:val="0024641F"/>
    <w:rsid w:val="00251994"/>
    <w:rsid w:val="00261508"/>
    <w:rsid w:val="00264CDB"/>
    <w:rsid w:val="002E493A"/>
    <w:rsid w:val="0030123B"/>
    <w:rsid w:val="00323762"/>
    <w:rsid w:val="0034686A"/>
    <w:rsid w:val="00382CE0"/>
    <w:rsid w:val="00387ECE"/>
    <w:rsid w:val="003B0A39"/>
    <w:rsid w:val="003E21DC"/>
    <w:rsid w:val="0042728E"/>
    <w:rsid w:val="00452F30"/>
    <w:rsid w:val="00453F78"/>
    <w:rsid w:val="00512564"/>
    <w:rsid w:val="005137A6"/>
    <w:rsid w:val="005552C2"/>
    <w:rsid w:val="005716ED"/>
    <w:rsid w:val="005C6460"/>
    <w:rsid w:val="00650EDB"/>
    <w:rsid w:val="00672B7F"/>
    <w:rsid w:val="006C1E17"/>
    <w:rsid w:val="00700EF7"/>
    <w:rsid w:val="0072278F"/>
    <w:rsid w:val="0073798B"/>
    <w:rsid w:val="00756B1E"/>
    <w:rsid w:val="00772FCC"/>
    <w:rsid w:val="00787038"/>
    <w:rsid w:val="007D73CF"/>
    <w:rsid w:val="007F66D0"/>
    <w:rsid w:val="007F6C2A"/>
    <w:rsid w:val="00804271"/>
    <w:rsid w:val="00807156"/>
    <w:rsid w:val="008104BC"/>
    <w:rsid w:val="00862014"/>
    <w:rsid w:val="00877750"/>
    <w:rsid w:val="008811AC"/>
    <w:rsid w:val="008904A7"/>
    <w:rsid w:val="00935E20"/>
    <w:rsid w:val="0095148C"/>
    <w:rsid w:val="009A48D6"/>
    <w:rsid w:val="009D3756"/>
    <w:rsid w:val="009D5037"/>
    <w:rsid w:val="009E3E78"/>
    <w:rsid w:val="00A474A1"/>
    <w:rsid w:val="00A5528A"/>
    <w:rsid w:val="00A76EB1"/>
    <w:rsid w:val="00AA1B6F"/>
    <w:rsid w:val="00AA2AF7"/>
    <w:rsid w:val="00AE4A4F"/>
    <w:rsid w:val="00AF2EE1"/>
    <w:rsid w:val="00B0281B"/>
    <w:rsid w:val="00B1274E"/>
    <w:rsid w:val="00B7799C"/>
    <w:rsid w:val="00BA064E"/>
    <w:rsid w:val="00C70AA8"/>
    <w:rsid w:val="00CD1355"/>
    <w:rsid w:val="00CE09A7"/>
    <w:rsid w:val="00CF457C"/>
    <w:rsid w:val="00CF4CF5"/>
    <w:rsid w:val="00D04DEE"/>
    <w:rsid w:val="00D342E8"/>
    <w:rsid w:val="00D52BD8"/>
    <w:rsid w:val="00D830F8"/>
    <w:rsid w:val="00DC7776"/>
    <w:rsid w:val="00E1531F"/>
    <w:rsid w:val="00E1603C"/>
    <w:rsid w:val="00E3621A"/>
    <w:rsid w:val="00E41B8A"/>
    <w:rsid w:val="00E917DF"/>
    <w:rsid w:val="00E96670"/>
    <w:rsid w:val="00EC0455"/>
    <w:rsid w:val="00EF1ACE"/>
    <w:rsid w:val="00F043EC"/>
    <w:rsid w:val="00F63DFD"/>
    <w:rsid w:val="00F94330"/>
    <w:rsid w:val="00FA2C67"/>
    <w:rsid w:val="00FC38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BE9EB"/>
  <w15:chartTrackingRefBased/>
  <w15:docId w15:val="{14A6C748-E4BE-4628-AFD6-48504C7EC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9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7ECE"/>
    <w:rPr>
      <w:color w:val="0563C1" w:themeColor="hyperlink"/>
      <w:u w:val="single"/>
    </w:rPr>
  </w:style>
  <w:style w:type="character" w:styleId="UnresolvedMention">
    <w:name w:val="Unresolved Mention"/>
    <w:basedOn w:val="DefaultParagraphFont"/>
    <w:uiPriority w:val="99"/>
    <w:semiHidden/>
    <w:unhideWhenUsed/>
    <w:rsid w:val="00387E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6740580">
      <w:bodyDiv w:val="1"/>
      <w:marLeft w:val="0"/>
      <w:marRight w:val="0"/>
      <w:marTop w:val="0"/>
      <w:marBottom w:val="0"/>
      <w:divBdr>
        <w:top w:val="none" w:sz="0" w:space="0" w:color="auto"/>
        <w:left w:val="none" w:sz="0" w:space="0" w:color="auto"/>
        <w:bottom w:val="none" w:sz="0" w:space="0" w:color="auto"/>
        <w:right w:val="none" w:sz="0" w:space="0" w:color="auto"/>
      </w:divBdr>
    </w:div>
    <w:div w:id="2128114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bisworld.com/au/bed/real-household-disposable-income/33/" TargetMode="External"/><Relationship Id="rId13" Type="http://schemas.openxmlformats.org/officeDocument/2006/relationships/hyperlink" Target="https://www.macrotrends.net/countries/AUS/australia/population-growth-rate" TargetMode="External"/><Relationship Id="rId3" Type="http://schemas.openxmlformats.org/officeDocument/2006/relationships/webSettings" Target="webSettings.xml"/><Relationship Id="rId7" Type="http://schemas.openxmlformats.org/officeDocument/2006/relationships/hyperlink" Target="https://www.in2013dollars.com/New-cars/price-inflation" TargetMode="Externa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7news.com.au/lifestyle/personal-finance/cost-of-petrol-expected-to-rise-again-after-global-oil-producers-slash-output-c-8473167" TargetMode="External"/><Relationship Id="rId5" Type="http://schemas.openxmlformats.org/officeDocument/2006/relationships/hyperlink" Target="https://tradingeconomics.com/commodity/ethanol" TargetMode="External"/><Relationship Id="rId15" Type="http://schemas.openxmlformats.org/officeDocument/2006/relationships/hyperlink" Target="https://ier.ut.ac.ir/article_85089_309e0f3cf70d30bb407b7c8cecc3015a.pdf" TargetMode="External"/><Relationship Id="rId10" Type="http://schemas.openxmlformats.org/officeDocument/2006/relationships/hyperlink" Target="https://tradingeconomics.com/australia/inflation-expectations" TargetMode="External"/><Relationship Id="rId4" Type="http://schemas.openxmlformats.org/officeDocument/2006/relationships/image" Target="media/image1.png"/><Relationship Id="rId9" Type="http://schemas.openxmlformats.org/officeDocument/2006/relationships/hyperlink" Target="https://www.cwanz.com.au/wp-content/uploads/2021/08/NWCPS_2021_report_v2.0.pdf" TargetMode="External"/><Relationship Id="rId14" Type="http://schemas.openxmlformats.org/officeDocument/2006/relationships/hyperlink" Target="https://www.eia.gov/todayinenergy/detail.php?id=191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dc:creator>
  <cp:keywords/>
  <dc:description/>
  <cp:lastModifiedBy>Rositsa Marinova</cp:lastModifiedBy>
  <cp:revision>2</cp:revision>
  <dcterms:created xsi:type="dcterms:W3CDTF">2023-01-09T21:26:00Z</dcterms:created>
  <dcterms:modified xsi:type="dcterms:W3CDTF">2023-01-09T21:26:00Z</dcterms:modified>
</cp:coreProperties>
</file>