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CRIMINAL COURTS</w:t>
      </w:r>
    </w:p>
    <w:p w:rsidR="00000000" w:rsidDel="00000000" w:rsidP="00000000" w:rsidRDefault="00000000" w:rsidRPr="00000000" w14:paraId="0000000B">
      <w:pPr>
        <w:jc w:val="center"/>
        <w:rPr/>
      </w:pPr>
      <w:r w:rsidDel="00000000" w:rsidR="00000000" w:rsidRPr="00000000">
        <w:rPr>
          <w:rFonts w:ascii="Times New Roman" w:cs="Times New Roman" w:eastAsia="Times New Roman" w:hAnsi="Times New Roman"/>
          <w:b w:val="1"/>
          <w:sz w:val="36"/>
          <w:szCs w:val="36"/>
          <w:rtl w:val="0"/>
        </w:rPr>
        <w:t xml:space="preserve"> </w:t>
      </w:r>
      <w:r w:rsidDel="00000000" w:rsidR="00000000" w:rsidRPr="00000000">
        <w:rPr>
          <w:rFonts w:ascii="Times New Roman" w:cs="Times New Roman" w:eastAsia="Times New Roman" w:hAnsi="Times New Roman"/>
          <w:b w:val="0"/>
          <w:sz w:val="36"/>
          <w:szCs w:val="36"/>
          <w:rtl w:val="0"/>
        </w:rPr>
        <w:t xml:space="preserve">Ramona Maria Avram</w:t>
      </w: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t xml:space="preserve">Student number:2234752</w:t>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jc w:val="center"/>
        <w:rPr/>
      </w:pPr>
      <w:r w:rsidDel="00000000" w:rsidR="00000000" w:rsidRPr="00000000">
        <w:rPr>
          <w:rtl w:val="0"/>
        </w:rPr>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r>
    </w:p>
    <w:p w:rsidR="00000000" w:rsidDel="00000000" w:rsidP="00000000" w:rsidRDefault="00000000" w:rsidRPr="00000000" w14:paraId="0000001B">
      <w:pPr>
        <w:jc w:val="cente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rtl w:val="0"/>
        </w:rPr>
      </w:r>
    </w:p>
    <w:p w:rsidR="00000000" w:rsidDel="00000000" w:rsidP="00000000" w:rsidRDefault="00000000" w:rsidRPr="00000000" w14:paraId="0000001D">
      <w:pPr>
        <w:jc w:val="center"/>
        <w:rPr/>
      </w:pPr>
      <w:r w:rsidDel="00000000" w:rsidR="00000000" w:rsidRPr="00000000">
        <w:rPr>
          <w:rtl w:val="0"/>
        </w:rPr>
      </w:r>
    </w:p>
    <w:p w:rsidR="00000000" w:rsidDel="00000000" w:rsidP="00000000" w:rsidRDefault="00000000" w:rsidRPr="00000000" w14:paraId="0000001E">
      <w:pPr>
        <w:jc w:val="center"/>
        <w:rPr/>
      </w:pPr>
      <w:r w:rsidDel="00000000" w:rsidR="00000000" w:rsidRPr="00000000">
        <w:rPr>
          <w:rtl w:val="0"/>
        </w:rPr>
      </w:r>
    </w:p>
    <w:p w:rsidR="00000000" w:rsidDel="00000000" w:rsidP="00000000" w:rsidRDefault="00000000" w:rsidRPr="00000000" w14:paraId="0000001F">
      <w:pPr>
        <w:jc w:val="center"/>
        <w:rPr/>
      </w:pPr>
      <w:r w:rsidDel="00000000" w:rsidR="00000000" w:rsidRPr="00000000">
        <w:rPr>
          <w:rtl w:val="0"/>
        </w:rPr>
      </w:r>
    </w:p>
    <w:p w:rsidR="00000000" w:rsidDel="00000000" w:rsidP="00000000" w:rsidRDefault="00000000" w:rsidRPr="00000000" w14:paraId="00000020">
      <w:pPr>
        <w:jc w:val="center"/>
        <w:rPr/>
      </w:pPr>
      <w:r w:rsidDel="00000000" w:rsidR="00000000" w:rsidRPr="00000000">
        <w:rPr>
          <w:rtl w:val="0"/>
        </w:rPr>
      </w:r>
    </w:p>
    <w:p w:rsidR="00000000" w:rsidDel="00000000" w:rsidP="00000000" w:rsidRDefault="00000000" w:rsidRPr="00000000" w14:paraId="00000021">
      <w:pPr>
        <w:jc w:val="center"/>
        <w:rPr/>
      </w:pPr>
      <w:r w:rsidDel="00000000" w:rsidR="00000000" w:rsidRPr="00000000">
        <w:rPr>
          <w:rtl w:val="0"/>
        </w:rPr>
      </w:r>
    </w:p>
    <w:p w:rsidR="00000000" w:rsidDel="00000000" w:rsidP="00000000" w:rsidRDefault="00000000" w:rsidRPr="00000000" w14:paraId="00000022">
      <w:pPr>
        <w:jc w:val="center"/>
        <w:rPr/>
      </w:pPr>
      <w:r w:rsidDel="00000000" w:rsidR="00000000" w:rsidRPr="00000000">
        <w:rPr>
          <w:rtl w:val="0"/>
        </w:rPr>
      </w:r>
    </w:p>
    <w:p w:rsidR="00000000" w:rsidDel="00000000" w:rsidP="00000000" w:rsidRDefault="00000000" w:rsidRPr="00000000" w14:paraId="00000023">
      <w:pPr>
        <w:jc w:val="center"/>
        <w:rPr/>
      </w:pPr>
      <w:r w:rsidDel="00000000" w:rsidR="00000000" w:rsidRPr="00000000">
        <w:rPr>
          <w:rtl w:val="0"/>
        </w:rPr>
      </w:r>
    </w:p>
    <w:p w:rsidR="00000000" w:rsidDel="00000000" w:rsidP="00000000" w:rsidRDefault="00000000" w:rsidRPr="00000000" w14:paraId="00000024">
      <w:pPr>
        <w:jc w:val="center"/>
        <w:rPr/>
      </w:pPr>
      <w:r w:rsidDel="00000000" w:rsidR="00000000" w:rsidRPr="00000000">
        <w:rPr>
          <w:rtl w:val="0"/>
        </w:rPr>
      </w:r>
    </w:p>
    <w:p w:rsidR="00000000" w:rsidDel="00000000" w:rsidP="00000000" w:rsidRDefault="00000000" w:rsidRPr="00000000" w14:paraId="00000025">
      <w:pPr>
        <w:jc w:val="center"/>
        <w:rPr/>
      </w:pPr>
      <w:r w:rsidDel="00000000" w:rsidR="00000000" w:rsidRPr="00000000">
        <w:rPr>
          <w:rtl w:val="0"/>
        </w:rPr>
      </w:r>
    </w:p>
    <w:p w:rsidR="00000000" w:rsidDel="00000000" w:rsidP="00000000" w:rsidRDefault="00000000" w:rsidRPr="00000000" w14:paraId="00000026">
      <w:pPr>
        <w:jc w:val="center"/>
        <w:rPr/>
      </w:pPr>
      <w:r w:rsidDel="00000000" w:rsidR="00000000" w:rsidRPr="00000000">
        <w:rPr>
          <w:rtl w:val="0"/>
        </w:rPr>
        <w:t xml:space="preserve"> </w:t>
      </w:r>
    </w:p>
    <w:p w:rsidR="00000000" w:rsidDel="00000000" w:rsidP="00000000" w:rsidRDefault="00000000" w:rsidRPr="00000000" w14:paraId="00000027">
      <w:pPr>
        <w:pStyle w:val="Heading1"/>
        <w:rPr/>
      </w:pPr>
      <w:bookmarkStart w:colFirst="0" w:colLast="0" w:name="_gjdgxs" w:id="0"/>
      <w:bookmarkEnd w:id="0"/>
      <w:r w:rsidDel="00000000" w:rsidR="00000000" w:rsidRPr="00000000">
        <w:rPr>
          <w:rtl w:val="0"/>
        </w:rPr>
        <w:t xml:space="preserve">English and Wales justice system    </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evolution of the legal system, especially criminal law in the United Kingdom and Wales dates back to the conquest of the country by Normandy back in 1066. Both the state has common law and the statute law in common. It is notable here that Wales was successfully incorporated into the common law framework in 1535, as mentioned by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Partington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the criminal justice system in the United Kingdom, there are governments, various criminal justice committees, probation services, courts, and prison services. In the prosecution system detection and charging, jury trials, magistrate's trials, and juvenile proceedings are significant. The English common law governs the whole justice system, be it civil as well as criminal, of both states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Frost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Wales does not have its legal system, the UK common law prevails. Other than that, the UK subordinate courts and the tribunals are notable mentions in this regard.</w:t>
      </w:r>
    </w:p>
    <w:p w:rsidR="00000000" w:rsidDel="00000000" w:rsidP="00000000" w:rsidRDefault="00000000" w:rsidRPr="00000000" w14:paraId="00000029">
      <w:pPr>
        <w:pStyle w:val="Heading1"/>
        <w:rPr/>
      </w:pPr>
      <w:bookmarkStart w:colFirst="0" w:colLast="0" w:name="_30j0zll" w:id="1"/>
      <w:bookmarkEnd w:id="1"/>
      <w:r w:rsidDel="00000000" w:rsidR="00000000" w:rsidRPr="00000000">
        <w:rPr>
          <w:rtl w:val="0"/>
        </w:rPr>
        <w:t xml:space="preserve">Structure of the justice system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judicial system in the UK initially included only the monarch and the advisors. Over time, it has only reoriented itself to meet the changing needs and requirements of the people of the Kingdom. The United Kingdom follows the regional court system in all the states under its jurisdictions, namely England, Wales, Scotland, and Northern Ireland. Notably, the Westminster government shares a significant portion of its power with Scotland and Northern Ireland. The justice system in England and Wales is not altogether developed. It is because both states are ruled directly by the Westminster government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O'Connor, 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However, the judicial system and the dispensation of justice in Northern Ireland and Scotland differ slightly from those of England and Wales. The three British judicial systems are nevertheless all united by the UK Supreme Court, which serves as their final court of appeal.</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England and Wales, both consist of five levels in their jurisdictional areas of the justice system: The Court of Appeal deals primarily with various appeals and is further divided into civil and criminal divisions. While the High Court on the other hand takes up more complex family-related cases and consists of the Queen's bench, Family, and the more stringent, Chancery. The more serious cases of criminal nature are handled by the crown and taken up an appeal from the magistrate's court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Byrne</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 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Apart from these divisions, various tribunals deal with asylum and immigration issues along with social cases. The recent Brexit has brought about a noticeable change in the dispensation of justice by the Supreme Court which can now rule cases in international law that were earlier under the jurisdiction of the European Union.</w:t>
      </w:r>
    </w:p>
    <w:p w:rsidR="00000000" w:rsidDel="00000000" w:rsidP="00000000" w:rsidRDefault="00000000" w:rsidRPr="00000000" w14:paraId="0000002D">
      <w:pPr>
        <w:pStyle w:val="Heading1"/>
        <w:rPr/>
      </w:pPr>
      <w:bookmarkStart w:colFirst="0" w:colLast="0" w:name="_1fob9te" w:id="2"/>
      <w:bookmarkEnd w:id="2"/>
      <w:r w:rsidDel="00000000" w:rsidR="00000000" w:rsidRPr="00000000">
        <w:rPr>
          <w:rtl w:val="0"/>
        </w:rPr>
        <w:t xml:space="preserve">Criminal courts      </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basic nature of the judicial system in the United Kingdom is more complex and with a lack of construction and clarity, more stringent. It is complex in that the nations comprising the kingdom have overlapping jurisdictions in terms of criminal structure and justice system. The different types of jurisdictions that function in the UK are criminal, civil, family, tribunals, military, and Coronaries. In the appellate jurisdiction, the Supreme Court, Privy Council, and the Court of Appeal may be significant. On the other hand, the criminal courts include the crown court and the Magistrate's courts. Besides, there are also Youth courts.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Rock (2019) estimates that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magistrate's court deals in more than 90% of criminal cases which are less serious and may be called summary offences. It also deals in pre-trial issues and sends to the crown court cases that need more interpretation and if its sentencing powers are not adequate.</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crown court dispenses cases related to more serious criminal offences and hears appeals from the magistrate's courts. It also hears cases where the defender has already proven guilty and cases that are sent to it by the Magistrate's court. The Youth's court the other hand is simply a magistrate's court that dispenses juvenile cases except the homicide cases which are dealt with by the crown court.</w:t>
      </w:r>
    </w:p>
    <w:p w:rsidR="00000000" w:rsidDel="00000000" w:rsidP="00000000" w:rsidRDefault="00000000" w:rsidRPr="00000000" w14:paraId="00000030">
      <w:pPr>
        <w:pStyle w:val="Heading1"/>
        <w:rPr/>
      </w:pPr>
      <w:bookmarkStart w:colFirst="0" w:colLast="0" w:name="_3znysh7" w:id="3"/>
      <w:bookmarkEnd w:id="3"/>
      <w:r w:rsidDel="00000000" w:rsidR="00000000" w:rsidRPr="00000000">
        <w:rPr>
          <w:rtl w:val="0"/>
        </w:rPr>
        <w:t xml:space="preserve">The magistrates and the laypeople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magistrates are often termed as the justices of the peace, and hear cases in the courts. They all sit on benches differently allocated for different purposes. They share some key attributes as to their roles and responsibilities. They need to dispense fair and transparent decisions, need to communicate with much sensitivity and respect to fellow beings and understand diverse perspectives. In the legal system of England and Wales, magistrates are extremely important.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Hunter (2020) believes that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approximately 19 of every 20 suspects in criminal prosecutions were heard in magistrate courts in 2011. The crown court listened to the cases of 6% of defendants.</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key people who are trained locally play a very significant role in the UK judiciary. Belonging to diverse cultural and educational backgrounds, their input into the system is invaluable. They primarily assist and supplement the judicial process along with the magistrates. As per a recent estimate, there are around 30000 lay magistrates aiding and assisting the magistrates in their discharge of cases. While lay magistrates do not have any legal qualifications, they are appointed each year by the Lord Chief Justice. They hear more than 95% of criminal cases and also sit in crown court beside a qualified judge to hear cases sent from magistrates. While their use is often criticized, they are social representatives and carry out unpaid jobs for the court.</w:t>
      </w:r>
    </w:p>
    <w:p w:rsidR="00000000" w:rsidDel="00000000" w:rsidP="00000000" w:rsidRDefault="00000000" w:rsidRPr="00000000" w14:paraId="00000033">
      <w:pPr>
        <w:pStyle w:val="Heading1"/>
        <w:rPr/>
      </w:pPr>
      <w:bookmarkStart w:colFirst="0" w:colLast="0" w:name="_2et92p0" w:id="4"/>
      <w:bookmarkEnd w:id="4"/>
      <w:r w:rsidDel="00000000" w:rsidR="00000000" w:rsidRPr="00000000">
        <w:rPr>
          <w:rtl w:val="0"/>
        </w:rPr>
        <w:t xml:space="preserve">Cost-effectiveness     </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UK judicial system, especially that of England and Wales, is cost-effective in terms of the disposal of cases and terms of the nature of cases. There are various tracks as to which cases about various monetary amounts are handled. For example, there are small disputes track, rapid track, and multi-tack dispensation cases. The small disputes track handles claim under £10,000 while the rapid track handles more than £10,000 but less than £25,000 (Maryfield</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 The multi-track cases are those that are over £25,000. </w:t>
      </w:r>
    </w:p>
    <w:p w:rsidR="00000000" w:rsidDel="00000000" w:rsidP="00000000" w:rsidRDefault="00000000" w:rsidRPr="00000000" w14:paraId="00000035">
      <w:pPr>
        <w:pStyle w:val="Heading1"/>
        <w:rPr/>
      </w:pPr>
      <w:bookmarkStart w:colFirst="0" w:colLast="0" w:name="_tyjcwt" w:id="5"/>
      <w:bookmarkEnd w:id="5"/>
      <w:r w:rsidDel="00000000" w:rsidR="00000000" w:rsidRPr="00000000">
        <w:rPr>
          <w:rtl w:val="0"/>
        </w:rPr>
        <w:t xml:space="preserve">The speed at that cases are heard       </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1.14 million cases were filed and 1,17 million were resolved by England and Wales’s magistrates’ courts in 2021. In 76% of the instances, there was no need for a trial because they involved summary offences or violations that could be dealt with in a magistrates' court. The vast majority of the other instances might be tried in either the magistrates' court or the Crown court, according to the triable-either rule. About 2% of cases were preliminary proceedings for indictable violations, which are only able to be addressed through a Crown court trial.</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Crown tribunals received 98,000 petitions in the preceding year and resolved 96,000 of them. Almost two-thirds (61%) of the cases acquired were for tests, 32% were submitted from the magistrates' court for sentence, and 5% were petitioning for appeals over magistrates' court judgments. The number of pending proceedings in the magistrate's court on the last day of September 2022 was 347,820, an amount less than the all-time high of over 422,000 cases in the middle of 2020. After September 2022, the Crown Court possessed 62,766 cases pending, which was more than it possessed at the previous mid-2021 peak of roughly 61,000.</w:t>
      </w:r>
    </w:p>
    <w:p w:rsidR="00000000" w:rsidDel="00000000" w:rsidP="00000000" w:rsidRDefault="00000000" w:rsidRPr="00000000" w14:paraId="00000038">
      <w:pPr>
        <w:pStyle w:val="Heading1"/>
        <w:rPr/>
      </w:pPr>
      <w:bookmarkStart w:colFirst="0" w:colLast="0" w:name="_3dy6vkm" w:id="6"/>
      <w:bookmarkEnd w:id="6"/>
      <w:r w:rsidDel="00000000" w:rsidR="00000000" w:rsidRPr="00000000">
        <w:rPr>
          <w:rtl w:val="0"/>
        </w:rPr>
        <w:t xml:space="preserve">Crown court and the lay magistrates       </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crown court is one of the three senior courts of appeals currently in operation in England and Wales. It handles cases mostly of criminal nature and hears cases referred to it by the magistrate's court. It also takes up cases of "either way" offences which may also be heard by the magistrate's court but are referred to it. In an "either way" case, an accused person who decides to enter a plea of innocence has the option of asking for a jury trial. If they do, defendants will be transported towards the Crown Court. Even if prosecutors do not ask for a trial before a jury, magistrates may opt for transferring the defendant to the Crown Court for punishment if the crime is sufficiently grave. Notably, 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Courts Act, of 1971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empowered the crown court to take up modest civil cases too.</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lay magistrates are those that help in the daily business of the crown court and support the decision-making process. They said the magistrates with the legal advisors available on the court premise. One of the greatest advantages of having lay people in the crown court is that it just adds to the efficiency of the institutions and prevents people who criticize the court for taking decisions behind closed windows. History shows that they were earlier used for civil cases. However, in recent times such experts are involved in different trials to aid the magistrates and judges.</w:t>
      </w:r>
    </w:p>
    <w:p w:rsidR="00000000" w:rsidDel="00000000" w:rsidP="00000000" w:rsidRDefault="00000000" w:rsidRPr="00000000" w14:paraId="0000003B">
      <w:pPr>
        <w:pStyle w:val="Heading1"/>
        <w:rPr/>
      </w:pPr>
      <w:bookmarkStart w:colFirst="0" w:colLast="0" w:name="_1t3h5sf" w:id="7"/>
      <w:bookmarkEnd w:id="7"/>
      <w:r w:rsidDel="00000000" w:rsidR="00000000" w:rsidRPr="00000000">
        <w:rPr>
          <w:rtl w:val="0"/>
        </w:rPr>
        <w:t xml:space="preserve">Juries Act 1974        </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Juries Act as enacted on 9th July 1974 read "An Act to consolidate certain enactments relating to juries, jurors and jury service with corrections and improvements made under the Consolidation of Enactments (Procedure) Act 1949". The act possesses detailed and comprehensive provisions relating to qualifications for jury services and the procedure for summoning made under the act for various purposes. The Act maintains that every person shall be eligible to serve jury services under the act in the High Court, Crown Court, and County Courts. However, it is to be noted that the Juries might exercise their powers following the provisions of the act but the final say in the decisions making process lay only in the discretion of the judges and the magistrates.</w:t>
      </w:r>
    </w:p>
    <w:p w:rsidR="00000000" w:rsidDel="00000000" w:rsidP="00000000" w:rsidRDefault="00000000" w:rsidRPr="00000000" w14:paraId="0000003D">
      <w:pPr>
        <w:pStyle w:val="Heading1"/>
        <w:rPr/>
      </w:pPr>
      <w:bookmarkStart w:colFirst="0" w:colLast="0" w:name="_4d34og8" w:id="8"/>
      <w:bookmarkEnd w:id="8"/>
      <w:r w:rsidDel="00000000" w:rsidR="00000000" w:rsidRPr="00000000">
        <w:rPr>
          <w:rtl w:val="0"/>
        </w:rPr>
        <w:t xml:space="preserve">Reforms and suggestions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recent Judicial Review and the Courts Act that received its royal assent in 2022 is very significant in terms of the judicial review process. The criminal justice system is a powerful mechanism in guaranteeing justice to the common man as well as capable of depriving the people of their privileges. While there are delays and complexities in the dispensation of criminal cases, reforms in this area can be a huge boost for its efficient functioning. Supporting the victims along with their witnesses would be crucial in this regard. Besides, the digitization of records and other necessary details might be good enough. Honesty and transparency also need to be maintained in the judicial process apart from unifying the criminal court structure within the country.</w:t>
      </w:r>
    </w:p>
    <w:p w:rsidR="00000000" w:rsidDel="00000000" w:rsidP="00000000" w:rsidRDefault="00000000" w:rsidRPr="00000000" w14:paraId="0000003F">
      <w:pPr>
        <w:pStyle w:val="Heading1"/>
        <w:rPr/>
      </w:pPr>
      <w:bookmarkStart w:colFirst="0" w:colLast="0" w:name="_2s8eyo1" w:id="9"/>
      <w:bookmarkEnd w:id="9"/>
      <w:r w:rsidDel="00000000" w:rsidR="00000000" w:rsidRPr="00000000">
        <w:rPr>
          <w:rtl w:val="0"/>
        </w:rPr>
        <w:t xml:space="preserve">Conclusion       </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conclude, it may be claimed that there is much efficiency and productivity in the criminal justice system in England and Wales. However, the backlog of cases and delays and adjournments hamper the justice prospects of the common man. The essay has amply pointed out each of the wings of the judiciary and focused on the criminal justice system contextual; to England and Wales. It is therefore a multidimensional study enriched with the latest data and judicial interpretations.</w:t>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rPr/>
      </w:pPr>
      <w:bookmarkStart w:colFirst="0" w:colLast="0" w:name="_17dp8vu" w:id="10"/>
      <w:bookmarkEnd w:id="10"/>
      <w:r w:rsidDel="00000000" w:rsidR="00000000" w:rsidRPr="00000000">
        <w:rPr>
          <w:rtl w:val="0"/>
        </w:rPr>
        <w:t xml:space="preserve">References</w:t>
      </w:r>
    </w:p>
    <w:p w:rsidR="00000000" w:rsidDel="00000000" w:rsidP="00000000" w:rsidRDefault="00000000" w:rsidRPr="00000000" w14:paraId="00000043">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Byrne, B., Alexander, C., Khan, O., Nazroo, J. and Shankley, W., 2020. </w:t>
      </w:r>
      <w:r w:rsidDel="00000000" w:rsidR="00000000" w:rsidRPr="00000000">
        <w:rPr>
          <w:rFonts w:ascii="Times New Roman" w:cs="Times New Roman" w:eastAsia="Times New Roman" w:hAnsi="Times New Roman"/>
          <w:i w:val="1"/>
          <w:color w:val="222222"/>
          <w:sz w:val="24"/>
          <w:szCs w:val="24"/>
          <w:highlight w:val="white"/>
          <w:rtl w:val="0"/>
        </w:rPr>
        <w:t xml:space="preserve">Ethnicity, Race and Inequality in the UK: State of the Nation</w:t>
      </w:r>
      <w:r w:rsidDel="00000000" w:rsidR="00000000" w:rsidRPr="00000000">
        <w:rPr>
          <w:rFonts w:ascii="Times New Roman" w:cs="Times New Roman" w:eastAsia="Times New Roman" w:hAnsi="Times New Roman"/>
          <w:color w:val="222222"/>
          <w:sz w:val="24"/>
          <w:szCs w:val="24"/>
          <w:highlight w:val="white"/>
          <w:rtl w:val="0"/>
        </w:rPr>
        <w:t xml:space="preserve"> (p. 316). Policy press.  Available at: </w:t>
      </w:r>
      <w:r w:rsidDel="00000000" w:rsidR="00000000" w:rsidRPr="00000000">
        <w:rPr>
          <w:rFonts w:ascii="Times New Roman" w:cs="Times New Roman" w:eastAsia="Times New Roman" w:hAnsi="Times New Roman"/>
          <w:sz w:val="24"/>
          <w:szCs w:val="24"/>
          <w:highlight w:val="white"/>
          <w:rtl w:val="0"/>
        </w:rPr>
        <w:t xml:space="preserve">https://library.oapen.org/handle/20.500.12657/22310</w:t>
      </w:r>
      <w:r w:rsidDel="00000000" w:rsidR="00000000" w:rsidRPr="00000000">
        <w:rPr>
          <w:rFonts w:ascii="Times New Roman" w:cs="Times New Roman" w:eastAsia="Times New Roman" w:hAnsi="Times New Roman"/>
          <w:sz w:val="24"/>
          <w:szCs w:val="24"/>
          <w:rtl w:val="0"/>
        </w:rPr>
        <w:t xml:space="preserve"> [Accessed on: 7</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August, 2023]</w:t>
      </w: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Frost, T., Huxley-Binns, R., Martin, J. and Mithani, S., 2022. </w:t>
      </w:r>
      <w:r w:rsidDel="00000000" w:rsidR="00000000" w:rsidRPr="00000000">
        <w:rPr>
          <w:rFonts w:ascii="Times New Roman" w:cs="Times New Roman" w:eastAsia="Times New Roman" w:hAnsi="Times New Roman"/>
          <w:i w:val="1"/>
          <w:color w:val="222222"/>
          <w:sz w:val="24"/>
          <w:szCs w:val="24"/>
          <w:highlight w:val="white"/>
          <w:rtl w:val="0"/>
        </w:rPr>
        <w:t xml:space="preserve">Unlocking the English legal system</w:t>
      </w:r>
      <w:r w:rsidDel="00000000" w:rsidR="00000000" w:rsidRPr="00000000">
        <w:rPr>
          <w:rFonts w:ascii="Times New Roman" w:cs="Times New Roman" w:eastAsia="Times New Roman" w:hAnsi="Times New Roman"/>
          <w:color w:val="222222"/>
          <w:sz w:val="24"/>
          <w:szCs w:val="24"/>
          <w:highlight w:val="white"/>
          <w:rtl w:val="0"/>
        </w:rPr>
        <w:t xml:space="preserve">. Routledge.  Available at: </w:t>
      </w:r>
      <w:r w:rsidDel="00000000" w:rsidR="00000000" w:rsidRPr="00000000">
        <w:rPr>
          <w:rFonts w:ascii="Times New Roman" w:cs="Times New Roman" w:eastAsia="Times New Roman" w:hAnsi="Times New Roman"/>
          <w:sz w:val="24"/>
          <w:szCs w:val="24"/>
          <w:highlight w:val="white"/>
          <w:rtl w:val="0"/>
        </w:rPr>
        <w:t xml:space="preserve">https://www.taylorfrancis.com/books/mono/10.4324/9781003263678/unlocking-english-legal-system-tom-frost-rebecca-huxley-binns-jacqueline-martin-shaneez-mithani</w:t>
      </w:r>
      <w:r w:rsidDel="00000000" w:rsidR="00000000" w:rsidRPr="00000000">
        <w:rPr>
          <w:rFonts w:ascii="Times New Roman" w:cs="Times New Roman" w:eastAsia="Times New Roman" w:hAnsi="Times New Roman"/>
          <w:sz w:val="24"/>
          <w:szCs w:val="24"/>
          <w:rtl w:val="0"/>
        </w:rPr>
        <w:t xml:space="preserve"> [Accessed on: 7</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August, 2023]</w:t>
      </w: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Hunter, G., 2020. Policy and practice supporting lay participation. </w:t>
      </w:r>
      <w:r w:rsidDel="00000000" w:rsidR="00000000" w:rsidRPr="00000000">
        <w:rPr>
          <w:rFonts w:ascii="Times New Roman" w:cs="Times New Roman" w:eastAsia="Times New Roman" w:hAnsi="Times New Roman"/>
          <w:i w:val="1"/>
          <w:color w:val="222222"/>
          <w:sz w:val="24"/>
          <w:szCs w:val="24"/>
          <w:highlight w:val="white"/>
          <w:rtl w:val="0"/>
        </w:rPr>
        <w:t xml:space="preserve">Participation in Courts and Tribunals</w:t>
      </w:r>
      <w:r w:rsidDel="00000000" w:rsidR="00000000" w:rsidRPr="00000000">
        <w:rPr>
          <w:rFonts w:ascii="Times New Roman" w:cs="Times New Roman" w:eastAsia="Times New Roman" w:hAnsi="Times New Roman"/>
          <w:color w:val="222222"/>
          <w:sz w:val="24"/>
          <w:szCs w:val="24"/>
          <w:highlight w:val="white"/>
          <w:rtl w:val="0"/>
        </w:rPr>
        <w:t xml:space="preserve">, pp.19-64.  Available at: </w:t>
      </w:r>
      <w:r w:rsidDel="00000000" w:rsidR="00000000" w:rsidRPr="00000000">
        <w:rPr>
          <w:rFonts w:ascii="Times New Roman" w:cs="Times New Roman" w:eastAsia="Times New Roman" w:hAnsi="Times New Roman"/>
          <w:sz w:val="24"/>
          <w:szCs w:val="24"/>
          <w:highlight w:val="white"/>
          <w:rtl w:val="0"/>
        </w:rPr>
        <w:t xml:space="preserve">https://library.oapen.org/bitstream/handle/20.500.12657/41556/1/9781529211306.pdf#page=30</w:t>
      </w:r>
      <w:r w:rsidDel="00000000" w:rsidR="00000000" w:rsidRPr="00000000">
        <w:rPr>
          <w:rFonts w:ascii="Times New Roman" w:cs="Times New Roman" w:eastAsia="Times New Roman" w:hAnsi="Times New Roman"/>
          <w:sz w:val="24"/>
          <w:szCs w:val="24"/>
          <w:rtl w:val="0"/>
        </w:rPr>
        <w:t xml:space="preserve"> [Accessed on: 7</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August, 2023]</w:t>
      </w: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Maryfield, B., Przybylski, R. and Myrent, M., 2020. Research on restorative justice practices.   Available at: </w:t>
      </w:r>
      <w:r w:rsidDel="00000000" w:rsidR="00000000" w:rsidRPr="00000000">
        <w:rPr>
          <w:rFonts w:ascii="Times New Roman" w:cs="Times New Roman" w:eastAsia="Times New Roman" w:hAnsi="Times New Roman"/>
          <w:sz w:val="24"/>
          <w:szCs w:val="24"/>
          <w:highlight w:val="white"/>
          <w:rtl w:val="0"/>
        </w:rPr>
        <w:t xml:space="preserve">http://jrsa.org/pubs/factsheets/jrsa-research-brief-restorative-justice.pdf</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[Accessed on: 7</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August, 2023]</w:t>
      </w: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O'Connor, J., 2021. </w:t>
      </w:r>
      <w:r w:rsidDel="00000000" w:rsidR="00000000" w:rsidRPr="00000000">
        <w:rPr>
          <w:rFonts w:ascii="Times New Roman" w:cs="Times New Roman" w:eastAsia="Times New Roman" w:hAnsi="Times New Roman"/>
          <w:i w:val="1"/>
          <w:color w:val="222222"/>
          <w:sz w:val="24"/>
          <w:szCs w:val="24"/>
          <w:highlight w:val="white"/>
          <w:rtl w:val="0"/>
        </w:rPr>
        <w:t xml:space="preserve">The sentencing of child and adolescent sexual offences in the Irish youth justice system: Judicial discretion and the justice/welfare dichotomy</w:t>
      </w:r>
      <w:r w:rsidDel="00000000" w:rsidR="00000000" w:rsidRPr="00000000">
        <w:rPr>
          <w:rFonts w:ascii="Times New Roman" w:cs="Times New Roman" w:eastAsia="Times New Roman" w:hAnsi="Times New Roman"/>
          <w:color w:val="222222"/>
          <w:sz w:val="24"/>
          <w:szCs w:val="24"/>
          <w:highlight w:val="white"/>
          <w:rtl w:val="0"/>
        </w:rPr>
        <w:t xml:space="preserve">. Nottingham Trent University (United Kingdom).   Available at: </w:t>
      </w:r>
      <w:r w:rsidDel="00000000" w:rsidR="00000000" w:rsidRPr="00000000">
        <w:rPr>
          <w:rFonts w:ascii="Times New Roman" w:cs="Times New Roman" w:eastAsia="Times New Roman" w:hAnsi="Times New Roman"/>
          <w:sz w:val="24"/>
          <w:szCs w:val="24"/>
          <w:highlight w:val="white"/>
          <w:rtl w:val="0"/>
        </w:rPr>
        <w:t xml:space="preserve">https://search.proquest.com/openview/1357edd5a01dcc148ed3a65af22b0bc9/1?pq-origsite=gscholar&amp;cbl=2026366&amp;diss=y</w:t>
      </w:r>
      <w:r w:rsidDel="00000000" w:rsidR="00000000" w:rsidRPr="00000000">
        <w:rPr>
          <w:rFonts w:ascii="Times New Roman" w:cs="Times New Roman" w:eastAsia="Times New Roman" w:hAnsi="Times New Roman"/>
          <w:sz w:val="24"/>
          <w:szCs w:val="24"/>
          <w:rtl w:val="0"/>
        </w:rPr>
        <w:t xml:space="preserve"> [Accessed on: 7</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August, 2023]</w:t>
      </w: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Partington, M., 2021. </w:t>
      </w:r>
      <w:r w:rsidDel="00000000" w:rsidR="00000000" w:rsidRPr="00000000">
        <w:rPr>
          <w:rFonts w:ascii="Times New Roman" w:cs="Times New Roman" w:eastAsia="Times New Roman" w:hAnsi="Times New Roman"/>
          <w:i w:val="1"/>
          <w:color w:val="222222"/>
          <w:sz w:val="24"/>
          <w:szCs w:val="24"/>
          <w:highlight w:val="white"/>
          <w:rtl w:val="0"/>
        </w:rPr>
        <w:t xml:space="preserve">Introduction to the English legal system</w:t>
      </w:r>
      <w:r w:rsidDel="00000000" w:rsidR="00000000" w:rsidRPr="00000000">
        <w:rPr>
          <w:rFonts w:ascii="Times New Roman" w:cs="Times New Roman" w:eastAsia="Times New Roman" w:hAnsi="Times New Roman"/>
          <w:color w:val="222222"/>
          <w:sz w:val="24"/>
          <w:szCs w:val="24"/>
          <w:highlight w:val="white"/>
          <w:rtl w:val="0"/>
        </w:rPr>
        <w:t xml:space="preserve">. oxford university press.  </w:t>
      </w:r>
    </w:p>
    <w:p w:rsidR="00000000" w:rsidDel="00000000" w:rsidP="00000000" w:rsidRDefault="00000000" w:rsidRPr="00000000" w14:paraId="00000049">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Rock, P., 2019. </w:t>
      </w:r>
      <w:r w:rsidDel="00000000" w:rsidR="00000000" w:rsidRPr="00000000">
        <w:rPr>
          <w:rFonts w:ascii="Times New Roman" w:cs="Times New Roman" w:eastAsia="Times New Roman" w:hAnsi="Times New Roman"/>
          <w:i w:val="1"/>
          <w:color w:val="222222"/>
          <w:sz w:val="24"/>
          <w:szCs w:val="24"/>
          <w:highlight w:val="white"/>
          <w:rtl w:val="0"/>
        </w:rPr>
        <w:t xml:space="preserve">The Official History of Criminal Justice in England and Wales: Volume II: Institution-Building</w:t>
      </w:r>
      <w:r w:rsidDel="00000000" w:rsidR="00000000" w:rsidRPr="00000000">
        <w:rPr>
          <w:rFonts w:ascii="Times New Roman" w:cs="Times New Roman" w:eastAsia="Times New Roman" w:hAnsi="Times New Roman"/>
          <w:color w:val="222222"/>
          <w:sz w:val="24"/>
          <w:szCs w:val="24"/>
          <w:highlight w:val="white"/>
          <w:rtl w:val="0"/>
        </w:rPr>
        <w:t xml:space="preserve">. Routledge.</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6"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0"/>
        <w:szCs w:val="20"/>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