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ED5B1" w14:textId="77777777" w:rsidR="0026485E" w:rsidRPr="0026485E" w:rsidRDefault="0026485E" w:rsidP="0026485E">
      <w:pPr>
        <w:pStyle w:val="NormalWeb"/>
        <w:spacing w:before="0" w:beforeAutospacing="0" w:after="0" w:afterAutospacing="0" w:line="480" w:lineRule="auto"/>
        <w:rPr>
          <w:rStyle w:val="Strong"/>
          <w:rFonts w:ascii="Arial" w:hAnsi="Arial" w:cs="Arial"/>
        </w:rPr>
      </w:pPr>
    </w:p>
    <w:p w14:paraId="089D7E3B" w14:textId="77777777" w:rsidR="0026485E" w:rsidRPr="0026485E" w:rsidRDefault="0026485E" w:rsidP="0026485E">
      <w:pPr>
        <w:pStyle w:val="NormalWeb"/>
        <w:spacing w:before="0" w:beforeAutospacing="0" w:after="0" w:afterAutospacing="0" w:line="480" w:lineRule="auto"/>
        <w:rPr>
          <w:rStyle w:val="Strong"/>
          <w:rFonts w:ascii="Arial" w:hAnsi="Arial" w:cs="Arial"/>
        </w:rPr>
      </w:pPr>
    </w:p>
    <w:p w14:paraId="35736CE6" w14:textId="5263B0C3" w:rsidR="0026485E" w:rsidRDefault="0026485E" w:rsidP="00EC1D07">
      <w:pPr>
        <w:pStyle w:val="NormalWeb"/>
        <w:spacing w:before="0" w:beforeAutospacing="0" w:after="0" w:afterAutospacing="0" w:line="480" w:lineRule="auto"/>
        <w:jc w:val="center"/>
        <w:rPr>
          <w:rFonts w:ascii="Arial" w:hAnsi="Arial" w:cs="Arial"/>
          <w:shd w:val="clear" w:color="auto" w:fill="FFFFFF"/>
        </w:rPr>
      </w:pPr>
      <w:r w:rsidRPr="0026485E">
        <w:rPr>
          <w:rFonts w:ascii="Arial" w:hAnsi="Arial" w:cs="Arial"/>
          <w:shd w:val="clear" w:color="auto" w:fill="FFFFFF"/>
        </w:rPr>
        <w:t>Elderly D</w:t>
      </w:r>
      <w:r w:rsidR="00EC1D07">
        <w:rPr>
          <w:rFonts w:ascii="Arial" w:hAnsi="Arial" w:cs="Arial"/>
          <w:shd w:val="clear" w:color="auto" w:fill="FFFFFF"/>
        </w:rPr>
        <w:t>ementia Care</w:t>
      </w:r>
    </w:p>
    <w:p w14:paraId="5AF0C426" w14:textId="10575A0A" w:rsidR="0026485E" w:rsidRDefault="00EC1D07" w:rsidP="00EC1D07">
      <w:pPr>
        <w:pStyle w:val="NormalWeb"/>
        <w:spacing w:before="0" w:beforeAutospacing="0" w:after="0" w:afterAutospacing="0" w:line="480" w:lineRule="auto"/>
        <w:rPr>
          <w:rFonts w:ascii="Arial" w:hAnsi="Arial" w:cs="Arial"/>
          <w:shd w:val="clear" w:color="auto" w:fill="FFFFFF"/>
        </w:rPr>
      </w:pPr>
      <w:r>
        <w:rPr>
          <w:rFonts w:ascii="Arial" w:hAnsi="Arial" w:cs="Arial"/>
          <w:shd w:val="clear" w:color="auto" w:fill="FFFFFF"/>
        </w:rPr>
        <w:t>Name: Ebong Obot</w:t>
      </w:r>
    </w:p>
    <w:p w14:paraId="027738FC" w14:textId="78482552" w:rsidR="00EC1D07" w:rsidRDefault="00EC1D07" w:rsidP="00EC1D07">
      <w:pPr>
        <w:pStyle w:val="NormalWeb"/>
        <w:spacing w:before="0" w:beforeAutospacing="0" w:after="0" w:afterAutospacing="0" w:line="480" w:lineRule="auto"/>
        <w:rPr>
          <w:rFonts w:ascii="Arial" w:hAnsi="Arial" w:cs="Arial"/>
          <w:shd w:val="clear" w:color="auto" w:fill="FFFFFF"/>
        </w:rPr>
      </w:pPr>
      <w:r>
        <w:rPr>
          <w:rFonts w:ascii="Arial" w:hAnsi="Arial" w:cs="Arial"/>
          <w:shd w:val="clear" w:color="auto" w:fill="FFFFFF"/>
        </w:rPr>
        <w:t>Student Name: 1915035</w:t>
      </w:r>
    </w:p>
    <w:p w14:paraId="7FBEDB97" w14:textId="6FF200F3" w:rsidR="00EC1D07" w:rsidRDefault="00EC1D07" w:rsidP="00EC1D07">
      <w:pPr>
        <w:pStyle w:val="NormalWeb"/>
        <w:spacing w:before="0" w:beforeAutospacing="0" w:after="0" w:afterAutospacing="0" w:line="480" w:lineRule="auto"/>
        <w:rPr>
          <w:rFonts w:ascii="Arial" w:hAnsi="Arial" w:cs="Arial"/>
          <w:shd w:val="clear" w:color="auto" w:fill="FFFFFF"/>
        </w:rPr>
      </w:pPr>
      <w:r>
        <w:rPr>
          <w:rFonts w:ascii="Arial" w:hAnsi="Arial" w:cs="Arial"/>
          <w:shd w:val="clear" w:color="auto" w:fill="FFFFFF"/>
        </w:rPr>
        <w:t>Module: Living with Care: The Older Person</w:t>
      </w:r>
    </w:p>
    <w:p w14:paraId="5E416B74" w14:textId="6088010A" w:rsidR="00EC1D07" w:rsidRDefault="00EC1D07" w:rsidP="00EC1D07">
      <w:pPr>
        <w:pStyle w:val="NormalWeb"/>
        <w:spacing w:before="0" w:beforeAutospacing="0" w:after="0" w:afterAutospacing="0" w:line="480" w:lineRule="auto"/>
        <w:rPr>
          <w:rFonts w:ascii="Arial" w:hAnsi="Arial" w:cs="Arial"/>
          <w:shd w:val="clear" w:color="auto" w:fill="FFFFFF"/>
        </w:rPr>
      </w:pPr>
      <w:r>
        <w:rPr>
          <w:rFonts w:ascii="Arial" w:hAnsi="Arial" w:cs="Arial"/>
          <w:shd w:val="clear" w:color="auto" w:fill="FFFFFF"/>
        </w:rPr>
        <w:t>Module Code: BMHP6009</w:t>
      </w:r>
    </w:p>
    <w:p w14:paraId="062D4DCF" w14:textId="189DC9DF" w:rsidR="00EC1D07" w:rsidRDefault="00EC1D07" w:rsidP="00EC1D07">
      <w:pPr>
        <w:pStyle w:val="NormalWeb"/>
        <w:spacing w:before="0" w:beforeAutospacing="0" w:after="0" w:afterAutospacing="0" w:line="480" w:lineRule="auto"/>
        <w:rPr>
          <w:rFonts w:ascii="Arial" w:hAnsi="Arial" w:cs="Arial"/>
          <w:shd w:val="clear" w:color="auto" w:fill="FFFFFF"/>
        </w:rPr>
      </w:pPr>
      <w:r>
        <w:rPr>
          <w:rFonts w:ascii="Arial" w:hAnsi="Arial" w:cs="Arial"/>
          <w:shd w:val="clear" w:color="auto" w:fill="FFFFFF"/>
        </w:rPr>
        <w:t>Lecturer: Joanne Davies</w:t>
      </w:r>
    </w:p>
    <w:p w14:paraId="1D820E3A" w14:textId="5AC8A415" w:rsidR="00EC1D07" w:rsidRDefault="00EC1D07" w:rsidP="00EC1D07">
      <w:pPr>
        <w:pStyle w:val="NormalWeb"/>
        <w:spacing w:before="0" w:beforeAutospacing="0" w:after="0" w:afterAutospacing="0" w:line="480" w:lineRule="auto"/>
        <w:rPr>
          <w:rFonts w:ascii="Arial" w:hAnsi="Arial" w:cs="Arial"/>
          <w:shd w:val="clear" w:color="auto" w:fill="FFFFFF"/>
        </w:rPr>
      </w:pPr>
      <w:r>
        <w:rPr>
          <w:rFonts w:ascii="Arial" w:hAnsi="Arial" w:cs="Arial"/>
          <w:shd w:val="clear" w:color="auto" w:fill="FFFFFF"/>
        </w:rPr>
        <w:t>Report on Elderly Dementia Care.</w:t>
      </w:r>
    </w:p>
    <w:p w14:paraId="0DA62C92" w14:textId="6EDD072A" w:rsidR="0026485E" w:rsidRDefault="0026485E" w:rsidP="00EC1D07">
      <w:pPr>
        <w:pStyle w:val="NormalWeb"/>
        <w:spacing w:before="0" w:beforeAutospacing="0" w:after="0" w:afterAutospacing="0" w:line="480" w:lineRule="auto"/>
        <w:jc w:val="center"/>
        <w:rPr>
          <w:rFonts w:ascii="Arial" w:hAnsi="Arial" w:cs="Arial"/>
          <w:shd w:val="clear" w:color="auto" w:fill="FFFFFF"/>
        </w:rPr>
      </w:pPr>
    </w:p>
    <w:p w14:paraId="7A7FC725"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2D525A3E"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4322A4C2"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3BF21186"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4DE8476E"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71E876DF"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775CB5F7"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59E43B1A" w14:textId="77777777" w:rsidR="0026485E" w:rsidRDefault="0026485E" w:rsidP="0026485E">
      <w:pPr>
        <w:pStyle w:val="NormalWeb"/>
        <w:spacing w:before="0" w:beforeAutospacing="0" w:after="0" w:afterAutospacing="0" w:line="480" w:lineRule="auto"/>
        <w:jc w:val="center"/>
        <w:rPr>
          <w:rFonts w:ascii="Arial" w:hAnsi="Arial" w:cs="Arial"/>
          <w:shd w:val="clear" w:color="auto" w:fill="FFFFFF"/>
        </w:rPr>
      </w:pPr>
    </w:p>
    <w:p w14:paraId="078FFDF1" w14:textId="024AC73F" w:rsidR="0026485E" w:rsidRPr="0026485E" w:rsidRDefault="0026485E" w:rsidP="0026485E">
      <w:pPr>
        <w:pStyle w:val="NormalWeb"/>
        <w:spacing w:before="0" w:beforeAutospacing="0" w:after="0" w:afterAutospacing="0" w:line="480" w:lineRule="auto"/>
        <w:jc w:val="center"/>
        <w:rPr>
          <w:rStyle w:val="Strong"/>
          <w:rFonts w:ascii="Arial" w:hAnsi="Arial" w:cs="Arial"/>
        </w:rPr>
      </w:pPr>
    </w:p>
    <w:p w14:paraId="3956581D" w14:textId="77777777" w:rsidR="0026485E" w:rsidRDefault="0026485E" w:rsidP="0026485E">
      <w:pPr>
        <w:pStyle w:val="NormalWeb"/>
        <w:spacing w:before="0" w:beforeAutospacing="0" w:after="0" w:afterAutospacing="0" w:line="480" w:lineRule="auto"/>
        <w:rPr>
          <w:rStyle w:val="Strong"/>
          <w:rFonts w:ascii="Arial" w:hAnsi="Arial" w:cs="Arial"/>
        </w:rPr>
      </w:pPr>
    </w:p>
    <w:p w14:paraId="3FDFF0C2" w14:textId="77777777" w:rsidR="0026485E" w:rsidRDefault="0026485E" w:rsidP="0026485E">
      <w:pPr>
        <w:pStyle w:val="NormalWeb"/>
        <w:spacing w:before="0" w:beforeAutospacing="0" w:after="0" w:afterAutospacing="0" w:line="480" w:lineRule="auto"/>
        <w:rPr>
          <w:rStyle w:val="Strong"/>
          <w:rFonts w:ascii="Arial" w:hAnsi="Arial" w:cs="Arial"/>
        </w:rPr>
      </w:pPr>
    </w:p>
    <w:p w14:paraId="19508394" w14:textId="77777777" w:rsidR="0026485E" w:rsidRPr="0026485E" w:rsidRDefault="0026485E" w:rsidP="0026485E">
      <w:pPr>
        <w:pStyle w:val="NormalWeb"/>
        <w:spacing w:before="0" w:beforeAutospacing="0" w:after="0" w:afterAutospacing="0" w:line="480" w:lineRule="auto"/>
        <w:rPr>
          <w:rStyle w:val="Strong"/>
          <w:rFonts w:ascii="Arial" w:hAnsi="Arial" w:cs="Arial"/>
        </w:rPr>
      </w:pPr>
    </w:p>
    <w:p w14:paraId="6ADFA470" w14:textId="3231BE17" w:rsidR="007A3B40" w:rsidRPr="0026485E" w:rsidRDefault="007A3B40" w:rsidP="0026485E">
      <w:pPr>
        <w:pStyle w:val="NormalWeb"/>
        <w:spacing w:before="0" w:beforeAutospacing="0" w:after="0" w:afterAutospacing="0" w:line="480" w:lineRule="auto"/>
        <w:rPr>
          <w:rFonts w:ascii="Arial" w:hAnsi="Arial" w:cs="Arial"/>
        </w:rPr>
      </w:pPr>
      <w:r w:rsidRPr="0026485E">
        <w:rPr>
          <w:rStyle w:val="Strong"/>
          <w:rFonts w:ascii="Arial" w:hAnsi="Arial" w:cs="Arial"/>
        </w:rPr>
        <w:t>Introduction </w:t>
      </w:r>
    </w:p>
    <w:p w14:paraId="20B43EFF" w14:textId="0A4BABD3"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lastRenderedPageBreak/>
        <w:t xml:space="preserve">This </w:t>
      </w:r>
      <w:r w:rsidR="0026485E" w:rsidRPr="0026485E">
        <w:rPr>
          <w:rFonts w:ascii="Arial" w:hAnsi="Arial" w:cs="Arial"/>
        </w:rPr>
        <w:t xml:space="preserve">discussion </w:t>
      </w:r>
      <w:r w:rsidRPr="0026485E">
        <w:rPr>
          <w:rFonts w:ascii="Arial" w:hAnsi="Arial" w:cs="Arial"/>
        </w:rPr>
        <w:t>aims to present a report on dementia care</w:t>
      </w:r>
      <w:r w:rsidR="00B31897">
        <w:rPr>
          <w:rFonts w:ascii="Arial" w:hAnsi="Arial" w:cs="Arial"/>
        </w:rPr>
        <w:t xml:space="preserve"> among older people</w:t>
      </w:r>
      <w:r w:rsidRPr="0026485E">
        <w:rPr>
          <w:rFonts w:ascii="Arial" w:hAnsi="Arial" w:cs="Arial"/>
        </w:rPr>
        <w:t xml:space="preserve">. The report aims to fulfil two learning outcomes. It will first critically evaluate and compare the local, national, and global provision of dementia services to older people based on current policies and initiatives. Secondly, the report will examine the perspective of future care for </w:t>
      </w:r>
      <w:r w:rsidR="00B31897">
        <w:rPr>
          <w:rFonts w:ascii="Arial" w:hAnsi="Arial" w:cs="Arial"/>
        </w:rPr>
        <w:t xml:space="preserve">older people </w:t>
      </w:r>
      <w:r w:rsidRPr="0026485E">
        <w:rPr>
          <w:rFonts w:ascii="Arial" w:hAnsi="Arial" w:cs="Arial"/>
        </w:rPr>
        <w:t xml:space="preserve">with dementia using technology information and </w:t>
      </w:r>
      <w:r w:rsidR="00B31897">
        <w:rPr>
          <w:rFonts w:ascii="Arial" w:hAnsi="Arial" w:cs="Arial"/>
        </w:rPr>
        <w:t>artificial intelligence (</w:t>
      </w:r>
      <w:r w:rsidRPr="0026485E">
        <w:rPr>
          <w:rFonts w:ascii="Arial" w:hAnsi="Arial" w:cs="Arial"/>
        </w:rPr>
        <w:t>AI</w:t>
      </w:r>
      <w:r w:rsidR="00B31897">
        <w:rPr>
          <w:rFonts w:ascii="Arial" w:hAnsi="Arial" w:cs="Arial"/>
        </w:rPr>
        <w:t>)</w:t>
      </w:r>
      <w:r w:rsidRPr="0026485E">
        <w:rPr>
          <w:rFonts w:ascii="Arial" w:hAnsi="Arial" w:cs="Arial"/>
        </w:rPr>
        <w:t xml:space="preserve"> within the health and social care provision. To achieve the stated aims, a case study of a patient encountered by the student nurse will be used. The patient will be referred to by a pseudonym, Mr. Joseph, for confidentiality (Nursing and Midwifery Council [NMC] 2018). Dementia is a cognitive condition that impairs an individual's ability to think, remember, or make decisions (Olsen et al., 2019). This interferes with one's ability to perform their activities of daily living (McCann, 2019). Dementia also has significant impacts on families and carers. Caring for a loved one with dementia is time-consuming, costly, and stressful and can cause caregivers to suffer burnout (Zahirovic et al., 2018). This makes the topic important for consideration, particularly by adult student nurses. Therefore, the report will first outline the selected case scenario. The report will then assess and evaluate the patient's health and social care needs. Subsequently, the essay will propose possible support and interventions that will enable the individual to age gracefully. </w:t>
      </w:r>
    </w:p>
    <w:p w14:paraId="0E62C585" w14:textId="4439A41F" w:rsidR="007A3B40" w:rsidRPr="0026485E" w:rsidRDefault="007A3B40" w:rsidP="0026485E">
      <w:pPr>
        <w:pStyle w:val="NormalWeb"/>
        <w:spacing w:before="0" w:beforeAutospacing="0" w:after="0" w:afterAutospacing="0" w:line="480" w:lineRule="auto"/>
        <w:rPr>
          <w:rFonts w:ascii="Arial" w:hAnsi="Arial" w:cs="Arial"/>
        </w:rPr>
      </w:pPr>
      <w:r w:rsidRPr="0026485E">
        <w:rPr>
          <w:rStyle w:val="Strong"/>
          <w:rFonts w:ascii="Arial" w:hAnsi="Arial" w:cs="Arial"/>
        </w:rPr>
        <w:t>Body </w:t>
      </w:r>
    </w:p>
    <w:p w14:paraId="7E402B25"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Style w:val="Emphasis"/>
          <w:rFonts w:ascii="Arial" w:hAnsi="Arial" w:cs="Arial"/>
        </w:rPr>
        <w:t>Case scenario </w:t>
      </w:r>
    </w:p>
    <w:p w14:paraId="48231C6A"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 xml:space="preserve">This report will be based on Mr Joseph, a 79-year-old male living with multi-infarct vascular dementia for the past 18 months. Mr Joseph receives secondary care in the Middlesex Hospital and attends Cognitive Stimulation Therapy [CST] weekly at a </w:t>
      </w:r>
      <w:r w:rsidRPr="0026485E">
        <w:rPr>
          <w:rFonts w:ascii="Arial" w:hAnsi="Arial" w:cs="Arial"/>
        </w:rPr>
        <w:lastRenderedPageBreak/>
        <w:t>memory club. The care is delivered by untrained and trained NHS employees. Mr Joseph lives at home with his wife (55 years old), his primary carer. Mr Joseph's symptoms include disorientation to place and time and difficulties recalling short-term events. </w:t>
      </w:r>
    </w:p>
    <w:p w14:paraId="0605DCF6" w14:textId="77777777" w:rsidR="007A3B40" w:rsidRPr="0026485E" w:rsidRDefault="007A3B40" w:rsidP="0026485E">
      <w:pPr>
        <w:pStyle w:val="NormalWeb"/>
        <w:spacing w:before="0" w:beforeAutospacing="0" w:after="0" w:afterAutospacing="0" w:line="480" w:lineRule="auto"/>
        <w:rPr>
          <w:rFonts w:ascii="Arial" w:hAnsi="Arial" w:cs="Arial"/>
        </w:rPr>
      </w:pPr>
    </w:p>
    <w:p w14:paraId="29FA83AA"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Style w:val="Emphasis"/>
          <w:rFonts w:ascii="Arial" w:hAnsi="Arial" w:cs="Arial"/>
        </w:rPr>
        <w:t>Critical discussion </w:t>
      </w:r>
    </w:p>
    <w:p w14:paraId="0A99D060" w14:textId="370CB17D"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There are various definitions for Old Age. According to the United Nations High Commission for Refugees [UNHCR] (2023), old age commences at 60. The NHS England (2023), on their part, contends that individuals aged 65 years and above can be considered as older adults. However, NHS England (2023) argues that giving strict definitions for 'Old Age' is difficult since people age at different rates. For example, an individual aged 75 may be healthier than a 60-year-old (NHS England, 2023). Office for National Statistics [ONS] (2023) resonates that old age begins at 65 years, most likely because it is the official retirement age at which one can claim a State Pension. Generally, old age commences when ageing starts. Ageing is a time-related deterioration of a person's social, psychological, and physical functions necessary for fertility and survival (World Health Organisation [WHO], 2020). Human ageing commences at 60 years (</w:t>
      </w:r>
      <w:proofErr w:type="spellStart"/>
      <w:r w:rsidRPr="0026485E">
        <w:rPr>
          <w:rFonts w:ascii="Arial" w:hAnsi="Arial" w:cs="Arial"/>
        </w:rPr>
        <w:t>Howdon</w:t>
      </w:r>
      <w:proofErr w:type="spellEnd"/>
      <w:r w:rsidRPr="0026485E">
        <w:rPr>
          <w:rFonts w:ascii="Arial" w:hAnsi="Arial" w:cs="Arial"/>
        </w:rPr>
        <w:t xml:space="preserve"> and Rice, 2018</w:t>
      </w:r>
      <w:r w:rsidR="0026485E" w:rsidRPr="0026485E">
        <w:rPr>
          <w:rFonts w:ascii="Arial" w:hAnsi="Arial" w:cs="Arial"/>
        </w:rPr>
        <w:t xml:space="preserve">; </w:t>
      </w:r>
      <w:r w:rsidR="0026485E" w:rsidRPr="0026485E">
        <w:rPr>
          <w:rFonts w:ascii="Arial" w:hAnsi="Arial" w:cs="Arial"/>
          <w:shd w:val="clear" w:color="auto" w:fill="FFFFFF"/>
        </w:rPr>
        <w:t xml:space="preserve">Sanderson and </w:t>
      </w:r>
      <w:proofErr w:type="spellStart"/>
      <w:r w:rsidR="0026485E" w:rsidRPr="0026485E">
        <w:rPr>
          <w:rFonts w:ascii="Arial" w:hAnsi="Arial" w:cs="Arial"/>
          <w:shd w:val="clear" w:color="auto" w:fill="FFFFFF"/>
        </w:rPr>
        <w:t>Scherbov</w:t>
      </w:r>
      <w:proofErr w:type="spellEnd"/>
      <w:r w:rsidR="0026485E" w:rsidRPr="0026485E">
        <w:rPr>
          <w:rFonts w:ascii="Arial" w:hAnsi="Arial" w:cs="Arial"/>
          <w:shd w:val="clear" w:color="auto" w:fill="FFFFFF"/>
        </w:rPr>
        <w:t>, 2019</w:t>
      </w:r>
      <w:r w:rsidRPr="0026485E">
        <w:rPr>
          <w:rFonts w:ascii="Arial" w:hAnsi="Arial" w:cs="Arial"/>
        </w:rPr>
        <w:t>). Therefore, for this report, 'Old Age' will be construed as 60 years and above.</w:t>
      </w:r>
    </w:p>
    <w:p w14:paraId="49DBAE85" w14:textId="77777777" w:rsidR="007A3B40" w:rsidRPr="0026485E" w:rsidRDefault="007A3B40" w:rsidP="0026485E">
      <w:pPr>
        <w:pStyle w:val="NormalWeb"/>
        <w:spacing w:before="0" w:beforeAutospacing="0" w:after="0" w:afterAutospacing="0" w:line="480" w:lineRule="auto"/>
        <w:rPr>
          <w:rFonts w:ascii="Arial" w:hAnsi="Arial" w:cs="Arial"/>
        </w:rPr>
      </w:pPr>
    </w:p>
    <w:p w14:paraId="0BC2EE46"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 xml:space="preserve">Research shows that people worldwide currently live longer (WHO, 2020). Today, most people live to their 60s and beyond. Consequently, every country is experiencing a rising ageing population (Rudnicka et al., 2020; Ukkonen et al., 2020). For example, </w:t>
      </w:r>
      <w:r w:rsidRPr="0026485E">
        <w:rPr>
          <w:rFonts w:ascii="Arial" w:hAnsi="Arial" w:cs="Arial"/>
        </w:rPr>
        <w:lastRenderedPageBreak/>
        <w:t>Chang et al. (2019) project that by 2030, about 1 in every six persons will be 60 years or above. This implies that the ageing population will increase from 1 billion in 2020 to about 1.4 billion in 2030. Notably, the ageing population will increase to about 2.1 billion by 2050 (Partridge et al., 2018). In the UK, the primary drivers for the increasing older population are declining fertility and improvements in life expectancy (Rudnicka et al., 2020; Ukkonen et al., 2020). Traditionally, fertility rates used to be higher in less-resourced countries than in developed ones (Chang et al., 2019; Kingston et al., 2018). However, high perinatal and maternal deaths have reduced birth rates in developing countries (ONS, 2023). For developed countries like the UK, religious beliefs, social structures, urbanisation, and prosperity have reduced birth rates (Rudnicka et al., 2020; Reeves et al., 2018). </w:t>
      </w:r>
    </w:p>
    <w:p w14:paraId="503BB19F" w14:textId="77777777" w:rsidR="007A3B40" w:rsidRPr="0026485E" w:rsidRDefault="007A3B40" w:rsidP="0026485E">
      <w:pPr>
        <w:pStyle w:val="NormalWeb"/>
        <w:spacing w:before="0" w:beforeAutospacing="0" w:after="0" w:afterAutospacing="0" w:line="480" w:lineRule="auto"/>
        <w:rPr>
          <w:rFonts w:ascii="Arial" w:hAnsi="Arial" w:cs="Arial"/>
        </w:rPr>
      </w:pPr>
    </w:p>
    <w:p w14:paraId="1D19F176"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On their part, Partridge et al. (2018) argue that lifestyle choices linked to economic affluence and birth control accessibility have reduced birthrates in developed countries, such as the UK. Similarly, the housing, education, and other costs of raising children have increased significantly (ONS, 2023). Accordingly, about 19% of the UK's population was 65 years and above in 2019 (approximately 12.3 million people) (Rudnicka et al., 2020). This indicates an increase of 23% from 2009 (Kingston et al., 2018; Reeves et al., 2018). Research projects that the older population in the UK will continue to grow to about 24% of the entire population by 2043 (ONS, 2023). Similarly, the proportion of those aged 75 years and above will rise from 8% in 2018 to about 13% in 2043 (House of Commons Library, 2021). </w:t>
      </w:r>
    </w:p>
    <w:p w14:paraId="07510766" w14:textId="77777777" w:rsidR="007A3B40" w:rsidRPr="0026485E" w:rsidRDefault="007A3B40" w:rsidP="0026485E">
      <w:pPr>
        <w:pStyle w:val="NormalWeb"/>
        <w:spacing w:before="0" w:beforeAutospacing="0" w:after="0" w:afterAutospacing="0" w:line="480" w:lineRule="auto"/>
        <w:rPr>
          <w:rFonts w:ascii="Arial" w:hAnsi="Arial" w:cs="Arial"/>
        </w:rPr>
      </w:pPr>
    </w:p>
    <w:p w14:paraId="4A958B20" w14:textId="02333FB1"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lastRenderedPageBreak/>
        <w:t xml:space="preserve">As people age, they struggle with many health and social problems (Gardiner et al., 2018; Malone and Dadswell, 2018). Research shows that the majority of older </w:t>
      </w:r>
      <w:proofErr w:type="gramStart"/>
      <w:r w:rsidRPr="0026485E">
        <w:rPr>
          <w:rFonts w:ascii="Arial" w:hAnsi="Arial" w:cs="Arial"/>
        </w:rPr>
        <w:t>adults</w:t>
      </w:r>
      <w:proofErr w:type="gramEnd"/>
      <w:r w:rsidRPr="0026485E">
        <w:rPr>
          <w:rFonts w:ascii="Arial" w:hAnsi="Arial" w:cs="Arial"/>
        </w:rPr>
        <w:t xml:space="preserve"> struggle with the death of loved ones, weakened mobility, and multiple health conditions (Morrow-Howell et al., 2020). Similarly, most </w:t>
      </w:r>
      <w:r w:rsidR="00B31897">
        <w:rPr>
          <w:rFonts w:ascii="Arial" w:hAnsi="Arial" w:cs="Arial"/>
        </w:rPr>
        <w:t xml:space="preserve">older people </w:t>
      </w:r>
      <w:r w:rsidRPr="0026485E">
        <w:rPr>
          <w:rFonts w:ascii="Arial" w:hAnsi="Arial" w:cs="Arial"/>
        </w:rPr>
        <w:t xml:space="preserve">experience withdrawal from their working and social lives (Khan et al., 2020). Social discrimination against the </w:t>
      </w:r>
      <w:r w:rsidR="00B31897">
        <w:rPr>
          <w:rFonts w:ascii="Arial" w:hAnsi="Arial" w:cs="Arial"/>
        </w:rPr>
        <w:t>older people</w:t>
      </w:r>
      <w:r w:rsidRPr="0026485E">
        <w:rPr>
          <w:rFonts w:ascii="Arial" w:hAnsi="Arial" w:cs="Arial"/>
        </w:rPr>
        <w:t xml:space="preserve"> occurs due to distance and indifference from younger people (Malone and Dadswell, 2018). Research shows that respect solely for one's age is disappearing and getting replaced by respect based on individuality (Gardiner et al., 2018). Further evidence shows that there are negative perceptions and anxiety about old age due to the cult of youth (Khan et al., 2020). Additionally, </w:t>
      </w:r>
      <w:r w:rsidR="00B31897">
        <w:rPr>
          <w:rFonts w:ascii="Arial" w:hAnsi="Arial" w:cs="Arial"/>
        </w:rPr>
        <w:t>older people</w:t>
      </w:r>
      <w:r w:rsidRPr="0026485E">
        <w:rPr>
          <w:rFonts w:ascii="Arial" w:hAnsi="Arial" w:cs="Arial"/>
        </w:rPr>
        <w:t xml:space="preserve"> face limited psycho-motor abilities due to conditions such as dementia, physical illnesses such as diabetes, and withdrawal from active participation in social life (Morrow-Howell et al., 2020). For example, Mr. Joseph's dementia condition can be said to be partly contributed to his old age. This limits his ability to recall issues and orientate with time and place. According to Malone and Dadswell (2018), the marginalisation of older adults is progressing rapidly. This commences with withdrawal from social roles, reducing interpersonal contacts, and culminates with reduced access to services, goods, and institutions that can support </w:t>
      </w:r>
      <w:r w:rsidR="00B31897">
        <w:rPr>
          <w:rFonts w:ascii="Arial" w:hAnsi="Arial" w:cs="Arial"/>
        </w:rPr>
        <w:t>older people</w:t>
      </w:r>
      <w:r w:rsidRPr="0026485E">
        <w:rPr>
          <w:rFonts w:ascii="Arial" w:hAnsi="Arial" w:cs="Arial"/>
        </w:rPr>
        <w:t xml:space="preserve"> (Gardiner et al., 2018; Malone and Dadswell, 2018). Subsequently, older adults suffer passivity, social isolation, and indifference, which causes them to completely withdraw from social activity (Morrow-Howell et al., 2020). Khan et al. (2020), on their part, contend that a rise in t</w:t>
      </w:r>
      <w:r w:rsidR="00B31897">
        <w:rPr>
          <w:rFonts w:ascii="Arial" w:hAnsi="Arial" w:cs="Arial"/>
        </w:rPr>
        <w:t>he older</w:t>
      </w:r>
      <w:r w:rsidRPr="0026485E">
        <w:rPr>
          <w:rFonts w:ascii="Arial" w:hAnsi="Arial" w:cs="Arial"/>
        </w:rPr>
        <w:t xml:space="preserve"> population not matched by health improvements- places greater pressure on public finances. This is because </w:t>
      </w:r>
      <w:r w:rsidRPr="0026485E">
        <w:rPr>
          <w:rFonts w:ascii="Arial" w:hAnsi="Arial" w:cs="Arial"/>
        </w:rPr>
        <w:lastRenderedPageBreak/>
        <w:t>relatively smaller populations work to support the growing spending on health, pensions, and social care (Malone and Dadswell, 2018). </w:t>
      </w:r>
    </w:p>
    <w:p w14:paraId="660737DE" w14:textId="77777777" w:rsidR="007A3B40" w:rsidRPr="0026485E" w:rsidRDefault="007A3B40" w:rsidP="0026485E">
      <w:pPr>
        <w:pStyle w:val="NormalWeb"/>
        <w:spacing w:before="0" w:beforeAutospacing="0" w:after="0" w:afterAutospacing="0" w:line="480" w:lineRule="auto"/>
        <w:rPr>
          <w:rFonts w:ascii="Arial" w:hAnsi="Arial" w:cs="Arial"/>
        </w:rPr>
      </w:pPr>
    </w:p>
    <w:p w14:paraId="3DF73968" w14:textId="5D0640D0"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 xml:space="preserve">Research shows that </w:t>
      </w:r>
      <w:r w:rsidR="00B31897">
        <w:rPr>
          <w:rFonts w:ascii="Arial" w:hAnsi="Arial" w:cs="Arial"/>
        </w:rPr>
        <w:t>older</w:t>
      </w:r>
      <w:r w:rsidRPr="0026485E">
        <w:rPr>
          <w:rFonts w:ascii="Arial" w:hAnsi="Arial" w:cs="Arial"/>
        </w:rPr>
        <w:t xml:space="preserve"> people are quick to identify with any stereotypes relating to old age (Gardiner et al., 2018). This makes them feel helpless, lost, and unable to cope with the rapid changes around them (Khan et al., 2020). Consequently, </w:t>
      </w:r>
      <w:proofErr w:type="gramStart"/>
      <w:r w:rsidRPr="0026485E">
        <w:rPr>
          <w:rFonts w:ascii="Arial" w:hAnsi="Arial" w:cs="Arial"/>
        </w:rPr>
        <w:t>the majority of</w:t>
      </w:r>
      <w:proofErr w:type="gramEnd"/>
      <w:r w:rsidRPr="0026485E">
        <w:rPr>
          <w:rFonts w:ascii="Arial" w:hAnsi="Arial" w:cs="Arial"/>
        </w:rPr>
        <w:t xml:space="preserve"> them tend to feel lonely. Loneliness is linked to longing, sadness, lack of fulfilment, and regret (Morrow-Howell et al., 2020). Partridge et al. (2018) </w:t>
      </w:r>
      <w:proofErr w:type="gramStart"/>
      <w:r w:rsidRPr="0026485E">
        <w:rPr>
          <w:rFonts w:ascii="Arial" w:hAnsi="Arial" w:cs="Arial"/>
        </w:rPr>
        <w:t>summarise</w:t>
      </w:r>
      <w:proofErr w:type="gramEnd"/>
      <w:r w:rsidRPr="0026485E">
        <w:rPr>
          <w:rFonts w:ascii="Arial" w:hAnsi="Arial" w:cs="Arial"/>
        </w:rPr>
        <w:t xml:space="preserve"> the major causes of loneliness in</w:t>
      </w:r>
      <w:r w:rsidR="00B31897">
        <w:rPr>
          <w:rFonts w:ascii="Arial" w:hAnsi="Arial" w:cs="Arial"/>
        </w:rPr>
        <w:t xml:space="preserve"> the older</w:t>
      </w:r>
      <w:r w:rsidRPr="0026485E">
        <w:rPr>
          <w:rFonts w:ascii="Arial" w:hAnsi="Arial" w:cs="Arial"/>
        </w:rPr>
        <w:t xml:space="preserve"> population as the death of loved ones, narrowing social networks, moral and sociocultural distance, and health problems that limit mobility. For example, the COVID-19 pandemic caused social isolation and the death of loved ones (Gardiner et al., 2018). This contributed to loneliness among </w:t>
      </w:r>
      <w:r w:rsidR="00B31897">
        <w:rPr>
          <w:rFonts w:ascii="Arial" w:hAnsi="Arial" w:cs="Arial"/>
        </w:rPr>
        <w:t>older people</w:t>
      </w:r>
      <w:r w:rsidRPr="0026485E">
        <w:rPr>
          <w:rFonts w:ascii="Arial" w:hAnsi="Arial" w:cs="Arial"/>
        </w:rPr>
        <w:t xml:space="preserve"> who lost their loved ones and were secluded during the pandemic to safeguard them from contracting the coronavirus (Morrow-Howell et al., 2020). </w:t>
      </w:r>
    </w:p>
    <w:p w14:paraId="50622AFD" w14:textId="77777777" w:rsidR="007A3B40" w:rsidRPr="0026485E" w:rsidRDefault="007A3B40" w:rsidP="0026485E">
      <w:pPr>
        <w:pStyle w:val="NormalWeb"/>
        <w:spacing w:before="0" w:beforeAutospacing="0" w:after="0" w:afterAutospacing="0" w:line="480" w:lineRule="auto"/>
        <w:rPr>
          <w:rFonts w:ascii="Arial" w:hAnsi="Arial" w:cs="Arial"/>
        </w:rPr>
      </w:pPr>
    </w:p>
    <w:p w14:paraId="61180E70"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As mentioned, dementia is a cognitive condition resulting in the progressive decline of functional areas, such as reasoning, memory, communication skills, and the ability to execute daily activities (Peluso et al., 2018). Multi-infarct vascular dementia results from infarction of the brain caused by vascular disease and hypertensive cerebrovascular disease (</w:t>
      </w:r>
      <w:proofErr w:type="spellStart"/>
      <w:r w:rsidRPr="0026485E">
        <w:rPr>
          <w:rFonts w:ascii="Arial" w:hAnsi="Arial" w:cs="Arial"/>
        </w:rPr>
        <w:t>Pelegrini</w:t>
      </w:r>
      <w:proofErr w:type="spellEnd"/>
      <w:r w:rsidRPr="0026485E">
        <w:rPr>
          <w:rFonts w:ascii="Arial" w:hAnsi="Arial" w:cs="Arial"/>
        </w:rPr>
        <w:t xml:space="preserve"> et al., 2019; Maestre et al., 2018). Infarcts are usually small but occur cumulatively, and they occur in later life. Mr Joseph commenced his care pathway after he and his wife visited a GP to express concerns over his memory. He had difficulties recalling recent events, making his wife sensitive and naturally concerned. The first step </w:t>
      </w:r>
      <w:r w:rsidRPr="0026485E">
        <w:rPr>
          <w:rFonts w:ascii="Arial" w:hAnsi="Arial" w:cs="Arial"/>
        </w:rPr>
        <w:lastRenderedPageBreak/>
        <w:t>is important as Peluso et al. (2018) observed that lack of detection is a significant barrier to improving the lives of people living with dementia. Initially, Mr Joseph had undergone a dementia screening at a primary care setting to rule out other possible causes. The tests include biochemistry, routine haematology, folate, and serum vitamin B12 levels (</w:t>
      </w:r>
      <w:proofErr w:type="spellStart"/>
      <w:r w:rsidRPr="0026485E">
        <w:rPr>
          <w:rFonts w:ascii="Arial" w:hAnsi="Arial" w:cs="Arial"/>
        </w:rPr>
        <w:t>Delwel</w:t>
      </w:r>
      <w:proofErr w:type="spellEnd"/>
      <w:r w:rsidRPr="0026485E">
        <w:rPr>
          <w:rFonts w:ascii="Arial" w:hAnsi="Arial" w:cs="Arial"/>
        </w:rPr>
        <w:t xml:space="preserve"> et al., 2018). This assessment was underpinned by guidance from the National Institute for Health and Care Excellence [NICE] (2018), demonstrating safe and effective practice. Due to their boldness in seeking assistance with his memory issues, Mr Joseph and his wife were fully involved in the screening process. They were willing to participate throughout the process. Again, this was in line with NMC (2018) and NICE (2018), which echo the need to involve service users in their care. </w:t>
      </w:r>
    </w:p>
    <w:p w14:paraId="72EED96B" w14:textId="77777777" w:rsidR="007A3B40" w:rsidRPr="0026485E" w:rsidRDefault="007A3B40" w:rsidP="0026485E">
      <w:pPr>
        <w:pStyle w:val="NormalWeb"/>
        <w:spacing w:before="0" w:beforeAutospacing="0" w:after="0" w:afterAutospacing="0" w:line="480" w:lineRule="auto"/>
        <w:rPr>
          <w:rFonts w:ascii="Arial" w:hAnsi="Arial" w:cs="Arial"/>
        </w:rPr>
      </w:pPr>
    </w:p>
    <w:p w14:paraId="5017CBF1"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However, the Mental Capacity Act (2005) maintains that patients must consent before involving their family members. Consequently, informed consent was sought from Mr Joseph before his wife was involved in the care process. Together, they were educated about potential pathways and actively involved in choosing and planning further care plans. Once the primary caregivers ruled out alternative causes for Mr. Joseph's symptoms, they discussed with him about being transferred to secondary care. Mr Joseph and his wife consented. A letter was sent to the Memory Service within his locality to facilitate convenience and accessibility (</w:t>
      </w:r>
      <w:proofErr w:type="spellStart"/>
      <w:r w:rsidRPr="0026485E">
        <w:rPr>
          <w:rFonts w:ascii="Arial" w:hAnsi="Arial" w:cs="Arial"/>
        </w:rPr>
        <w:t>Fukawa</w:t>
      </w:r>
      <w:proofErr w:type="spellEnd"/>
      <w:r w:rsidRPr="0026485E">
        <w:rPr>
          <w:rFonts w:ascii="Arial" w:hAnsi="Arial" w:cs="Arial"/>
        </w:rPr>
        <w:t>, 2018; Maestre et al., 2018). As mentioned earlier, MCA (2005) must be adhered to where a patient lacks the capacity to make their own decisions. This helps to make decisions that serve a patient's best interests (MCA, 2005). </w:t>
      </w:r>
    </w:p>
    <w:p w14:paraId="3BF7AFF2" w14:textId="77777777" w:rsidR="007A3B40" w:rsidRPr="0026485E" w:rsidRDefault="007A3B40" w:rsidP="0026485E">
      <w:pPr>
        <w:pStyle w:val="NormalWeb"/>
        <w:spacing w:before="0" w:beforeAutospacing="0" w:after="0" w:afterAutospacing="0" w:line="480" w:lineRule="auto"/>
        <w:rPr>
          <w:rFonts w:ascii="Arial" w:hAnsi="Arial" w:cs="Arial"/>
        </w:rPr>
      </w:pPr>
    </w:p>
    <w:p w14:paraId="2825B720"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lastRenderedPageBreak/>
        <w:t>Both assessment and care planning must be holistic. The NMC (2018) defines holistic care as considering a whole person by considering biopsychosocial factors when assessing, planning, and delivering care. Accordingly, Mr Joseph received a comprehensive assessment, which included his mini-mental state examination, personal history, physical examination, and review of his current medication. This enabled the care team to identify what could adversely affect his cognitive functioning (Peluso et al., 2018). The whole assessment was concordant with NICE (2018) guidelines. However, the care team omitted two possible functional assessments. First, the care team failed to conduct structural imaging, such as CT or MRI, which aid in identifying other cerebral pathologies and help in subtype diagnosis (</w:t>
      </w:r>
      <w:proofErr w:type="spellStart"/>
      <w:r w:rsidRPr="0026485E">
        <w:rPr>
          <w:rFonts w:ascii="Arial" w:hAnsi="Arial" w:cs="Arial"/>
        </w:rPr>
        <w:t>Delwel</w:t>
      </w:r>
      <w:proofErr w:type="spellEnd"/>
      <w:r w:rsidRPr="0026485E">
        <w:rPr>
          <w:rFonts w:ascii="Arial" w:hAnsi="Arial" w:cs="Arial"/>
        </w:rPr>
        <w:t xml:space="preserve"> et al., 2018; Maestre et al., 2018). Nonetheless, Mr Joseph had a history of transient ischaemic heart attacks [TIAs], making the psychiatrist satisfied that his subtype originated from the vascular (</w:t>
      </w:r>
      <w:proofErr w:type="spellStart"/>
      <w:r w:rsidRPr="0026485E">
        <w:rPr>
          <w:rFonts w:ascii="Arial" w:hAnsi="Arial" w:cs="Arial"/>
        </w:rPr>
        <w:t>Fukawa</w:t>
      </w:r>
      <w:proofErr w:type="spellEnd"/>
      <w:r w:rsidRPr="0026485E">
        <w:rPr>
          <w:rFonts w:ascii="Arial" w:hAnsi="Arial" w:cs="Arial"/>
        </w:rPr>
        <w:t>, 2018). However, the final decision rested with Mr Joseph. Consequently, the care team discussed with him, and he agreed that a brain scan was unnecessary. Second, the psychiatrist did not offer Mr Joseph any medication due to the nature of the diagnosis. This was concordant with NICE (2018), which holds that acetylcholinesterase (</w:t>
      </w:r>
      <w:proofErr w:type="spellStart"/>
      <w:r w:rsidRPr="0026485E">
        <w:rPr>
          <w:rFonts w:ascii="Arial" w:hAnsi="Arial" w:cs="Arial"/>
        </w:rPr>
        <w:t>ACEhE</w:t>
      </w:r>
      <w:proofErr w:type="spellEnd"/>
      <w:r w:rsidRPr="0026485E">
        <w:rPr>
          <w:rFonts w:ascii="Arial" w:hAnsi="Arial" w:cs="Arial"/>
        </w:rPr>
        <w:t>) inhibitors and NMDA-receptor antagonists should not be prescribed to patients with vascular dementia. This is despite their recommendation by the British National Formulary [BNF] (2023) for treating mild to moderate Alzheimer's disease. </w:t>
      </w:r>
    </w:p>
    <w:p w14:paraId="49EF02CB" w14:textId="77777777" w:rsidR="007A3B40" w:rsidRPr="0026485E" w:rsidRDefault="007A3B40" w:rsidP="0026485E">
      <w:pPr>
        <w:pStyle w:val="NormalWeb"/>
        <w:spacing w:before="0" w:beforeAutospacing="0" w:after="0" w:afterAutospacing="0" w:line="480" w:lineRule="auto"/>
        <w:rPr>
          <w:rFonts w:ascii="Arial" w:hAnsi="Arial" w:cs="Arial"/>
        </w:rPr>
      </w:pPr>
    </w:p>
    <w:p w14:paraId="714AFA1D"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 xml:space="preserve">The care team explained to Mr Joseph and his wife all aspects of his assessment, investigations, and unsuitable interventions. This was done in a non-jargon and </w:t>
      </w:r>
      <w:r w:rsidRPr="0026485E">
        <w:rPr>
          <w:rFonts w:ascii="Arial" w:hAnsi="Arial" w:cs="Arial"/>
        </w:rPr>
        <w:lastRenderedPageBreak/>
        <w:t>appropriate manner, allowing them to comprehend it effectively (</w:t>
      </w:r>
      <w:proofErr w:type="spellStart"/>
      <w:r w:rsidRPr="0026485E">
        <w:rPr>
          <w:rFonts w:ascii="Arial" w:hAnsi="Arial" w:cs="Arial"/>
        </w:rPr>
        <w:t>Pelegrini</w:t>
      </w:r>
      <w:proofErr w:type="spellEnd"/>
      <w:r w:rsidRPr="0026485E">
        <w:rPr>
          <w:rFonts w:ascii="Arial" w:hAnsi="Arial" w:cs="Arial"/>
        </w:rPr>
        <w:t xml:space="preserve"> et al., 2019). Similarly, the psychiatrist inquired whether Mr Joseph would like to know more about his condition before sharing his professional opinion about the possible causes of memory deficits. This helped to empower the patient and reduce boundaries between the patient and the psychiatrist (</w:t>
      </w:r>
      <w:proofErr w:type="spellStart"/>
      <w:r w:rsidRPr="0026485E">
        <w:rPr>
          <w:rFonts w:ascii="Arial" w:hAnsi="Arial" w:cs="Arial"/>
        </w:rPr>
        <w:t>Fukawa</w:t>
      </w:r>
      <w:proofErr w:type="spellEnd"/>
      <w:r w:rsidRPr="0026485E">
        <w:rPr>
          <w:rFonts w:ascii="Arial" w:hAnsi="Arial" w:cs="Arial"/>
        </w:rPr>
        <w:t xml:space="preserve">, 2018). As Peluso et al. (2018) noted, dementia patients are equal members of </w:t>
      </w:r>
      <w:proofErr w:type="gramStart"/>
      <w:r w:rsidRPr="0026485E">
        <w:rPr>
          <w:rFonts w:ascii="Arial" w:hAnsi="Arial" w:cs="Arial"/>
        </w:rPr>
        <w:t>the human race</w:t>
      </w:r>
      <w:proofErr w:type="gramEnd"/>
      <w:r w:rsidRPr="0026485E">
        <w:rPr>
          <w:rFonts w:ascii="Arial" w:hAnsi="Arial" w:cs="Arial"/>
        </w:rPr>
        <w:t>. Accordingly, we are all humans and are fundamentally all in the same boat (</w:t>
      </w:r>
      <w:proofErr w:type="spellStart"/>
      <w:r w:rsidRPr="0026485E">
        <w:rPr>
          <w:rFonts w:ascii="Arial" w:hAnsi="Arial" w:cs="Arial"/>
        </w:rPr>
        <w:t>Pelegrini</w:t>
      </w:r>
      <w:proofErr w:type="spellEnd"/>
      <w:r w:rsidRPr="0026485E">
        <w:rPr>
          <w:rFonts w:ascii="Arial" w:hAnsi="Arial" w:cs="Arial"/>
        </w:rPr>
        <w:t xml:space="preserve"> et al., 2019; Maestre et al., 2018). </w:t>
      </w:r>
      <w:proofErr w:type="spellStart"/>
      <w:r w:rsidRPr="0026485E">
        <w:rPr>
          <w:rFonts w:ascii="Arial" w:hAnsi="Arial" w:cs="Arial"/>
        </w:rPr>
        <w:t>Delwel</w:t>
      </w:r>
      <w:proofErr w:type="spellEnd"/>
      <w:r w:rsidRPr="0026485E">
        <w:rPr>
          <w:rFonts w:ascii="Arial" w:hAnsi="Arial" w:cs="Arial"/>
        </w:rPr>
        <w:t xml:space="preserve"> et al. (2018) argue that the impact of a dementia diagnosis depends on how it is delivered. Therefore, the psychiatrist carefully informed Mr Joseph and his wife professionally and sensitively. The patient was informed about the immediate support pathways and options with care to avoid overwhelming him with information at this point. As noted by NICE (2018), receiving a dementia diagnosis can be challenging for patients and their families or carers. Mr Joseph received a post-diagnostic community visit by a community psychiatrist as recommended by the NHS (2023) to discuss options open to him after he has been offered sufficient time to accept the diagnosis. Additionally, the psychiatrist disseminated the assessment report to Mr Joseph's GP for a safe transfer from primary to secondary services (</w:t>
      </w:r>
      <w:proofErr w:type="spellStart"/>
      <w:r w:rsidRPr="0026485E">
        <w:rPr>
          <w:rFonts w:ascii="Arial" w:hAnsi="Arial" w:cs="Arial"/>
        </w:rPr>
        <w:t>Fukawa</w:t>
      </w:r>
      <w:proofErr w:type="spellEnd"/>
      <w:r w:rsidRPr="0026485E">
        <w:rPr>
          <w:rFonts w:ascii="Arial" w:hAnsi="Arial" w:cs="Arial"/>
        </w:rPr>
        <w:t xml:space="preserve">, 2018; </w:t>
      </w:r>
      <w:proofErr w:type="spellStart"/>
      <w:r w:rsidRPr="0026485E">
        <w:rPr>
          <w:rFonts w:ascii="Arial" w:hAnsi="Arial" w:cs="Arial"/>
        </w:rPr>
        <w:t>Pelegrini</w:t>
      </w:r>
      <w:proofErr w:type="spellEnd"/>
      <w:r w:rsidRPr="0026485E">
        <w:rPr>
          <w:rFonts w:ascii="Arial" w:hAnsi="Arial" w:cs="Arial"/>
        </w:rPr>
        <w:t xml:space="preserve"> et al., 2019). The psychiatrist also agreed to continue sharing relevant contact with the GP about Mr Joseph's dementia condition to ensure safe practice as required by NICE (2018). </w:t>
      </w:r>
    </w:p>
    <w:p w14:paraId="646A189A" w14:textId="77777777" w:rsidR="007A3B40" w:rsidRPr="0026485E" w:rsidRDefault="007A3B40" w:rsidP="0026485E">
      <w:pPr>
        <w:pStyle w:val="NormalWeb"/>
        <w:spacing w:before="0" w:beforeAutospacing="0" w:after="0" w:afterAutospacing="0" w:line="480" w:lineRule="auto"/>
        <w:rPr>
          <w:rFonts w:ascii="Arial" w:hAnsi="Arial" w:cs="Arial"/>
        </w:rPr>
      </w:pPr>
    </w:p>
    <w:p w14:paraId="553EC5B4"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 xml:space="preserve">Similarly, Mr. Joseph was offered uncomplicated and clear information about his new diagnosis, and the community psychiatrist nurse answered their questions. NICE (2018) </w:t>
      </w:r>
      <w:r w:rsidRPr="0026485E">
        <w:rPr>
          <w:rFonts w:ascii="Arial" w:hAnsi="Arial" w:cs="Arial"/>
        </w:rPr>
        <w:lastRenderedPageBreak/>
        <w:t>recommends responding to patients' questions following a diagnosis to alleviate concerns and anxiety. Mr. Joseph was thus offered post-diagnostic counselling, and contact details were maintained so that he could seek further support at any time in the future. The role of carers has gained massive attention over the past decade. For example, the Carer's Strategy: '</w:t>
      </w:r>
      <w:r w:rsidRPr="0026485E">
        <w:rPr>
          <w:rStyle w:val="Emphasis"/>
          <w:rFonts w:ascii="Arial" w:hAnsi="Arial" w:cs="Arial"/>
        </w:rPr>
        <w:t>Carers at the heart of 21st-century communities and families'</w:t>
      </w:r>
      <w:r w:rsidRPr="0026485E">
        <w:rPr>
          <w:rFonts w:ascii="Arial" w:hAnsi="Arial" w:cs="Arial"/>
        </w:rPr>
        <w:t> holds that carers have the right to be assessed for their needs (Department of Health 2008). Notably, the care team respected Mr Joseph and his wife's perspectives, and all nursing interventions were tailored to match their beliefs, opinions, and preferences. This adhered to the Department of Health's [DOH] (2023) guidance on caring for older people. </w:t>
      </w:r>
    </w:p>
    <w:p w14:paraId="64336A99" w14:textId="77777777" w:rsidR="007A3B40" w:rsidRPr="0026485E" w:rsidRDefault="007A3B40" w:rsidP="0026485E">
      <w:pPr>
        <w:pStyle w:val="NormalWeb"/>
        <w:spacing w:before="0" w:beforeAutospacing="0" w:after="0" w:afterAutospacing="0" w:line="480" w:lineRule="auto"/>
        <w:rPr>
          <w:rFonts w:ascii="Arial" w:hAnsi="Arial" w:cs="Arial"/>
        </w:rPr>
      </w:pPr>
    </w:p>
    <w:p w14:paraId="238D521D"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Style w:val="Emphasis"/>
          <w:rFonts w:ascii="Arial" w:hAnsi="Arial" w:cs="Arial"/>
        </w:rPr>
        <w:t>Recommendations </w:t>
      </w:r>
    </w:p>
    <w:p w14:paraId="7F93F6E7"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 xml:space="preserve">On evaluation, Mr Joseph received standard care underpinned by contemporary evidence and dementia policies. Also, the care was person-centred since it was tailored to meet his unique needs. Therefore, it is motivating and invigorating to witness a shift in power from healthcare providers to a shared partnership of care planning in which patients, families, and carers participate. Whereas this was a single scenario of dementia care, evidence shows that dementia care has a long way to go both locally and nationally in the UK. Interventions offered (psychological and pharmacological) are yet to reverse the upward trend. For instance, ONS (2021) observes that there is a recent 2.8% rise in dementia cases yearly in the UK. Also, NHS (2023) projects that about 1.7 million people in England and Wales will live with dementia by 2040. The evidence reviewed and Mr Joseph's case have paramount global policy implications on </w:t>
      </w:r>
      <w:r w:rsidRPr="0026485E">
        <w:rPr>
          <w:rFonts w:ascii="Arial" w:hAnsi="Arial" w:cs="Arial"/>
        </w:rPr>
        <w:lastRenderedPageBreak/>
        <w:t>dementia care. First, it is never too early or too late for dementia prevention in one's life (Age UK, 2023). In early life (45 years and below), dementia risk factors include affective cognitive reserve and less education (</w:t>
      </w:r>
      <w:proofErr w:type="spellStart"/>
      <w:r w:rsidRPr="0026485E">
        <w:rPr>
          <w:rFonts w:ascii="Arial" w:hAnsi="Arial" w:cs="Arial"/>
        </w:rPr>
        <w:t>Kivipelto</w:t>
      </w:r>
      <w:proofErr w:type="spellEnd"/>
      <w:r w:rsidRPr="0026485E">
        <w:rPr>
          <w:rFonts w:ascii="Arial" w:hAnsi="Arial" w:cs="Arial"/>
        </w:rPr>
        <w:t xml:space="preserve"> et al., 2018). For midlife (45-65 years) and later life (above 65 years), these risk factors trigger neuropathological developments (Livingston et al., 2020). Therefore, the report recommends that the UK government focus on poverty, culture, and inequality as key drivers for dementia development (Age UK, 2023). Accordingly, healthcare promoters should focus on changing these aspects to help people at risk of dementia derive the highest benefits. </w:t>
      </w:r>
    </w:p>
    <w:p w14:paraId="6A73E9FC"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The policy should prioritise educating all youths and children. Similarly, public health initiatives should focus on reducing excessive alcohol consumption and head injuries because these have the potential to reduce early onset and later life dementia (</w:t>
      </w:r>
      <w:proofErr w:type="spellStart"/>
      <w:r w:rsidRPr="0026485E">
        <w:rPr>
          <w:rFonts w:ascii="Arial" w:hAnsi="Arial" w:cs="Arial"/>
        </w:rPr>
        <w:t>Kivipelto</w:t>
      </w:r>
      <w:proofErr w:type="spellEnd"/>
      <w:r w:rsidRPr="0026485E">
        <w:rPr>
          <w:rFonts w:ascii="Arial" w:hAnsi="Arial" w:cs="Arial"/>
        </w:rPr>
        <w:t xml:space="preserve"> et al., 2018). NICE (2018) recommends a midlife systolic blood pressure of 1300mmHg pr lower to prevent or delay dementia onset. Information technology and AI play a key role in health promotion. Accordingly, the NHS should utilise technological instruments such as websites and social media platforms to educate and enlighten people about dementia. Research shows that smoking stoppage reduces the risk of dementia development even in later life (Age UK, 2023). The use of technological development for smoking replacements, such as Nicotine Replacement Therapy, can help people quit tobacco (</w:t>
      </w:r>
      <w:proofErr w:type="spellStart"/>
      <w:r w:rsidRPr="0026485E">
        <w:rPr>
          <w:rFonts w:ascii="Arial" w:hAnsi="Arial" w:cs="Arial"/>
        </w:rPr>
        <w:t>Kivipelto</w:t>
      </w:r>
      <w:proofErr w:type="spellEnd"/>
      <w:r w:rsidRPr="0026485E">
        <w:rPr>
          <w:rFonts w:ascii="Arial" w:hAnsi="Arial" w:cs="Arial"/>
        </w:rPr>
        <w:t xml:space="preserve"> et al., 2018). Additionally, policymakers should focus on air quality, especially in areas of high air pollution.</w:t>
      </w:r>
    </w:p>
    <w:p w14:paraId="7BE4624D" w14:textId="77777777" w:rsidR="007A3B40" w:rsidRPr="0026485E" w:rsidRDefault="007A3B40" w:rsidP="0026485E">
      <w:pPr>
        <w:pStyle w:val="NormalWeb"/>
        <w:spacing w:before="0" w:beforeAutospacing="0" w:after="0" w:afterAutospacing="0" w:line="480" w:lineRule="auto"/>
        <w:rPr>
          <w:rFonts w:ascii="Arial" w:hAnsi="Arial" w:cs="Arial"/>
        </w:rPr>
      </w:pPr>
    </w:p>
    <w:p w14:paraId="039C2A8C"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 xml:space="preserve">Research shows that keeping physical, cognitive, and social life active in midlife and later life can prevent or delay dementia (Livingston et al., 2020). Using technology, the </w:t>
      </w:r>
      <w:r w:rsidRPr="0026485E">
        <w:rPr>
          <w:rFonts w:ascii="Arial" w:hAnsi="Arial" w:cs="Arial"/>
        </w:rPr>
        <w:lastRenderedPageBreak/>
        <w:t>NHS should advocate for hearing aids among people who work in noisy environments to reduce risks of hearing loss, as evidence shows that hearing loss contributes to a faster rate of atrophy in the brain (</w:t>
      </w:r>
      <w:proofErr w:type="spellStart"/>
      <w:r w:rsidRPr="0026485E">
        <w:rPr>
          <w:rFonts w:ascii="Arial" w:hAnsi="Arial" w:cs="Arial"/>
        </w:rPr>
        <w:t>Kivipelto</w:t>
      </w:r>
      <w:proofErr w:type="spellEnd"/>
      <w:r w:rsidRPr="0026485E">
        <w:rPr>
          <w:rFonts w:ascii="Arial" w:hAnsi="Arial" w:cs="Arial"/>
        </w:rPr>
        <w:t xml:space="preserve"> et al., 2018). Similarly, hearing loss contributes to social isolation as one may not be willing to be in contact with people as they were previously. These two aspects can contribute to dementia. Furthermore, people should be encouraged to engage in sustained exercises to reduce risks of diabetes, obesity, and cardiovascular diseases, which predispose them to dementia (Livingston et al., 2020). Accordingly, the mentioned strategies can enable people to age gracefully. </w:t>
      </w:r>
    </w:p>
    <w:p w14:paraId="1918F908" w14:textId="77777777" w:rsidR="007A3B40" w:rsidRPr="0026485E" w:rsidRDefault="007A3B40" w:rsidP="0026485E">
      <w:pPr>
        <w:pStyle w:val="NormalWeb"/>
        <w:spacing w:before="0" w:beforeAutospacing="0" w:after="0" w:afterAutospacing="0" w:line="480" w:lineRule="auto"/>
        <w:rPr>
          <w:rFonts w:ascii="Arial" w:hAnsi="Arial" w:cs="Arial"/>
        </w:rPr>
      </w:pPr>
    </w:p>
    <w:p w14:paraId="6E1655E9" w14:textId="77777777" w:rsidR="007A3B40" w:rsidRPr="0026485E" w:rsidRDefault="007A3B40" w:rsidP="0026485E">
      <w:pPr>
        <w:pStyle w:val="NormalWeb"/>
        <w:spacing w:before="0" w:beforeAutospacing="0" w:after="0" w:afterAutospacing="0" w:line="480" w:lineRule="auto"/>
        <w:rPr>
          <w:rFonts w:ascii="Arial" w:hAnsi="Arial" w:cs="Arial"/>
        </w:rPr>
      </w:pPr>
      <w:r w:rsidRPr="0026485E">
        <w:rPr>
          <w:rStyle w:val="Strong"/>
          <w:rFonts w:ascii="Arial" w:hAnsi="Arial" w:cs="Arial"/>
        </w:rPr>
        <w:t>Conclusion </w:t>
      </w:r>
    </w:p>
    <w:p w14:paraId="69EAB9B6" w14:textId="149E9A4D" w:rsidR="007A3B40" w:rsidRPr="0026485E" w:rsidRDefault="007A3B40" w:rsidP="0026485E">
      <w:pPr>
        <w:pStyle w:val="NormalWeb"/>
        <w:spacing w:before="0" w:beforeAutospacing="0" w:after="0" w:afterAutospacing="0" w:line="480" w:lineRule="auto"/>
        <w:rPr>
          <w:rFonts w:ascii="Arial" w:hAnsi="Arial" w:cs="Arial"/>
        </w:rPr>
      </w:pPr>
      <w:r w:rsidRPr="0026485E">
        <w:rPr>
          <w:rFonts w:ascii="Arial" w:hAnsi="Arial" w:cs="Arial"/>
        </w:rPr>
        <w:t>In conclusion, the report has critically discussed dementia care</w:t>
      </w:r>
      <w:r w:rsidR="00B31897">
        <w:rPr>
          <w:rFonts w:ascii="Arial" w:hAnsi="Arial" w:cs="Arial"/>
        </w:rPr>
        <w:t xml:space="preserve"> among older people</w:t>
      </w:r>
      <w:r w:rsidRPr="0026485E">
        <w:rPr>
          <w:rFonts w:ascii="Arial" w:hAnsi="Arial" w:cs="Arial"/>
        </w:rPr>
        <w:t xml:space="preserve">. As discussed, the old age definition is contested. This is because the ageing process is unique to every individual. Nonetheless, the report assumed that old age begins at 60 years. Older adults are prone to multiple social, psychological, spiritual, and physical issues. However, it is worth noting that ageing does not equal physiological challenges. As mentioned, old adults are sensitive and responsive to stereotypes linked to old age. This makes them isolated, leading to loneliness and associated conditions, such as dementia. The report has focused on dementia care among </w:t>
      </w:r>
      <w:r w:rsidR="00B31897">
        <w:rPr>
          <w:rFonts w:ascii="Arial" w:hAnsi="Arial" w:cs="Arial"/>
        </w:rPr>
        <w:t>older people</w:t>
      </w:r>
      <w:r w:rsidRPr="0026485E">
        <w:rPr>
          <w:rFonts w:ascii="Arial" w:hAnsi="Arial" w:cs="Arial"/>
        </w:rPr>
        <w:t xml:space="preserve">. As noted, dementia is a cognitive disorder that impairs one's thinking, reasoning, recalling, and performing daily activities. Dementia lowers the quality of life for patients, their families, and carers. Caring for dementia patients is financially, socially, physically, and emotionally draining to family members. The report has assessed and evaluated Mr </w:t>
      </w:r>
      <w:r w:rsidRPr="0026485E">
        <w:rPr>
          <w:rFonts w:ascii="Arial" w:hAnsi="Arial" w:cs="Arial"/>
        </w:rPr>
        <w:lastRenderedPageBreak/>
        <w:t>Joseph's health and social needs. As demonstrated, all clinical interventions must be personalised to suit a patient's needs and preferences. This empowers dementia patients to be proactive in their care. Similarly, the role of technology in promoting dementia care has been explored. Overall, dementia care</w:t>
      </w:r>
      <w:r w:rsidR="00B31897">
        <w:rPr>
          <w:rFonts w:ascii="Arial" w:hAnsi="Arial" w:cs="Arial"/>
        </w:rPr>
        <w:t xml:space="preserve"> for the older people</w:t>
      </w:r>
      <w:r w:rsidRPr="0026485E">
        <w:rPr>
          <w:rFonts w:ascii="Arial" w:hAnsi="Arial" w:cs="Arial"/>
        </w:rPr>
        <w:t xml:space="preserve"> has been underpinned by evidence and healthcare policies and legislation. This demonstrates safe and effective practice. </w:t>
      </w:r>
    </w:p>
    <w:p w14:paraId="2C864BF2" w14:textId="77777777" w:rsidR="00CE3BFB" w:rsidRPr="0026485E" w:rsidRDefault="00CE3BFB" w:rsidP="00CE3BFB">
      <w:pPr>
        <w:spacing w:line="360" w:lineRule="auto"/>
        <w:rPr>
          <w:rFonts w:ascii="Arial" w:hAnsi="Arial" w:cs="Arial"/>
          <w:sz w:val="24"/>
          <w:szCs w:val="24"/>
        </w:rPr>
      </w:pPr>
    </w:p>
    <w:p w14:paraId="1DA11C95" w14:textId="77777777" w:rsidR="00BA43B7" w:rsidRPr="0026485E" w:rsidRDefault="00BA43B7" w:rsidP="00CE3BFB">
      <w:pPr>
        <w:spacing w:line="360" w:lineRule="auto"/>
        <w:rPr>
          <w:rFonts w:ascii="Arial" w:hAnsi="Arial" w:cs="Arial"/>
          <w:sz w:val="24"/>
          <w:szCs w:val="24"/>
        </w:rPr>
      </w:pPr>
    </w:p>
    <w:p w14:paraId="3804C351" w14:textId="77777777" w:rsidR="00B570EE" w:rsidRPr="0026485E" w:rsidRDefault="00B570EE" w:rsidP="00CE3BFB">
      <w:pPr>
        <w:spacing w:line="360" w:lineRule="auto"/>
        <w:rPr>
          <w:rFonts w:ascii="Arial" w:hAnsi="Arial" w:cs="Arial"/>
          <w:sz w:val="24"/>
          <w:szCs w:val="24"/>
        </w:rPr>
      </w:pPr>
    </w:p>
    <w:p w14:paraId="108CAC25" w14:textId="77777777" w:rsidR="00CE3BFB" w:rsidRPr="0026485E" w:rsidRDefault="00CE3BFB" w:rsidP="00CE3BFB">
      <w:pPr>
        <w:spacing w:line="360" w:lineRule="auto"/>
        <w:rPr>
          <w:rFonts w:ascii="Arial" w:hAnsi="Arial" w:cs="Arial"/>
          <w:sz w:val="24"/>
          <w:szCs w:val="24"/>
        </w:rPr>
      </w:pPr>
    </w:p>
    <w:p w14:paraId="2292E73A" w14:textId="77777777" w:rsidR="00B570EE" w:rsidRPr="0026485E" w:rsidRDefault="00B570EE" w:rsidP="00CE3BFB">
      <w:pPr>
        <w:spacing w:line="360" w:lineRule="auto"/>
        <w:rPr>
          <w:rFonts w:ascii="Arial" w:hAnsi="Arial" w:cs="Arial"/>
          <w:sz w:val="24"/>
          <w:szCs w:val="24"/>
        </w:rPr>
      </w:pPr>
    </w:p>
    <w:p w14:paraId="3AA82691" w14:textId="77777777" w:rsidR="00385F68" w:rsidRPr="0026485E" w:rsidRDefault="00385F68" w:rsidP="00CE3BFB">
      <w:pPr>
        <w:spacing w:line="360" w:lineRule="auto"/>
        <w:rPr>
          <w:rFonts w:ascii="Arial" w:hAnsi="Arial" w:cs="Arial"/>
          <w:sz w:val="24"/>
          <w:szCs w:val="24"/>
        </w:rPr>
      </w:pPr>
    </w:p>
    <w:p w14:paraId="23326558" w14:textId="77777777" w:rsidR="00385F68" w:rsidRPr="0026485E" w:rsidRDefault="00385F68" w:rsidP="00CE3BFB">
      <w:pPr>
        <w:spacing w:line="360" w:lineRule="auto"/>
        <w:rPr>
          <w:rFonts w:ascii="Arial" w:hAnsi="Arial" w:cs="Arial"/>
          <w:sz w:val="24"/>
          <w:szCs w:val="24"/>
        </w:rPr>
      </w:pPr>
    </w:p>
    <w:p w14:paraId="01675C67" w14:textId="77777777" w:rsidR="00385F68" w:rsidRPr="0026485E" w:rsidRDefault="00385F68" w:rsidP="00CE3BFB">
      <w:pPr>
        <w:spacing w:line="360" w:lineRule="auto"/>
        <w:rPr>
          <w:rFonts w:ascii="Arial" w:hAnsi="Arial" w:cs="Arial"/>
          <w:sz w:val="24"/>
          <w:szCs w:val="24"/>
        </w:rPr>
      </w:pPr>
    </w:p>
    <w:p w14:paraId="2FBA4B07" w14:textId="77777777" w:rsidR="00385F68" w:rsidRPr="0026485E" w:rsidRDefault="00385F68" w:rsidP="00CE3BFB">
      <w:pPr>
        <w:spacing w:line="360" w:lineRule="auto"/>
        <w:rPr>
          <w:rFonts w:ascii="Arial" w:hAnsi="Arial" w:cs="Arial"/>
          <w:sz w:val="24"/>
          <w:szCs w:val="24"/>
        </w:rPr>
      </w:pPr>
    </w:p>
    <w:p w14:paraId="75C4FFB8" w14:textId="77777777" w:rsidR="00385F68" w:rsidRPr="0026485E" w:rsidRDefault="00385F68" w:rsidP="00CE3BFB">
      <w:pPr>
        <w:spacing w:line="360" w:lineRule="auto"/>
        <w:rPr>
          <w:rFonts w:ascii="Arial" w:hAnsi="Arial" w:cs="Arial"/>
          <w:sz w:val="24"/>
          <w:szCs w:val="24"/>
        </w:rPr>
      </w:pPr>
    </w:p>
    <w:p w14:paraId="2878F181" w14:textId="77777777" w:rsidR="00385F68" w:rsidRPr="0026485E" w:rsidRDefault="00385F68" w:rsidP="00CE3BFB">
      <w:pPr>
        <w:spacing w:line="360" w:lineRule="auto"/>
        <w:rPr>
          <w:rFonts w:ascii="Arial" w:hAnsi="Arial" w:cs="Arial"/>
          <w:sz w:val="24"/>
          <w:szCs w:val="24"/>
        </w:rPr>
      </w:pPr>
    </w:p>
    <w:p w14:paraId="226B10BA" w14:textId="77777777" w:rsidR="00F21A31" w:rsidRPr="0026485E" w:rsidRDefault="00F21A31" w:rsidP="00CE3BFB">
      <w:pPr>
        <w:spacing w:line="360" w:lineRule="auto"/>
        <w:rPr>
          <w:rFonts w:ascii="Arial" w:hAnsi="Arial" w:cs="Arial"/>
          <w:sz w:val="24"/>
          <w:szCs w:val="24"/>
        </w:rPr>
      </w:pPr>
    </w:p>
    <w:p w14:paraId="03D8E2DB" w14:textId="77777777" w:rsidR="00F21A31" w:rsidRPr="0026485E" w:rsidRDefault="00F21A31" w:rsidP="00CE3BFB">
      <w:pPr>
        <w:spacing w:line="360" w:lineRule="auto"/>
        <w:rPr>
          <w:rFonts w:ascii="Arial" w:hAnsi="Arial" w:cs="Arial"/>
          <w:sz w:val="24"/>
          <w:szCs w:val="24"/>
        </w:rPr>
      </w:pPr>
    </w:p>
    <w:p w14:paraId="003F2502" w14:textId="77777777" w:rsidR="00F21A31" w:rsidRPr="0026485E" w:rsidRDefault="00F21A31" w:rsidP="00CE3BFB">
      <w:pPr>
        <w:spacing w:line="360" w:lineRule="auto"/>
        <w:rPr>
          <w:rFonts w:ascii="Arial" w:hAnsi="Arial" w:cs="Arial"/>
          <w:sz w:val="24"/>
          <w:szCs w:val="24"/>
        </w:rPr>
      </w:pPr>
    </w:p>
    <w:p w14:paraId="414A51CA" w14:textId="77777777" w:rsidR="00B570EE" w:rsidRPr="0026485E" w:rsidRDefault="00B570EE" w:rsidP="00CE3BFB">
      <w:pPr>
        <w:spacing w:line="360" w:lineRule="auto"/>
        <w:rPr>
          <w:rFonts w:ascii="Arial" w:hAnsi="Arial" w:cs="Arial"/>
          <w:sz w:val="24"/>
          <w:szCs w:val="24"/>
        </w:rPr>
      </w:pPr>
    </w:p>
    <w:p w14:paraId="78F78AD3" w14:textId="77777777" w:rsidR="0026485E" w:rsidRPr="0026485E" w:rsidRDefault="0026485E" w:rsidP="00CE3BFB">
      <w:pPr>
        <w:spacing w:line="360" w:lineRule="auto"/>
        <w:rPr>
          <w:rFonts w:ascii="Arial" w:hAnsi="Arial" w:cs="Arial"/>
          <w:sz w:val="24"/>
          <w:szCs w:val="24"/>
        </w:rPr>
      </w:pPr>
    </w:p>
    <w:p w14:paraId="4BE639CA" w14:textId="77777777" w:rsidR="0026485E" w:rsidRPr="0026485E" w:rsidRDefault="0026485E" w:rsidP="00CE3BFB">
      <w:pPr>
        <w:spacing w:line="360" w:lineRule="auto"/>
        <w:rPr>
          <w:rFonts w:ascii="Arial" w:hAnsi="Arial" w:cs="Arial"/>
          <w:sz w:val="24"/>
          <w:szCs w:val="24"/>
        </w:rPr>
      </w:pPr>
    </w:p>
    <w:p w14:paraId="101B8F35" w14:textId="7AEFB8D1" w:rsidR="009B0B4C" w:rsidRPr="0026485E" w:rsidRDefault="008B47D2" w:rsidP="00CE3BFB">
      <w:pPr>
        <w:spacing w:line="360" w:lineRule="auto"/>
        <w:rPr>
          <w:rFonts w:ascii="Arial" w:hAnsi="Arial" w:cs="Arial"/>
          <w:b/>
          <w:bCs/>
          <w:sz w:val="24"/>
          <w:szCs w:val="24"/>
        </w:rPr>
      </w:pPr>
      <w:r w:rsidRPr="0026485E">
        <w:rPr>
          <w:rFonts w:ascii="Arial" w:hAnsi="Arial" w:cs="Arial"/>
          <w:b/>
          <w:bCs/>
          <w:sz w:val="24"/>
          <w:szCs w:val="24"/>
        </w:rPr>
        <w:lastRenderedPageBreak/>
        <w:t xml:space="preserve">Reference List </w:t>
      </w:r>
    </w:p>
    <w:p w14:paraId="4A0E3075"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Age UK. (2023). </w:t>
      </w:r>
      <w:r w:rsidRPr="0026485E">
        <w:rPr>
          <w:rFonts w:ascii="Arial" w:hAnsi="Arial" w:cs="Arial"/>
          <w:i/>
          <w:iCs/>
          <w:sz w:val="24"/>
          <w:szCs w:val="24"/>
        </w:rPr>
        <w:t>Dementia.</w:t>
      </w:r>
      <w:r w:rsidRPr="0026485E">
        <w:rPr>
          <w:rFonts w:ascii="Arial" w:hAnsi="Arial" w:cs="Arial"/>
          <w:sz w:val="24"/>
          <w:szCs w:val="24"/>
        </w:rPr>
        <w:t xml:space="preserve"> [online]. Available at: https://www.ageuk.org.uk/information-advice/health-wellbeing/conditions-illnesses/dementia/ [Accessed: 8 November 2023]</w:t>
      </w:r>
    </w:p>
    <w:p w14:paraId="364AAD49" w14:textId="77777777" w:rsidR="0026485E" w:rsidRPr="0026485E" w:rsidRDefault="0026485E" w:rsidP="0026485E">
      <w:pPr>
        <w:spacing w:after="0" w:line="240" w:lineRule="auto"/>
        <w:rPr>
          <w:rFonts w:ascii="Arial" w:hAnsi="Arial" w:cs="Arial"/>
          <w:sz w:val="24"/>
          <w:szCs w:val="24"/>
        </w:rPr>
      </w:pPr>
    </w:p>
    <w:p w14:paraId="1D65D5B8"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British National Formulary. (2023). </w:t>
      </w:r>
      <w:r w:rsidRPr="0026485E">
        <w:rPr>
          <w:rFonts w:ascii="Arial" w:hAnsi="Arial" w:cs="Arial"/>
          <w:i/>
          <w:iCs/>
          <w:sz w:val="24"/>
          <w:szCs w:val="24"/>
        </w:rPr>
        <w:t>Dementia: Treatment Summaries</w:t>
      </w:r>
      <w:r w:rsidRPr="0026485E">
        <w:rPr>
          <w:rFonts w:ascii="Arial" w:hAnsi="Arial" w:cs="Arial"/>
          <w:sz w:val="24"/>
          <w:szCs w:val="24"/>
        </w:rPr>
        <w:t>. [Online]. Available at: https://bnf.nice.org.uk/treatment-summaries/dementia/ [Accessed: 11 November 2023].</w:t>
      </w:r>
    </w:p>
    <w:p w14:paraId="6BEEEA06" w14:textId="77777777" w:rsidR="0026485E" w:rsidRPr="0026485E" w:rsidRDefault="0026485E" w:rsidP="0026485E">
      <w:pPr>
        <w:spacing w:after="0" w:line="240" w:lineRule="auto"/>
        <w:rPr>
          <w:rFonts w:ascii="Arial" w:hAnsi="Arial" w:cs="Arial"/>
          <w:sz w:val="24"/>
          <w:szCs w:val="24"/>
        </w:rPr>
      </w:pPr>
    </w:p>
    <w:p w14:paraId="66C4A5D2"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Chang, A.Y., </w:t>
      </w:r>
      <w:proofErr w:type="spellStart"/>
      <w:r w:rsidRPr="0026485E">
        <w:rPr>
          <w:rFonts w:ascii="Arial" w:hAnsi="Arial" w:cs="Arial"/>
          <w:sz w:val="24"/>
          <w:szCs w:val="24"/>
          <w:shd w:val="clear" w:color="auto" w:fill="FFFFFF"/>
        </w:rPr>
        <w:t>Skirbekk</w:t>
      </w:r>
      <w:proofErr w:type="spellEnd"/>
      <w:r w:rsidRPr="0026485E">
        <w:rPr>
          <w:rFonts w:ascii="Arial" w:hAnsi="Arial" w:cs="Arial"/>
          <w:sz w:val="24"/>
          <w:szCs w:val="24"/>
          <w:shd w:val="clear" w:color="auto" w:fill="FFFFFF"/>
        </w:rPr>
        <w:t>, V.F., Tyrovolas, S., Kassebaum, N.J. and Dieleman, J.L., (2019). Measuring population ageing: an analysis of the Global Burden of Disease Study 2017. </w:t>
      </w:r>
      <w:r w:rsidRPr="0026485E">
        <w:rPr>
          <w:rFonts w:ascii="Arial" w:hAnsi="Arial" w:cs="Arial"/>
          <w:i/>
          <w:iCs/>
          <w:sz w:val="24"/>
          <w:szCs w:val="24"/>
          <w:shd w:val="clear" w:color="auto" w:fill="FFFFFF"/>
        </w:rPr>
        <w:t>The Lancet Public Health</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4</w:t>
      </w:r>
      <w:r w:rsidRPr="0026485E">
        <w:rPr>
          <w:rFonts w:ascii="Arial" w:hAnsi="Arial" w:cs="Arial"/>
          <w:sz w:val="24"/>
          <w:szCs w:val="24"/>
          <w:shd w:val="clear" w:color="auto" w:fill="FFFFFF"/>
        </w:rPr>
        <w:t xml:space="preserve">(3), </w:t>
      </w:r>
      <w:proofErr w:type="gramStart"/>
      <w:r w:rsidRPr="0026485E">
        <w:rPr>
          <w:rFonts w:ascii="Arial" w:hAnsi="Arial" w:cs="Arial"/>
          <w:sz w:val="24"/>
          <w:szCs w:val="24"/>
          <w:shd w:val="clear" w:color="auto" w:fill="FFFFFF"/>
        </w:rPr>
        <w:t>pp.e</w:t>
      </w:r>
      <w:proofErr w:type="gramEnd"/>
      <w:r w:rsidRPr="0026485E">
        <w:rPr>
          <w:rFonts w:ascii="Arial" w:hAnsi="Arial" w:cs="Arial"/>
          <w:sz w:val="24"/>
          <w:szCs w:val="24"/>
          <w:shd w:val="clear" w:color="auto" w:fill="FFFFFF"/>
        </w:rPr>
        <w:t>159-e167.</w:t>
      </w:r>
    </w:p>
    <w:p w14:paraId="578480B4" w14:textId="77777777" w:rsidR="0026485E" w:rsidRPr="0026485E" w:rsidRDefault="0026485E" w:rsidP="0026485E">
      <w:pPr>
        <w:spacing w:after="0" w:line="240" w:lineRule="auto"/>
        <w:rPr>
          <w:rFonts w:ascii="Arial" w:hAnsi="Arial" w:cs="Arial"/>
          <w:sz w:val="24"/>
          <w:szCs w:val="24"/>
          <w:shd w:val="clear" w:color="auto" w:fill="FFFFFF"/>
        </w:rPr>
      </w:pPr>
    </w:p>
    <w:p w14:paraId="211A490D" w14:textId="77777777" w:rsidR="0026485E" w:rsidRPr="0026485E" w:rsidRDefault="0026485E" w:rsidP="0026485E">
      <w:pPr>
        <w:spacing w:after="0" w:line="240" w:lineRule="auto"/>
        <w:rPr>
          <w:rFonts w:ascii="Arial" w:hAnsi="Arial" w:cs="Arial"/>
          <w:sz w:val="24"/>
          <w:szCs w:val="24"/>
          <w:shd w:val="clear" w:color="auto" w:fill="FFFFFF"/>
        </w:rPr>
      </w:pPr>
      <w:proofErr w:type="spellStart"/>
      <w:r w:rsidRPr="0026485E">
        <w:rPr>
          <w:rFonts w:ascii="Arial" w:hAnsi="Arial" w:cs="Arial"/>
          <w:sz w:val="24"/>
          <w:szCs w:val="24"/>
          <w:shd w:val="clear" w:color="auto" w:fill="FFFFFF"/>
        </w:rPr>
        <w:t>Delwel</w:t>
      </w:r>
      <w:proofErr w:type="spellEnd"/>
      <w:r w:rsidRPr="0026485E">
        <w:rPr>
          <w:rFonts w:ascii="Arial" w:hAnsi="Arial" w:cs="Arial"/>
          <w:sz w:val="24"/>
          <w:szCs w:val="24"/>
          <w:shd w:val="clear" w:color="auto" w:fill="FFFFFF"/>
        </w:rPr>
        <w:t xml:space="preserve">, S., </w:t>
      </w:r>
      <w:proofErr w:type="spellStart"/>
      <w:r w:rsidRPr="0026485E">
        <w:rPr>
          <w:rFonts w:ascii="Arial" w:hAnsi="Arial" w:cs="Arial"/>
          <w:sz w:val="24"/>
          <w:szCs w:val="24"/>
          <w:shd w:val="clear" w:color="auto" w:fill="FFFFFF"/>
        </w:rPr>
        <w:t>Binnekade</w:t>
      </w:r>
      <w:proofErr w:type="spellEnd"/>
      <w:r w:rsidRPr="0026485E">
        <w:rPr>
          <w:rFonts w:ascii="Arial" w:hAnsi="Arial" w:cs="Arial"/>
          <w:sz w:val="24"/>
          <w:szCs w:val="24"/>
          <w:shd w:val="clear" w:color="auto" w:fill="FFFFFF"/>
        </w:rPr>
        <w:t xml:space="preserve">, T.T., Perez, R.S., Hertogh, C.M., Scherder, E.J. and </w:t>
      </w:r>
      <w:proofErr w:type="spellStart"/>
      <w:r w:rsidRPr="0026485E">
        <w:rPr>
          <w:rFonts w:ascii="Arial" w:hAnsi="Arial" w:cs="Arial"/>
          <w:sz w:val="24"/>
          <w:szCs w:val="24"/>
          <w:shd w:val="clear" w:color="auto" w:fill="FFFFFF"/>
        </w:rPr>
        <w:t>Lobbezoo</w:t>
      </w:r>
      <w:proofErr w:type="spellEnd"/>
      <w:r w:rsidRPr="0026485E">
        <w:rPr>
          <w:rFonts w:ascii="Arial" w:hAnsi="Arial" w:cs="Arial"/>
          <w:sz w:val="24"/>
          <w:szCs w:val="24"/>
          <w:shd w:val="clear" w:color="auto" w:fill="FFFFFF"/>
        </w:rPr>
        <w:t>, F., (2018). Oral hygiene and oral health in older people with dementia: a comprehensive review with focus on oral soft tissues. </w:t>
      </w:r>
      <w:r w:rsidRPr="0026485E">
        <w:rPr>
          <w:rFonts w:ascii="Arial" w:hAnsi="Arial" w:cs="Arial"/>
          <w:i/>
          <w:iCs/>
          <w:sz w:val="24"/>
          <w:szCs w:val="24"/>
          <w:shd w:val="clear" w:color="auto" w:fill="FFFFFF"/>
        </w:rPr>
        <w:t>Clinical oral investigations</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22</w:t>
      </w:r>
      <w:r w:rsidRPr="0026485E">
        <w:rPr>
          <w:rFonts w:ascii="Arial" w:hAnsi="Arial" w:cs="Arial"/>
          <w:sz w:val="24"/>
          <w:szCs w:val="24"/>
          <w:shd w:val="clear" w:color="auto" w:fill="FFFFFF"/>
        </w:rPr>
        <w:t>, pp.93-108.</w:t>
      </w:r>
    </w:p>
    <w:p w14:paraId="4F074E7F" w14:textId="77777777" w:rsidR="0026485E" w:rsidRPr="0026485E" w:rsidRDefault="0026485E" w:rsidP="0026485E">
      <w:pPr>
        <w:spacing w:after="0" w:line="240" w:lineRule="auto"/>
        <w:rPr>
          <w:rFonts w:ascii="Arial" w:hAnsi="Arial" w:cs="Arial"/>
          <w:sz w:val="24"/>
          <w:szCs w:val="24"/>
          <w:shd w:val="clear" w:color="auto" w:fill="FFFFFF"/>
        </w:rPr>
      </w:pPr>
    </w:p>
    <w:p w14:paraId="08713072"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Department of Health. (2008). </w:t>
      </w:r>
      <w:r w:rsidRPr="0026485E">
        <w:rPr>
          <w:rFonts w:ascii="Arial" w:hAnsi="Arial" w:cs="Arial"/>
          <w:i/>
          <w:iCs/>
          <w:sz w:val="24"/>
          <w:szCs w:val="24"/>
        </w:rPr>
        <w:t>Carers at the heart of 21st</w:t>
      </w:r>
      <w:r w:rsidRPr="0026485E">
        <w:rPr>
          <w:rFonts w:ascii="Arial" w:hAnsi="Arial" w:cs="Arial"/>
          <w:i/>
          <w:iCs/>
          <w:sz w:val="24"/>
          <w:szCs w:val="24"/>
        </w:rPr>
        <w:noBreakHyphen/>
        <w:t>century families and communities</w:t>
      </w:r>
      <w:r w:rsidRPr="0026485E">
        <w:rPr>
          <w:rFonts w:ascii="Arial" w:hAnsi="Arial" w:cs="Arial"/>
          <w:sz w:val="24"/>
          <w:szCs w:val="24"/>
        </w:rPr>
        <w:t xml:space="preserve">. [Online]. Available at: https://assets.publishing.service.gov.uk/media/5a7a061be5274a34770e3b3c/carers_at_the_heart_of_21_century_families.pdf [Accessed: 8 November 2023]. </w:t>
      </w:r>
    </w:p>
    <w:p w14:paraId="795C4C25" w14:textId="77777777" w:rsidR="0026485E" w:rsidRPr="0026485E" w:rsidRDefault="0026485E" w:rsidP="0026485E">
      <w:pPr>
        <w:spacing w:after="0" w:line="240" w:lineRule="auto"/>
        <w:rPr>
          <w:rFonts w:ascii="Arial" w:hAnsi="Arial" w:cs="Arial"/>
          <w:sz w:val="24"/>
          <w:szCs w:val="24"/>
          <w:shd w:val="clear" w:color="auto" w:fill="FFFFFF"/>
        </w:rPr>
      </w:pPr>
      <w:proofErr w:type="spellStart"/>
      <w:r w:rsidRPr="0026485E">
        <w:rPr>
          <w:rFonts w:ascii="Arial" w:hAnsi="Arial" w:cs="Arial"/>
          <w:sz w:val="24"/>
          <w:szCs w:val="24"/>
          <w:shd w:val="clear" w:color="auto" w:fill="FFFFFF"/>
        </w:rPr>
        <w:t>Fukawa</w:t>
      </w:r>
      <w:proofErr w:type="spellEnd"/>
      <w:r w:rsidRPr="0026485E">
        <w:rPr>
          <w:rFonts w:ascii="Arial" w:hAnsi="Arial" w:cs="Arial"/>
          <w:sz w:val="24"/>
          <w:szCs w:val="24"/>
          <w:shd w:val="clear" w:color="auto" w:fill="FFFFFF"/>
        </w:rPr>
        <w:t>, T., 2018. Prevalence of dementia among the elderly population in Japan. </w:t>
      </w:r>
      <w:r w:rsidRPr="0026485E">
        <w:rPr>
          <w:rFonts w:ascii="Arial" w:hAnsi="Arial" w:cs="Arial"/>
          <w:i/>
          <w:iCs/>
          <w:sz w:val="24"/>
          <w:szCs w:val="24"/>
          <w:shd w:val="clear" w:color="auto" w:fill="FFFFFF"/>
        </w:rPr>
        <w:t>Health Prim Car</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2</w:t>
      </w:r>
      <w:r w:rsidRPr="0026485E">
        <w:rPr>
          <w:rFonts w:ascii="Arial" w:hAnsi="Arial" w:cs="Arial"/>
          <w:sz w:val="24"/>
          <w:szCs w:val="24"/>
          <w:shd w:val="clear" w:color="auto" w:fill="FFFFFF"/>
        </w:rPr>
        <w:t>(10.15761).</w:t>
      </w:r>
    </w:p>
    <w:p w14:paraId="3B8463FB" w14:textId="77777777" w:rsidR="0026485E" w:rsidRPr="0026485E" w:rsidRDefault="0026485E" w:rsidP="0026485E">
      <w:pPr>
        <w:spacing w:after="0" w:line="240" w:lineRule="auto"/>
        <w:rPr>
          <w:rFonts w:ascii="Arial" w:hAnsi="Arial" w:cs="Arial"/>
          <w:sz w:val="24"/>
          <w:szCs w:val="24"/>
          <w:shd w:val="clear" w:color="auto" w:fill="FFFFFF"/>
        </w:rPr>
      </w:pPr>
    </w:p>
    <w:p w14:paraId="64E21343"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Gardiner, C., Geldenhuys, G. and Gott, M., (2018). Interventions to reduce social isolation and loneliness among older people: an integrative review. </w:t>
      </w:r>
      <w:r w:rsidRPr="0026485E">
        <w:rPr>
          <w:rFonts w:ascii="Arial" w:hAnsi="Arial" w:cs="Arial"/>
          <w:i/>
          <w:iCs/>
          <w:sz w:val="24"/>
          <w:szCs w:val="24"/>
          <w:shd w:val="clear" w:color="auto" w:fill="FFFFFF"/>
        </w:rPr>
        <w:t>Health &amp; social care in the community</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26</w:t>
      </w:r>
      <w:r w:rsidRPr="0026485E">
        <w:rPr>
          <w:rFonts w:ascii="Arial" w:hAnsi="Arial" w:cs="Arial"/>
          <w:sz w:val="24"/>
          <w:szCs w:val="24"/>
          <w:shd w:val="clear" w:color="auto" w:fill="FFFFFF"/>
        </w:rPr>
        <w:t>(2), pp.147-157.</w:t>
      </w:r>
    </w:p>
    <w:p w14:paraId="4A7C730A" w14:textId="77777777" w:rsidR="0026485E" w:rsidRPr="0026485E" w:rsidRDefault="0026485E" w:rsidP="0026485E">
      <w:pPr>
        <w:spacing w:after="0" w:line="240" w:lineRule="auto"/>
        <w:rPr>
          <w:rFonts w:ascii="Arial" w:hAnsi="Arial" w:cs="Arial"/>
          <w:sz w:val="24"/>
          <w:szCs w:val="24"/>
          <w:shd w:val="clear" w:color="auto" w:fill="FFFFFF"/>
        </w:rPr>
      </w:pPr>
    </w:p>
    <w:p w14:paraId="5009D9DD"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House of Commons Library. (2021). </w:t>
      </w:r>
      <w:r w:rsidRPr="0026485E">
        <w:rPr>
          <w:rFonts w:ascii="Arial" w:hAnsi="Arial" w:cs="Arial"/>
          <w:i/>
          <w:iCs/>
          <w:sz w:val="24"/>
          <w:szCs w:val="24"/>
        </w:rPr>
        <w:t>Housing an ageing population: a reading list.</w:t>
      </w:r>
      <w:r w:rsidRPr="0026485E">
        <w:rPr>
          <w:rFonts w:ascii="Arial" w:hAnsi="Arial" w:cs="Arial"/>
          <w:sz w:val="24"/>
          <w:szCs w:val="24"/>
        </w:rPr>
        <w:t xml:space="preserve"> [online]. Available at: https://researchbriefings.files.parliament.uk/documents/CBP-9239/CBP-9239.pdf [Accessed: 11 November 2023].</w:t>
      </w:r>
    </w:p>
    <w:p w14:paraId="3D230553" w14:textId="77777777" w:rsidR="0026485E" w:rsidRPr="0026485E" w:rsidRDefault="0026485E" w:rsidP="0026485E">
      <w:pPr>
        <w:spacing w:after="0" w:line="240" w:lineRule="auto"/>
        <w:rPr>
          <w:rFonts w:ascii="Arial" w:hAnsi="Arial" w:cs="Arial"/>
          <w:sz w:val="24"/>
          <w:szCs w:val="24"/>
        </w:rPr>
      </w:pPr>
    </w:p>
    <w:p w14:paraId="24F7DC09" w14:textId="77777777" w:rsidR="0026485E" w:rsidRPr="0026485E" w:rsidRDefault="0026485E" w:rsidP="0026485E">
      <w:pPr>
        <w:spacing w:after="0" w:line="240" w:lineRule="auto"/>
        <w:rPr>
          <w:rFonts w:ascii="Arial" w:hAnsi="Arial" w:cs="Arial"/>
          <w:sz w:val="24"/>
          <w:szCs w:val="24"/>
          <w:shd w:val="clear" w:color="auto" w:fill="FFFFFF"/>
        </w:rPr>
      </w:pPr>
      <w:proofErr w:type="spellStart"/>
      <w:r w:rsidRPr="0026485E">
        <w:rPr>
          <w:rFonts w:ascii="Arial" w:hAnsi="Arial" w:cs="Arial"/>
          <w:sz w:val="24"/>
          <w:szCs w:val="24"/>
          <w:shd w:val="clear" w:color="auto" w:fill="FFFFFF"/>
        </w:rPr>
        <w:t>Howdon</w:t>
      </w:r>
      <w:proofErr w:type="spellEnd"/>
      <w:r w:rsidRPr="0026485E">
        <w:rPr>
          <w:rFonts w:ascii="Arial" w:hAnsi="Arial" w:cs="Arial"/>
          <w:sz w:val="24"/>
          <w:szCs w:val="24"/>
          <w:shd w:val="clear" w:color="auto" w:fill="FFFFFF"/>
        </w:rPr>
        <w:t>, D. and Rice, N., (20180. Health care expenditures, age, proximity to death and morbidity: Implications for an ageing population. </w:t>
      </w:r>
      <w:r w:rsidRPr="0026485E">
        <w:rPr>
          <w:rFonts w:ascii="Arial" w:hAnsi="Arial" w:cs="Arial"/>
          <w:i/>
          <w:iCs/>
          <w:sz w:val="24"/>
          <w:szCs w:val="24"/>
          <w:shd w:val="clear" w:color="auto" w:fill="FFFFFF"/>
        </w:rPr>
        <w:t>Journal of health economics</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57</w:t>
      </w:r>
      <w:r w:rsidRPr="0026485E">
        <w:rPr>
          <w:rFonts w:ascii="Arial" w:hAnsi="Arial" w:cs="Arial"/>
          <w:sz w:val="24"/>
          <w:szCs w:val="24"/>
          <w:shd w:val="clear" w:color="auto" w:fill="FFFFFF"/>
        </w:rPr>
        <w:t>, pp.60-74.</w:t>
      </w:r>
    </w:p>
    <w:p w14:paraId="747A954E" w14:textId="77777777" w:rsidR="0026485E" w:rsidRPr="0026485E" w:rsidRDefault="0026485E" w:rsidP="0026485E">
      <w:pPr>
        <w:spacing w:after="0" w:line="240" w:lineRule="auto"/>
        <w:rPr>
          <w:rFonts w:ascii="Arial" w:hAnsi="Arial" w:cs="Arial"/>
          <w:sz w:val="24"/>
          <w:szCs w:val="24"/>
          <w:shd w:val="clear" w:color="auto" w:fill="FFFFFF"/>
        </w:rPr>
      </w:pPr>
    </w:p>
    <w:p w14:paraId="53C11C8F"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Khan, M., Adil, S.F., </w:t>
      </w:r>
      <w:proofErr w:type="spellStart"/>
      <w:r w:rsidRPr="0026485E">
        <w:rPr>
          <w:rFonts w:ascii="Arial" w:hAnsi="Arial" w:cs="Arial"/>
          <w:sz w:val="24"/>
          <w:szCs w:val="24"/>
          <w:shd w:val="clear" w:color="auto" w:fill="FFFFFF"/>
        </w:rPr>
        <w:t>Alkhathlan</w:t>
      </w:r>
      <w:proofErr w:type="spellEnd"/>
      <w:r w:rsidRPr="0026485E">
        <w:rPr>
          <w:rFonts w:ascii="Arial" w:hAnsi="Arial" w:cs="Arial"/>
          <w:sz w:val="24"/>
          <w:szCs w:val="24"/>
          <w:shd w:val="clear" w:color="auto" w:fill="FFFFFF"/>
        </w:rPr>
        <w:t>, H.Z., Tahir, M.N., Saif, S., Khan, M. and Khan, S.T., (2020). COVID-19: a global challenge with old history, epidemiology and progress so far. </w:t>
      </w:r>
      <w:r w:rsidRPr="0026485E">
        <w:rPr>
          <w:rFonts w:ascii="Arial" w:hAnsi="Arial" w:cs="Arial"/>
          <w:i/>
          <w:iCs/>
          <w:sz w:val="24"/>
          <w:szCs w:val="24"/>
          <w:shd w:val="clear" w:color="auto" w:fill="FFFFFF"/>
        </w:rPr>
        <w:t>Molecules</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26</w:t>
      </w:r>
      <w:r w:rsidRPr="0026485E">
        <w:rPr>
          <w:rFonts w:ascii="Arial" w:hAnsi="Arial" w:cs="Arial"/>
          <w:sz w:val="24"/>
          <w:szCs w:val="24"/>
          <w:shd w:val="clear" w:color="auto" w:fill="FFFFFF"/>
        </w:rPr>
        <w:t>(1), p.39.</w:t>
      </w:r>
    </w:p>
    <w:p w14:paraId="13BE914E" w14:textId="77777777" w:rsidR="0026485E" w:rsidRPr="0026485E" w:rsidRDefault="0026485E" w:rsidP="0026485E">
      <w:pPr>
        <w:spacing w:after="0" w:line="240" w:lineRule="auto"/>
        <w:rPr>
          <w:rFonts w:ascii="Arial" w:hAnsi="Arial" w:cs="Arial"/>
          <w:sz w:val="24"/>
          <w:szCs w:val="24"/>
          <w:shd w:val="clear" w:color="auto" w:fill="FFFFFF"/>
        </w:rPr>
      </w:pPr>
    </w:p>
    <w:p w14:paraId="32718B3E"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Kingston, A., Comas-Herrera, A. and Jagger, C., (2018). Forecasting the care needs of the older population in England over the next 20 years: estimates from the Population Ageing and Care Simulation (</w:t>
      </w:r>
      <w:proofErr w:type="spellStart"/>
      <w:r w:rsidRPr="0026485E">
        <w:rPr>
          <w:rFonts w:ascii="Arial" w:hAnsi="Arial" w:cs="Arial"/>
          <w:sz w:val="24"/>
          <w:szCs w:val="24"/>
          <w:shd w:val="clear" w:color="auto" w:fill="FFFFFF"/>
        </w:rPr>
        <w:t>PACSim</w:t>
      </w:r>
      <w:proofErr w:type="spellEnd"/>
      <w:r w:rsidRPr="0026485E">
        <w:rPr>
          <w:rFonts w:ascii="Arial" w:hAnsi="Arial" w:cs="Arial"/>
          <w:sz w:val="24"/>
          <w:szCs w:val="24"/>
          <w:shd w:val="clear" w:color="auto" w:fill="FFFFFF"/>
        </w:rPr>
        <w:t>) modelling study. </w:t>
      </w:r>
      <w:r w:rsidRPr="0026485E">
        <w:rPr>
          <w:rFonts w:ascii="Arial" w:hAnsi="Arial" w:cs="Arial"/>
          <w:i/>
          <w:iCs/>
          <w:sz w:val="24"/>
          <w:szCs w:val="24"/>
          <w:shd w:val="clear" w:color="auto" w:fill="FFFFFF"/>
        </w:rPr>
        <w:t>The Lancet Public Health</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3</w:t>
      </w:r>
      <w:r w:rsidRPr="0026485E">
        <w:rPr>
          <w:rFonts w:ascii="Arial" w:hAnsi="Arial" w:cs="Arial"/>
          <w:sz w:val="24"/>
          <w:szCs w:val="24"/>
          <w:shd w:val="clear" w:color="auto" w:fill="FFFFFF"/>
        </w:rPr>
        <w:t>(9), pp. e447-e455.</w:t>
      </w:r>
    </w:p>
    <w:p w14:paraId="11FA748E" w14:textId="77777777" w:rsidR="0026485E" w:rsidRPr="0026485E" w:rsidRDefault="0026485E" w:rsidP="0026485E">
      <w:pPr>
        <w:spacing w:after="0" w:line="240" w:lineRule="auto"/>
        <w:rPr>
          <w:rFonts w:ascii="Arial" w:hAnsi="Arial" w:cs="Arial"/>
          <w:sz w:val="24"/>
          <w:szCs w:val="24"/>
          <w:shd w:val="clear" w:color="auto" w:fill="FFFFFF"/>
        </w:rPr>
      </w:pPr>
    </w:p>
    <w:p w14:paraId="48F79593" w14:textId="77777777" w:rsidR="0026485E" w:rsidRPr="0026485E" w:rsidRDefault="0026485E" w:rsidP="0026485E">
      <w:pPr>
        <w:spacing w:after="0" w:line="240" w:lineRule="auto"/>
        <w:rPr>
          <w:rFonts w:ascii="Arial" w:hAnsi="Arial" w:cs="Arial"/>
          <w:sz w:val="24"/>
          <w:szCs w:val="24"/>
          <w:shd w:val="clear" w:color="auto" w:fill="FFFFFF"/>
        </w:rPr>
      </w:pPr>
      <w:proofErr w:type="spellStart"/>
      <w:r w:rsidRPr="0026485E">
        <w:rPr>
          <w:rFonts w:ascii="Arial" w:hAnsi="Arial" w:cs="Arial"/>
          <w:sz w:val="24"/>
          <w:szCs w:val="24"/>
          <w:shd w:val="clear" w:color="auto" w:fill="FFFFFF"/>
        </w:rPr>
        <w:lastRenderedPageBreak/>
        <w:t>Kivipelto</w:t>
      </w:r>
      <w:proofErr w:type="spellEnd"/>
      <w:r w:rsidRPr="0026485E">
        <w:rPr>
          <w:rFonts w:ascii="Arial" w:hAnsi="Arial" w:cs="Arial"/>
          <w:sz w:val="24"/>
          <w:szCs w:val="24"/>
          <w:shd w:val="clear" w:color="auto" w:fill="FFFFFF"/>
        </w:rPr>
        <w:t xml:space="preserve">, M., </w:t>
      </w:r>
      <w:proofErr w:type="spellStart"/>
      <w:r w:rsidRPr="0026485E">
        <w:rPr>
          <w:rFonts w:ascii="Arial" w:hAnsi="Arial" w:cs="Arial"/>
          <w:sz w:val="24"/>
          <w:szCs w:val="24"/>
          <w:shd w:val="clear" w:color="auto" w:fill="FFFFFF"/>
        </w:rPr>
        <w:t>Mangialasche</w:t>
      </w:r>
      <w:proofErr w:type="spellEnd"/>
      <w:r w:rsidRPr="0026485E">
        <w:rPr>
          <w:rFonts w:ascii="Arial" w:hAnsi="Arial" w:cs="Arial"/>
          <w:sz w:val="24"/>
          <w:szCs w:val="24"/>
          <w:shd w:val="clear" w:color="auto" w:fill="FFFFFF"/>
        </w:rPr>
        <w:t>, F. and Ngandu, T., (2018). Lifestyle interventions to prevent cognitive impairment, dementia and Alzheimer disease. </w:t>
      </w:r>
      <w:r w:rsidRPr="0026485E">
        <w:rPr>
          <w:rFonts w:ascii="Arial" w:hAnsi="Arial" w:cs="Arial"/>
          <w:i/>
          <w:iCs/>
          <w:sz w:val="24"/>
          <w:szCs w:val="24"/>
          <w:shd w:val="clear" w:color="auto" w:fill="FFFFFF"/>
        </w:rPr>
        <w:t>Nature Reviews Neurology</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14</w:t>
      </w:r>
      <w:r w:rsidRPr="0026485E">
        <w:rPr>
          <w:rFonts w:ascii="Arial" w:hAnsi="Arial" w:cs="Arial"/>
          <w:sz w:val="24"/>
          <w:szCs w:val="24"/>
          <w:shd w:val="clear" w:color="auto" w:fill="FFFFFF"/>
        </w:rPr>
        <w:t>(11), pp.653-666.</w:t>
      </w:r>
    </w:p>
    <w:p w14:paraId="69F2DF26" w14:textId="77777777" w:rsidR="0026485E" w:rsidRPr="0026485E" w:rsidRDefault="0026485E" w:rsidP="0026485E">
      <w:pPr>
        <w:spacing w:after="0" w:line="240" w:lineRule="auto"/>
        <w:rPr>
          <w:rFonts w:ascii="Arial" w:hAnsi="Arial" w:cs="Arial"/>
          <w:sz w:val="24"/>
          <w:szCs w:val="24"/>
          <w:shd w:val="clear" w:color="auto" w:fill="FFFFFF"/>
        </w:rPr>
      </w:pPr>
    </w:p>
    <w:p w14:paraId="5D321040"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Livingston, G., Huntley, J., </w:t>
      </w:r>
      <w:proofErr w:type="spellStart"/>
      <w:r w:rsidRPr="0026485E">
        <w:rPr>
          <w:rFonts w:ascii="Arial" w:hAnsi="Arial" w:cs="Arial"/>
          <w:sz w:val="24"/>
          <w:szCs w:val="24"/>
          <w:shd w:val="clear" w:color="auto" w:fill="FFFFFF"/>
        </w:rPr>
        <w:t>Sommerlad</w:t>
      </w:r>
      <w:proofErr w:type="spellEnd"/>
      <w:r w:rsidRPr="0026485E">
        <w:rPr>
          <w:rFonts w:ascii="Arial" w:hAnsi="Arial" w:cs="Arial"/>
          <w:sz w:val="24"/>
          <w:szCs w:val="24"/>
          <w:shd w:val="clear" w:color="auto" w:fill="FFFFFF"/>
        </w:rPr>
        <w:t xml:space="preserve">, A., Ames, D., Ballard, C., Banerjee, S., </w:t>
      </w:r>
      <w:proofErr w:type="spellStart"/>
      <w:r w:rsidRPr="0026485E">
        <w:rPr>
          <w:rFonts w:ascii="Arial" w:hAnsi="Arial" w:cs="Arial"/>
          <w:sz w:val="24"/>
          <w:szCs w:val="24"/>
          <w:shd w:val="clear" w:color="auto" w:fill="FFFFFF"/>
        </w:rPr>
        <w:t>Brayne</w:t>
      </w:r>
      <w:proofErr w:type="spellEnd"/>
      <w:r w:rsidRPr="0026485E">
        <w:rPr>
          <w:rFonts w:ascii="Arial" w:hAnsi="Arial" w:cs="Arial"/>
          <w:sz w:val="24"/>
          <w:szCs w:val="24"/>
          <w:shd w:val="clear" w:color="auto" w:fill="FFFFFF"/>
        </w:rPr>
        <w:t xml:space="preserve">, C., Burns, A., Cohen-Mansfield, J., Cooper, C. and </w:t>
      </w:r>
      <w:proofErr w:type="spellStart"/>
      <w:r w:rsidRPr="0026485E">
        <w:rPr>
          <w:rFonts w:ascii="Arial" w:hAnsi="Arial" w:cs="Arial"/>
          <w:sz w:val="24"/>
          <w:szCs w:val="24"/>
          <w:shd w:val="clear" w:color="auto" w:fill="FFFFFF"/>
        </w:rPr>
        <w:t>Costafreda</w:t>
      </w:r>
      <w:proofErr w:type="spellEnd"/>
      <w:r w:rsidRPr="0026485E">
        <w:rPr>
          <w:rFonts w:ascii="Arial" w:hAnsi="Arial" w:cs="Arial"/>
          <w:sz w:val="24"/>
          <w:szCs w:val="24"/>
          <w:shd w:val="clear" w:color="auto" w:fill="FFFFFF"/>
        </w:rPr>
        <w:t>, S.G., (2020). Dementia prevention, intervention, and care: 2020 report of the Lancet Commission. </w:t>
      </w:r>
      <w:r w:rsidRPr="0026485E">
        <w:rPr>
          <w:rFonts w:ascii="Arial" w:hAnsi="Arial" w:cs="Arial"/>
          <w:i/>
          <w:iCs/>
          <w:sz w:val="24"/>
          <w:szCs w:val="24"/>
          <w:shd w:val="clear" w:color="auto" w:fill="FFFFFF"/>
        </w:rPr>
        <w:t>The Lancet</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396</w:t>
      </w:r>
      <w:r w:rsidRPr="0026485E">
        <w:rPr>
          <w:rFonts w:ascii="Arial" w:hAnsi="Arial" w:cs="Arial"/>
          <w:sz w:val="24"/>
          <w:szCs w:val="24"/>
          <w:shd w:val="clear" w:color="auto" w:fill="FFFFFF"/>
        </w:rPr>
        <w:t>(10248), pp.413-446.</w:t>
      </w:r>
    </w:p>
    <w:p w14:paraId="1ED6E153" w14:textId="77777777" w:rsidR="0026485E" w:rsidRPr="0026485E" w:rsidRDefault="0026485E" w:rsidP="0026485E">
      <w:pPr>
        <w:spacing w:after="0" w:line="240" w:lineRule="auto"/>
        <w:rPr>
          <w:rFonts w:ascii="Arial" w:hAnsi="Arial" w:cs="Arial"/>
          <w:sz w:val="24"/>
          <w:szCs w:val="24"/>
        </w:rPr>
      </w:pPr>
    </w:p>
    <w:p w14:paraId="64A65E02"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Maestre, G.E., Mena, L.J., Melgarejo, J.D., Aguirre-Acevedo, D.C., Pino-Ramírez, G., </w:t>
      </w:r>
      <w:proofErr w:type="spellStart"/>
      <w:r w:rsidRPr="0026485E">
        <w:rPr>
          <w:rFonts w:ascii="Arial" w:hAnsi="Arial" w:cs="Arial"/>
          <w:sz w:val="24"/>
          <w:szCs w:val="24"/>
          <w:shd w:val="clear" w:color="auto" w:fill="FFFFFF"/>
        </w:rPr>
        <w:t>Urribarrí</w:t>
      </w:r>
      <w:proofErr w:type="spellEnd"/>
      <w:r w:rsidRPr="0026485E">
        <w:rPr>
          <w:rFonts w:ascii="Arial" w:hAnsi="Arial" w:cs="Arial"/>
          <w:sz w:val="24"/>
          <w:szCs w:val="24"/>
          <w:shd w:val="clear" w:color="auto" w:fill="FFFFFF"/>
        </w:rPr>
        <w:t xml:space="preserve">, M., Chacon, I.J., Chávez, C.A., </w:t>
      </w:r>
      <w:proofErr w:type="spellStart"/>
      <w:r w:rsidRPr="0026485E">
        <w:rPr>
          <w:rFonts w:ascii="Arial" w:hAnsi="Arial" w:cs="Arial"/>
          <w:sz w:val="24"/>
          <w:szCs w:val="24"/>
          <w:shd w:val="clear" w:color="auto" w:fill="FFFFFF"/>
        </w:rPr>
        <w:t>Falque</w:t>
      </w:r>
      <w:proofErr w:type="spellEnd"/>
      <w:r w:rsidRPr="0026485E">
        <w:rPr>
          <w:rFonts w:ascii="Arial" w:hAnsi="Arial" w:cs="Arial"/>
          <w:sz w:val="24"/>
          <w:szCs w:val="24"/>
          <w:shd w:val="clear" w:color="auto" w:fill="FFFFFF"/>
        </w:rPr>
        <w:t>-Madrid, L., Gaona, C.A. and Terwilliger, J.D., (2018). Incidence of dementia in elderly Latin Americans: results of the Maracaibo aging study. </w:t>
      </w:r>
      <w:r w:rsidRPr="0026485E">
        <w:rPr>
          <w:rFonts w:ascii="Arial" w:hAnsi="Arial" w:cs="Arial"/>
          <w:i/>
          <w:iCs/>
          <w:sz w:val="24"/>
          <w:szCs w:val="24"/>
          <w:shd w:val="clear" w:color="auto" w:fill="FFFFFF"/>
        </w:rPr>
        <w:t>Alzheimer's &amp; Dementia</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14</w:t>
      </w:r>
      <w:r w:rsidRPr="0026485E">
        <w:rPr>
          <w:rFonts w:ascii="Arial" w:hAnsi="Arial" w:cs="Arial"/>
          <w:sz w:val="24"/>
          <w:szCs w:val="24"/>
          <w:shd w:val="clear" w:color="auto" w:fill="FFFFFF"/>
        </w:rPr>
        <w:t>(2), pp.140-147.</w:t>
      </w:r>
    </w:p>
    <w:p w14:paraId="1EF7E35E" w14:textId="77777777" w:rsidR="0026485E" w:rsidRPr="0026485E" w:rsidRDefault="0026485E" w:rsidP="0026485E">
      <w:pPr>
        <w:spacing w:after="0" w:line="240" w:lineRule="auto"/>
        <w:rPr>
          <w:rFonts w:ascii="Arial" w:hAnsi="Arial" w:cs="Arial"/>
          <w:sz w:val="24"/>
          <w:szCs w:val="24"/>
          <w:shd w:val="clear" w:color="auto" w:fill="FFFFFF"/>
        </w:rPr>
      </w:pPr>
    </w:p>
    <w:p w14:paraId="5D716F1B"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Malone, J. and Dadswell, A., (2018). The role of religion, spirituality and/or belief in positive ageing for older adults. </w:t>
      </w:r>
      <w:r w:rsidRPr="0026485E">
        <w:rPr>
          <w:rFonts w:ascii="Arial" w:hAnsi="Arial" w:cs="Arial"/>
          <w:i/>
          <w:iCs/>
          <w:sz w:val="24"/>
          <w:szCs w:val="24"/>
          <w:shd w:val="clear" w:color="auto" w:fill="FFFFFF"/>
        </w:rPr>
        <w:t>Geriatrics</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3</w:t>
      </w:r>
      <w:r w:rsidRPr="0026485E">
        <w:rPr>
          <w:rFonts w:ascii="Arial" w:hAnsi="Arial" w:cs="Arial"/>
          <w:sz w:val="24"/>
          <w:szCs w:val="24"/>
          <w:shd w:val="clear" w:color="auto" w:fill="FFFFFF"/>
        </w:rPr>
        <w:t>(2), p.28.</w:t>
      </w:r>
    </w:p>
    <w:p w14:paraId="71BD9525" w14:textId="77777777" w:rsidR="0026485E" w:rsidRPr="0026485E" w:rsidRDefault="0026485E" w:rsidP="0026485E">
      <w:pPr>
        <w:spacing w:after="0" w:line="240" w:lineRule="auto"/>
        <w:rPr>
          <w:rFonts w:ascii="Arial" w:hAnsi="Arial" w:cs="Arial"/>
          <w:sz w:val="24"/>
          <w:szCs w:val="24"/>
        </w:rPr>
      </w:pPr>
    </w:p>
    <w:p w14:paraId="63C04CBA"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McCann, P., (2019). The proactive elderly care team: dementia screening of over 20 000 patients. </w:t>
      </w:r>
      <w:r w:rsidRPr="0026485E">
        <w:rPr>
          <w:rFonts w:ascii="Arial" w:hAnsi="Arial" w:cs="Arial"/>
          <w:i/>
          <w:iCs/>
          <w:sz w:val="24"/>
          <w:szCs w:val="24"/>
          <w:shd w:val="clear" w:color="auto" w:fill="FFFFFF"/>
        </w:rPr>
        <w:t>British Journal of Hospital Medicine</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80</w:t>
      </w:r>
      <w:r w:rsidRPr="0026485E">
        <w:rPr>
          <w:rFonts w:ascii="Arial" w:hAnsi="Arial" w:cs="Arial"/>
          <w:sz w:val="24"/>
          <w:szCs w:val="24"/>
          <w:shd w:val="clear" w:color="auto" w:fill="FFFFFF"/>
        </w:rPr>
        <w:t>(3), pp.162-166.</w:t>
      </w:r>
    </w:p>
    <w:p w14:paraId="26EFD6D6" w14:textId="77777777" w:rsidR="0026485E" w:rsidRPr="0026485E" w:rsidRDefault="0026485E" w:rsidP="0026485E">
      <w:pPr>
        <w:spacing w:after="0" w:line="240" w:lineRule="auto"/>
        <w:rPr>
          <w:rFonts w:ascii="Arial" w:hAnsi="Arial" w:cs="Arial"/>
          <w:sz w:val="24"/>
          <w:szCs w:val="24"/>
          <w:shd w:val="clear" w:color="auto" w:fill="FFFFFF"/>
        </w:rPr>
      </w:pPr>
    </w:p>
    <w:p w14:paraId="634C6751"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Morrow-Howell, N., </w:t>
      </w:r>
      <w:proofErr w:type="spellStart"/>
      <w:r w:rsidRPr="0026485E">
        <w:rPr>
          <w:rFonts w:ascii="Arial" w:hAnsi="Arial" w:cs="Arial"/>
          <w:sz w:val="24"/>
          <w:szCs w:val="24"/>
          <w:shd w:val="clear" w:color="auto" w:fill="FFFFFF"/>
        </w:rPr>
        <w:t>Galucia</w:t>
      </w:r>
      <w:proofErr w:type="spellEnd"/>
      <w:r w:rsidRPr="0026485E">
        <w:rPr>
          <w:rFonts w:ascii="Arial" w:hAnsi="Arial" w:cs="Arial"/>
          <w:sz w:val="24"/>
          <w:szCs w:val="24"/>
          <w:shd w:val="clear" w:color="auto" w:fill="FFFFFF"/>
        </w:rPr>
        <w:t>, N. and Swinford, E., (2020). Recovering from the COVID-19 pandemic: A focus on older adults. </w:t>
      </w:r>
      <w:r w:rsidRPr="0026485E">
        <w:rPr>
          <w:rFonts w:ascii="Arial" w:hAnsi="Arial" w:cs="Arial"/>
          <w:i/>
          <w:iCs/>
          <w:sz w:val="24"/>
          <w:szCs w:val="24"/>
          <w:shd w:val="clear" w:color="auto" w:fill="FFFFFF"/>
        </w:rPr>
        <w:t>Journal of aging &amp; social policy</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32</w:t>
      </w:r>
      <w:r w:rsidRPr="0026485E">
        <w:rPr>
          <w:rFonts w:ascii="Arial" w:hAnsi="Arial" w:cs="Arial"/>
          <w:sz w:val="24"/>
          <w:szCs w:val="24"/>
          <w:shd w:val="clear" w:color="auto" w:fill="FFFFFF"/>
        </w:rPr>
        <w:t>(4-5), pp.526-535.</w:t>
      </w:r>
    </w:p>
    <w:p w14:paraId="603B2EE9" w14:textId="77777777" w:rsidR="0026485E" w:rsidRPr="0026485E" w:rsidRDefault="0026485E" w:rsidP="0026485E">
      <w:pPr>
        <w:spacing w:after="0" w:line="240" w:lineRule="auto"/>
        <w:rPr>
          <w:rFonts w:ascii="Arial" w:hAnsi="Arial" w:cs="Arial"/>
          <w:sz w:val="24"/>
          <w:szCs w:val="24"/>
        </w:rPr>
      </w:pPr>
    </w:p>
    <w:p w14:paraId="05246FE9" w14:textId="45621E8F"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National Health Service. (2023). </w:t>
      </w:r>
      <w:r w:rsidRPr="0026485E">
        <w:rPr>
          <w:rFonts w:ascii="Arial" w:hAnsi="Arial" w:cs="Arial"/>
          <w:i/>
          <w:iCs/>
          <w:sz w:val="24"/>
          <w:szCs w:val="24"/>
        </w:rPr>
        <w:t>What is dementia?</w:t>
      </w:r>
      <w:r w:rsidRPr="0026485E">
        <w:rPr>
          <w:rFonts w:ascii="Arial" w:hAnsi="Arial" w:cs="Arial"/>
          <w:sz w:val="24"/>
          <w:szCs w:val="24"/>
        </w:rPr>
        <w:t xml:space="preserve"> [online]. Available at: https://www.nhs.uk/conditions/dementia/about-dementia/what-is-dementia/ [Accessed: 8</w:t>
      </w:r>
      <w:r w:rsidRPr="0026485E">
        <w:rPr>
          <w:rFonts w:ascii="Arial" w:hAnsi="Arial" w:cs="Arial"/>
          <w:sz w:val="24"/>
          <w:szCs w:val="24"/>
          <w:vertAlign w:val="superscript"/>
        </w:rPr>
        <w:t xml:space="preserve"> </w:t>
      </w:r>
      <w:r w:rsidRPr="0026485E">
        <w:rPr>
          <w:rFonts w:ascii="Arial" w:hAnsi="Arial" w:cs="Arial"/>
          <w:sz w:val="24"/>
          <w:szCs w:val="24"/>
        </w:rPr>
        <w:t xml:space="preserve">November 2023]. </w:t>
      </w:r>
    </w:p>
    <w:p w14:paraId="35F64FDA" w14:textId="77777777" w:rsidR="0026485E" w:rsidRPr="0026485E" w:rsidRDefault="0026485E" w:rsidP="0026485E">
      <w:pPr>
        <w:spacing w:after="0" w:line="240" w:lineRule="auto"/>
        <w:rPr>
          <w:rFonts w:ascii="Arial" w:hAnsi="Arial" w:cs="Arial"/>
          <w:sz w:val="24"/>
          <w:szCs w:val="24"/>
        </w:rPr>
      </w:pPr>
    </w:p>
    <w:p w14:paraId="61E5FD2F"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National Institute for Health and Care Excellence. (2018). </w:t>
      </w:r>
      <w:r w:rsidRPr="0026485E">
        <w:rPr>
          <w:rFonts w:ascii="Arial" w:hAnsi="Arial" w:cs="Arial"/>
          <w:i/>
          <w:iCs/>
          <w:sz w:val="24"/>
          <w:szCs w:val="24"/>
        </w:rPr>
        <w:t xml:space="preserve">Dementia: assessment, management and support for people living with dementia and their </w:t>
      </w:r>
      <w:proofErr w:type="spellStart"/>
      <w:r w:rsidRPr="0026485E">
        <w:rPr>
          <w:rFonts w:ascii="Arial" w:hAnsi="Arial" w:cs="Arial"/>
          <w:i/>
          <w:iCs/>
          <w:sz w:val="24"/>
          <w:szCs w:val="24"/>
        </w:rPr>
        <w:t>carers</w:t>
      </w:r>
      <w:proofErr w:type="spellEnd"/>
      <w:r w:rsidRPr="0026485E">
        <w:rPr>
          <w:rFonts w:ascii="Arial" w:hAnsi="Arial" w:cs="Arial"/>
          <w:sz w:val="24"/>
          <w:szCs w:val="24"/>
        </w:rPr>
        <w:t xml:space="preserve">. [Online]. Available at: https://www.nice.org.uk/guidance/ng97 [Accessed: 6 November 2023]. </w:t>
      </w:r>
    </w:p>
    <w:p w14:paraId="132665B9" w14:textId="77777777" w:rsidR="0026485E" w:rsidRPr="0026485E" w:rsidRDefault="0026485E" w:rsidP="0026485E">
      <w:pPr>
        <w:spacing w:after="0" w:line="240" w:lineRule="auto"/>
        <w:rPr>
          <w:rFonts w:ascii="Arial" w:hAnsi="Arial" w:cs="Arial"/>
          <w:sz w:val="24"/>
          <w:szCs w:val="24"/>
        </w:rPr>
      </w:pPr>
    </w:p>
    <w:p w14:paraId="4F2ECF1D"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NHS England. (2015). </w:t>
      </w:r>
      <w:r w:rsidRPr="0026485E">
        <w:rPr>
          <w:rFonts w:ascii="Arial" w:hAnsi="Arial" w:cs="Arial"/>
          <w:i/>
          <w:iCs/>
          <w:sz w:val="24"/>
          <w:szCs w:val="24"/>
        </w:rPr>
        <w:t>The diagnosis of dementia for people living in care homes.</w:t>
      </w:r>
      <w:r w:rsidRPr="0026485E">
        <w:rPr>
          <w:rFonts w:ascii="Arial" w:hAnsi="Arial" w:cs="Arial"/>
          <w:sz w:val="24"/>
          <w:szCs w:val="24"/>
        </w:rPr>
        <w:t xml:space="preserve"> [Online]. Available at: https://www.england.nhs.uk/wp-content/uploads/2015/01/faq-care-home-dementia.pdf [Accessed: 5 November 2023].</w:t>
      </w:r>
    </w:p>
    <w:p w14:paraId="5F060E62" w14:textId="77777777" w:rsidR="0026485E" w:rsidRPr="0026485E" w:rsidRDefault="0026485E" w:rsidP="0026485E">
      <w:pPr>
        <w:spacing w:after="0" w:line="240" w:lineRule="auto"/>
        <w:rPr>
          <w:rFonts w:ascii="Arial" w:hAnsi="Arial" w:cs="Arial"/>
          <w:sz w:val="24"/>
          <w:szCs w:val="24"/>
        </w:rPr>
      </w:pPr>
    </w:p>
    <w:p w14:paraId="51CC599C"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NHS England. (2023). </w:t>
      </w:r>
      <w:r w:rsidRPr="0026485E">
        <w:rPr>
          <w:rFonts w:ascii="Arial" w:hAnsi="Arial" w:cs="Arial"/>
          <w:i/>
          <w:iCs/>
          <w:sz w:val="24"/>
          <w:szCs w:val="24"/>
        </w:rPr>
        <w:t>Improving care for older people</w:t>
      </w:r>
      <w:r w:rsidRPr="0026485E">
        <w:rPr>
          <w:rFonts w:ascii="Arial" w:hAnsi="Arial" w:cs="Arial"/>
          <w:sz w:val="24"/>
          <w:szCs w:val="24"/>
        </w:rPr>
        <w:t xml:space="preserve">. [online]. Available at: https://www.england.nhs.uk/ourwork/clinical-policy/older-people/improving-care-for-older-people/ [Accessed: 11 November 2023]. </w:t>
      </w:r>
    </w:p>
    <w:p w14:paraId="0F7CE830" w14:textId="77777777" w:rsidR="0026485E" w:rsidRPr="0026485E" w:rsidRDefault="0026485E" w:rsidP="0026485E">
      <w:pPr>
        <w:spacing w:after="0" w:line="240" w:lineRule="auto"/>
        <w:rPr>
          <w:rFonts w:ascii="Arial" w:hAnsi="Arial" w:cs="Arial"/>
          <w:sz w:val="24"/>
          <w:szCs w:val="24"/>
        </w:rPr>
      </w:pPr>
    </w:p>
    <w:p w14:paraId="279699DA" w14:textId="37E7208D"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Office for National Statistics. (2023). </w:t>
      </w:r>
      <w:r w:rsidRPr="0026485E">
        <w:rPr>
          <w:rFonts w:ascii="Arial" w:hAnsi="Arial" w:cs="Arial"/>
          <w:i/>
          <w:iCs/>
          <w:sz w:val="24"/>
          <w:szCs w:val="24"/>
        </w:rPr>
        <w:t>Living longer: is age 70 the new age 65?</w:t>
      </w:r>
      <w:r w:rsidRPr="0026485E">
        <w:rPr>
          <w:rFonts w:ascii="Arial" w:hAnsi="Arial" w:cs="Arial"/>
          <w:sz w:val="24"/>
          <w:szCs w:val="24"/>
        </w:rPr>
        <w:t xml:space="preserve"> [online]. Available at: https://www.ons.gov.uk/peoplepopulationandcommunity/birthsdeathsandmarriages/ageing/articles/livinglongerisage70thenewage65/2019-11-19 [Accessed: 9 November 2023]. </w:t>
      </w:r>
    </w:p>
    <w:p w14:paraId="6776C205" w14:textId="77777777" w:rsidR="00D74E30" w:rsidRDefault="00D74E30" w:rsidP="0026485E">
      <w:pPr>
        <w:spacing w:after="0" w:line="240" w:lineRule="auto"/>
        <w:rPr>
          <w:rFonts w:ascii="Arial" w:hAnsi="Arial" w:cs="Arial"/>
          <w:sz w:val="24"/>
          <w:szCs w:val="24"/>
        </w:rPr>
      </w:pPr>
    </w:p>
    <w:p w14:paraId="5799146A" w14:textId="46AFF5D5"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lastRenderedPageBreak/>
        <w:t xml:space="preserve">Office for National Statistics. (2023). </w:t>
      </w:r>
      <w:r w:rsidRPr="0026485E">
        <w:rPr>
          <w:rFonts w:ascii="Arial" w:hAnsi="Arial" w:cs="Arial"/>
          <w:i/>
          <w:iCs/>
          <w:sz w:val="24"/>
          <w:szCs w:val="24"/>
        </w:rPr>
        <w:t>Profile of the older population living in England and Wales in 2021 and changes since 2011.</w:t>
      </w:r>
      <w:r w:rsidRPr="0026485E">
        <w:rPr>
          <w:rFonts w:ascii="Arial" w:hAnsi="Arial" w:cs="Arial"/>
          <w:sz w:val="24"/>
          <w:szCs w:val="24"/>
        </w:rPr>
        <w:t xml:space="preserve"> [online]. Available at: https://www.ons.gov.uk/peoplepopulationandcommunity/birthsdeathsandmarriages/ageing/articles/profileoftheolderpopulationlivinginenglandandwalesin2021andchangessince2011/2023-04-03 [Accessed: 9 November 2023].</w:t>
      </w:r>
    </w:p>
    <w:p w14:paraId="3F04D834" w14:textId="77777777" w:rsidR="0026485E" w:rsidRPr="0026485E" w:rsidRDefault="0026485E" w:rsidP="0026485E">
      <w:pPr>
        <w:spacing w:after="0" w:line="240" w:lineRule="auto"/>
        <w:rPr>
          <w:rFonts w:ascii="Arial" w:hAnsi="Arial" w:cs="Arial"/>
          <w:sz w:val="24"/>
          <w:szCs w:val="24"/>
        </w:rPr>
      </w:pPr>
    </w:p>
    <w:p w14:paraId="26B106A5"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Olsen, C., Pedersen, I., Bergland, A., Enders-Slegers, M.J. and </w:t>
      </w:r>
      <w:proofErr w:type="spellStart"/>
      <w:r w:rsidRPr="0026485E">
        <w:rPr>
          <w:rFonts w:ascii="Arial" w:hAnsi="Arial" w:cs="Arial"/>
          <w:sz w:val="24"/>
          <w:szCs w:val="24"/>
          <w:shd w:val="clear" w:color="auto" w:fill="FFFFFF"/>
        </w:rPr>
        <w:t>Ihlebæk</w:t>
      </w:r>
      <w:proofErr w:type="spellEnd"/>
      <w:r w:rsidRPr="0026485E">
        <w:rPr>
          <w:rFonts w:ascii="Arial" w:hAnsi="Arial" w:cs="Arial"/>
          <w:sz w:val="24"/>
          <w:szCs w:val="24"/>
          <w:shd w:val="clear" w:color="auto" w:fill="FFFFFF"/>
        </w:rPr>
        <w:t>, C., (2019). Engagement in elderly persons with dementia attending animal-assisted group activity. </w:t>
      </w:r>
      <w:r w:rsidRPr="0026485E">
        <w:rPr>
          <w:rFonts w:ascii="Arial" w:hAnsi="Arial" w:cs="Arial"/>
          <w:i/>
          <w:iCs/>
          <w:sz w:val="24"/>
          <w:szCs w:val="24"/>
          <w:shd w:val="clear" w:color="auto" w:fill="FFFFFF"/>
        </w:rPr>
        <w:t>Dementia</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18</w:t>
      </w:r>
      <w:r w:rsidRPr="0026485E">
        <w:rPr>
          <w:rFonts w:ascii="Arial" w:hAnsi="Arial" w:cs="Arial"/>
          <w:sz w:val="24"/>
          <w:szCs w:val="24"/>
          <w:shd w:val="clear" w:color="auto" w:fill="FFFFFF"/>
        </w:rPr>
        <w:t>(1), pp.245-261.</w:t>
      </w:r>
    </w:p>
    <w:p w14:paraId="4FE8DFD8" w14:textId="77777777" w:rsidR="0026485E" w:rsidRPr="0026485E" w:rsidRDefault="0026485E" w:rsidP="0026485E">
      <w:pPr>
        <w:spacing w:after="0" w:line="240" w:lineRule="auto"/>
        <w:rPr>
          <w:rFonts w:ascii="Arial" w:hAnsi="Arial" w:cs="Arial"/>
          <w:sz w:val="24"/>
          <w:szCs w:val="24"/>
          <w:shd w:val="clear" w:color="auto" w:fill="FFFFFF"/>
        </w:rPr>
      </w:pPr>
    </w:p>
    <w:p w14:paraId="70589D23"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Partridge, L., </w:t>
      </w:r>
      <w:proofErr w:type="spellStart"/>
      <w:r w:rsidRPr="0026485E">
        <w:rPr>
          <w:rFonts w:ascii="Arial" w:hAnsi="Arial" w:cs="Arial"/>
          <w:sz w:val="24"/>
          <w:szCs w:val="24"/>
          <w:shd w:val="clear" w:color="auto" w:fill="FFFFFF"/>
        </w:rPr>
        <w:t>Deelen</w:t>
      </w:r>
      <w:proofErr w:type="spellEnd"/>
      <w:r w:rsidRPr="0026485E">
        <w:rPr>
          <w:rFonts w:ascii="Arial" w:hAnsi="Arial" w:cs="Arial"/>
          <w:sz w:val="24"/>
          <w:szCs w:val="24"/>
          <w:shd w:val="clear" w:color="auto" w:fill="FFFFFF"/>
        </w:rPr>
        <w:t xml:space="preserve">, J. and </w:t>
      </w:r>
      <w:proofErr w:type="spellStart"/>
      <w:r w:rsidRPr="0026485E">
        <w:rPr>
          <w:rFonts w:ascii="Arial" w:hAnsi="Arial" w:cs="Arial"/>
          <w:sz w:val="24"/>
          <w:szCs w:val="24"/>
          <w:shd w:val="clear" w:color="auto" w:fill="FFFFFF"/>
        </w:rPr>
        <w:t>Slagboom</w:t>
      </w:r>
      <w:proofErr w:type="spellEnd"/>
      <w:r w:rsidRPr="0026485E">
        <w:rPr>
          <w:rFonts w:ascii="Arial" w:hAnsi="Arial" w:cs="Arial"/>
          <w:sz w:val="24"/>
          <w:szCs w:val="24"/>
          <w:shd w:val="clear" w:color="auto" w:fill="FFFFFF"/>
        </w:rPr>
        <w:t>, P.E., (2018). Facing up to the global challenges of ageing. </w:t>
      </w:r>
      <w:r w:rsidRPr="0026485E">
        <w:rPr>
          <w:rFonts w:ascii="Arial" w:hAnsi="Arial" w:cs="Arial"/>
          <w:i/>
          <w:iCs/>
          <w:sz w:val="24"/>
          <w:szCs w:val="24"/>
          <w:shd w:val="clear" w:color="auto" w:fill="FFFFFF"/>
        </w:rPr>
        <w:t>Nature</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561</w:t>
      </w:r>
      <w:r w:rsidRPr="0026485E">
        <w:rPr>
          <w:rFonts w:ascii="Arial" w:hAnsi="Arial" w:cs="Arial"/>
          <w:sz w:val="24"/>
          <w:szCs w:val="24"/>
          <w:shd w:val="clear" w:color="auto" w:fill="FFFFFF"/>
        </w:rPr>
        <w:t>(7721), pp.45-56.</w:t>
      </w:r>
    </w:p>
    <w:p w14:paraId="03A33FA4" w14:textId="77777777" w:rsidR="0026485E" w:rsidRPr="0026485E" w:rsidRDefault="0026485E" w:rsidP="0026485E">
      <w:pPr>
        <w:spacing w:after="0" w:line="240" w:lineRule="auto"/>
        <w:rPr>
          <w:rFonts w:ascii="Arial" w:hAnsi="Arial" w:cs="Arial"/>
          <w:sz w:val="24"/>
          <w:szCs w:val="24"/>
          <w:shd w:val="clear" w:color="auto" w:fill="FFFFFF"/>
        </w:rPr>
      </w:pPr>
    </w:p>
    <w:p w14:paraId="6A4D1672" w14:textId="77777777" w:rsidR="0026485E" w:rsidRPr="0026485E" w:rsidRDefault="0026485E" w:rsidP="0026485E">
      <w:pPr>
        <w:spacing w:after="0" w:line="240" w:lineRule="auto"/>
        <w:rPr>
          <w:rFonts w:ascii="Arial" w:hAnsi="Arial" w:cs="Arial"/>
          <w:sz w:val="24"/>
          <w:szCs w:val="24"/>
          <w:shd w:val="clear" w:color="auto" w:fill="FFFFFF"/>
        </w:rPr>
      </w:pPr>
      <w:proofErr w:type="spellStart"/>
      <w:r w:rsidRPr="0026485E">
        <w:rPr>
          <w:rFonts w:ascii="Arial" w:hAnsi="Arial" w:cs="Arial"/>
          <w:sz w:val="24"/>
          <w:szCs w:val="24"/>
          <w:shd w:val="clear" w:color="auto" w:fill="FFFFFF"/>
        </w:rPr>
        <w:t>Pelegrini</w:t>
      </w:r>
      <w:proofErr w:type="spellEnd"/>
      <w:r w:rsidRPr="0026485E">
        <w:rPr>
          <w:rFonts w:ascii="Arial" w:hAnsi="Arial" w:cs="Arial"/>
          <w:sz w:val="24"/>
          <w:szCs w:val="24"/>
          <w:shd w:val="clear" w:color="auto" w:fill="FFFFFF"/>
        </w:rPr>
        <w:t>, L.N., Mota, G.M., Ramos, C.F., Jesus, E. and Vale, F.A., (2019). Diagnosing dementia and cognitive dysfunction in the elderly in primary health care: a systematic review. </w:t>
      </w:r>
      <w:r w:rsidRPr="0026485E">
        <w:rPr>
          <w:rFonts w:ascii="Arial" w:hAnsi="Arial" w:cs="Arial"/>
          <w:i/>
          <w:iCs/>
          <w:sz w:val="24"/>
          <w:szCs w:val="24"/>
          <w:shd w:val="clear" w:color="auto" w:fill="FFFFFF"/>
        </w:rPr>
        <w:t xml:space="preserve">Dementia &amp; </w:t>
      </w:r>
      <w:proofErr w:type="spellStart"/>
      <w:r w:rsidRPr="0026485E">
        <w:rPr>
          <w:rFonts w:ascii="Arial" w:hAnsi="Arial" w:cs="Arial"/>
          <w:i/>
          <w:iCs/>
          <w:sz w:val="24"/>
          <w:szCs w:val="24"/>
          <w:shd w:val="clear" w:color="auto" w:fill="FFFFFF"/>
        </w:rPr>
        <w:t>neuropsychologia</w:t>
      </w:r>
      <w:proofErr w:type="spellEnd"/>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13</w:t>
      </w:r>
      <w:r w:rsidRPr="0026485E">
        <w:rPr>
          <w:rFonts w:ascii="Arial" w:hAnsi="Arial" w:cs="Arial"/>
          <w:sz w:val="24"/>
          <w:szCs w:val="24"/>
          <w:shd w:val="clear" w:color="auto" w:fill="FFFFFF"/>
        </w:rPr>
        <w:t>, pp.144-153.</w:t>
      </w:r>
    </w:p>
    <w:p w14:paraId="00CCED41" w14:textId="77777777" w:rsidR="0026485E" w:rsidRPr="0026485E" w:rsidRDefault="0026485E" w:rsidP="0026485E">
      <w:pPr>
        <w:spacing w:after="0" w:line="240" w:lineRule="auto"/>
        <w:rPr>
          <w:rFonts w:ascii="Arial" w:hAnsi="Arial" w:cs="Arial"/>
          <w:sz w:val="24"/>
          <w:szCs w:val="24"/>
          <w:shd w:val="clear" w:color="auto" w:fill="FFFFFF"/>
        </w:rPr>
      </w:pPr>
    </w:p>
    <w:p w14:paraId="2A62F13A"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Peluso, S., De Rosa, A., De Lucia, N., </w:t>
      </w:r>
      <w:proofErr w:type="spellStart"/>
      <w:r w:rsidRPr="0026485E">
        <w:rPr>
          <w:rFonts w:ascii="Arial" w:hAnsi="Arial" w:cs="Arial"/>
          <w:sz w:val="24"/>
          <w:szCs w:val="24"/>
          <w:shd w:val="clear" w:color="auto" w:fill="FFFFFF"/>
        </w:rPr>
        <w:t>Antenora</w:t>
      </w:r>
      <w:proofErr w:type="spellEnd"/>
      <w:r w:rsidRPr="0026485E">
        <w:rPr>
          <w:rFonts w:ascii="Arial" w:hAnsi="Arial" w:cs="Arial"/>
          <w:sz w:val="24"/>
          <w:szCs w:val="24"/>
          <w:shd w:val="clear" w:color="auto" w:fill="FFFFFF"/>
        </w:rPr>
        <w:t xml:space="preserve">, A., </w:t>
      </w:r>
      <w:proofErr w:type="spellStart"/>
      <w:r w:rsidRPr="0026485E">
        <w:rPr>
          <w:rFonts w:ascii="Arial" w:hAnsi="Arial" w:cs="Arial"/>
          <w:sz w:val="24"/>
          <w:szCs w:val="24"/>
          <w:shd w:val="clear" w:color="auto" w:fill="FFFFFF"/>
        </w:rPr>
        <w:t>Illario</w:t>
      </w:r>
      <w:proofErr w:type="spellEnd"/>
      <w:r w:rsidRPr="0026485E">
        <w:rPr>
          <w:rFonts w:ascii="Arial" w:hAnsi="Arial" w:cs="Arial"/>
          <w:sz w:val="24"/>
          <w:szCs w:val="24"/>
          <w:shd w:val="clear" w:color="auto" w:fill="FFFFFF"/>
        </w:rPr>
        <w:t>, M., Esposito, M. and De Michele, G., (2018). Animal-assisted therapy in elderly patients: evidence and controversies in dementia and psychiatric disorders and future perspectives in other neurological diseases. </w:t>
      </w:r>
      <w:r w:rsidRPr="0026485E">
        <w:rPr>
          <w:rFonts w:ascii="Arial" w:hAnsi="Arial" w:cs="Arial"/>
          <w:i/>
          <w:iCs/>
          <w:sz w:val="24"/>
          <w:szCs w:val="24"/>
          <w:shd w:val="clear" w:color="auto" w:fill="FFFFFF"/>
        </w:rPr>
        <w:t>Journal of geriatric psychiatry and neurology</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31</w:t>
      </w:r>
      <w:r w:rsidRPr="0026485E">
        <w:rPr>
          <w:rFonts w:ascii="Arial" w:hAnsi="Arial" w:cs="Arial"/>
          <w:sz w:val="24"/>
          <w:szCs w:val="24"/>
          <w:shd w:val="clear" w:color="auto" w:fill="FFFFFF"/>
        </w:rPr>
        <w:t>(3), pp.149-157.</w:t>
      </w:r>
    </w:p>
    <w:p w14:paraId="19454A84" w14:textId="77777777" w:rsidR="0026485E" w:rsidRPr="0026485E" w:rsidRDefault="0026485E" w:rsidP="0026485E">
      <w:pPr>
        <w:spacing w:after="0" w:line="240" w:lineRule="auto"/>
        <w:rPr>
          <w:rFonts w:ascii="Arial" w:hAnsi="Arial" w:cs="Arial"/>
          <w:sz w:val="24"/>
          <w:szCs w:val="24"/>
          <w:shd w:val="clear" w:color="auto" w:fill="FFFFFF"/>
        </w:rPr>
      </w:pPr>
    </w:p>
    <w:p w14:paraId="30CD016F"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Reeves, D., Pye, S., Ashcroft, D.M., Clegg, A., </w:t>
      </w:r>
      <w:proofErr w:type="spellStart"/>
      <w:r w:rsidRPr="0026485E">
        <w:rPr>
          <w:rFonts w:ascii="Arial" w:hAnsi="Arial" w:cs="Arial"/>
          <w:sz w:val="24"/>
          <w:szCs w:val="24"/>
          <w:shd w:val="clear" w:color="auto" w:fill="FFFFFF"/>
        </w:rPr>
        <w:t>Kontopantelis</w:t>
      </w:r>
      <w:proofErr w:type="spellEnd"/>
      <w:r w:rsidRPr="0026485E">
        <w:rPr>
          <w:rFonts w:ascii="Arial" w:hAnsi="Arial" w:cs="Arial"/>
          <w:sz w:val="24"/>
          <w:szCs w:val="24"/>
          <w:shd w:val="clear" w:color="auto" w:fill="FFFFFF"/>
        </w:rPr>
        <w:t xml:space="preserve">, E., Blakeman, T. and van </w:t>
      </w:r>
      <w:proofErr w:type="spellStart"/>
      <w:r w:rsidRPr="0026485E">
        <w:rPr>
          <w:rFonts w:ascii="Arial" w:hAnsi="Arial" w:cs="Arial"/>
          <w:sz w:val="24"/>
          <w:szCs w:val="24"/>
          <w:shd w:val="clear" w:color="auto" w:fill="FFFFFF"/>
        </w:rPr>
        <w:t>Marwijk</w:t>
      </w:r>
      <w:proofErr w:type="spellEnd"/>
      <w:r w:rsidRPr="0026485E">
        <w:rPr>
          <w:rFonts w:ascii="Arial" w:hAnsi="Arial" w:cs="Arial"/>
          <w:sz w:val="24"/>
          <w:szCs w:val="24"/>
          <w:shd w:val="clear" w:color="auto" w:fill="FFFFFF"/>
        </w:rPr>
        <w:t>, H., (2018). The challenge of ageing populations and patient frailty: can primary care adapt? </w:t>
      </w:r>
      <w:proofErr w:type="spellStart"/>
      <w:r w:rsidRPr="0026485E">
        <w:rPr>
          <w:rFonts w:ascii="Arial" w:hAnsi="Arial" w:cs="Arial"/>
          <w:i/>
          <w:iCs/>
          <w:sz w:val="24"/>
          <w:szCs w:val="24"/>
          <w:shd w:val="clear" w:color="auto" w:fill="FFFFFF"/>
        </w:rPr>
        <w:t>Bmj</w:t>
      </w:r>
      <w:proofErr w:type="spellEnd"/>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362</w:t>
      </w:r>
      <w:r w:rsidRPr="0026485E">
        <w:rPr>
          <w:rFonts w:ascii="Arial" w:hAnsi="Arial" w:cs="Arial"/>
          <w:sz w:val="24"/>
          <w:szCs w:val="24"/>
          <w:shd w:val="clear" w:color="auto" w:fill="FFFFFF"/>
        </w:rPr>
        <w:t>.</w:t>
      </w:r>
    </w:p>
    <w:p w14:paraId="0761606E" w14:textId="77777777" w:rsidR="0026485E" w:rsidRPr="0026485E" w:rsidRDefault="0026485E" w:rsidP="0026485E">
      <w:pPr>
        <w:spacing w:after="0" w:line="240" w:lineRule="auto"/>
        <w:rPr>
          <w:rFonts w:ascii="Arial" w:hAnsi="Arial" w:cs="Arial"/>
          <w:sz w:val="24"/>
          <w:szCs w:val="24"/>
        </w:rPr>
      </w:pPr>
    </w:p>
    <w:p w14:paraId="43BCBE1D"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Rudnicka, E., </w:t>
      </w:r>
      <w:proofErr w:type="spellStart"/>
      <w:r w:rsidRPr="0026485E">
        <w:rPr>
          <w:rFonts w:ascii="Arial" w:hAnsi="Arial" w:cs="Arial"/>
          <w:sz w:val="24"/>
          <w:szCs w:val="24"/>
          <w:shd w:val="clear" w:color="auto" w:fill="FFFFFF"/>
        </w:rPr>
        <w:t>Napierała</w:t>
      </w:r>
      <w:proofErr w:type="spellEnd"/>
      <w:r w:rsidRPr="0026485E">
        <w:rPr>
          <w:rFonts w:ascii="Arial" w:hAnsi="Arial" w:cs="Arial"/>
          <w:sz w:val="24"/>
          <w:szCs w:val="24"/>
          <w:shd w:val="clear" w:color="auto" w:fill="FFFFFF"/>
        </w:rPr>
        <w:t xml:space="preserve">, P., </w:t>
      </w:r>
      <w:proofErr w:type="spellStart"/>
      <w:r w:rsidRPr="0026485E">
        <w:rPr>
          <w:rFonts w:ascii="Arial" w:hAnsi="Arial" w:cs="Arial"/>
          <w:sz w:val="24"/>
          <w:szCs w:val="24"/>
          <w:shd w:val="clear" w:color="auto" w:fill="FFFFFF"/>
        </w:rPr>
        <w:t>Podfigurna</w:t>
      </w:r>
      <w:proofErr w:type="spellEnd"/>
      <w:r w:rsidRPr="0026485E">
        <w:rPr>
          <w:rFonts w:ascii="Arial" w:hAnsi="Arial" w:cs="Arial"/>
          <w:sz w:val="24"/>
          <w:szCs w:val="24"/>
          <w:shd w:val="clear" w:color="auto" w:fill="FFFFFF"/>
        </w:rPr>
        <w:t xml:space="preserve">, A., </w:t>
      </w:r>
      <w:proofErr w:type="spellStart"/>
      <w:r w:rsidRPr="0026485E">
        <w:rPr>
          <w:rFonts w:ascii="Arial" w:hAnsi="Arial" w:cs="Arial"/>
          <w:sz w:val="24"/>
          <w:szCs w:val="24"/>
          <w:shd w:val="clear" w:color="auto" w:fill="FFFFFF"/>
        </w:rPr>
        <w:t>Męczekalski</w:t>
      </w:r>
      <w:proofErr w:type="spellEnd"/>
      <w:r w:rsidRPr="0026485E">
        <w:rPr>
          <w:rFonts w:ascii="Arial" w:hAnsi="Arial" w:cs="Arial"/>
          <w:sz w:val="24"/>
          <w:szCs w:val="24"/>
          <w:shd w:val="clear" w:color="auto" w:fill="FFFFFF"/>
        </w:rPr>
        <w:t xml:space="preserve">, B., </w:t>
      </w:r>
      <w:proofErr w:type="spellStart"/>
      <w:r w:rsidRPr="0026485E">
        <w:rPr>
          <w:rFonts w:ascii="Arial" w:hAnsi="Arial" w:cs="Arial"/>
          <w:sz w:val="24"/>
          <w:szCs w:val="24"/>
          <w:shd w:val="clear" w:color="auto" w:fill="FFFFFF"/>
        </w:rPr>
        <w:t>Smolarczyk</w:t>
      </w:r>
      <w:proofErr w:type="spellEnd"/>
      <w:r w:rsidRPr="0026485E">
        <w:rPr>
          <w:rFonts w:ascii="Arial" w:hAnsi="Arial" w:cs="Arial"/>
          <w:sz w:val="24"/>
          <w:szCs w:val="24"/>
          <w:shd w:val="clear" w:color="auto" w:fill="FFFFFF"/>
        </w:rPr>
        <w:t xml:space="preserve">, R. and </w:t>
      </w:r>
      <w:proofErr w:type="spellStart"/>
      <w:r w:rsidRPr="0026485E">
        <w:rPr>
          <w:rFonts w:ascii="Arial" w:hAnsi="Arial" w:cs="Arial"/>
          <w:sz w:val="24"/>
          <w:szCs w:val="24"/>
          <w:shd w:val="clear" w:color="auto" w:fill="FFFFFF"/>
        </w:rPr>
        <w:t>Grymowicz</w:t>
      </w:r>
      <w:proofErr w:type="spellEnd"/>
      <w:r w:rsidRPr="0026485E">
        <w:rPr>
          <w:rFonts w:ascii="Arial" w:hAnsi="Arial" w:cs="Arial"/>
          <w:sz w:val="24"/>
          <w:szCs w:val="24"/>
          <w:shd w:val="clear" w:color="auto" w:fill="FFFFFF"/>
        </w:rPr>
        <w:t xml:space="preserve">, M., (2020). </w:t>
      </w:r>
      <w:r w:rsidRPr="0026485E">
        <w:rPr>
          <w:rFonts w:ascii="Arial" w:hAnsi="Arial" w:cs="Arial"/>
          <w:i/>
          <w:iCs/>
          <w:sz w:val="24"/>
          <w:szCs w:val="24"/>
          <w:shd w:val="clear" w:color="auto" w:fill="FFFFFF"/>
        </w:rPr>
        <w:t>The World Health Organisation (WHO) approach to healthy ageing. </w:t>
      </w:r>
      <w:proofErr w:type="spellStart"/>
      <w:r w:rsidRPr="0026485E">
        <w:rPr>
          <w:rFonts w:ascii="Arial" w:hAnsi="Arial" w:cs="Arial"/>
          <w:i/>
          <w:iCs/>
          <w:sz w:val="24"/>
          <w:szCs w:val="24"/>
          <w:shd w:val="clear" w:color="auto" w:fill="FFFFFF"/>
        </w:rPr>
        <w:t>Maturitas</w:t>
      </w:r>
      <w:proofErr w:type="spellEnd"/>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139</w:t>
      </w:r>
      <w:r w:rsidRPr="0026485E">
        <w:rPr>
          <w:rFonts w:ascii="Arial" w:hAnsi="Arial" w:cs="Arial"/>
          <w:sz w:val="24"/>
          <w:szCs w:val="24"/>
          <w:shd w:val="clear" w:color="auto" w:fill="FFFFFF"/>
        </w:rPr>
        <w:t>, pp.6-11.</w:t>
      </w:r>
    </w:p>
    <w:p w14:paraId="32BCC865" w14:textId="77777777" w:rsidR="0026485E" w:rsidRPr="0026485E" w:rsidRDefault="0026485E" w:rsidP="0026485E">
      <w:pPr>
        <w:spacing w:after="0" w:line="240" w:lineRule="auto"/>
        <w:rPr>
          <w:rFonts w:ascii="Arial" w:hAnsi="Arial" w:cs="Arial"/>
          <w:sz w:val="24"/>
          <w:szCs w:val="24"/>
          <w:shd w:val="clear" w:color="auto" w:fill="FFFFFF"/>
        </w:rPr>
      </w:pPr>
    </w:p>
    <w:p w14:paraId="3AD6409E"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Sanderson, C, W and </w:t>
      </w:r>
      <w:proofErr w:type="spellStart"/>
      <w:r w:rsidRPr="0026485E">
        <w:rPr>
          <w:rFonts w:ascii="Arial" w:hAnsi="Arial" w:cs="Arial"/>
          <w:sz w:val="24"/>
          <w:szCs w:val="24"/>
          <w:shd w:val="clear" w:color="auto" w:fill="FFFFFF"/>
        </w:rPr>
        <w:t>Scherbov</w:t>
      </w:r>
      <w:proofErr w:type="spellEnd"/>
      <w:r w:rsidRPr="0026485E">
        <w:rPr>
          <w:rFonts w:ascii="Arial" w:hAnsi="Arial" w:cs="Arial"/>
          <w:sz w:val="24"/>
          <w:szCs w:val="24"/>
          <w:shd w:val="clear" w:color="auto" w:fill="FFFFFF"/>
        </w:rPr>
        <w:t xml:space="preserve">, S. (2019). </w:t>
      </w:r>
      <w:r w:rsidRPr="0026485E">
        <w:rPr>
          <w:rFonts w:ascii="Arial" w:hAnsi="Arial" w:cs="Arial"/>
          <w:i/>
          <w:iCs/>
          <w:sz w:val="24"/>
          <w:szCs w:val="24"/>
          <w:shd w:val="clear" w:color="auto" w:fill="FFFFFF"/>
        </w:rPr>
        <w:t>Prospective longevity: A new vision of population aging</w:t>
      </w:r>
      <w:r w:rsidRPr="0026485E">
        <w:rPr>
          <w:rFonts w:ascii="Arial" w:hAnsi="Arial" w:cs="Arial"/>
          <w:sz w:val="24"/>
          <w:szCs w:val="24"/>
          <w:shd w:val="clear" w:color="auto" w:fill="FFFFFF"/>
        </w:rPr>
        <w:t>. Harvard: Harvard University Press</w:t>
      </w:r>
    </w:p>
    <w:p w14:paraId="073315EE" w14:textId="77777777" w:rsidR="0026485E" w:rsidRPr="0026485E" w:rsidRDefault="0026485E" w:rsidP="0026485E">
      <w:pPr>
        <w:spacing w:after="0" w:line="240" w:lineRule="auto"/>
        <w:rPr>
          <w:rFonts w:ascii="Arial" w:hAnsi="Arial" w:cs="Arial"/>
          <w:sz w:val="24"/>
          <w:szCs w:val="24"/>
          <w:shd w:val="clear" w:color="auto" w:fill="FFFFFF"/>
        </w:rPr>
      </w:pPr>
    </w:p>
    <w:p w14:paraId="4879BE52"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i/>
          <w:iCs/>
          <w:sz w:val="24"/>
          <w:szCs w:val="24"/>
        </w:rPr>
        <w:t>The Mental Capacity Act 2005</w:t>
      </w:r>
      <w:r w:rsidRPr="0026485E">
        <w:rPr>
          <w:rFonts w:ascii="Arial" w:hAnsi="Arial" w:cs="Arial"/>
          <w:sz w:val="24"/>
          <w:szCs w:val="24"/>
        </w:rPr>
        <w:t>. [Online]. Available at: https://www.legislation.gov.uk/ukpga/2005/9/contents [Accessed: 10 November 2023].</w:t>
      </w:r>
    </w:p>
    <w:p w14:paraId="0A110AD4" w14:textId="77777777" w:rsidR="0026485E" w:rsidRPr="0026485E" w:rsidRDefault="0026485E" w:rsidP="0026485E">
      <w:pPr>
        <w:spacing w:after="0" w:line="240" w:lineRule="auto"/>
        <w:rPr>
          <w:rFonts w:ascii="Arial" w:hAnsi="Arial" w:cs="Arial"/>
          <w:sz w:val="24"/>
          <w:szCs w:val="24"/>
          <w:shd w:val="clear" w:color="auto" w:fill="FFFFFF"/>
        </w:rPr>
      </w:pPr>
    </w:p>
    <w:p w14:paraId="0187303A" w14:textId="70230202"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t xml:space="preserve">Ukkonen, M., </w:t>
      </w:r>
      <w:proofErr w:type="spellStart"/>
      <w:r w:rsidRPr="0026485E">
        <w:rPr>
          <w:rFonts w:ascii="Arial" w:hAnsi="Arial" w:cs="Arial"/>
          <w:sz w:val="24"/>
          <w:szCs w:val="24"/>
          <w:shd w:val="clear" w:color="auto" w:fill="FFFFFF"/>
        </w:rPr>
        <w:t>Jämsen</w:t>
      </w:r>
      <w:proofErr w:type="spellEnd"/>
      <w:r w:rsidRPr="0026485E">
        <w:rPr>
          <w:rFonts w:ascii="Arial" w:hAnsi="Arial" w:cs="Arial"/>
          <w:sz w:val="24"/>
          <w:szCs w:val="24"/>
          <w:shd w:val="clear" w:color="auto" w:fill="FFFFFF"/>
        </w:rPr>
        <w:t xml:space="preserve">, E., Zeitlin, R. and </w:t>
      </w:r>
      <w:proofErr w:type="spellStart"/>
      <w:r w:rsidRPr="0026485E">
        <w:rPr>
          <w:rFonts w:ascii="Arial" w:hAnsi="Arial" w:cs="Arial"/>
          <w:sz w:val="24"/>
          <w:szCs w:val="24"/>
          <w:shd w:val="clear" w:color="auto" w:fill="FFFFFF"/>
        </w:rPr>
        <w:t>Pauniaho</w:t>
      </w:r>
      <w:proofErr w:type="spellEnd"/>
      <w:r w:rsidRPr="0026485E">
        <w:rPr>
          <w:rFonts w:ascii="Arial" w:hAnsi="Arial" w:cs="Arial"/>
          <w:sz w:val="24"/>
          <w:szCs w:val="24"/>
          <w:shd w:val="clear" w:color="auto" w:fill="FFFFFF"/>
        </w:rPr>
        <w:t>, S.L., (2019). Emergency department visits in older patients: a population-based survey. </w:t>
      </w:r>
      <w:r w:rsidRPr="0026485E">
        <w:rPr>
          <w:rFonts w:ascii="Arial" w:hAnsi="Arial" w:cs="Arial"/>
          <w:i/>
          <w:iCs/>
          <w:sz w:val="24"/>
          <w:szCs w:val="24"/>
          <w:shd w:val="clear" w:color="auto" w:fill="FFFFFF"/>
        </w:rPr>
        <w:t>BMC emergency medicine</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19</w:t>
      </w:r>
      <w:r w:rsidRPr="0026485E">
        <w:rPr>
          <w:rFonts w:ascii="Arial" w:hAnsi="Arial" w:cs="Arial"/>
          <w:sz w:val="24"/>
          <w:szCs w:val="24"/>
          <w:shd w:val="clear" w:color="auto" w:fill="FFFFFF"/>
        </w:rPr>
        <w:t>(1), pp.1-8.</w:t>
      </w:r>
    </w:p>
    <w:p w14:paraId="3EEEF468" w14:textId="77777777" w:rsidR="0026485E" w:rsidRPr="0026485E" w:rsidRDefault="0026485E" w:rsidP="0026485E">
      <w:pPr>
        <w:spacing w:after="0" w:line="240" w:lineRule="auto"/>
        <w:rPr>
          <w:rFonts w:ascii="Arial" w:hAnsi="Arial" w:cs="Arial"/>
          <w:sz w:val="24"/>
          <w:szCs w:val="24"/>
        </w:rPr>
      </w:pPr>
    </w:p>
    <w:p w14:paraId="3A51CBC8"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rPr>
        <w:t xml:space="preserve">United Nations High Commission for Refugees. (2023). </w:t>
      </w:r>
      <w:r w:rsidRPr="0026485E">
        <w:rPr>
          <w:rFonts w:ascii="Arial" w:hAnsi="Arial" w:cs="Arial"/>
          <w:i/>
          <w:iCs/>
          <w:sz w:val="24"/>
          <w:szCs w:val="24"/>
        </w:rPr>
        <w:t>Older Persons</w:t>
      </w:r>
      <w:r w:rsidRPr="0026485E">
        <w:rPr>
          <w:rFonts w:ascii="Arial" w:hAnsi="Arial" w:cs="Arial"/>
          <w:sz w:val="24"/>
          <w:szCs w:val="24"/>
        </w:rPr>
        <w:t xml:space="preserve">. [online]. Available at: https://www.england.nhs.uk/ourwork/clinical-policy/older-people/improving-care-for-older-people/ [Accessed: 7 November 2023]. </w:t>
      </w:r>
    </w:p>
    <w:p w14:paraId="7E762965" w14:textId="77777777" w:rsidR="0026485E" w:rsidRPr="0026485E" w:rsidRDefault="0026485E" w:rsidP="0026485E">
      <w:pPr>
        <w:spacing w:after="0" w:line="240" w:lineRule="auto"/>
        <w:rPr>
          <w:rFonts w:ascii="Arial" w:hAnsi="Arial" w:cs="Arial"/>
          <w:sz w:val="24"/>
          <w:szCs w:val="24"/>
        </w:rPr>
      </w:pPr>
    </w:p>
    <w:p w14:paraId="6F037FA9" w14:textId="77777777" w:rsidR="0026485E" w:rsidRPr="0026485E" w:rsidRDefault="0026485E" w:rsidP="0026485E">
      <w:pPr>
        <w:spacing w:after="0" w:line="240" w:lineRule="auto"/>
        <w:rPr>
          <w:rFonts w:ascii="Arial" w:hAnsi="Arial" w:cs="Arial"/>
          <w:sz w:val="24"/>
          <w:szCs w:val="24"/>
          <w:shd w:val="clear" w:color="auto" w:fill="FFFFFF"/>
        </w:rPr>
      </w:pPr>
      <w:r w:rsidRPr="0026485E">
        <w:rPr>
          <w:rFonts w:ascii="Arial" w:hAnsi="Arial" w:cs="Arial"/>
          <w:sz w:val="24"/>
          <w:szCs w:val="24"/>
          <w:shd w:val="clear" w:color="auto" w:fill="FFFFFF"/>
        </w:rPr>
        <w:lastRenderedPageBreak/>
        <w:t xml:space="preserve">World Health Organization. (2020). </w:t>
      </w:r>
      <w:r w:rsidRPr="0026485E">
        <w:rPr>
          <w:rFonts w:ascii="Arial" w:hAnsi="Arial" w:cs="Arial"/>
          <w:i/>
          <w:iCs/>
          <w:sz w:val="24"/>
          <w:szCs w:val="24"/>
          <w:shd w:val="clear" w:color="auto" w:fill="FFFFFF"/>
        </w:rPr>
        <w:t>Ageing.</w:t>
      </w:r>
      <w:r w:rsidRPr="0026485E">
        <w:rPr>
          <w:rFonts w:ascii="Arial" w:hAnsi="Arial" w:cs="Arial"/>
          <w:sz w:val="24"/>
          <w:szCs w:val="24"/>
          <w:shd w:val="clear" w:color="auto" w:fill="FFFFFF"/>
        </w:rPr>
        <w:t xml:space="preserve"> [online]. Available at: https://www.oecd-ilibrary.org/social-issues-migration-health/health-at-a-glance-asia-pacific-2020_1ad1c42a-en [Accessed: 10 November 2023]. </w:t>
      </w:r>
    </w:p>
    <w:p w14:paraId="01BCE40B" w14:textId="77777777" w:rsidR="0026485E" w:rsidRPr="0026485E" w:rsidRDefault="0026485E" w:rsidP="0026485E">
      <w:pPr>
        <w:spacing w:after="0" w:line="240" w:lineRule="auto"/>
        <w:rPr>
          <w:rFonts w:ascii="Arial" w:hAnsi="Arial" w:cs="Arial"/>
          <w:sz w:val="24"/>
          <w:szCs w:val="24"/>
        </w:rPr>
      </w:pPr>
    </w:p>
    <w:p w14:paraId="7445710D" w14:textId="77777777" w:rsidR="0026485E" w:rsidRPr="0026485E" w:rsidRDefault="0026485E" w:rsidP="0026485E">
      <w:pPr>
        <w:spacing w:after="0" w:line="240" w:lineRule="auto"/>
        <w:rPr>
          <w:rFonts w:ascii="Arial" w:hAnsi="Arial" w:cs="Arial"/>
          <w:sz w:val="24"/>
          <w:szCs w:val="24"/>
        </w:rPr>
      </w:pPr>
      <w:r w:rsidRPr="0026485E">
        <w:rPr>
          <w:rFonts w:ascii="Arial" w:hAnsi="Arial" w:cs="Arial"/>
          <w:sz w:val="24"/>
          <w:szCs w:val="24"/>
          <w:shd w:val="clear" w:color="auto" w:fill="FFFFFF"/>
        </w:rPr>
        <w:t xml:space="preserve">Zahirovic, I., </w:t>
      </w:r>
      <w:proofErr w:type="spellStart"/>
      <w:r w:rsidRPr="0026485E">
        <w:rPr>
          <w:rFonts w:ascii="Arial" w:hAnsi="Arial" w:cs="Arial"/>
          <w:sz w:val="24"/>
          <w:szCs w:val="24"/>
          <w:shd w:val="clear" w:color="auto" w:fill="FFFFFF"/>
        </w:rPr>
        <w:t>Torisson</w:t>
      </w:r>
      <w:proofErr w:type="spellEnd"/>
      <w:r w:rsidRPr="0026485E">
        <w:rPr>
          <w:rFonts w:ascii="Arial" w:hAnsi="Arial" w:cs="Arial"/>
          <w:sz w:val="24"/>
          <w:szCs w:val="24"/>
          <w:shd w:val="clear" w:color="auto" w:fill="FFFFFF"/>
        </w:rPr>
        <w:t xml:space="preserve">, G., </w:t>
      </w:r>
      <w:proofErr w:type="spellStart"/>
      <w:r w:rsidRPr="0026485E">
        <w:rPr>
          <w:rFonts w:ascii="Arial" w:hAnsi="Arial" w:cs="Arial"/>
          <w:sz w:val="24"/>
          <w:szCs w:val="24"/>
          <w:shd w:val="clear" w:color="auto" w:fill="FFFFFF"/>
        </w:rPr>
        <w:t>Wattmo</w:t>
      </w:r>
      <w:proofErr w:type="spellEnd"/>
      <w:r w:rsidRPr="0026485E">
        <w:rPr>
          <w:rFonts w:ascii="Arial" w:hAnsi="Arial" w:cs="Arial"/>
          <w:sz w:val="24"/>
          <w:szCs w:val="24"/>
          <w:shd w:val="clear" w:color="auto" w:fill="FFFFFF"/>
        </w:rPr>
        <w:t>, C. and Londos, E., (2018). Psychotropic and anti-dementia treatment in elderly persons with clinical signs of dementia with Lewy bodies: a cross-sectional study in 40 nursing homes in Sweden. </w:t>
      </w:r>
      <w:r w:rsidRPr="0026485E">
        <w:rPr>
          <w:rFonts w:ascii="Arial" w:hAnsi="Arial" w:cs="Arial"/>
          <w:i/>
          <w:iCs/>
          <w:sz w:val="24"/>
          <w:szCs w:val="24"/>
          <w:shd w:val="clear" w:color="auto" w:fill="FFFFFF"/>
        </w:rPr>
        <w:t>BMC geriatrics</w:t>
      </w:r>
      <w:r w:rsidRPr="0026485E">
        <w:rPr>
          <w:rFonts w:ascii="Arial" w:hAnsi="Arial" w:cs="Arial"/>
          <w:sz w:val="24"/>
          <w:szCs w:val="24"/>
          <w:shd w:val="clear" w:color="auto" w:fill="FFFFFF"/>
        </w:rPr>
        <w:t>, </w:t>
      </w:r>
      <w:r w:rsidRPr="0026485E">
        <w:rPr>
          <w:rFonts w:ascii="Arial" w:hAnsi="Arial" w:cs="Arial"/>
          <w:i/>
          <w:iCs/>
          <w:sz w:val="24"/>
          <w:szCs w:val="24"/>
          <w:shd w:val="clear" w:color="auto" w:fill="FFFFFF"/>
        </w:rPr>
        <w:t>18</w:t>
      </w:r>
      <w:r w:rsidRPr="0026485E">
        <w:rPr>
          <w:rFonts w:ascii="Arial" w:hAnsi="Arial" w:cs="Arial"/>
          <w:sz w:val="24"/>
          <w:szCs w:val="24"/>
          <w:shd w:val="clear" w:color="auto" w:fill="FFFFFF"/>
        </w:rPr>
        <w:t>(1), pp.1-9.</w:t>
      </w:r>
    </w:p>
    <w:sectPr w:rsidR="0026485E" w:rsidRPr="0026485E" w:rsidSect="00E20DB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7F35D" w14:textId="77777777" w:rsidR="00627B4C" w:rsidRDefault="00627B4C" w:rsidP="0026485E">
      <w:pPr>
        <w:spacing w:after="0" w:line="240" w:lineRule="auto"/>
      </w:pPr>
      <w:r>
        <w:separator/>
      </w:r>
    </w:p>
  </w:endnote>
  <w:endnote w:type="continuationSeparator" w:id="0">
    <w:p w14:paraId="5A3745B2" w14:textId="77777777" w:rsidR="00627B4C" w:rsidRDefault="00627B4C" w:rsidP="00264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881128113"/>
      <w:docPartObj>
        <w:docPartGallery w:val="Page Numbers (Bottom of Page)"/>
        <w:docPartUnique/>
      </w:docPartObj>
    </w:sdtPr>
    <w:sdtEndPr>
      <w:rPr>
        <w:noProof/>
      </w:rPr>
    </w:sdtEndPr>
    <w:sdtContent>
      <w:p w14:paraId="6A42236F" w14:textId="38C50D41" w:rsidR="0026485E" w:rsidRPr="0026485E" w:rsidRDefault="0026485E" w:rsidP="0026485E">
        <w:pPr>
          <w:pStyle w:val="Footer"/>
          <w:jc w:val="center"/>
          <w:rPr>
            <w:rFonts w:ascii="Arial" w:hAnsi="Arial" w:cs="Arial"/>
            <w:sz w:val="24"/>
            <w:szCs w:val="24"/>
          </w:rPr>
        </w:pPr>
        <w:r w:rsidRPr="0026485E">
          <w:rPr>
            <w:rFonts w:ascii="Arial" w:hAnsi="Arial" w:cs="Arial"/>
            <w:sz w:val="24"/>
            <w:szCs w:val="24"/>
          </w:rPr>
          <w:fldChar w:fldCharType="begin"/>
        </w:r>
        <w:r w:rsidRPr="0026485E">
          <w:rPr>
            <w:rFonts w:ascii="Arial" w:hAnsi="Arial" w:cs="Arial"/>
            <w:sz w:val="24"/>
            <w:szCs w:val="24"/>
          </w:rPr>
          <w:instrText xml:space="preserve"> PAGE   \* MERGEFORMAT </w:instrText>
        </w:r>
        <w:r w:rsidRPr="0026485E">
          <w:rPr>
            <w:rFonts w:ascii="Arial" w:hAnsi="Arial" w:cs="Arial"/>
            <w:sz w:val="24"/>
            <w:szCs w:val="24"/>
          </w:rPr>
          <w:fldChar w:fldCharType="separate"/>
        </w:r>
        <w:r w:rsidRPr="0026485E">
          <w:rPr>
            <w:rFonts w:ascii="Arial" w:hAnsi="Arial" w:cs="Arial"/>
            <w:noProof/>
            <w:sz w:val="24"/>
            <w:szCs w:val="24"/>
          </w:rPr>
          <w:t>2</w:t>
        </w:r>
        <w:r w:rsidRPr="0026485E">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3E7FF" w14:textId="77777777" w:rsidR="00627B4C" w:rsidRDefault="00627B4C" w:rsidP="0026485E">
      <w:pPr>
        <w:spacing w:after="0" w:line="240" w:lineRule="auto"/>
      </w:pPr>
      <w:r>
        <w:separator/>
      </w:r>
    </w:p>
  </w:footnote>
  <w:footnote w:type="continuationSeparator" w:id="0">
    <w:p w14:paraId="45404A07" w14:textId="77777777" w:rsidR="00627B4C" w:rsidRDefault="00627B4C" w:rsidP="00264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965728"/>
    <w:multiLevelType w:val="multilevel"/>
    <w:tmpl w:val="A3F46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057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A21"/>
    <w:rsid w:val="00075AF2"/>
    <w:rsid w:val="00117F79"/>
    <w:rsid w:val="00181466"/>
    <w:rsid w:val="001F6B6D"/>
    <w:rsid w:val="0026485E"/>
    <w:rsid w:val="002A6B9D"/>
    <w:rsid w:val="002C2725"/>
    <w:rsid w:val="00356576"/>
    <w:rsid w:val="00385F68"/>
    <w:rsid w:val="00386607"/>
    <w:rsid w:val="00512DD0"/>
    <w:rsid w:val="00560EAF"/>
    <w:rsid w:val="00627B4C"/>
    <w:rsid w:val="006512DE"/>
    <w:rsid w:val="006C7D6E"/>
    <w:rsid w:val="006E13FC"/>
    <w:rsid w:val="006F72E7"/>
    <w:rsid w:val="00754E23"/>
    <w:rsid w:val="007A3B40"/>
    <w:rsid w:val="00832AD0"/>
    <w:rsid w:val="008B47D2"/>
    <w:rsid w:val="00953DD2"/>
    <w:rsid w:val="009B0B4C"/>
    <w:rsid w:val="00A02C8A"/>
    <w:rsid w:val="00A20697"/>
    <w:rsid w:val="00A623FB"/>
    <w:rsid w:val="00B31897"/>
    <w:rsid w:val="00B570EE"/>
    <w:rsid w:val="00B920BD"/>
    <w:rsid w:val="00BA43B7"/>
    <w:rsid w:val="00BF68EC"/>
    <w:rsid w:val="00C01994"/>
    <w:rsid w:val="00CC3E5F"/>
    <w:rsid w:val="00CC7B31"/>
    <w:rsid w:val="00CD117F"/>
    <w:rsid w:val="00CE3BFB"/>
    <w:rsid w:val="00D02FEA"/>
    <w:rsid w:val="00D07211"/>
    <w:rsid w:val="00D202A9"/>
    <w:rsid w:val="00D305B8"/>
    <w:rsid w:val="00D74E30"/>
    <w:rsid w:val="00D8542D"/>
    <w:rsid w:val="00E20DBA"/>
    <w:rsid w:val="00E3451D"/>
    <w:rsid w:val="00E5471A"/>
    <w:rsid w:val="00EC1D07"/>
    <w:rsid w:val="00EF482C"/>
    <w:rsid w:val="00F21A31"/>
    <w:rsid w:val="00F25FC0"/>
    <w:rsid w:val="00F50268"/>
    <w:rsid w:val="00F711DD"/>
    <w:rsid w:val="00FF3A2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5ADC12"/>
  <w15:chartTrackingRefBased/>
  <w15:docId w15:val="{AD499AAE-88AA-471B-9756-EE3220370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C3E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E5F"/>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CC3E5F"/>
    <w:rPr>
      <w:color w:val="0563C1" w:themeColor="hyperlink"/>
      <w:u w:val="single"/>
    </w:rPr>
  </w:style>
  <w:style w:type="character" w:styleId="UnresolvedMention">
    <w:name w:val="Unresolved Mention"/>
    <w:basedOn w:val="DefaultParagraphFont"/>
    <w:uiPriority w:val="99"/>
    <w:semiHidden/>
    <w:unhideWhenUsed/>
    <w:rsid w:val="00CC3E5F"/>
    <w:rPr>
      <w:color w:val="605E5C"/>
      <w:shd w:val="clear" w:color="auto" w:fill="E1DFDD"/>
    </w:rPr>
  </w:style>
  <w:style w:type="paragraph" w:styleId="NormalWeb">
    <w:name w:val="Normal (Web)"/>
    <w:basedOn w:val="Normal"/>
    <w:uiPriority w:val="99"/>
    <w:semiHidden/>
    <w:unhideWhenUsed/>
    <w:rsid w:val="00953D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A3B40"/>
    <w:rPr>
      <w:b/>
      <w:bCs/>
    </w:rPr>
  </w:style>
  <w:style w:type="character" w:styleId="Emphasis">
    <w:name w:val="Emphasis"/>
    <w:basedOn w:val="DefaultParagraphFont"/>
    <w:uiPriority w:val="20"/>
    <w:qFormat/>
    <w:rsid w:val="007A3B40"/>
    <w:rPr>
      <w:i/>
      <w:iCs/>
    </w:rPr>
  </w:style>
  <w:style w:type="paragraph" w:styleId="Header">
    <w:name w:val="header"/>
    <w:basedOn w:val="Normal"/>
    <w:link w:val="HeaderChar"/>
    <w:uiPriority w:val="99"/>
    <w:unhideWhenUsed/>
    <w:rsid w:val="002648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85E"/>
  </w:style>
  <w:style w:type="paragraph" w:styleId="Footer">
    <w:name w:val="footer"/>
    <w:basedOn w:val="Normal"/>
    <w:link w:val="FooterChar"/>
    <w:uiPriority w:val="99"/>
    <w:unhideWhenUsed/>
    <w:rsid w:val="002648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851669">
      <w:bodyDiv w:val="1"/>
      <w:marLeft w:val="0"/>
      <w:marRight w:val="0"/>
      <w:marTop w:val="0"/>
      <w:marBottom w:val="0"/>
      <w:divBdr>
        <w:top w:val="none" w:sz="0" w:space="0" w:color="auto"/>
        <w:left w:val="none" w:sz="0" w:space="0" w:color="auto"/>
        <w:bottom w:val="none" w:sz="0" w:space="0" w:color="auto"/>
        <w:right w:val="none" w:sz="0" w:space="0" w:color="auto"/>
      </w:divBdr>
    </w:div>
    <w:div w:id="360210394">
      <w:bodyDiv w:val="1"/>
      <w:marLeft w:val="0"/>
      <w:marRight w:val="0"/>
      <w:marTop w:val="0"/>
      <w:marBottom w:val="0"/>
      <w:divBdr>
        <w:top w:val="none" w:sz="0" w:space="0" w:color="auto"/>
        <w:left w:val="none" w:sz="0" w:space="0" w:color="auto"/>
        <w:bottom w:val="none" w:sz="0" w:space="0" w:color="auto"/>
        <w:right w:val="none" w:sz="0" w:space="0" w:color="auto"/>
      </w:divBdr>
    </w:div>
    <w:div w:id="506793394">
      <w:bodyDiv w:val="1"/>
      <w:marLeft w:val="0"/>
      <w:marRight w:val="0"/>
      <w:marTop w:val="0"/>
      <w:marBottom w:val="0"/>
      <w:divBdr>
        <w:top w:val="none" w:sz="0" w:space="0" w:color="auto"/>
        <w:left w:val="none" w:sz="0" w:space="0" w:color="auto"/>
        <w:bottom w:val="none" w:sz="0" w:space="0" w:color="auto"/>
        <w:right w:val="none" w:sz="0" w:space="0" w:color="auto"/>
      </w:divBdr>
    </w:div>
    <w:div w:id="508759638">
      <w:bodyDiv w:val="1"/>
      <w:marLeft w:val="0"/>
      <w:marRight w:val="0"/>
      <w:marTop w:val="0"/>
      <w:marBottom w:val="0"/>
      <w:divBdr>
        <w:top w:val="none" w:sz="0" w:space="0" w:color="auto"/>
        <w:left w:val="none" w:sz="0" w:space="0" w:color="auto"/>
        <w:bottom w:val="none" w:sz="0" w:space="0" w:color="auto"/>
        <w:right w:val="none" w:sz="0" w:space="0" w:color="auto"/>
      </w:divBdr>
    </w:div>
    <w:div w:id="1181354753">
      <w:bodyDiv w:val="1"/>
      <w:marLeft w:val="0"/>
      <w:marRight w:val="0"/>
      <w:marTop w:val="0"/>
      <w:marBottom w:val="0"/>
      <w:divBdr>
        <w:top w:val="none" w:sz="0" w:space="0" w:color="auto"/>
        <w:left w:val="none" w:sz="0" w:space="0" w:color="auto"/>
        <w:bottom w:val="none" w:sz="0" w:space="0" w:color="auto"/>
        <w:right w:val="none" w:sz="0" w:space="0" w:color="auto"/>
      </w:divBdr>
    </w:div>
    <w:div w:id="1297105917">
      <w:bodyDiv w:val="1"/>
      <w:marLeft w:val="0"/>
      <w:marRight w:val="0"/>
      <w:marTop w:val="0"/>
      <w:marBottom w:val="0"/>
      <w:divBdr>
        <w:top w:val="none" w:sz="0" w:space="0" w:color="auto"/>
        <w:left w:val="none" w:sz="0" w:space="0" w:color="auto"/>
        <w:bottom w:val="none" w:sz="0" w:space="0" w:color="auto"/>
        <w:right w:val="none" w:sz="0" w:space="0" w:color="auto"/>
      </w:divBdr>
    </w:div>
    <w:div w:id="1370758535">
      <w:bodyDiv w:val="1"/>
      <w:marLeft w:val="0"/>
      <w:marRight w:val="0"/>
      <w:marTop w:val="0"/>
      <w:marBottom w:val="0"/>
      <w:divBdr>
        <w:top w:val="none" w:sz="0" w:space="0" w:color="auto"/>
        <w:left w:val="none" w:sz="0" w:space="0" w:color="auto"/>
        <w:bottom w:val="none" w:sz="0" w:space="0" w:color="auto"/>
        <w:right w:val="none" w:sz="0" w:space="0" w:color="auto"/>
      </w:divBdr>
    </w:div>
    <w:div w:id="1459909214">
      <w:bodyDiv w:val="1"/>
      <w:marLeft w:val="0"/>
      <w:marRight w:val="0"/>
      <w:marTop w:val="0"/>
      <w:marBottom w:val="0"/>
      <w:divBdr>
        <w:top w:val="none" w:sz="0" w:space="0" w:color="auto"/>
        <w:left w:val="none" w:sz="0" w:space="0" w:color="auto"/>
        <w:bottom w:val="none" w:sz="0" w:space="0" w:color="auto"/>
        <w:right w:val="none" w:sz="0" w:space="0" w:color="auto"/>
      </w:divBdr>
    </w:div>
    <w:div w:id="1780680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17</Pages>
  <Words>4105</Words>
  <Characters>23405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Ebong Obot (1915035)</cp:lastModifiedBy>
  <cp:revision>2</cp:revision>
  <dcterms:created xsi:type="dcterms:W3CDTF">2023-11-29T14:43:00Z</dcterms:created>
  <dcterms:modified xsi:type="dcterms:W3CDTF">2023-11-29T14:43:00Z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fe2a24d763bf0505efca5fb43e2a3aaa5ca7dcdf133f1b56a478731c16a777d3</vt:lpwstr>
  </property>
</Properties>
</file>