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BF715" w14:textId="77777777" w:rsidR="005C43B7" w:rsidRDefault="005C43B7" w:rsidP="005C43B7">
      <w:pPr>
        <w:spacing w:before="100" w:beforeAutospacing="1" w:after="100" w:afterAutospacing="1" w:line="240" w:lineRule="auto"/>
        <w:jc w:val="center"/>
        <w:outlineLvl w:val="1"/>
        <w:rPr>
          <w:rFonts w:ascii="Times New Roman" w:eastAsia="Times New Roman" w:hAnsi="Times New Roman" w:cs="Times New Roman"/>
          <w:b/>
          <w:bCs/>
          <w:sz w:val="28"/>
          <w:szCs w:val="36"/>
        </w:rPr>
      </w:pPr>
      <w:r>
        <w:rPr>
          <w:rFonts w:ascii="Times New Roman" w:eastAsia="Times New Roman" w:hAnsi="Times New Roman" w:cs="Times New Roman"/>
          <w:b/>
          <w:bCs/>
          <w:noProof/>
          <w:sz w:val="28"/>
          <w:szCs w:val="36"/>
        </w:rPr>
        <w:drawing>
          <wp:inline distT="0" distB="0" distL="0" distR="0" wp14:anchorId="566013EE" wp14:editId="3EE981B4">
            <wp:extent cx="2504440" cy="107315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2504440" cy="1073150"/>
                    </a:xfrm>
                    <a:prstGeom prst="rect">
                      <a:avLst/>
                    </a:prstGeom>
                    <a:noFill/>
                    <a:ln w="9525">
                      <a:noFill/>
                      <a:miter lim="800000"/>
                      <a:headEnd/>
                      <a:tailEnd/>
                    </a:ln>
                  </pic:spPr>
                </pic:pic>
              </a:graphicData>
            </a:graphic>
          </wp:inline>
        </w:drawing>
      </w:r>
    </w:p>
    <w:p w14:paraId="22028D5D" w14:textId="77777777" w:rsidR="005C43B7" w:rsidRDefault="005C43B7" w:rsidP="005C43B7">
      <w:pPr>
        <w:spacing w:before="100" w:beforeAutospacing="1" w:after="100" w:afterAutospacing="1" w:line="240" w:lineRule="auto"/>
        <w:jc w:val="center"/>
        <w:outlineLvl w:val="1"/>
        <w:rPr>
          <w:rFonts w:ascii="Times New Roman" w:eastAsia="Times New Roman" w:hAnsi="Times New Roman" w:cs="Times New Roman"/>
          <w:b/>
          <w:bCs/>
          <w:sz w:val="28"/>
          <w:szCs w:val="36"/>
        </w:rPr>
      </w:pPr>
    </w:p>
    <w:p w14:paraId="56F5ED1E" w14:textId="77777777" w:rsidR="005C43B7" w:rsidRPr="00E5233F" w:rsidRDefault="005C43B7" w:rsidP="00E5233F">
      <w:pPr>
        <w:jc w:val="center"/>
        <w:rPr>
          <w:rFonts w:ascii="Arial" w:hAnsi="Arial" w:cs="Arial"/>
          <w:b/>
          <w:sz w:val="32"/>
        </w:rPr>
      </w:pPr>
      <w:r w:rsidRPr="00E5233F">
        <w:rPr>
          <w:rFonts w:ascii="Arial" w:hAnsi="Arial" w:cs="Arial"/>
          <w:b/>
          <w:sz w:val="32"/>
        </w:rPr>
        <w:t>“The Importance of Academic Writing and Note-Taking Skills in Academic and Professional Contexts”</w:t>
      </w:r>
    </w:p>
    <w:p w14:paraId="33968AEA" w14:textId="77777777" w:rsidR="005C43B7" w:rsidRPr="00E5233F" w:rsidRDefault="005C43B7" w:rsidP="00E5233F">
      <w:pPr>
        <w:jc w:val="center"/>
        <w:rPr>
          <w:rFonts w:ascii="Arial" w:hAnsi="Arial" w:cs="Arial"/>
          <w:b/>
          <w:sz w:val="32"/>
        </w:rPr>
      </w:pPr>
    </w:p>
    <w:p w14:paraId="315C05E1" w14:textId="77777777" w:rsidR="005C43B7" w:rsidRPr="00E5233F" w:rsidRDefault="005C43B7" w:rsidP="00E5233F">
      <w:pPr>
        <w:jc w:val="center"/>
        <w:rPr>
          <w:rFonts w:ascii="Arial" w:hAnsi="Arial" w:cs="Arial"/>
          <w:b/>
          <w:sz w:val="28"/>
        </w:rPr>
      </w:pPr>
      <w:r w:rsidRPr="00E5233F">
        <w:rPr>
          <w:rStyle w:val="Strong"/>
          <w:rFonts w:ascii="Arial" w:hAnsi="Arial" w:cs="Arial"/>
          <w:bCs w:val="0"/>
          <w:sz w:val="40"/>
        </w:rPr>
        <w:t>Group Members</w:t>
      </w:r>
    </w:p>
    <w:p w14:paraId="325A5E88" w14:textId="77777777" w:rsidR="00F321AA" w:rsidRDefault="00F321AA" w:rsidP="00F321AA">
      <w:pPr>
        <w:pStyle w:val="NormalWeb"/>
        <w:jc w:val="center"/>
        <w:rPr>
          <w:rStyle w:val="Strong"/>
          <w:rFonts w:ascii="Arial" w:hAnsi="Arial" w:cs="Arial"/>
          <w:sz w:val="28"/>
        </w:rPr>
      </w:pPr>
      <w:r>
        <w:rPr>
          <w:rStyle w:val="Strong"/>
          <w:rFonts w:ascii="Arial" w:hAnsi="Arial" w:cs="Arial"/>
          <w:sz w:val="28"/>
        </w:rPr>
        <w:t xml:space="preserve">    </w:t>
      </w:r>
      <w:r w:rsidR="005C43B7" w:rsidRPr="00F321AA">
        <w:rPr>
          <w:rStyle w:val="Strong"/>
          <w:rFonts w:ascii="Arial" w:hAnsi="Arial" w:cs="Arial"/>
          <w:sz w:val="28"/>
        </w:rPr>
        <w:t>Adina Moldoveanu</w:t>
      </w:r>
    </w:p>
    <w:p w14:paraId="4FE9606C" w14:textId="77777777" w:rsidR="005C43B7" w:rsidRPr="00F321AA" w:rsidRDefault="00F321AA" w:rsidP="00F321AA">
      <w:pPr>
        <w:pStyle w:val="NormalWeb"/>
        <w:jc w:val="center"/>
        <w:rPr>
          <w:rFonts w:ascii="Arial" w:hAnsi="Arial" w:cs="Arial"/>
          <w:sz w:val="28"/>
        </w:rPr>
      </w:pPr>
      <w:r w:rsidRPr="00F321AA">
        <w:rPr>
          <w:rFonts w:ascii="Arial" w:hAnsi="Arial" w:cs="Arial"/>
          <w:sz w:val="28"/>
        </w:rPr>
        <w:t>(Group Leader)</w:t>
      </w:r>
      <w:r w:rsidR="005C43B7" w:rsidRPr="00F321AA">
        <w:rPr>
          <w:rFonts w:ascii="Arial" w:hAnsi="Arial" w:cs="Arial"/>
          <w:sz w:val="28"/>
        </w:rPr>
        <w:t xml:space="preserve"> </w:t>
      </w:r>
    </w:p>
    <w:p w14:paraId="4724E0FB" w14:textId="77777777" w:rsidR="005C43B7" w:rsidRPr="00F321AA" w:rsidRDefault="00F321AA" w:rsidP="00F321AA">
      <w:pPr>
        <w:pStyle w:val="NormalWeb"/>
        <w:ind w:left="720"/>
        <w:rPr>
          <w:rFonts w:ascii="Arial" w:hAnsi="Arial" w:cs="Arial"/>
          <w:sz w:val="28"/>
        </w:rPr>
      </w:pPr>
      <w:r>
        <w:rPr>
          <w:rStyle w:val="Strong"/>
          <w:rFonts w:ascii="Arial" w:hAnsi="Arial" w:cs="Arial"/>
          <w:sz w:val="28"/>
        </w:rPr>
        <w:t xml:space="preserve">                                             </w:t>
      </w:r>
      <w:r w:rsidR="005C43B7" w:rsidRPr="00F321AA">
        <w:rPr>
          <w:rStyle w:val="Strong"/>
          <w:rFonts w:ascii="Arial" w:hAnsi="Arial" w:cs="Arial"/>
          <w:sz w:val="28"/>
        </w:rPr>
        <w:t>Cosmin</w:t>
      </w:r>
    </w:p>
    <w:p w14:paraId="6CD7DD8A" w14:textId="77777777" w:rsidR="005C43B7" w:rsidRPr="00F321AA" w:rsidRDefault="00F321AA" w:rsidP="00F321AA">
      <w:pPr>
        <w:pStyle w:val="NormalWeb"/>
        <w:ind w:left="720"/>
        <w:rPr>
          <w:rFonts w:ascii="Arial" w:hAnsi="Arial" w:cs="Arial"/>
          <w:sz w:val="28"/>
        </w:rPr>
      </w:pPr>
      <w:r>
        <w:rPr>
          <w:rStyle w:val="Strong"/>
          <w:rFonts w:ascii="Arial" w:hAnsi="Arial" w:cs="Arial"/>
          <w:sz w:val="28"/>
        </w:rPr>
        <w:t xml:space="preserve">                                       </w:t>
      </w:r>
      <w:r w:rsidR="005C43B7" w:rsidRPr="00F321AA">
        <w:rPr>
          <w:rStyle w:val="Strong"/>
          <w:rFonts w:ascii="Arial" w:hAnsi="Arial" w:cs="Arial"/>
          <w:sz w:val="28"/>
        </w:rPr>
        <w:t>Jaskirat Singh</w:t>
      </w:r>
    </w:p>
    <w:p w14:paraId="305AE79A" w14:textId="77777777" w:rsidR="005C43B7" w:rsidRDefault="005C43B7" w:rsidP="00F321AA">
      <w:pPr>
        <w:spacing w:before="100" w:beforeAutospacing="1" w:after="100" w:afterAutospacing="1" w:line="240" w:lineRule="auto"/>
        <w:jc w:val="center"/>
        <w:rPr>
          <w:rFonts w:ascii="Arial" w:eastAsia="Times New Roman" w:hAnsi="Arial" w:cs="Arial"/>
          <w:i/>
          <w:iCs/>
          <w:sz w:val="28"/>
          <w:szCs w:val="24"/>
        </w:rPr>
      </w:pPr>
    </w:p>
    <w:p w14:paraId="2A73CB26" w14:textId="77777777" w:rsidR="00F321AA" w:rsidRDefault="00F321AA" w:rsidP="00F321AA">
      <w:pPr>
        <w:spacing w:before="100" w:beforeAutospacing="1" w:after="100" w:afterAutospacing="1" w:line="240" w:lineRule="auto"/>
        <w:jc w:val="center"/>
        <w:rPr>
          <w:rFonts w:ascii="Arial" w:eastAsia="Times New Roman" w:hAnsi="Arial" w:cs="Arial"/>
          <w:i/>
          <w:iCs/>
          <w:sz w:val="28"/>
          <w:szCs w:val="24"/>
        </w:rPr>
      </w:pPr>
    </w:p>
    <w:p w14:paraId="04680CCB" w14:textId="4313CF35" w:rsidR="005C43B7" w:rsidRDefault="005C43B7" w:rsidP="00867DAE">
      <w:pPr>
        <w:spacing w:before="100" w:beforeAutospacing="1" w:after="100" w:afterAutospacing="1" w:line="360" w:lineRule="auto"/>
        <w:jc w:val="center"/>
        <w:rPr>
          <w:rFonts w:ascii="Arial" w:eastAsia="Times New Roman" w:hAnsi="Arial" w:cs="Arial"/>
          <w:sz w:val="32"/>
          <w:szCs w:val="24"/>
        </w:rPr>
      </w:pPr>
      <w:r w:rsidRPr="00F321AA">
        <w:rPr>
          <w:rFonts w:ascii="Arial" w:eastAsia="Times New Roman" w:hAnsi="Arial" w:cs="Arial"/>
          <w:i/>
          <w:iCs/>
          <w:sz w:val="32"/>
          <w:szCs w:val="24"/>
        </w:rPr>
        <w:t>Module:</w:t>
      </w:r>
      <w:r w:rsidRPr="005C43B7">
        <w:rPr>
          <w:rFonts w:ascii="Arial" w:eastAsia="Times New Roman" w:hAnsi="Arial" w:cs="Arial"/>
          <w:sz w:val="32"/>
          <w:szCs w:val="24"/>
        </w:rPr>
        <w:t xml:space="preserve"> Academic Skills</w:t>
      </w:r>
      <w:r w:rsidRPr="005C43B7">
        <w:rPr>
          <w:rFonts w:ascii="Arial" w:eastAsia="Times New Roman" w:hAnsi="Arial" w:cs="Arial"/>
          <w:sz w:val="32"/>
          <w:szCs w:val="24"/>
        </w:rPr>
        <w:br/>
      </w:r>
      <w:r w:rsidRPr="00F321AA">
        <w:rPr>
          <w:rFonts w:ascii="Arial" w:eastAsia="Times New Roman" w:hAnsi="Arial" w:cs="Arial"/>
          <w:i/>
          <w:iCs/>
          <w:sz w:val="32"/>
          <w:szCs w:val="24"/>
        </w:rPr>
        <w:t>Module Code:</w:t>
      </w:r>
      <w:r w:rsidRPr="005C43B7">
        <w:rPr>
          <w:rFonts w:ascii="Arial" w:eastAsia="Times New Roman" w:hAnsi="Arial" w:cs="Arial"/>
          <w:sz w:val="32"/>
          <w:szCs w:val="24"/>
        </w:rPr>
        <w:t xml:space="preserve"> </w:t>
      </w:r>
      <w:r w:rsidR="00867DAE">
        <w:rPr>
          <w:rFonts w:ascii="Arial" w:eastAsia="Times New Roman" w:hAnsi="Arial" w:cs="Arial"/>
          <w:sz w:val="32"/>
          <w:szCs w:val="24"/>
        </w:rPr>
        <w:t>LCBB4012</w:t>
      </w:r>
      <w:r w:rsidRPr="005C43B7">
        <w:rPr>
          <w:rFonts w:ascii="Arial" w:eastAsia="Times New Roman" w:hAnsi="Arial" w:cs="Arial"/>
          <w:sz w:val="32"/>
          <w:szCs w:val="24"/>
        </w:rPr>
        <w:br/>
      </w:r>
      <w:r w:rsidRPr="00F321AA">
        <w:rPr>
          <w:rFonts w:ascii="Arial" w:eastAsia="Times New Roman" w:hAnsi="Arial" w:cs="Arial"/>
          <w:i/>
          <w:iCs/>
          <w:sz w:val="32"/>
          <w:szCs w:val="24"/>
        </w:rPr>
        <w:t>Lecturer:</w:t>
      </w:r>
      <w:r w:rsidRPr="005C43B7">
        <w:rPr>
          <w:rFonts w:ascii="Arial" w:eastAsia="Times New Roman" w:hAnsi="Arial" w:cs="Arial"/>
          <w:sz w:val="32"/>
          <w:szCs w:val="24"/>
        </w:rPr>
        <w:t xml:space="preserve"> </w:t>
      </w:r>
      <w:r w:rsidR="00867DAE">
        <w:rPr>
          <w:rFonts w:ascii="Arial" w:eastAsia="Times New Roman" w:hAnsi="Arial" w:cs="Arial"/>
          <w:sz w:val="32"/>
          <w:szCs w:val="24"/>
        </w:rPr>
        <w:t>Olubukola Adegbite</w:t>
      </w:r>
      <w:r w:rsidRPr="005C43B7">
        <w:rPr>
          <w:rFonts w:ascii="Arial" w:eastAsia="Times New Roman" w:hAnsi="Arial" w:cs="Arial"/>
          <w:sz w:val="32"/>
          <w:szCs w:val="24"/>
        </w:rPr>
        <w:br/>
      </w:r>
      <w:r w:rsidRPr="00F321AA">
        <w:rPr>
          <w:rFonts w:ascii="Arial" w:eastAsia="Times New Roman" w:hAnsi="Arial" w:cs="Arial"/>
          <w:i/>
          <w:iCs/>
          <w:sz w:val="32"/>
          <w:szCs w:val="24"/>
        </w:rPr>
        <w:t>Submission Date:</w:t>
      </w:r>
      <w:r w:rsidRPr="005C43B7">
        <w:rPr>
          <w:rFonts w:ascii="Arial" w:eastAsia="Times New Roman" w:hAnsi="Arial" w:cs="Arial"/>
          <w:sz w:val="32"/>
          <w:szCs w:val="24"/>
        </w:rPr>
        <w:t xml:space="preserve"> </w:t>
      </w:r>
      <w:r w:rsidR="00867DAE">
        <w:rPr>
          <w:rFonts w:ascii="Arial" w:eastAsia="Times New Roman" w:hAnsi="Arial" w:cs="Arial"/>
          <w:sz w:val="32"/>
          <w:szCs w:val="24"/>
        </w:rPr>
        <w:t>21/11/2025</w:t>
      </w:r>
    </w:p>
    <w:p w14:paraId="421DFC08" w14:textId="77777777" w:rsidR="00867DAE" w:rsidRDefault="00867DAE" w:rsidP="00867DAE">
      <w:pPr>
        <w:spacing w:before="100" w:beforeAutospacing="1" w:after="100" w:afterAutospacing="1" w:line="360" w:lineRule="auto"/>
        <w:jc w:val="center"/>
        <w:rPr>
          <w:rFonts w:ascii="Arial" w:eastAsia="Times New Roman" w:hAnsi="Arial" w:cs="Arial"/>
          <w:sz w:val="32"/>
          <w:szCs w:val="24"/>
        </w:rPr>
      </w:pPr>
    </w:p>
    <w:p w14:paraId="13A8BFD3" w14:textId="77777777" w:rsidR="00867DAE" w:rsidRPr="005C43B7" w:rsidRDefault="00867DAE" w:rsidP="00867DAE">
      <w:pPr>
        <w:spacing w:before="100" w:beforeAutospacing="1" w:after="100" w:afterAutospacing="1" w:line="360" w:lineRule="auto"/>
        <w:jc w:val="center"/>
        <w:rPr>
          <w:rFonts w:ascii="Arial" w:eastAsia="Times New Roman" w:hAnsi="Arial" w:cs="Arial"/>
          <w:sz w:val="32"/>
          <w:szCs w:val="24"/>
        </w:rPr>
      </w:pPr>
    </w:p>
    <w:sdt>
      <w:sdtPr>
        <w:rPr>
          <w:rFonts w:asciiTheme="minorHAnsi" w:eastAsiaTheme="minorHAnsi" w:hAnsiTheme="minorHAnsi" w:cstheme="minorBidi"/>
          <w:b w:val="0"/>
          <w:bCs w:val="0"/>
          <w:color w:val="auto"/>
          <w:sz w:val="22"/>
          <w:szCs w:val="22"/>
        </w:rPr>
        <w:id w:val="130135766"/>
        <w:docPartObj>
          <w:docPartGallery w:val="Table of Contents"/>
          <w:docPartUnique/>
        </w:docPartObj>
      </w:sdtPr>
      <w:sdtContent>
        <w:p w14:paraId="26BF71EF" w14:textId="77777777" w:rsidR="00E5233F" w:rsidRDefault="00E5233F">
          <w:pPr>
            <w:pStyle w:val="TOCHeading"/>
          </w:pPr>
          <w:r>
            <w:t>Contents</w:t>
          </w:r>
        </w:p>
        <w:p w14:paraId="19829B6B" w14:textId="77777777" w:rsidR="00E5233F" w:rsidRDefault="00E5233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4424499" w:history="1">
            <w:r w:rsidRPr="00BF5122">
              <w:rPr>
                <w:rStyle w:val="Hyperlink"/>
                <w:noProof/>
              </w:rPr>
              <w:t>Introduction</w:t>
            </w:r>
            <w:r>
              <w:rPr>
                <w:noProof/>
                <w:webHidden/>
              </w:rPr>
              <w:tab/>
            </w:r>
            <w:r>
              <w:rPr>
                <w:noProof/>
                <w:webHidden/>
              </w:rPr>
              <w:fldChar w:fldCharType="begin"/>
            </w:r>
            <w:r>
              <w:rPr>
                <w:noProof/>
                <w:webHidden/>
              </w:rPr>
              <w:instrText xml:space="preserve"> PAGEREF _Toc214424499 \h </w:instrText>
            </w:r>
            <w:r>
              <w:rPr>
                <w:noProof/>
                <w:webHidden/>
              </w:rPr>
            </w:r>
            <w:r>
              <w:rPr>
                <w:noProof/>
                <w:webHidden/>
              </w:rPr>
              <w:fldChar w:fldCharType="separate"/>
            </w:r>
            <w:r>
              <w:rPr>
                <w:noProof/>
                <w:webHidden/>
              </w:rPr>
              <w:t>4</w:t>
            </w:r>
            <w:r>
              <w:rPr>
                <w:noProof/>
                <w:webHidden/>
              </w:rPr>
              <w:fldChar w:fldCharType="end"/>
            </w:r>
          </w:hyperlink>
        </w:p>
        <w:p w14:paraId="42911730" w14:textId="77777777" w:rsidR="00E5233F" w:rsidRDefault="00E5233F">
          <w:pPr>
            <w:pStyle w:val="TOC1"/>
            <w:tabs>
              <w:tab w:val="right" w:leader="dot" w:pos="9350"/>
            </w:tabs>
            <w:rPr>
              <w:rFonts w:eastAsiaTheme="minorEastAsia"/>
              <w:noProof/>
            </w:rPr>
          </w:pPr>
          <w:hyperlink w:anchor="_Toc214424500" w:history="1">
            <w:r w:rsidRPr="00BF5122">
              <w:rPr>
                <w:rStyle w:val="Hyperlink"/>
                <w:noProof/>
              </w:rPr>
              <w:t>Importance of Academic Writing</w:t>
            </w:r>
            <w:r>
              <w:rPr>
                <w:noProof/>
                <w:webHidden/>
              </w:rPr>
              <w:tab/>
            </w:r>
            <w:r>
              <w:rPr>
                <w:noProof/>
                <w:webHidden/>
              </w:rPr>
              <w:fldChar w:fldCharType="begin"/>
            </w:r>
            <w:r>
              <w:rPr>
                <w:noProof/>
                <w:webHidden/>
              </w:rPr>
              <w:instrText xml:space="preserve"> PAGEREF _Toc214424500 \h </w:instrText>
            </w:r>
            <w:r>
              <w:rPr>
                <w:noProof/>
                <w:webHidden/>
              </w:rPr>
            </w:r>
            <w:r>
              <w:rPr>
                <w:noProof/>
                <w:webHidden/>
              </w:rPr>
              <w:fldChar w:fldCharType="separate"/>
            </w:r>
            <w:r>
              <w:rPr>
                <w:noProof/>
                <w:webHidden/>
              </w:rPr>
              <w:t>5</w:t>
            </w:r>
            <w:r>
              <w:rPr>
                <w:noProof/>
                <w:webHidden/>
              </w:rPr>
              <w:fldChar w:fldCharType="end"/>
            </w:r>
          </w:hyperlink>
        </w:p>
        <w:p w14:paraId="53335292" w14:textId="77777777" w:rsidR="00E5233F" w:rsidRDefault="00E5233F">
          <w:pPr>
            <w:pStyle w:val="TOC1"/>
            <w:tabs>
              <w:tab w:val="right" w:leader="dot" w:pos="9350"/>
            </w:tabs>
            <w:rPr>
              <w:rFonts w:eastAsiaTheme="minorEastAsia"/>
              <w:noProof/>
            </w:rPr>
          </w:pPr>
          <w:hyperlink w:anchor="_Toc214424501" w:history="1">
            <w:r w:rsidRPr="00BF5122">
              <w:rPr>
                <w:rStyle w:val="Hyperlink"/>
                <w:noProof/>
              </w:rPr>
              <w:t>Importance and Purpose of Note-Taking</w:t>
            </w:r>
            <w:r>
              <w:rPr>
                <w:noProof/>
                <w:webHidden/>
              </w:rPr>
              <w:tab/>
            </w:r>
            <w:r>
              <w:rPr>
                <w:noProof/>
                <w:webHidden/>
              </w:rPr>
              <w:fldChar w:fldCharType="begin"/>
            </w:r>
            <w:r>
              <w:rPr>
                <w:noProof/>
                <w:webHidden/>
              </w:rPr>
              <w:instrText xml:space="preserve"> PAGEREF _Toc214424501 \h </w:instrText>
            </w:r>
            <w:r>
              <w:rPr>
                <w:noProof/>
                <w:webHidden/>
              </w:rPr>
            </w:r>
            <w:r>
              <w:rPr>
                <w:noProof/>
                <w:webHidden/>
              </w:rPr>
              <w:fldChar w:fldCharType="separate"/>
            </w:r>
            <w:r>
              <w:rPr>
                <w:noProof/>
                <w:webHidden/>
              </w:rPr>
              <w:t>6</w:t>
            </w:r>
            <w:r>
              <w:rPr>
                <w:noProof/>
                <w:webHidden/>
              </w:rPr>
              <w:fldChar w:fldCharType="end"/>
            </w:r>
          </w:hyperlink>
        </w:p>
        <w:p w14:paraId="72F3857A" w14:textId="77777777" w:rsidR="00E5233F" w:rsidRDefault="00E5233F">
          <w:pPr>
            <w:pStyle w:val="TOC1"/>
            <w:tabs>
              <w:tab w:val="right" w:leader="dot" w:pos="9350"/>
            </w:tabs>
            <w:rPr>
              <w:rFonts w:eastAsiaTheme="minorEastAsia"/>
              <w:noProof/>
            </w:rPr>
          </w:pPr>
          <w:hyperlink w:anchor="_Toc214424502" w:history="1">
            <w:r w:rsidRPr="00BF5122">
              <w:rPr>
                <w:rStyle w:val="Hyperlink"/>
                <w:noProof/>
              </w:rPr>
              <w:t>Strategies for Developing Academic Writing Skills</w:t>
            </w:r>
            <w:r>
              <w:rPr>
                <w:noProof/>
                <w:webHidden/>
              </w:rPr>
              <w:tab/>
            </w:r>
            <w:r>
              <w:rPr>
                <w:noProof/>
                <w:webHidden/>
              </w:rPr>
              <w:fldChar w:fldCharType="begin"/>
            </w:r>
            <w:r>
              <w:rPr>
                <w:noProof/>
                <w:webHidden/>
              </w:rPr>
              <w:instrText xml:space="preserve"> PAGEREF _Toc214424502 \h </w:instrText>
            </w:r>
            <w:r>
              <w:rPr>
                <w:noProof/>
                <w:webHidden/>
              </w:rPr>
            </w:r>
            <w:r>
              <w:rPr>
                <w:noProof/>
                <w:webHidden/>
              </w:rPr>
              <w:fldChar w:fldCharType="separate"/>
            </w:r>
            <w:r>
              <w:rPr>
                <w:noProof/>
                <w:webHidden/>
              </w:rPr>
              <w:t>8</w:t>
            </w:r>
            <w:r>
              <w:rPr>
                <w:noProof/>
                <w:webHidden/>
              </w:rPr>
              <w:fldChar w:fldCharType="end"/>
            </w:r>
          </w:hyperlink>
        </w:p>
        <w:p w14:paraId="03547C61" w14:textId="77777777" w:rsidR="00E5233F" w:rsidRDefault="00E5233F">
          <w:pPr>
            <w:pStyle w:val="TOC1"/>
            <w:tabs>
              <w:tab w:val="right" w:leader="dot" w:pos="9350"/>
            </w:tabs>
            <w:rPr>
              <w:rFonts w:eastAsiaTheme="minorEastAsia"/>
              <w:noProof/>
            </w:rPr>
          </w:pPr>
          <w:hyperlink w:anchor="_Toc214424503" w:history="1">
            <w:r w:rsidRPr="00BF5122">
              <w:rPr>
                <w:rStyle w:val="Hyperlink"/>
                <w:noProof/>
              </w:rPr>
              <w:t>Strategies for Developing Note-Taking Skills</w:t>
            </w:r>
            <w:r>
              <w:rPr>
                <w:noProof/>
                <w:webHidden/>
              </w:rPr>
              <w:tab/>
            </w:r>
            <w:r>
              <w:rPr>
                <w:noProof/>
                <w:webHidden/>
              </w:rPr>
              <w:fldChar w:fldCharType="begin"/>
            </w:r>
            <w:r>
              <w:rPr>
                <w:noProof/>
                <w:webHidden/>
              </w:rPr>
              <w:instrText xml:space="preserve"> PAGEREF _Toc214424503 \h </w:instrText>
            </w:r>
            <w:r>
              <w:rPr>
                <w:noProof/>
                <w:webHidden/>
              </w:rPr>
            </w:r>
            <w:r>
              <w:rPr>
                <w:noProof/>
                <w:webHidden/>
              </w:rPr>
              <w:fldChar w:fldCharType="separate"/>
            </w:r>
            <w:r>
              <w:rPr>
                <w:noProof/>
                <w:webHidden/>
              </w:rPr>
              <w:t>9</w:t>
            </w:r>
            <w:r>
              <w:rPr>
                <w:noProof/>
                <w:webHidden/>
              </w:rPr>
              <w:fldChar w:fldCharType="end"/>
            </w:r>
          </w:hyperlink>
        </w:p>
        <w:p w14:paraId="5B344DCF" w14:textId="77777777" w:rsidR="00E5233F" w:rsidRDefault="00E5233F">
          <w:pPr>
            <w:pStyle w:val="TOC1"/>
            <w:tabs>
              <w:tab w:val="right" w:leader="dot" w:pos="9350"/>
            </w:tabs>
            <w:rPr>
              <w:rFonts w:eastAsiaTheme="minorEastAsia"/>
              <w:noProof/>
            </w:rPr>
          </w:pPr>
          <w:hyperlink w:anchor="_Toc214424504" w:history="1">
            <w:r w:rsidRPr="00BF5122">
              <w:rPr>
                <w:rStyle w:val="Hyperlink"/>
                <w:noProof/>
              </w:rPr>
              <w:t>Conclusion</w:t>
            </w:r>
            <w:r>
              <w:rPr>
                <w:noProof/>
                <w:webHidden/>
              </w:rPr>
              <w:tab/>
            </w:r>
            <w:r>
              <w:rPr>
                <w:noProof/>
                <w:webHidden/>
              </w:rPr>
              <w:fldChar w:fldCharType="begin"/>
            </w:r>
            <w:r>
              <w:rPr>
                <w:noProof/>
                <w:webHidden/>
              </w:rPr>
              <w:instrText xml:space="preserve"> PAGEREF _Toc214424504 \h </w:instrText>
            </w:r>
            <w:r>
              <w:rPr>
                <w:noProof/>
                <w:webHidden/>
              </w:rPr>
            </w:r>
            <w:r>
              <w:rPr>
                <w:noProof/>
                <w:webHidden/>
              </w:rPr>
              <w:fldChar w:fldCharType="separate"/>
            </w:r>
            <w:r>
              <w:rPr>
                <w:noProof/>
                <w:webHidden/>
              </w:rPr>
              <w:t>11</w:t>
            </w:r>
            <w:r>
              <w:rPr>
                <w:noProof/>
                <w:webHidden/>
              </w:rPr>
              <w:fldChar w:fldCharType="end"/>
            </w:r>
          </w:hyperlink>
        </w:p>
        <w:p w14:paraId="0099DD5D" w14:textId="77777777" w:rsidR="00E5233F" w:rsidRDefault="00E5233F">
          <w:pPr>
            <w:pStyle w:val="TOC1"/>
            <w:tabs>
              <w:tab w:val="right" w:leader="dot" w:pos="9350"/>
            </w:tabs>
            <w:rPr>
              <w:rFonts w:eastAsiaTheme="minorEastAsia"/>
              <w:noProof/>
            </w:rPr>
          </w:pPr>
          <w:hyperlink w:anchor="_Toc214424505" w:history="1">
            <w:r w:rsidRPr="00BF5122">
              <w:rPr>
                <w:rStyle w:val="Hyperlink"/>
                <w:noProof/>
              </w:rPr>
              <w:t>Group Member Contributions</w:t>
            </w:r>
            <w:r>
              <w:rPr>
                <w:noProof/>
                <w:webHidden/>
              </w:rPr>
              <w:tab/>
            </w:r>
            <w:r>
              <w:rPr>
                <w:noProof/>
                <w:webHidden/>
              </w:rPr>
              <w:fldChar w:fldCharType="begin"/>
            </w:r>
            <w:r>
              <w:rPr>
                <w:noProof/>
                <w:webHidden/>
              </w:rPr>
              <w:instrText xml:space="preserve"> PAGEREF _Toc214424505 \h </w:instrText>
            </w:r>
            <w:r>
              <w:rPr>
                <w:noProof/>
                <w:webHidden/>
              </w:rPr>
            </w:r>
            <w:r>
              <w:rPr>
                <w:noProof/>
                <w:webHidden/>
              </w:rPr>
              <w:fldChar w:fldCharType="separate"/>
            </w:r>
            <w:r>
              <w:rPr>
                <w:noProof/>
                <w:webHidden/>
              </w:rPr>
              <w:t>11</w:t>
            </w:r>
            <w:r>
              <w:rPr>
                <w:noProof/>
                <w:webHidden/>
              </w:rPr>
              <w:fldChar w:fldCharType="end"/>
            </w:r>
          </w:hyperlink>
        </w:p>
        <w:p w14:paraId="29CDF721" w14:textId="77777777" w:rsidR="00E5233F" w:rsidRDefault="00E5233F">
          <w:pPr>
            <w:pStyle w:val="TOC1"/>
            <w:tabs>
              <w:tab w:val="right" w:leader="dot" w:pos="9350"/>
            </w:tabs>
            <w:rPr>
              <w:rFonts w:eastAsiaTheme="minorEastAsia"/>
              <w:noProof/>
            </w:rPr>
          </w:pPr>
          <w:hyperlink w:anchor="_Toc214424506" w:history="1">
            <w:r w:rsidRPr="00BF512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_Toc214424506 \h </w:instrText>
            </w:r>
            <w:r>
              <w:rPr>
                <w:noProof/>
                <w:webHidden/>
              </w:rPr>
            </w:r>
            <w:r>
              <w:rPr>
                <w:noProof/>
                <w:webHidden/>
              </w:rPr>
              <w:fldChar w:fldCharType="separate"/>
            </w:r>
            <w:r>
              <w:rPr>
                <w:noProof/>
                <w:webHidden/>
              </w:rPr>
              <w:t>12</w:t>
            </w:r>
            <w:r>
              <w:rPr>
                <w:noProof/>
                <w:webHidden/>
              </w:rPr>
              <w:fldChar w:fldCharType="end"/>
            </w:r>
          </w:hyperlink>
        </w:p>
        <w:p w14:paraId="5D8E6542" w14:textId="77777777" w:rsidR="00E5233F" w:rsidRDefault="00E5233F">
          <w:r>
            <w:fldChar w:fldCharType="end"/>
          </w:r>
        </w:p>
      </w:sdtContent>
    </w:sdt>
    <w:p w14:paraId="3ACF8A21" w14:textId="77777777" w:rsidR="00E5233F" w:rsidRDefault="00E5233F" w:rsidP="00227920">
      <w:pPr>
        <w:pStyle w:val="Heading1"/>
      </w:pPr>
    </w:p>
    <w:p w14:paraId="46F2DA6C" w14:textId="77777777" w:rsidR="00E5233F" w:rsidRDefault="00E5233F" w:rsidP="00227920">
      <w:pPr>
        <w:pStyle w:val="Heading1"/>
      </w:pPr>
    </w:p>
    <w:p w14:paraId="6DB2312E" w14:textId="77777777" w:rsidR="00E5233F" w:rsidRDefault="00E5233F" w:rsidP="00227920">
      <w:pPr>
        <w:pStyle w:val="Heading1"/>
      </w:pPr>
    </w:p>
    <w:p w14:paraId="6815AAA5" w14:textId="77777777" w:rsidR="00E5233F" w:rsidRDefault="00E5233F" w:rsidP="00227920">
      <w:pPr>
        <w:pStyle w:val="Heading1"/>
      </w:pPr>
    </w:p>
    <w:p w14:paraId="22405C60" w14:textId="77777777" w:rsidR="00E5233F" w:rsidRDefault="00E5233F" w:rsidP="00227920">
      <w:pPr>
        <w:pStyle w:val="Heading1"/>
      </w:pPr>
    </w:p>
    <w:p w14:paraId="1A249FF3" w14:textId="77777777" w:rsidR="00E5233F" w:rsidRDefault="00E5233F" w:rsidP="00227920">
      <w:pPr>
        <w:pStyle w:val="Heading1"/>
      </w:pPr>
    </w:p>
    <w:p w14:paraId="0A18F549" w14:textId="77777777" w:rsidR="00E5233F" w:rsidRDefault="00E5233F" w:rsidP="00227920">
      <w:pPr>
        <w:pStyle w:val="Heading1"/>
      </w:pPr>
    </w:p>
    <w:p w14:paraId="7A86BA59" w14:textId="77777777" w:rsidR="00E5233F" w:rsidRDefault="00E5233F" w:rsidP="00227920">
      <w:pPr>
        <w:pStyle w:val="Heading1"/>
      </w:pPr>
    </w:p>
    <w:p w14:paraId="1DA7D774" w14:textId="77777777" w:rsidR="00E5233F" w:rsidRDefault="00E5233F" w:rsidP="00E5233F"/>
    <w:p w14:paraId="4B013F01" w14:textId="77777777" w:rsidR="00E5233F" w:rsidRDefault="00E5233F" w:rsidP="00E5233F"/>
    <w:p w14:paraId="09DAD63E" w14:textId="77777777" w:rsidR="00E5233F" w:rsidRPr="00E5233F" w:rsidRDefault="00E5233F" w:rsidP="00E5233F">
      <w:pPr>
        <w:ind w:left="-270" w:right="-180" w:firstLine="270"/>
      </w:pPr>
    </w:p>
    <w:p w14:paraId="2B59C9F0" w14:textId="77777777" w:rsidR="00F321AA" w:rsidRDefault="00F321AA" w:rsidP="00227920">
      <w:pPr>
        <w:pStyle w:val="Heading1"/>
      </w:pPr>
      <w:bookmarkStart w:id="0" w:name="_Toc214424499"/>
      <w:r w:rsidRPr="00227920">
        <w:lastRenderedPageBreak/>
        <w:t>Introduction</w:t>
      </w:r>
      <w:bookmarkEnd w:id="0"/>
    </w:p>
    <w:p w14:paraId="2EA4C59E" w14:textId="77777777" w:rsidR="00227920" w:rsidRPr="00E5233F" w:rsidRDefault="00227920" w:rsidP="00E5233F">
      <w:pPr>
        <w:spacing w:line="360" w:lineRule="auto"/>
        <w:jc w:val="both"/>
        <w:rPr>
          <w:rFonts w:ascii="Arial" w:hAnsi="Arial" w:cs="Arial"/>
        </w:rPr>
      </w:pPr>
    </w:p>
    <w:p w14:paraId="023E188B" w14:textId="77777777" w:rsidR="006C5BC8" w:rsidRPr="00E5233F" w:rsidRDefault="00227920" w:rsidP="00E5233F">
      <w:pPr>
        <w:spacing w:after="0" w:line="360" w:lineRule="auto"/>
        <w:jc w:val="both"/>
        <w:rPr>
          <w:rFonts w:ascii="Arial" w:eastAsia="Times New Roman" w:hAnsi="Arial" w:cs="Arial"/>
          <w:sz w:val="24"/>
          <w:szCs w:val="24"/>
        </w:rPr>
      </w:pPr>
      <w:r w:rsidRPr="00227920">
        <w:rPr>
          <w:rFonts w:ascii="Arial" w:eastAsia="Times New Roman" w:hAnsi="Arial" w:cs="Arial"/>
          <w:sz w:val="24"/>
          <w:szCs w:val="24"/>
        </w:rPr>
        <w:t xml:space="preserve">Effective learning and professional communication are supported by the fundamental abilities of academic writing and note-taking. They give students the ability to critically interact with concepts, methodically arrange data, and clearly and persuasively present their arguments. In order to promote analytical thinking and intellectual </w:t>
      </w:r>
      <w:proofErr w:type="spellStart"/>
      <w:r w:rsidRPr="00227920">
        <w:rPr>
          <w:rFonts w:ascii="Arial" w:eastAsia="Times New Roman" w:hAnsi="Arial" w:cs="Arial"/>
          <w:sz w:val="24"/>
          <w:szCs w:val="24"/>
        </w:rPr>
        <w:t>rigour</w:t>
      </w:r>
      <w:proofErr w:type="spellEnd"/>
      <w:r w:rsidRPr="00227920">
        <w:rPr>
          <w:rFonts w:ascii="Arial" w:eastAsia="Times New Roman" w:hAnsi="Arial" w:cs="Arial"/>
          <w:sz w:val="24"/>
          <w:szCs w:val="24"/>
        </w:rPr>
        <w:t xml:space="preserve">, academic writing promotes logical reasoning, the assessment of various viewpoints, and the integration of scholarly sources (Cottrell, 2019; Bailey, 2018). By requiring students to extract, </w:t>
      </w:r>
      <w:proofErr w:type="spellStart"/>
      <w:r w:rsidRPr="00227920">
        <w:rPr>
          <w:rFonts w:ascii="Arial" w:eastAsia="Times New Roman" w:hAnsi="Arial" w:cs="Arial"/>
          <w:sz w:val="24"/>
          <w:szCs w:val="24"/>
        </w:rPr>
        <w:t>summarise</w:t>
      </w:r>
      <w:proofErr w:type="spellEnd"/>
      <w:r w:rsidRPr="00227920">
        <w:rPr>
          <w:rFonts w:ascii="Arial" w:eastAsia="Times New Roman" w:hAnsi="Arial" w:cs="Arial"/>
          <w:sz w:val="24"/>
          <w:szCs w:val="24"/>
        </w:rPr>
        <w:t xml:space="preserve">, and </w:t>
      </w:r>
      <w:proofErr w:type="spellStart"/>
      <w:r w:rsidRPr="00227920">
        <w:rPr>
          <w:rFonts w:ascii="Arial" w:eastAsia="Times New Roman" w:hAnsi="Arial" w:cs="Arial"/>
          <w:sz w:val="24"/>
          <w:szCs w:val="24"/>
        </w:rPr>
        <w:t>organise</w:t>
      </w:r>
      <w:proofErr w:type="spellEnd"/>
      <w:r w:rsidRPr="00227920">
        <w:rPr>
          <w:rFonts w:ascii="Arial" w:eastAsia="Times New Roman" w:hAnsi="Arial" w:cs="Arial"/>
          <w:sz w:val="24"/>
          <w:szCs w:val="24"/>
        </w:rPr>
        <w:t xml:space="preserve"> important information, taking notes enhances understanding, retention, and the capacity to process complex material (Williams &amp; Eggert, 2020).</w:t>
      </w:r>
    </w:p>
    <w:p w14:paraId="23402D51" w14:textId="77777777" w:rsidR="00E5233F" w:rsidRPr="00E5233F" w:rsidRDefault="00E5233F" w:rsidP="00E5233F">
      <w:pPr>
        <w:spacing w:after="0" w:line="360" w:lineRule="auto"/>
        <w:jc w:val="both"/>
        <w:rPr>
          <w:rFonts w:ascii="Arial" w:eastAsia="Times New Roman" w:hAnsi="Arial" w:cs="Arial"/>
          <w:sz w:val="24"/>
          <w:szCs w:val="24"/>
        </w:rPr>
      </w:pPr>
    </w:p>
    <w:p w14:paraId="70174555" w14:textId="77777777" w:rsidR="00227920" w:rsidRDefault="00227920" w:rsidP="00E5233F">
      <w:pPr>
        <w:spacing w:after="0" w:line="360" w:lineRule="auto"/>
        <w:jc w:val="both"/>
        <w:rPr>
          <w:rFonts w:ascii="Arial" w:eastAsia="Times New Roman" w:hAnsi="Arial" w:cs="Arial"/>
          <w:sz w:val="24"/>
          <w:szCs w:val="24"/>
        </w:rPr>
      </w:pPr>
      <w:r w:rsidRPr="00227920">
        <w:rPr>
          <w:rFonts w:ascii="Arial" w:eastAsia="Times New Roman" w:hAnsi="Arial" w:cs="Arial"/>
          <w:sz w:val="24"/>
          <w:szCs w:val="24"/>
        </w:rPr>
        <w:t xml:space="preserve">A framework for comprehending how these abilities aid in academic development is provided by learning theories. According to the Deep and Surface Learning Theory, students learn more effectively when they critically analyse and consider information rather than simply </w:t>
      </w:r>
      <w:proofErr w:type="spellStart"/>
      <w:r w:rsidRPr="00227920">
        <w:rPr>
          <w:rFonts w:ascii="Arial" w:eastAsia="Times New Roman" w:hAnsi="Arial" w:cs="Arial"/>
          <w:sz w:val="24"/>
          <w:szCs w:val="24"/>
        </w:rPr>
        <w:t>memorise</w:t>
      </w:r>
      <w:proofErr w:type="spellEnd"/>
      <w:r w:rsidRPr="00227920">
        <w:rPr>
          <w:rFonts w:ascii="Arial" w:eastAsia="Times New Roman" w:hAnsi="Arial" w:cs="Arial"/>
          <w:sz w:val="24"/>
          <w:szCs w:val="24"/>
        </w:rPr>
        <w:t xml:space="preserve"> it. Writing and taking notes actively help students with this process (Marton &amp; </w:t>
      </w:r>
      <w:proofErr w:type="spellStart"/>
      <w:r w:rsidRPr="00227920">
        <w:rPr>
          <w:rFonts w:ascii="Arial" w:eastAsia="Times New Roman" w:hAnsi="Arial" w:cs="Arial"/>
          <w:sz w:val="24"/>
          <w:szCs w:val="24"/>
        </w:rPr>
        <w:t>Säljö</w:t>
      </w:r>
      <w:proofErr w:type="spellEnd"/>
      <w:r w:rsidRPr="00227920">
        <w:rPr>
          <w:rFonts w:ascii="Arial" w:eastAsia="Times New Roman" w:hAnsi="Arial" w:cs="Arial"/>
          <w:sz w:val="24"/>
          <w:szCs w:val="24"/>
        </w:rPr>
        <w:t xml:space="preserve">, 1976). The significance of working memory management is also </w:t>
      </w:r>
      <w:proofErr w:type="spellStart"/>
      <w:r w:rsidRPr="00227920">
        <w:rPr>
          <w:rFonts w:ascii="Arial" w:eastAsia="Times New Roman" w:hAnsi="Arial" w:cs="Arial"/>
          <w:sz w:val="24"/>
          <w:szCs w:val="24"/>
        </w:rPr>
        <w:t>emphasised</w:t>
      </w:r>
      <w:proofErr w:type="spellEnd"/>
      <w:r w:rsidRPr="00227920">
        <w:rPr>
          <w:rFonts w:ascii="Arial" w:eastAsia="Times New Roman" w:hAnsi="Arial" w:cs="Arial"/>
          <w:sz w:val="24"/>
          <w:szCs w:val="24"/>
        </w:rPr>
        <w:t xml:space="preserve"> by Cognitive Load Theory; well-structured notes lessen cognitive overload and enable students to concentrate on comprehending ideas rather than just processing information (</w:t>
      </w:r>
      <w:proofErr w:type="spellStart"/>
      <w:r w:rsidRPr="00227920">
        <w:rPr>
          <w:rFonts w:ascii="Arial" w:eastAsia="Times New Roman" w:hAnsi="Arial" w:cs="Arial"/>
          <w:sz w:val="24"/>
          <w:szCs w:val="24"/>
        </w:rPr>
        <w:t>Sweller</w:t>
      </w:r>
      <w:proofErr w:type="spellEnd"/>
      <w:r w:rsidRPr="00227920">
        <w:rPr>
          <w:rFonts w:ascii="Arial" w:eastAsia="Times New Roman" w:hAnsi="Arial" w:cs="Arial"/>
          <w:sz w:val="24"/>
          <w:szCs w:val="24"/>
        </w:rPr>
        <w:t>, 1994).</w:t>
      </w:r>
    </w:p>
    <w:p w14:paraId="47CBB49B" w14:textId="77777777" w:rsidR="00E5233F" w:rsidRPr="00E5233F" w:rsidRDefault="00E5233F" w:rsidP="00E5233F">
      <w:pPr>
        <w:spacing w:after="0" w:line="360" w:lineRule="auto"/>
        <w:jc w:val="both"/>
        <w:rPr>
          <w:rFonts w:ascii="Arial" w:eastAsia="Times New Roman" w:hAnsi="Arial" w:cs="Arial"/>
          <w:sz w:val="24"/>
          <w:szCs w:val="24"/>
        </w:rPr>
      </w:pPr>
    </w:p>
    <w:p w14:paraId="6CDC7958" w14:textId="77777777" w:rsidR="00227920" w:rsidRPr="00E5233F" w:rsidRDefault="00E5233F" w:rsidP="00E5233F">
      <w:pPr>
        <w:spacing w:after="0" w:line="360" w:lineRule="auto"/>
        <w:jc w:val="both"/>
        <w:rPr>
          <w:rFonts w:ascii="Arial" w:eastAsia="Times New Roman" w:hAnsi="Arial" w:cs="Arial"/>
          <w:sz w:val="24"/>
          <w:szCs w:val="24"/>
        </w:rPr>
      </w:pPr>
      <w:r w:rsidRPr="00E5233F">
        <w:rPr>
          <w:rFonts w:ascii="Arial" w:eastAsia="Times New Roman" w:hAnsi="Arial" w:cs="Arial"/>
          <w:sz w:val="24"/>
          <w:szCs w:val="24"/>
        </w:rPr>
        <w:t xml:space="preserve">Learning is further reinforced by the interaction between writing and taking notes. Notes encourage students to </w:t>
      </w:r>
      <w:proofErr w:type="spellStart"/>
      <w:r w:rsidRPr="00E5233F">
        <w:rPr>
          <w:rFonts w:ascii="Arial" w:eastAsia="Times New Roman" w:hAnsi="Arial" w:cs="Arial"/>
          <w:sz w:val="24"/>
          <w:szCs w:val="24"/>
        </w:rPr>
        <w:t>analyse</w:t>
      </w:r>
      <w:proofErr w:type="spellEnd"/>
      <w:r w:rsidRPr="00E5233F">
        <w:rPr>
          <w:rFonts w:ascii="Arial" w:eastAsia="Times New Roman" w:hAnsi="Arial" w:cs="Arial"/>
          <w:sz w:val="24"/>
          <w:szCs w:val="24"/>
        </w:rPr>
        <w:t xml:space="preserve">, </w:t>
      </w:r>
      <w:proofErr w:type="spellStart"/>
      <w:r w:rsidRPr="00E5233F">
        <w:rPr>
          <w:rFonts w:ascii="Arial" w:eastAsia="Times New Roman" w:hAnsi="Arial" w:cs="Arial"/>
          <w:sz w:val="24"/>
          <w:szCs w:val="24"/>
        </w:rPr>
        <w:t>synthesise</w:t>
      </w:r>
      <w:proofErr w:type="spellEnd"/>
      <w:r w:rsidRPr="00E5233F">
        <w:rPr>
          <w:rFonts w:ascii="Arial" w:eastAsia="Times New Roman" w:hAnsi="Arial" w:cs="Arial"/>
          <w:sz w:val="24"/>
          <w:szCs w:val="24"/>
        </w:rPr>
        <w:t xml:space="preserve">, and arrange ideas into logical arguments and form the basis for essays, reports, and other academic outputs. Additionally, this process fosters the development of metacognitive abilities that are essential for both academic success and lifetime learning, such as </w:t>
      </w:r>
      <w:proofErr w:type="spellStart"/>
      <w:r w:rsidRPr="00E5233F">
        <w:rPr>
          <w:rFonts w:ascii="Arial" w:eastAsia="Times New Roman" w:hAnsi="Arial" w:cs="Arial"/>
          <w:sz w:val="24"/>
          <w:szCs w:val="24"/>
        </w:rPr>
        <w:t>organising</w:t>
      </w:r>
      <w:proofErr w:type="spellEnd"/>
      <w:r w:rsidRPr="00E5233F">
        <w:rPr>
          <w:rFonts w:ascii="Arial" w:eastAsia="Times New Roman" w:hAnsi="Arial" w:cs="Arial"/>
          <w:sz w:val="24"/>
          <w:szCs w:val="24"/>
        </w:rPr>
        <w:t xml:space="preserve">, tracking, and assessing one's own learning (Fry, </w:t>
      </w:r>
      <w:proofErr w:type="spellStart"/>
      <w:r w:rsidRPr="00E5233F">
        <w:rPr>
          <w:rFonts w:ascii="Arial" w:eastAsia="Times New Roman" w:hAnsi="Arial" w:cs="Arial"/>
          <w:sz w:val="24"/>
          <w:szCs w:val="24"/>
        </w:rPr>
        <w:t>Ketteridge</w:t>
      </w:r>
      <w:proofErr w:type="spellEnd"/>
      <w:r w:rsidRPr="00E5233F">
        <w:rPr>
          <w:rFonts w:ascii="Arial" w:eastAsia="Times New Roman" w:hAnsi="Arial" w:cs="Arial"/>
          <w:sz w:val="24"/>
          <w:szCs w:val="24"/>
        </w:rPr>
        <w:t xml:space="preserve"> &amp; Marshall, 2015). These abilities have substantial professional value outside of the classroom. Effective note-taking improves </w:t>
      </w:r>
      <w:proofErr w:type="spellStart"/>
      <w:r w:rsidRPr="00E5233F">
        <w:rPr>
          <w:rFonts w:ascii="Arial" w:eastAsia="Times New Roman" w:hAnsi="Arial" w:cs="Arial"/>
          <w:sz w:val="24"/>
          <w:szCs w:val="24"/>
        </w:rPr>
        <w:t>organisation</w:t>
      </w:r>
      <w:proofErr w:type="spellEnd"/>
      <w:r w:rsidRPr="00E5233F">
        <w:rPr>
          <w:rFonts w:ascii="Arial" w:eastAsia="Times New Roman" w:hAnsi="Arial" w:cs="Arial"/>
          <w:sz w:val="24"/>
          <w:szCs w:val="24"/>
        </w:rPr>
        <w:t xml:space="preserve"> and efficiency during meetings and group projects, while structured writing and precise documentation facilitate communication, decision-making, and project management (Carnegie, 2020). </w:t>
      </w:r>
    </w:p>
    <w:p w14:paraId="61281968" w14:textId="77777777" w:rsidR="00227920" w:rsidRDefault="00227920" w:rsidP="00227920">
      <w:pPr>
        <w:pStyle w:val="Heading1"/>
      </w:pPr>
      <w:bookmarkStart w:id="1" w:name="_Toc214424500"/>
      <w:r>
        <w:lastRenderedPageBreak/>
        <w:t>Importance of Academic Writing</w:t>
      </w:r>
      <w:bookmarkEnd w:id="1"/>
    </w:p>
    <w:p w14:paraId="5A638F1C" w14:textId="77777777" w:rsidR="00227920" w:rsidRPr="00227920" w:rsidRDefault="00227920" w:rsidP="00227920"/>
    <w:p w14:paraId="38760754" w14:textId="77777777" w:rsidR="006C5BC8" w:rsidRPr="00FF028E" w:rsidRDefault="00FF028E" w:rsidP="00FF028E">
      <w:pPr>
        <w:spacing w:line="360" w:lineRule="auto"/>
        <w:jc w:val="both"/>
        <w:rPr>
          <w:rFonts w:ascii="Arial" w:hAnsi="Arial" w:cs="Arial"/>
          <w:sz w:val="24"/>
          <w:szCs w:val="24"/>
        </w:rPr>
      </w:pPr>
      <w:r>
        <w:rPr>
          <w:rFonts w:ascii="Arial" w:hAnsi="Arial" w:cs="Arial"/>
          <w:sz w:val="24"/>
          <w:szCs w:val="24"/>
        </w:rPr>
        <w:t>O</w:t>
      </w:r>
      <w:r w:rsidR="006C5BC8" w:rsidRPr="00FF028E">
        <w:rPr>
          <w:rFonts w:ascii="Arial" w:hAnsi="Arial" w:cs="Arial"/>
          <w:sz w:val="24"/>
          <w:szCs w:val="24"/>
        </w:rPr>
        <w:t>ne of the</w:t>
      </w:r>
      <w:r>
        <w:rPr>
          <w:rFonts w:ascii="Arial" w:hAnsi="Arial" w:cs="Arial"/>
          <w:sz w:val="24"/>
          <w:szCs w:val="24"/>
        </w:rPr>
        <w:t xml:space="preserve"> objectives of academic writing is that it enables </w:t>
      </w:r>
      <w:r w:rsidR="006C5BC8" w:rsidRPr="00FF028E">
        <w:rPr>
          <w:rFonts w:ascii="Arial" w:hAnsi="Arial" w:cs="Arial"/>
          <w:sz w:val="24"/>
          <w:szCs w:val="24"/>
        </w:rPr>
        <w:t xml:space="preserve">the students to help them show their competence of theories, concepts, and arguments in their field. Writing assignments also enable the learners to have the skills to </w:t>
      </w:r>
      <w:proofErr w:type="spellStart"/>
      <w:r w:rsidR="006C5BC8" w:rsidRPr="00FF028E">
        <w:rPr>
          <w:rFonts w:ascii="Arial" w:hAnsi="Arial" w:cs="Arial"/>
          <w:sz w:val="24"/>
          <w:szCs w:val="24"/>
        </w:rPr>
        <w:t>analyse</w:t>
      </w:r>
      <w:proofErr w:type="spellEnd"/>
      <w:r w:rsidR="006C5BC8" w:rsidRPr="00FF028E">
        <w:rPr>
          <w:rFonts w:ascii="Arial" w:hAnsi="Arial" w:cs="Arial"/>
          <w:sz w:val="24"/>
          <w:szCs w:val="24"/>
        </w:rPr>
        <w:t xml:space="preserve"> intricate concepts, </w:t>
      </w:r>
      <w:proofErr w:type="spellStart"/>
      <w:r w:rsidR="006C5BC8" w:rsidRPr="00FF028E">
        <w:rPr>
          <w:rFonts w:ascii="Arial" w:hAnsi="Arial" w:cs="Arial"/>
          <w:sz w:val="24"/>
          <w:szCs w:val="24"/>
        </w:rPr>
        <w:t>synthesise</w:t>
      </w:r>
      <w:proofErr w:type="spellEnd"/>
      <w:r w:rsidR="006C5BC8" w:rsidRPr="00FF028E">
        <w:rPr>
          <w:rFonts w:ascii="Arial" w:hAnsi="Arial" w:cs="Arial"/>
          <w:sz w:val="24"/>
          <w:szCs w:val="24"/>
        </w:rPr>
        <w:t xml:space="preserve"> data within various sources and to express their opinions in well-</w:t>
      </w:r>
      <w:proofErr w:type="spellStart"/>
      <w:r w:rsidR="006C5BC8" w:rsidRPr="00FF028E">
        <w:rPr>
          <w:rFonts w:ascii="Arial" w:hAnsi="Arial" w:cs="Arial"/>
          <w:sz w:val="24"/>
          <w:szCs w:val="24"/>
        </w:rPr>
        <w:t>organised</w:t>
      </w:r>
      <w:proofErr w:type="spellEnd"/>
      <w:r w:rsidR="006C5BC8" w:rsidRPr="00FF028E">
        <w:rPr>
          <w:rFonts w:ascii="Arial" w:hAnsi="Arial" w:cs="Arial"/>
          <w:sz w:val="24"/>
          <w:szCs w:val="24"/>
        </w:rPr>
        <w:t xml:space="preserve"> and persuasive way. This process promotes not only an understanding but also critical thinking since students are required to challenge assumptions, compare perspectives and make logical conclusions. In addition, academic writing is a place where students are able to demonstrate originality by developing original arguments backed by valid evidence (Greetham, 2020).</w:t>
      </w:r>
    </w:p>
    <w:p w14:paraId="2303F969" w14:textId="77777777" w:rsidR="006C5BC8" w:rsidRPr="00FF028E" w:rsidRDefault="006C5BC8" w:rsidP="00FF028E">
      <w:pPr>
        <w:spacing w:line="360" w:lineRule="auto"/>
        <w:jc w:val="both"/>
        <w:rPr>
          <w:rFonts w:ascii="Arial" w:hAnsi="Arial" w:cs="Arial"/>
          <w:sz w:val="24"/>
          <w:szCs w:val="24"/>
        </w:rPr>
      </w:pPr>
      <w:r w:rsidRPr="00FF028E">
        <w:rPr>
          <w:rFonts w:ascii="Arial" w:hAnsi="Arial" w:cs="Arial"/>
          <w:sz w:val="24"/>
          <w:szCs w:val="24"/>
        </w:rPr>
        <w:t>Academic writing is also essential in the creation of university assignments in the form of essays, reports, reflective works, literature reviews, and dissertations. In all these formats, the students would have to use discipline-related conventions and stylistic expectations. An example is that report writing requires the concise presentation of findings as compared to reflective writing where the individual experience is connected with the theoretical knowledge. Academic writing, regardless of the format, allows students to transfer their knowledge in a clear and professional way to show knowledge and intellectual interest in their subject.</w:t>
      </w:r>
    </w:p>
    <w:p w14:paraId="6A83E717" w14:textId="77777777" w:rsidR="006C5BC8" w:rsidRPr="00FF028E" w:rsidRDefault="006C5BC8" w:rsidP="00FF028E">
      <w:pPr>
        <w:spacing w:line="360" w:lineRule="auto"/>
        <w:jc w:val="both"/>
        <w:rPr>
          <w:rFonts w:ascii="Arial" w:hAnsi="Arial" w:cs="Arial"/>
          <w:sz w:val="24"/>
          <w:szCs w:val="24"/>
        </w:rPr>
      </w:pPr>
      <w:r w:rsidRPr="00FF028E">
        <w:rPr>
          <w:rFonts w:ascii="Arial" w:hAnsi="Arial" w:cs="Arial"/>
          <w:sz w:val="24"/>
          <w:szCs w:val="24"/>
        </w:rPr>
        <w:t xml:space="preserve">In addition to the academic setting, good writing ability can be important in the work environment. Written communication is always indicated by the employers as one of the key competencies in employability. According to Drew and Bingham (2021), writing effectively in a clear, logical, and convincing way is one of the factors that lead to effective communication at the workplace, especially in report writing, documentation, proposals, and official correspondence. Writing plays a key role in the operations of teams, decision making and sharing of information in most </w:t>
      </w:r>
      <w:proofErr w:type="spellStart"/>
      <w:r w:rsidRPr="00FF028E">
        <w:rPr>
          <w:rFonts w:ascii="Arial" w:hAnsi="Arial" w:cs="Arial"/>
          <w:sz w:val="24"/>
          <w:szCs w:val="24"/>
        </w:rPr>
        <w:t>organisations</w:t>
      </w:r>
      <w:proofErr w:type="spellEnd"/>
      <w:r w:rsidRPr="00FF028E">
        <w:rPr>
          <w:rFonts w:ascii="Arial" w:hAnsi="Arial" w:cs="Arial"/>
          <w:sz w:val="24"/>
          <w:szCs w:val="24"/>
        </w:rPr>
        <w:t>. According to National Association of Colleges and Employers (2022), written communication is one of the most valued qualities that employers consider during the evaluation of the applicant, and this fact explains why academic writing equips students with the expectations of the occupational environment.</w:t>
      </w:r>
    </w:p>
    <w:p w14:paraId="6145552A" w14:textId="77777777" w:rsidR="006C5BC8" w:rsidRPr="00FF028E" w:rsidRDefault="006C5BC8" w:rsidP="00FF028E">
      <w:pPr>
        <w:spacing w:line="360" w:lineRule="auto"/>
        <w:jc w:val="both"/>
        <w:rPr>
          <w:rFonts w:ascii="Arial" w:hAnsi="Arial" w:cs="Arial"/>
          <w:sz w:val="24"/>
          <w:szCs w:val="24"/>
        </w:rPr>
      </w:pPr>
      <w:r w:rsidRPr="00FF028E">
        <w:rPr>
          <w:rFonts w:ascii="Arial" w:hAnsi="Arial" w:cs="Arial"/>
          <w:sz w:val="24"/>
          <w:szCs w:val="24"/>
        </w:rPr>
        <w:lastRenderedPageBreak/>
        <w:t>Moreover, academic writing can assist individuals in lifelong learning because it allows them to be critical and responsible in information processing and to apply knowledge meaningfully to it. It also brings education in discipline, attention to detail and proper use of sources by right citation and reference practices. The habits are also useful in the university life as well as in the work environment where precision, openness, and responsibility can be considered important.</w:t>
      </w:r>
    </w:p>
    <w:p w14:paraId="3BE1171B" w14:textId="77777777" w:rsidR="002068FD" w:rsidRPr="00FF028E" w:rsidRDefault="006C5BC8" w:rsidP="00FF028E">
      <w:pPr>
        <w:spacing w:line="360" w:lineRule="auto"/>
        <w:jc w:val="both"/>
        <w:rPr>
          <w:rFonts w:ascii="Arial" w:hAnsi="Arial" w:cs="Arial"/>
          <w:sz w:val="24"/>
          <w:szCs w:val="24"/>
        </w:rPr>
      </w:pPr>
      <w:r w:rsidRPr="00FF028E">
        <w:rPr>
          <w:rFonts w:ascii="Arial" w:hAnsi="Arial" w:cs="Arial"/>
          <w:sz w:val="24"/>
          <w:szCs w:val="24"/>
        </w:rPr>
        <w:t>Comprehensively, the value and goal of academic writing goes far beyond writing of university papers. It is a core competence that provides learners with the competence to think critically, communicate effectively and engage fully in academic and professional communities. Through good writing, people are able to perform better in school as well as be prepared to take up opportunities in their career life.</w:t>
      </w:r>
    </w:p>
    <w:p w14:paraId="45404166" w14:textId="77777777" w:rsidR="00FF028E" w:rsidRDefault="00FF028E" w:rsidP="00227920">
      <w:pPr>
        <w:pStyle w:val="Heading1"/>
      </w:pPr>
      <w:bookmarkStart w:id="2" w:name="_Toc214424501"/>
      <w:r w:rsidRPr="00FF028E">
        <w:t>Importance and Purpose of Note-Taking</w:t>
      </w:r>
      <w:bookmarkEnd w:id="2"/>
      <w:r w:rsidRPr="00FF028E">
        <w:t xml:space="preserve"> </w:t>
      </w:r>
    </w:p>
    <w:p w14:paraId="4D19B0AF" w14:textId="77777777" w:rsidR="00227920" w:rsidRPr="00227920" w:rsidRDefault="00227920" w:rsidP="00227920"/>
    <w:p w14:paraId="6D9C001D" w14:textId="77777777" w:rsidR="002068FD" w:rsidRPr="00FF028E" w:rsidRDefault="002068FD" w:rsidP="00FF028E">
      <w:pPr>
        <w:spacing w:line="360" w:lineRule="auto"/>
        <w:jc w:val="both"/>
        <w:rPr>
          <w:rFonts w:ascii="Arial" w:hAnsi="Arial" w:cs="Arial"/>
          <w:sz w:val="24"/>
          <w:szCs w:val="24"/>
        </w:rPr>
      </w:pPr>
      <w:r w:rsidRPr="00FF028E">
        <w:rPr>
          <w:rFonts w:ascii="Arial" w:hAnsi="Arial" w:cs="Arial"/>
          <w:sz w:val="24"/>
          <w:szCs w:val="24"/>
        </w:rPr>
        <w:t>It is a well-known fact that note-taking is a critical academic and professional skill as it helps people to process, structure and memorize information in a more efficient manner. It refers to the active and selective documentation of lectures, reading, discussion, or presentation content (Williams and Eggert, 2020). Contrasting to passive listening, when taking notes, learners have to find out the relevant points, summarise them in their own language, and present them in a manner that will help to comprehend later. This participatory learning makes the process more enjoyable because it can make the learners perceive information and not passive</w:t>
      </w:r>
      <w:r w:rsidR="00FF028E" w:rsidRPr="00FF028E">
        <w:rPr>
          <w:rFonts w:ascii="Arial" w:hAnsi="Arial" w:cs="Arial"/>
          <w:sz w:val="24"/>
          <w:szCs w:val="24"/>
        </w:rPr>
        <w:t>ly receive it (Rowlands, 2021).</w:t>
      </w:r>
    </w:p>
    <w:p w14:paraId="14BD50DF" w14:textId="77777777" w:rsidR="002068FD" w:rsidRPr="00FF028E" w:rsidRDefault="002068FD" w:rsidP="00FF028E">
      <w:pPr>
        <w:spacing w:line="360" w:lineRule="auto"/>
        <w:jc w:val="both"/>
        <w:rPr>
          <w:rFonts w:ascii="Arial" w:hAnsi="Arial" w:cs="Arial"/>
          <w:sz w:val="24"/>
          <w:szCs w:val="24"/>
        </w:rPr>
      </w:pPr>
      <w:r w:rsidRPr="00FF028E">
        <w:rPr>
          <w:rFonts w:ascii="Arial" w:hAnsi="Arial" w:cs="Arial"/>
          <w:sz w:val="24"/>
          <w:szCs w:val="24"/>
        </w:rPr>
        <w:t>Cognitively, the role of taking notes is strictly connected with the work of human memory. The Information Processing Theory, which is connected to Atkinson and Shiffrin (1968), suggests that information should be transmitted through the sensory memory and short-term memory and then encoded into the long-term memory. Active techniques that aid this process include taking of notes since they involve the use of the mind and the higher the frequency of the use of the mind the higher the chances that the information will be stored in long-term memory. It implies that those who make considered, well-organized notes have a higher chance of recalling and getting an in-</w:t>
      </w:r>
      <w:r w:rsidRPr="00FF028E">
        <w:rPr>
          <w:rFonts w:ascii="Arial" w:hAnsi="Arial" w:cs="Arial"/>
          <w:sz w:val="24"/>
          <w:szCs w:val="24"/>
        </w:rPr>
        <w:lastRenderedPageBreak/>
        <w:t xml:space="preserve">depth grasp of intricate information (Mueller and Oppenheimer, 2014). Their studies reveal that the conceptual learning is better with the </w:t>
      </w:r>
      <w:proofErr w:type="spellStart"/>
      <w:r w:rsidRPr="00FF028E">
        <w:rPr>
          <w:rFonts w:ascii="Arial" w:hAnsi="Arial" w:cs="Arial"/>
          <w:sz w:val="24"/>
          <w:szCs w:val="24"/>
        </w:rPr>
        <w:t>summarisation</w:t>
      </w:r>
      <w:proofErr w:type="spellEnd"/>
      <w:r w:rsidRPr="00FF028E">
        <w:rPr>
          <w:rFonts w:ascii="Arial" w:hAnsi="Arial" w:cs="Arial"/>
          <w:sz w:val="24"/>
          <w:szCs w:val="24"/>
        </w:rPr>
        <w:t xml:space="preserve"> of ideas as opposed to verbatim, which explains why developing effective note-taking skills are the keys to academic success.</w:t>
      </w:r>
    </w:p>
    <w:p w14:paraId="3DD44A10" w14:textId="77777777" w:rsidR="002068FD" w:rsidRPr="00FF028E" w:rsidRDefault="002068FD" w:rsidP="00FF028E">
      <w:pPr>
        <w:spacing w:line="360" w:lineRule="auto"/>
        <w:jc w:val="both"/>
        <w:rPr>
          <w:rFonts w:ascii="Arial" w:hAnsi="Arial" w:cs="Arial"/>
          <w:sz w:val="24"/>
          <w:szCs w:val="24"/>
        </w:rPr>
      </w:pPr>
      <w:r w:rsidRPr="00FF028E">
        <w:rPr>
          <w:rFonts w:ascii="Arial" w:hAnsi="Arial" w:cs="Arial"/>
          <w:sz w:val="24"/>
          <w:szCs w:val="24"/>
        </w:rPr>
        <w:t>Besides, taking notes facilitates focus and cognitive load by dividing information into digestible portions. According to Cognitive Load Theory, the working memory capacity of the learners is limited, and the notes allow them to avoid overloading (</w:t>
      </w:r>
      <w:proofErr w:type="spellStart"/>
      <w:r w:rsidRPr="00FF028E">
        <w:rPr>
          <w:rFonts w:ascii="Arial" w:hAnsi="Arial" w:cs="Arial"/>
          <w:sz w:val="24"/>
          <w:szCs w:val="24"/>
        </w:rPr>
        <w:t>Sweller</w:t>
      </w:r>
      <w:proofErr w:type="spellEnd"/>
      <w:r w:rsidRPr="00FF028E">
        <w:rPr>
          <w:rFonts w:ascii="Arial" w:hAnsi="Arial" w:cs="Arial"/>
          <w:sz w:val="24"/>
          <w:szCs w:val="24"/>
        </w:rPr>
        <w:t>, 2010). Properly written notes serve as helpful external memory aids and they enable the learners to be able to revisit the materials, not just by use of memory.</w:t>
      </w:r>
    </w:p>
    <w:p w14:paraId="142A137E" w14:textId="77777777" w:rsidR="002068FD" w:rsidRPr="00FF028E" w:rsidRDefault="002068FD" w:rsidP="00FF028E">
      <w:pPr>
        <w:spacing w:line="360" w:lineRule="auto"/>
        <w:jc w:val="both"/>
        <w:rPr>
          <w:rFonts w:ascii="Arial" w:hAnsi="Arial" w:cs="Arial"/>
          <w:sz w:val="24"/>
          <w:szCs w:val="24"/>
        </w:rPr>
      </w:pPr>
      <w:r w:rsidRPr="00FF028E">
        <w:rPr>
          <w:rFonts w:ascii="Arial" w:hAnsi="Arial" w:cs="Arial"/>
          <w:sz w:val="24"/>
          <w:szCs w:val="24"/>
        </w:rPr>
        <w:t xml:space="preserve">Critical thinking also involves note taking. Individuals are using higher-order thinking skills which include evaluation, analysis, and synthesis when making decisions about what to cover and what not to cover, and the way to arrange the most important ideas (Fry, </w:t>
      </w:r>
      <w:proofErr w:type="spellStart"/>
      <w:r w:rsidRPr="00FF028E">
        <w:rPr>
          <w:rFonts w:ascii="Arial" w:hAnsi="Arial" w:cs="Arial"/>
          <w:sz w:val="24"/>
          <w:szCs w:val="24"/>
        </w:rPr>
        <w:t>Ketteridge</w:t>
      </w:r>
      <w:proofErr w:type="spellEnd"/>
      <w:r w:rsidRPr="00FF028E">
        <w:rPr>
          <w:rFonts w:ascii="Arial" w:hAnsi="Arial" w:cs="Arial"/>
          <w:sz w:val="24"/>
          <w:szCs w:val="24"/>
        </w:rPr>
        <w:t xml:space="preserve"> and Marshall, 2015). This has been of great importance, especially at university level where students are expected to analyze and critique arguments, as well as relate information derived out of different sources.</w:t>
      </w:r>
    </w:p>
    <w:p w14:paraId="2D3A8DC9" w14:textId="77777777" w:rsidR="002068FD" w:rsidRPr="00FF028E" w:rsidRDefault="002068FD" w:rsidP="00FF028E">
      <w:pPr>
        <w:spacing w:line="360" w:lineRule="auto"/>
        <w:jc w:val="both"/>
        <w:rPr>
          <w:rFonts w:ascii="Arial" w:hAnsi="Arial" w:cs="Arial"/>
          <w:sz w:val="24"/>
          <w:szCs w:val="24"/>
        </w:rPr>
      </w:pPr>
      <w:r w:rsidRPr="00FF028E">
        <w:rPr>
          <w:rFonts w:ascii="Arial" w:hAnsi="Arial" w:cs="Arial"/>
          <w:sz w:val="24"/>
          <w:szCs w:val="24"/>
        </w:rPr>
        <w:t>In the work environment, excellent note taking is also desirable. At work, the right notes are the way to guarantee the clarity and accountability of the meetings, interaction with the client, and project discussions (Carnegie, 2020). They assist professionals to follow the deadlines, summarise the decisions, and develop action plans which enhance the efficiency of the teams. Accurate notes are critical in areas like healthcare, law, business, and project management because they are mandatory to guarantee compliance and documentation of data and reduce risks (Johnson, 2022). As an example, meeting minutes in project environments provide the necessary records that facilitate the planning and coordination (PMI, 2021). Thus, the ability to take notes is not solely an academic skill, but a professional transferable competence, which improves communication, decision making and organisational performance.</w:t>
      </w:r>
    </w:p>
    <w:p w14:paraId="3A5E16A9" w14:textId="77777777" w:rsidR="00FF028E" w:rsidRPr="00FF028E" w:rsidRDefault="002068FD" w:rsidP="00FF028E">
      <w:pPr>
        <w:spacing w:line="360" w:lineRule="auto"/>
        <w:jc w:val="both"/>
        <w:rPr>
          <w:rFonts w:ascii="Arial" w:hAnsi="Arial" w:cs="Arial"/>
          <w:sz w:val="24"/>
          <w:szCs w:val="24"/>
        </w:rPr>
      </w:pPr>
      <w:r w:rsidRPr="00FF028E">
        <w:rPr>
          <w:rFonts w:ascii="Arial" w:hAnsi="Arial" w:cs="Arial"/>
          <w:sz w:val="24"/>
          <w:szCs w:val="24"/>
        </w:rPr>
        <w:t xml:space="preserve">In general, note-taking plays a crucial role since it helps with learning, memory, critical thinking, and professional responsibility. Through these effective methods of taking </w:t>
      </w:r>
      <w:r w:rsidRPr="00FF028E">
        <w:rPr>
          <w:rFonts w:ascii="Arial" w:hAnsi="Arial" w:cs="Arial"/>
          <w:sz w:val="24"/>
          <w:szCs w:val="24"/>
        </w:rPr>
        <w:lastRenderedPageBreak/>
        <w:t>notes, one can be able to handle information better and succeed better in both academics and in the workplace.</w:t>
      </w:r>
    </w:p>
    <w:p w14:paraId="4698258A" w14:textId="77777777" w:rsidR="00FF028E" w:rsidRDefault="00FF028E" w:rsidP="00227920">
      <w:pPr>
        <w:pStyle w:val="Heading1"/>
      </w:pPr>
      <w:bookmarkStart w:id="3" w:name="_Toc214424502"/>
      <w:r w:rsidRPr="00FF028E">
        <w:t>Strategies for Developing Academic Writing Skill</w:t>
      </w:r>
      <w:r w:rsidR="00227920">
        <w:t>s</w:t>
      </w:r>
      <w:bookmarkEnd w:id="3"/>
    </w:p>
    <w:p w14:paraId="55E4F84C" w14:textId="77777777" w:rsidR="00227920" w:rsidRPr="00227920" w:rsidRDefault="00227920" w:rsidP="00227920"/>
    <w:p w14:paraId="4C165B4B"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Acquisition of good academic writing skills is a matter of deliberate practice, exposure to academic language, and application of good writing strategies. Sticking to the structured paragraph structures (PEEL or TEEL) which assist writers in structuring their thoughts logically and ensure the logical flow of ideas, can be ranked among the most useful strategies (Cottrell, 2019). Such structures help students to have a solid argument, maintain it with valid evidence, justify its significance, and relate it to the discussion as a whole. Writing with such structures </w:t>
      </w:r>
      <w:proofErr w:type="spellStart"/>
      <w:r w:rsidRPr="00FF028E">
        <w:rPr>
          <w:rFonts w:ascii="Arial" w:hAnsi="Arial" w:cs="Arial"/>
          <w:sz w:val="24"/>
          <w:szCs w:val="24"/>
        </w:rPr>
        <w:t>minimises</w:t>
      </w:r>
      <w:proofErr w:type="spellEnd"/>
      <w:r w:rsidRPr="00FF028E">
        <w:rPr>
          <w:rFonts w:ascii="Arial" w:hAnsi="Arial" w:cs="Arial"/>
          <w:sz w:val="24"/>
          <w:szCs w:val="24"/>
        </w:rPr>
        <w:t xml:space="preserve"> the chances of developing unstructured or descriptive writing and ensures critical work with sources.</w:t>
      </w:r>
    </w:p>
    <w:p w14:paraId="10B9245D"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The other important strategy is reading extensively. Academic samples Reading academic journals, textbooks, and research articles allows students to study how the scholars create the arguments, utilize discipline-related terms, and provide evidence (Wallace and Wray, 2021). This acquaintance empowers the individual writing of students, as they learn the tone, objectivity and academic conventions. Reading within various perspectives also deepens critical thinking as it contributes to the comparison of the perspectives.</w:t>
      </w:r>
    </w:p>
    <w:p w14:paraId="29B4CEA4"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Feedback is an important element of enhancing the quality of writing. Lecturers, writing </w:t>
      </w:r>
      <w:proofErr w:type="spellStart"/>
      <w:r w:rsidRPr="00FF028E">
        <w:rPr>
          <w:rFonts w:ascii="Arial" w:hAnsi="Arial" w:cs="Arial"/>
          <w:sz w:val="24"/>
          <w:szCs w:val="24"/>
        </w:rPr>
        <w:t>centres</w:t>
      </w:r>
      <w:proofErr w:type="spellEnd"/>
      <w:r w:rsidRPr="00FF028E">
        <w:rPr>
          <w:rFonts w:ascii="Arial" w:hAnsi="Arial" w:cs="Arial"/>
          <w:sz w:val="24"/>
          <w:szCs w:val="24"/>
        </w:rPr>
        <w:t>, or their peers can provide constructive feedback to help the students realize their weaknesses in grammar, argumentation, structure, and referencing (Wingate, 2015). Active interaction with feedback should be encouraged instead of treating it as a form of criticism so that the learner can amend the writing and prevent them to repeat their errors. Academic support services are offered by numerous universities, and the utilization of such opportunities results in the substantial enhancement of writing competence all the time.</w:t>
      </w:r>
    </w:p>
    <w:p w14:paraId="18682EAA"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lastRenderedPageBreak/>
        <w:t xml:space="preserve">Besides, it is necessary to practice drafting and editing. Drafting, proofreading, revising, and planning are the processes involved in academic writing (Gillet, Hammond and </w:t>
      </w:r>
      <w:proofErr w:type="spellStart"/>
      <w:r w:rsidRPr="00FF028E">
        <w:rPr>
          <w:rFonts w:ascii="Arial" w:hAnsi="Arial" w:cs="Arial"/>
          <w:sz w:val="24"/>
          <w:szCs w:val="24"/>
        </w:rPr>
        <w:t>Martala</w:t>
      </w:r>
      <w:proofErr w:type="spellEnd"/>
      <w:r w:rsidRPr="00FF028E">
        <w:rPr>
          <w:rFonts w:ascii="Arial" w:hAnsi="Arial" w:cs="Arial"/>
          <w:sz w:val="24"/>
          <w:szCs w:val="24"/>
        </w:rPr>
        <w:t>, 2009). Students that take time to polish their work gain better clarity and coherence. Creating maps or outlines, mind maps or essay plans before writing are also examples of some techniques that would ensure that arguments are structured in a logical order.</w:t>
      </w:r>
    </w:p>
    <w:p w14:paraId="6FD2F55D"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The academic writing is also supported by the application of digital tools. Referencing is automated by citation managers, such as Zotero, EndNote, or Mendeley; they </w:t>
      </w:r>
      <w:proofErr w:type="spellStart"/>
      <w:r w:rsidRPr="00FF028E">
        <w:rPr>
          <w:rFonts w:ascii="Arial" w:hAnsi="Arial" w:cs="Arial"/>
          <w:sz w:val="24"/>
          <w:szCs w:val="24"/>
        </w:rPr>
        <w:t>minimise</w:t>
      </w:r>
      <w:proofErr w:type="spellEnd"/>
      <w:r w:rsidRPr="00FF028E">
        <w:rPr>
          <w:rFonts w:ascii="Arial" w:hAnsi="Arial" w:cs="Arial"/>
          <w:sz w:val="24"/>
          <w:szCs w:val="24"/>
        </w:rPr>
        <w:t xml:space="preserve"> mistakes and assist students to keep a structured library of academic references (Neville, 2020). Grammar-checking programs, proofreading programs, and text-to-speech functions help to increase the clarity and accuracy but not to depend on them entirely.</w:t>
      </w:r>
    </w:p>
    <w:p w14:paraId="0B1BE72D"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Lastly, academic honesty is a practice that is part and parcel of writing development. Knowing how to paraphrase, summarise and reference properly enables the student to prevent plagiarism and conscientiously participate in scholarship (Pears and Shields, 2019). On the whole, academic writing is not an easy task, yet with the help of constant practice, feedback, and optimal usage of the tools, the skills of students can be considerably developed.</w:t>
      </w:r>
    </w:p>
    <w:p w14:paraId="48805C86" w14:textId="77777777" w:rsidR="00FF028E" w:rsidRDefault="00FF028E" w:rsidP="00227920">
      <w:pPr>
        <w:pStyle w:val="Heading1"/>
      </w:pPr>
      <w:bookmarkStart w:id="4" w:name="_Toc214424503"/>
      <w:r w:rsidRPr="00FF028E">
        <w:t>Strategies for Developing Note-Taking Skills</w:t>
      </w:r>
      <w:bookmarkEnd w:id="4"/>
    </w:p>
    <w:p w14:paraId="7F6A5CD7" w14:textId="77777777" w:rsidR="00227920" w:rsidRPr="00227920" w:rsidRDefault="00227920" w:rsidP="00227920"/>
    <w:p w14:paraId="2E788DFB"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The enhancement of the ability to take notes means the incorporation of the systematic approaches, active listening, and the </w:t>
      </w:r>
      <w:proofErr w:type="spellStart"/>
      <w:r w:rsidRPr="00FF028E">
        <w:rPr>
          <w:rFonts w:ascii="Arial" w:hAnsi="Arial" w:cs="Arial"/>
          <w:sz w:val="24"/>
          <w:szCs w:val="24"/>
        </w:rPr>
        <w:t>utilisation</w:t>
      </w:r>
      <w:proofErr w:type="spellEnd"/>
      <w:r w:rsidRPr="00FF028E">
        <w:rPr>
          <w:rFonts w:ascii="Arial" w:hAnsi="Arial" w:cs="Arial"/>
          <w:sz w:val="24"/>
          <w:szCs w:val="24"/>
        </w:rPr>
        <w:t xml:space="preserve"> of the tools that promote the </w:t>
      </w:r>
      <w:proofErr w:type="spellStart"/>
      <w:r w:rsidRPr="00FF028E">
        <w:rPr>
          <w:rFonts w:ascii="Arial" w:hAnsi="Arial" w:cs="Arial"/>
          <w:sz w:val="24"/>
          <w:szCs w:val="24"/>
        </w:rPr>
        <w:t>organisation</w:t>
      </w:r>
      <w:proofErr w:type="spellEnd"/>
      <w:r w:rsidRPr="00FF028E">
        <w:rPr>
          <w:rFonts w:ascii="Arial" w:hAnsi="Arial" w:cs="Arial"/>
          <w:sz w:val="24"/>
          <w:szCs w:val="24"/>
        </w:rPr>
        <w:t xml:space="preserve"> and </w:t>
      </w:r>
      <w:proofErr w:type="spellStart"/>
      <w:r w:rsidRPr="00FF028E">
        <w:rPr>
          <w:rFonts w:ascii="Arial" w:hAnsi="Arial" w:cs="Arial"/>
          <w:sz w:val="24"/>
          <w:szCs w:val="24"/>
        </w:rPr>
        <w:t>memorisation</w:t>
      </w:r>
      <w:proofErr w:type="spellEnd"/>
      <w:r w:rsidRPr="00FF028E">
        <w:rPr>
          <w:rFonts w:ascii="Arial" w:hAnsi="Arial" w:cs="Arial"/>
          <w:sz w:val="24"/>
          <w:szCs w:val="24"/>
        </w:rPr>
        <w:t>. The Cornell Note-Taking System is one of the most popular techniques and splits the page into cues, main notes and summary sections. Such a structure helps learners to systematize information, find important ideas, and process information after the lesson (Williams and Eggert, 2020). The summary section enhances long-term memorization since the learners are requi</w:t>
      </w:r>
      <w:r w:rsidR="00227920">
        <w:rPr>
          <w:rFonts w:ascii="Arial" w:hAnsi="Arial" w:cs="Arial"/>
          <w:sz w:val="24"/>
          <w:szCs w:val="24"/>
        </w:rPr>
        <w:t>red to paraphrase the concepts.</w:t>
      </w:r>
    </w:p>
    <w:p w14:paraId="61EBA2FC"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lastRenderedPageBreak/>
        <w:t>Another strategy that works is mind-Mapping especially in visual learners. Mind maps allow the individual to view the association between ideas and structure multifaceted information in a hierarchical manner by displaying concepts and branches in diagrams (Buzan, 2018). The method is useful in the topics that deal with processes, theor</w:t>
      </w:r>
      <w:r w:rsidR="00227920">
        <w:rPr>
          <w:rFonts w:ascii="Arial" w:hAnsi="Arial" w:cs="Arial"/>
          <w:sz w:val="24"/>
          <w:szCs w:val="24"/>
        </w:rPr>
        <w:t>ies and thematic relationships.</w:t>
      </w:r>
    </w:p>
    <w:p w14:paraId="27D87E5B"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Effective note taking is based upon active listening. Instead of rewriting verbatim, the learners are supposed to concentrate on making key points, examples, and descriptions (Rowlands, 2021). This is in line with the Cognitive Load Theory, which focuses on </w:t>
      </w:r>
      <w:proofErr w:type="spellStart"/>
      <w:r w:rsidRPr="00FF028E">
        <w:rPr>
          <w:rFonts w:ascii="Arial" w:hAnsi="Arial" w:cs="Arial"/>
          <w:sz w:val="24"/>
          <w:szCs w:val="24"/>
        </w:rPr>
        <w:t>minimising</w:t>
      </w:r>
      <w:proofErr w:type="spellEnd"/>
      <w:r w:rsidRPr="00FF028E">
        <w:rPr>
          <w:rFonts w:ascii="Arial" w:hAnsi="Arial" w:cs="Arial"/>
          <w:sz w:val="24"/>
          <w:szCs w:val="24"/>
        </w:rPr>
        <w:t xml:space="preserve"> unneeded information to prevent the working memory load (</w:t>
      </w:r>
      <w:proofErr w:type="spellStart"/>
      <w:r w:rsidRPr="00FF028E">
        <w:rPr>
          <w:rFonts w:ascii="Arial" w:hAnsi="Arial" w:cs="Arial"/>
          <w:sz w:val="24"/>
          <w:szCs w:val="24"/>
        </w:rPr>
        <w:t>Sweller</w:t>
      </w:r>
      <w:proofErr w:type="spellEnd"/>
      <w:r w:rsidRPr="00FF028E">
        <w:rPr>
          <w:rFonts w:ascii="Arial" w:hAnsi="Arial" w:cs="Arial"/>
          <w:sz w:val="24"/>
          <w:szCs w:val="24"/>
        </w:rPr>
        <w:t xml:space="preserve">, 2010). By paraphrasing main points in short statements, learners are able to </w:t>
      </w:r>
      <w:proofErr w:type="spellStart"/>
      <w:r w:rsidRPr="00FF028E">
        <w:rPr>
          <w:rFonts w:ascii="Arial" w:hAnsi="Arial" w:cs="Arial"/>
          <w:sz w:val="24"/>
          <w:szCs w:val="24"/>
        </w:rPr>
        <w:t>memorise</w:t>
      </w:r>
      <w:proofErr w:type="spellEnd"/>
      <w:r w:rsidRPr="00FF028E">
        <w:rPr>
          <w:rFonts w:ascii="Arial" w:hAnsi="Arial" w:cs="Arial"/>
          <w:sz w:val="24"/>
          <w:szCs w:val="24"/>
        </w:rPr>
        <w:t xml:space="preserve"> the main points without being distracted.</w:t>
      </w:r>
    </w:p>
    <w:p w14:paraId="3774369C"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It is also important to read through notes regularly. Van der Meer (2019) discovered that reading notes in 24 hours enhances memory and comprehension since neural pathways become strengthened. Repeating and rewriting notes in more understandable forms als</w:t>
      </w:r>
      <w:r w:rsidR="00227920">
        <w:rPr>
          <w:rFonts w:ascii="Arial" w:hAnsi="Arial" w:cs="Arial"/>
          <w:sz w:val="24"/>
          <w:szCs w:val="24"/>
        </w:rPr>
        <w:t>o aid to better understandings.</w:t>
      </w:r>
    </w:p>
    <w:p w14:paraId="005FD871"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The use of digital tools has helped in the process of note taking. OneNote, Notion, Obsidian, and Google Keep are some applications that enable learners to store, manage, </w:t>
      </w:r>
      <w:proofErr w:type="spellStart"/>
      <w:r w:rsidRPr="00FF028E">
        <w:rPr>
          <w:rFonts w:ascii="Arial" w:hAnsi="Arial" w:cs="Arial"/>
          <w:sz w:val="24"/>
          <w:szCs w:val="24"/>
        </w:rPr>
        <w:t>synchronise</w:t>
      </w:r>
      <w:proofErr w:type="spellEnd"/>
      <w:r w:rsidRPr="00FF028E">
        <w:rPr>
          <w:rFonts w:ascii="Arial" w:hAnsi="Arial" w:cs="Arial"/>
          <w:sz w:val="24"/>
          <w:szCs w:val="24"/>
        </w:rPr>
        <w:t xml:space="preserve"> notes on a variety of devices. Digital notes are also easy to navigate and get because of features like tagging, hyperlinking, and search facilities (Stone, 2021). Students are however advised to be careful not to over type in lectures because they may be tempted to do more typing than meaningful </w:t>
      </w:r>
      <w:proofErr w:type="spellStart"/>
      <w:r w:rsidRPr="00FF028E">
        <w:rPr>
          <w:rFonts w:ascii="Arial" w:hAnsi="Arial" w:cs="Arial"/>
          <w:sz w:val="24"/>
          <w:szCs w:val="24"/>
        </w:rPr>
        <w:t>summarisation</w:t>
      </w:r>
      <w:proofErr w:type="spellEnd"/>
      <w:r w:rsidRPr="00FF028E">
        <w:rPr>
          <w:rFonts w:ascii="Arial" w:hAnsi="Arial" w:cs="Arial"/>
          <w:sz w:val="24"/>
          <w:szCs w:val="24"/>
        </w:rPr>
        <w:t xml:space="preserve"> with transcription (Mueller and Oppenheimer, 2014).</w:t>
      </w:r>
    </w:p>
    <w:p w14:paraId="77FF0B63"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Finally, it is possible to plan ahead prior to lectures through reading slides, previewing subjects, or finding important questions to take more specific notes. This pre-training enhances comprehension as well as lessening the effort required to adhere to intricate explanations. Through a combination of systematic practices, active participation and frequent revision, students can become quite better at taking notes.</w:t>
      </w:r>
    </w:p>
    <w:p w14:paraId="0E64D8D8" w14:textId="77777777" w:rsidR="00FF028E" w:rsidRDefault="00FF028E" w:rsidP="00227920">
      <w:pPr>
        <w:pStyle w:val="Heading1"/>
      </w:pPr>
      <w:bookmarkStart w:id="5" w:name="_Toc214424504"/>
      <w:r w:rsidRPr="00FF028E">
        <w:lastRenderedPageBreak/>
        <w:t>Conclusion</w:t>
      </w:r>
      <w:bookmarkEnd w:id="5"/>
    </w:p>
    <w:p w14:paraId="4DDF8C57" w14:textId="77777777" w:rsidR="00227920" w:rsidRPr="00227920" w:rsidRDefault="00227920" w:rsidP="00227920"/>
    <w:p w14:paraId="1417D673"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To sum up, academic writing and note taking are compulsory items of successful education and professional interaction. Academic writing offers systematic argument, critical thinking and ethical application of evidence, which are crucial in academic performance assessments and documentation in the workplace. Memorizing, understanding, and being productive in a university and professional level are better with taking notes.</w:t>
      </w:r>
    </w:p>
    <w:p w14:paraId="718AC261"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The significance of the skills can be supported by the theories of Deep and Surface Learning, Cognitive Load Theory, and Information Processing Theory, that </w:t>
      </w:r>
      <w:proofErr w:type="spellStart"/>
      <w:r w:rsidRPr="00FF028E">
        <w:rPr>
          <w:rFonts w:ascii="Arial" w:hAnsi="Arial" w:cs="Arial"/>
          <w:sz w:val="24"/>
          <w:szCs w:val="24"/>
        </w:rPr>
        <w:t>emphasise</w:t>
      </w:r>
      <w:proofErr w:type="spellEnd"/>
      <w:r w:rsidRPr="00FF028E">
        <w:rPr>
          <w:rFonts w:ascii="Arial" w:hAnsi="Arial" w:cs="Arial"/>
          <w:sz w:val="24"/>
          <w:szCs w:val="24"/>
        </w:rPr>
        <w:t xml:space="preserve"> the need to use active engagement and properly structured learning processes. Through structured writing, implementing strategic approaches to taking notes, digital tools, and in search of constant feedback, students can notably enhance their performance and employability in academic and professional life. The two abilities are indispensable to lifelong learning and will continue to play a role in the lives of various people in multiple educational and career settings.</w:t>
      </w:r>
    </w:p>
    <w:p w14:paraId="735003D0" w14:textId="77777777" w:rsidR="00FF028E" w:rsidRPr="00FF028E" w:rsidRDefault="00FF028E" w:rsidP="00FF028E">
      <w:pPr>
        <w:spacing w:line="360" w:lineRule="auto"/>
        <w:jc w:val="both"/>
        <w:rPr>
          <w:rFonts w:ascii="Arial" w:hAnsi="Arial" w:cs="Arial"/>
          <w:sz w:val="24"/>
          <w:szCs w:val="24"/>
        </w:rPr>
      </w:pPr>
    </w:p>
    <w:p w14:paraId="5FAF3713" w14:textId="77777777" w:rsidR="00FF028E" w:rsidRPr="00FF028E" w:rsidRDefault="00FF028E" w:rsidP="00FF028E">
      <w:pPr>
        <w:spacing w:line="360" w:lineRule="auto"/>
        <w:jc w:val="both"/>
        <w:rPr>
          <w:rFonts w:ascii="Arial" w:hAnsi="Arial" w:cs="Arial"/>
          <w:sz w:val="24"/>
          <w:szCs w:val="24"/>
        </w:rPr>
      </w:pPr>
    </w:p>
    <w:p w14:paraId="5FE0BF20" w14:textId="77777777" w:rsidR="00FF028E" w:rsidRPr="00FF028E" w:rsidRDefault="00FF028E" w:rsidP="00FF028E">
      <w:pPr>
        <w:spacing w:line="360" w:lineRule="auto"/>
        <w:jc w:val="both"/>
        <w:rPr>
          <w:rFonts w:ascii="Arial" w:hAnsi="Arial" w:cs="Arial"/>
          <w:sz w:val="24"/>
          <w:szCs w:val="24"/>
        </w:rPr>
      </w:pPr>
    </w:p>
    <w:p w14:paraId="4C1105B1" w14:textId="77777777" w:rsidR="00FF028E" w:rsidRPr="00FF028E" w:rsidRDefault="00FF028E" w:rsidP="00FF028E">
      <w:pPr>
        <w:spacing w:line="360" w:lineRule="auto"/>
        <w:jc w:val="both"/>
        <w:rPr>
          <w:rFonts w:ascii="Arial" w:hAnsi="Arial" w:cs="Arial"/>
          <w:sz w:val="24"/>
          <w:szCs w:val="24"/>
        </w:rPr>
      </w:pPr>
    </w:p>
    <w:p w14:paraId="441433B0" w14:textId="77777777" w:rsidR="00FF028E" w:rsidRPr="00FF028E" w:rsidRDefault="00FF028E" w:rsidP="00FF028E">
      <w:pPr>
        <w:spacing w:line="360" w:lineRule="auto"/>
        <w:jc w:val="both"/>
        <w:rPr>
          <w:rFonts w:ascii="Arial" w:hAnsi="Arial" w:cs="Arial"/>
          <w:sz w:val="24"/>
          <w:szCs w:val="24"/>
        </w:rPr>
      </w:pPr>
    </w:p>
    <w:p w14:paraId="560FBF5A" w14:textId="77777777" w:rsidR="00FF028E" w:rsidRDefault="00FF028E" w:rsidP="00227920">
      <w:pPr>
        <w:pStyle w:val="Heading1"/>
      </w:pPr>
      <w:bookmarkStart w:id="6" w:name="_Toc214424505"/>
      <w:r w:rsidRPr="00227920">
        <w:t>Group Member Contributions</w:t>
      </w:r>
      <w:bookmarkEnd w:id="6"/>
    </w:p>
    <w:p w14:paraId="352CC66C" w14:textId="77777777" w:rsidR="00227920" w:rsidRPr="00227920" w:rsidRDefault="00227920" w:rsidP="00227920"/>
    <w:p w14:paraId="11C4F833"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The head of the group is Adina Moldoveanu:</w:t>
      </w:r>
    </w:p>
    <w:p w14:paraId="4C7283A2"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Formatted group meetings, which were introduced and concluded, and that gave overall coherence and structure.</w:t>
      </w:r>
    </w:p>
    <w:p w14:paraId="6030C626"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lastRenderedPageBreak/>
        <w:t>Cosmin:</w:t>
      </w:r>
    </w:p>
    <w:p w14:paraId="4A2E9A03"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Definitions were written down, the significance of the skills discussed, and major learning theories incorporated.</w:t>
      </w:r>
    </w:p>
    <w:p w14:paraId="78D748BE"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Jaskirat Singh:</w:t>
      </w:r>
    </w:p>
    <w:p w14:paraId="760E9130"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Wrote the strategies segments, revised the main body to make it clear, and created the reference list.</w:t>
      </w:r>
    </w:p>
    <w:p w14:paraId="27E4DB7F" w14:textId="77777777" w:rsidR="00FF028E" w:rsidRPr="00227920" w:rsidRDefault="00FF028E" w:rsidP="00227920">
      <w:pPr>
        <w:spacing w:line="360" w:lineRule="auto"/>
        <w:jc w:val="center"/>
        <w:rPr>
          <w:rFonts w:ascii="Arial" w:hAnsi="Arial" w:cs="Arial"/>
          <w:b/>
          <w:sz w:val="24"/>
          <w:szCs w:val="24"/>
        </w:rPr>
      </w:pPr>
      <w:r w:rsidRPr="00227920">
        <w:rPr>
          <w:rFonts w:ascii="Arial" w:hAnsi="Arial" w:cs="Arial"/>
          <w:b/>
          <w:sz w:val="24"/>
          <w:szCs w:val="24"/>
        </w:rPr>
        <w:t>The final submission was also reviewed and approved by all members.</w:t>
      </w:r>
    </w:p>
    <w:p w14:paraId="11C550C2" w14:textId="77777777" w:rsidR="00FF028E" w:rsidRPr="00FF028E" w:rsidRDefault="00FF028E" w:rsidP="00FF028E">
      <w:pPr>
        <w:spacing w:line="360" w:lineRule="auto"/>
        <w:jc w:val="both"/>
        <w:rPr>
          <w:rFonts w:ascii="Arial" w:hAnsi="Arial" w:cs="Arial"/>
          <w:sz w:val="24"/>
          <w:szCs w:val="24"/>
        </w:rPr>
      </w:pPr>
    </w:p>
    <w:p w14:paraId="59B7F01A" w14:textId="77777777" w:rsidR="00FF028E" w:rsidRPr="00FF028E" w:rsidRDefault="00FF028E" w:rsidP="00FF028E">
      <w:pPr>
        <w:spacing w:line="360" w:lineRule="auto"/>
        <w:jc w:val="both"/>
        <w:rPr>
          <w:rFonts w:ascii="Arial" w:hAnsi="Arial" w:cs="Arial"/>
          <w:sz w:val="24"/>
          <w:szCs w:val="24"/>
        </w:rPr>
      </w:pPr>
    </w:p>
    <w:p w14:paraId="0082F62F" w14:textId="77777777" w:rsidR="00FF028E" w:rsidRPr="00FF028E" w:rsidRDefault="00FF028E" w:rsidP="00FF028E">
      <w:pPr>
        <w:spacing w:line="360" w:lineRule="auto"/>
        <w:jc w:val="both"/>
        <w:rPr>
          <w:rFonts w:ascii="Arial" w:hAnsi="Arial" w:cs="Arial"/>
          <w:sz w:val="24"/>
          <w:szCs w:val="24"/>
        </w:rPr>
      </w:pPr>
    </w:p>
    <w:p w14:paraId="3B2B094B" w14:textId="77777777" w:rsidR="00FF028E" w:rsidRPr="00FF028E" w:rsidRDefault="00FF028E" w:rsidP="00FF028E">
      <w:pPr>
        <w:spacing w:line="360" w:lineRule="auto"/>
        <w:jc w:val="both"/>
        <w:rPr>
          <w:rFonts w:ascii="Arial" w:hAnsi="Arial" w:cs="Arial"/>
          <w:sz w:val="24"/>
          <w:szCs w:val="24"/>
        </w:rPr>
      </w:pPr>
    </w:p>
    <w:p w14:paraId="7D106021" w14:textId="77777777" w:rsidR="00FF028E" w:rsidRPr="00FF028E" w:rsidRDefault="00FF028E" w:rsidP="00FF028E">
      <w:pPr>
        <w:spacing w:line="360" w:lineRule="auto"/>
        <w:jc w:val="both"/>
        <w:rPr>
          <w:rFonts w:ascii="Arial" w:hAnsi="Arial" w:cs="Arial"/>
          <w:sz w:val="24"/>
          <w:szCs w:val="24"/>
        </w:rPr>
      </w:pPr>
    </w:p>
    <w:p w14:paraId="7844CE24" w14:textId="77777777" w:rsidR="00FF028E" w:rsidRPr="00FF028E" w:rsidRDefault="00FF028E" w:rsidP="00FF028E">
      <w:pPr>
        <w:spacing w:line="360" w:lineRule="auto"/>
        <w:jc w:val="both"/>
        <w:rPr>
          <w:rFonts w:ascii="Arial" w:hAnsi="Arial" w:cs="Arial"/>
          <w:sz w:val="24"/>
          <w:szCs w:val="24"/>
        </w:rPr>
      </w:pPr>
    </w:p>
    <w:p w14:paraId="02A53A89" w14:textId="77777777" w:rsidR="00FF028E" w:rsidRPr="00FF028E" w:rsidRDefault="00FF028E" w:rsidP="00FF028E">
      <w:pPr>
        <w:spacing w:line="360" w:lineRule="auto"/>
        <w:jc w:val="both"/>
        <w:rPr>
          <w:rFonts w:ascii="Arial" w:hAnsi="Arial" w:cs="Arial"/>
          <w:sz w:val="24"/>
          <w:szCs w:val="24"/>
        </w:rPr>
      </w:pPr>
    </w:p>
    <w:p w14:paraId="17C34C33" w14:textId="77777777" w:rsidR="00FF028E" w:rsidRPr="00FF028E" w:rsidRDefault="00FF028E" w:rsidP="00FF028E">
      <w:pPr>
        <w:spacing w:line="360" w:lineRule="auto"/>
        <w:jc w:val="both"/>
        <w:rPr>
          <w:rFonts w:ascii="Arial" w:hAnsi="Arial" w:cs="Arial"/>
          <w:sz w:val="24"/>
          <w:szCs w:val="24"/>
        </w:rPr>
      </w:pPr>
    </w:p>
    <w:p w14:paraId="3A4EFD5F" w14:textId="77777777" w:rsidR="00FF028E" w:rsidRPr="00FF028E" w:rsidRDefault="00FF028E" w:rsidP="00FF028E">
      <w:pPr>
        <w:spacing w:line="360" w:lineRule="auto"/>
        <w:jc w:val="both"/>
        <w:rPr>
          <w:rFonts w:ascii="Arial" w:hAnsi="Arial" w:cs="Arial"/>
          <w:sz w:val="24"/>
          <w:szCs w:val="24"/>
        </w:rPr>
      </w:pPr>
    </w:p>
    <w:p w14:paraId="035B02E0" w14:textId="77777777" w:rsidR="00FF028E" w:rsidRPr="00FF028E" w:rsidRDefault="00FF028E" w:rsidP="00FF028E">
      <w:pPr>
        <w:spacing w:line="360" w:lineRule="auto"/>
        <w:jc w:val="both"/>
        <w:rPr>
          <w:rFonts w:ascii="Arial" w:hAnsi="Arial" w:cs="Arial"/>
          <w:sz w:val="24"/>
          <w:szCs w:val="24"/>
        </w:rPr>
      </w:pPr>
    </w:p>
    <w:p w14:paraId="558A0B4A" w14:textId="77777777" w:rsidR="00FF028E" w:rsidRPr="00FF028E" w:rsidRDefault="00FF028E" w:rsidP="00FF028E">
      <w:pPr>
        <w:spacing w:line="360" w:lineRule="auto"/>
        <w:jc w:val="both"/>
        <w:rPr>
          <w:rFonts w:ascii="Arial" w:hAnsi="Arial" w:cs="Arial"/>
          <w:sz w:val="24"/>
          <w:szCs w:val="24"/>
        </w:rPr>
      </w:pPr>
    </w:p>
    <w:p w14:paraId="2BDFED67" w14:textId="77777777" w:rsidR="00FF028E" w:rsidRPr="00FF028E" w:rsidRDefault="00FF028E" w:rsidP="00227920">
      <w:pPr>
        <w:pStyle w:val="Heading1"/>
      </w:pPr>
      <w:bookmarkStart w:id="7" w:name="_Toc214424506"/>
      <w:r w:rsidRPr="00FF028E">
        <w:rPr>
          <w:rStyle w:val="Strong"/>
          <w:rFonts w:ascii="Arial" w:hAnsi="Arial" w:cs="Arial"/>
          <w:b/>
          <w:bCs/>
          <w:sz w:val="24"/>
          <w:szCs w:val="24"/>
        </w:rPr>
        <w:t>References</w:t>
      </w:r>
      <w:bookmarkEnd w:id="7"/>
      <w:r w:rsidRPr="00FF028E">
        <w:rPr>
          <w:rStyle w:val="Strong"/>
          <w:rFonts w:ascii="Arial" w:hAnsi="Arial" w:cs="Arial"/>
          <w:b/>
          <w:bCs/>
          <w:sz w:val="24"/>
          <w:szCs w:val="24"/>
        </w:rPr>
        <w:t xml:space="preserve"> </w:t>
      </w:r>
    </w:p>
    <w:p w14:paraId="48A341E3"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Atkinson, R.C. &amp; Shiffrin, R.M. (1968) ‘Human memory: A proposed system and its control processes’, </w:t>
      </w:r>
      <w:r w:rsidRPr="00FF028E">
        <w:rPr>
          <w:rStyle w:val="Emphasis"/>
          <w:rFonts w:ascii="Arial" w:hAnsi="Arial" w:cs="Arial"/>
        </w:rPr>
        <w:t>Psychology of Learning and Motivation</w:t>
      </w:r>
      <w:r w:rsidRPr="00FF028E">
        <w:rPr>
          <w:rFonts w:ascii="Arial" w:hAnsi="Arial" w:cs="Arial"/>
        </w:rPr>
        <w:t>, 2, pp. 89–195.</w:t>
      </w:r>
    </w:p>
    <w:p w14:paraId="3A238785"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lastRenderedPageBreak/>
        <w:t xml:space="preserve">Bailey, S. (2018) </w:t>
      </w:r>
      <w:r w:rsidRPr="00FF028E">
        <w:rPr>
          <w:rStyle w:val="Emphasis"/>
          <w:rFonts w:ascii="Arial" w:hAnsi="Arial" w:cs="Arial"/>
        </w:rPr>
        <w:t>Academic Writing: A Handbook for International Students</w:t>
      </w:r>
      <w:r w:rsidRPr="00FF028E">
        <w:rPr>
          <w:rFonts w:ascii="Arial" w:hAnsi="Arial" w:cs="Arial"/>
        </w:rPr>
        <w:t xml:space="preserve">. 5th </w:t>
      </w:r>
      <w:proofErr w:type="spellStart"/>
      <w:r w:rsidRPr="00FF028E">
        <w:rPr>
          <w:rFonts w:ascii="Arial" w:hAnsi="Arial" w:cs="Arial"/>
        </w:rPr>
        <w:t>edn</w:t>
      </w:r>
      <w:proofErr w:type="spellEnd"/>
      <w:r w:rsidRPr="00FF028E">
        <w:rPr>
          <w:rFonts w:ascii="Arial" w:hAnsi="Arial" w:cs="Arial"/>
        </w:rPr>
        <w:t>. London: Routledge.</w:t>
      </w:r>
    </w:p>
    <w:p w14:paraId="0012BBEF"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Buzan, T. (2018) </w:t>
      </w:r>
      <w:r w:rsidRPr="00FF028E">
        <w:rPr>
          <w:rStyle w:val="Emphasis"/>
          <w:rFonts w:ascii="Arial" w:hAnsi="Arial" w:cs="Arial"/>
        </w:rPr>
        <w:t>The Mind Map Book</w:t>
      </w:r>
      <w:r w:rsidRPr="00FF028E">
        <w:rPr>
          <w:rFonts w:ascii="Arial" w:hAnsi="Arial" w:cs="Arial"/>
        </w:rPr>
        <w:t>. London: BBC Active.</w:t>
      </w:r>
    </w:p>
    <w:p w14:paraId="69C05F4B"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Carnegie, D. (2020) </w:t>
      </w:r>
      <w:r w:rsidRPr="00FF028E">
        <w:rPr>
          <w:rStyle w:val="Emphasis"/>
          <w:rFonts w:ascii="Arial" w:hAnsi="Arial" w:cs="Arial"/>
        </w:rPr>
        <w:t>Effective Communication Skills in the Workplace</w:t>
      </w:r>
      <w:r w:rsidRPr="00FF028E">
        <w:rPr>
          <w:rFonts w:ascii="Arial" w:hAnsi="Arial" w:cs="Arial"/>
        </w:rPr>
        <w:t>. New York: Dale Carnegie Training.</w:t>
      </w:r>
    </w:p>
    <w:p w14:paraId="1414A52E"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Cottrell, S. (2019) </w:t>
      </w:r>
      <w:r w:rsidRPr="00FF028E">
        <w:rPr>
          <w:rStyle w:val="Emphasis"/>
          <w:rFonts w:ascii="Arial" w:hAnsi="Arial" w:cs="Arial"/>
        </w:rPr>
        <w:t>The Study Skills Handbook</w:t>
      </w:r>
      <w:r w:rsidRPr="00FF028E">
        <w:rPr>
          <w:rFonts w:ascii="Arial" w:hAnsi="Arial" w:cs="Arial"/>
        </w:rPr>
        <w:t xml:space="preserve">. 5th </w:t>
      </w:r>
      <w:proofErr w:type="spellStart"/>
      <w:r w:rsidRPr="00FF028E">
        <w:rPr>
          <w:rFonts w:ascii="Arial" w:hAnsi="Arial" w:cs="Arial"/>
        </w:rPr>
        <w:t>edn</w:t>
      </w:r>
      <w:proofErr w:type="spellEnd"/>
      <w:r w:rsidRPr="00FF028E">
        <w:rPr>
          <w:rFonts w:ascii="Arial" w:hAnsi="Arial" w:cs="Arial"/>
        </w:rPr>
        <w:t>. London: Macmillan.</w:t>
      </w:r>
    </w:p>
    <w:p w14:paraId="77118A28"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Drew, S. &amp; Bingham, R. (2021) </w:t>
      </w:r>
      <w:r w:rsidRPr="00FF028E">
        <w:rPr>
          <w:rStyle w:val="Emphasis"/>
          <w:rFonts w:ascii="Arial" w:hAnsi="Arial" w:cs="Arial"/>
        </w:rPr>
        <w:t>The Guide to Effective Business Writing</w:t>
      </w:r>
      <w:r w:rsidRPr="00FF028E">
        <w:rPr>
          <w:rFonts w:ascii="Arial" w:hAnsi="Arial" w:cs="Arial"/>
        </w:rPr>
        <w:t>. London: Sage.</w:t>
      </w:r>
    </w:p>
    <w:p w14:paraId="76EE266D"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Fry, H., </w:t>
      </w:r>
      <w:proofErr w:type="spellStart"/>
      <w:r w:rsidRPr="00FF028E">
        <w:rPr>
          <w:rFonts w:ascii="Arial" w:hAnsi="Arial" w:cs="Arial"/>
        </w:rPr>
        <w:t>Ketteridge</w:t>
      </w:r>
      <w:proofErr w:type="spellEnd"/>
      <w:r w:rsidRPr="00FF028E">
        <w:rPr>
          <w:rFonts w:ascii="Arial" w:hAnsi="Arial" w:cs="Arial"/>
        </w:rPr>
        <w:t xml:space="preserve">, S. &amp; Marshall, S. (2015) </w:t>
      </w:r>
      <w:r w:rsidRPr="00FF028E">
        <w:rPr>
          <w:rStyle w:val="Emphasis"/>
          <w:rFonts w:ascii="Arial" w:hAnsi="Arial" w:cs="Arial"/>
        </w:rPr>
        <w:t>A Handbook for Teaching and Learning in Higher Education</w:t>
      </w:r>
      <w:r w:rsidRPr="00FF028E">
        <w:rPr>
          <w:rFonts w:ascii="Arial" w:hAnsi="Arial" w:cs="Arial"/>
        </w:rPr>
        <w:t xml:space="preserve">. 4th </w:t>
      </w:r>
      <w:proofErr w:type="spellStart"/>
      <w:r w:rsidRPr="00FF028E">
        <w:rPr>
          <w:rFonts w:ascii="Arial" w:hAnsi="Arial" w:cs="Arial"/>
        </w:rPr>
        <w:t>edn</w:t>
      </w:r>
      <w:proofErr w:type="spellEnd"/>
      <w:r w:rsidRPr="00FF028E">
        <w:rPr>
          <w:rFonts w:ascii="Arial" w:hAnsi="Arial" w:cs="Arial"/>
        </w:rPr>
        <w:t>. London: Routledge.</w:t>
      </w:r>
    </w:p>
    <w:p w14:paraId="29451437"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Gillet, A., Hammond, A. &amp; </w:t>
      </w:r>
      <w:proofErr w:type="spellStart"/>
      <w:r w:rsidRPr="00FF028E">
        <w:rPr>
          <w:rFonts w:ascii="Arial" w:hAnsi="Arial" w:cs="Arial"/>
        </w:rPr>
        <w:t>Martala</w:t>
      </w:r>
      <w:proofErr w:type="spellEnd"/>
      <w:r w:rsidRPr="00FF028E">
        <w:rPr>
          <w:rFonts w:ascii="Arial" w:hAnsi="Arial" w:cs="Arial"/>
        </w:rPr>
        <w:t xml:space="preserve">, M. (2009) </w:t>
      </w:r>
      <w:r w:rsidRPr="00FF028E">
        <w:rPr>
          <w:rStyle w:val="Emphasis"/>
          <w:rFonts w:ascii="Arial" w:hAnsi="Arial" w:cs="Arial"/>
        </w:rPr>
        <w:t>Successful Academic Writing</w:t>
      </w:r>
      <w:r w:rsidRPr="00FF028E">
        <w:rPr>
          <w:rFonts w:ascii="Arial" w:hAnsi="Arial" w:cs="Arial"/>
        </w:rPr>
        <w:t>. Harlow: Pearson.</w:t>
      </w:r>
    </w:p>
    <w:p w14:paraId="5A255C1E"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Johnson, T. (2022) </w:t>
      </w:r>
      <w:r w:rsidRPr="00FF028E">
        <w:rPr>
          <w:rStyle w:val="Emphasis"/>
          <w:rFonts w:ascii="Arial" w:hAnsi="Arial" w:cs="Arial"/>
        </w:rPr>
        <w:t>Professional Documentation and Workplace Communication</w:t>
      </w:r>
      <w:r w:rsidRPr="00FF028E">
        <w:rPr>
          <w:rFonts w:ascii="Arial" w:hAnsi="Arial" w:cs="Arial"/>
        </w:rPr>
        <w:t>. London: Kogan Page.</w:t>
      </w:r>
    </w:p>
    <w:p w14:paraId="664BD871"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Marton, F. &amp; </w:t>
      </w:r>
      <w:proofErr w:type="spellStart"/>
      <w:r w:rsidRPr="00FF028E">
        <w:rPr>
          <w:rFonts w:ascii="Arial" w:hAnsi="Arial" w:cs="Arial"/>
        </w:rPr>
        <w:t>Säljö</w:t>
      </w:r>
      <w:proofErr w:type="spellEnd"/>
      <w:r w:rsidRPr="00FF028E">
        <w:rPr>
          <w:rFonts w:ascii="Arial" w:hAnsi="Arial" w:cs="Arial"/>
        </w:rPr>
        <w:t xml:space="preserve">, R. (1976) ‘On qualitative differences in learning: I—Outcome and process’, </w:t>
      </w:r>
      <w:r w:rsidRPr="00FF028E">
        <w:rPr>
          <w:rStyle w:val="Emphasis"/>
          <w:rFonts w:ascii="Arial" w:hAnsi="Arial" w:cs="Arial"/>
        </w:rPr>
        <w:t>British Journal of Educational Psychology</w:t>
      </w:r>
      <w:r w:rsidRPr="00FF028E">
        <w:rPr>
          <w:rFonts w:ascii="Arial" w:hAnsi="Arial" w:cs="Arial"/>
        </w:rPr>
        <w:t>, 46(1), pp. 4–11.</w:t>
      </w:r>
    </w:p>
    <w:p w14:paraId="06BB5653"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Mueller, P.A. &amp; Oppenheimer, D.M. (2014) ‘The pen is mightier than the keyboard’, </w:t>
      </w:r>
      <w:r w:rsidRPr="00FF028E">
        <w:rPr>
          <w:rStyle w:val="Emphasis"/>
          <w:rFonts w:ascii="Arial" w:hAnsi="Arial" w:cs="Arial"/>
        </w:rPr>
        <w:t>Psychological Science</w:t>
      </w:r>
      <w:r w:rsidRPr="00FF028E">
        <w:rPr>
          <w:rFonts w:ascii="Arial" w:hAnsi="Arial" w:cs="Arial"/>
        </w:rPr>
        <w:t>, 25(6), pp. 1159–1168.</w:t>
      </w:r>
    </w:p>
    <w:p w14:paraId="5BEB5783"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National Association of Colleges and Employers (2022) ‘Job Outlook Survey: Top Skills for Employability’, </w:t>
      </w:r>
      <w:r w:rsidRPr="00FF028E">
        <w:rPr>
          <w:rStyle w:val="Emphasis"/>
          <w:rFonts w:ascii="Arial" w:hAnsi="Arial" w:cs="Arial"/>
        </w:rPr>
        <w:t>NACE Journal</w:t>
      </w:r>
      <w:r w:rsidRPr="00FF028E">
        <w:rPr>
          <w:rFonts w:ascii="Arial" w:hAnsi="Arial" w:cs="Arial"/>
        </w:rPr>
        <w:t>, 82(4), pp. 20–25.</w:t>
      </w:r>
    </w:p>
    <w:p w14:paraId="6E89209E"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Neville, C. (2020) </w:t>
      </w:r>
      <w:r w:rsidRPr="00FF028E">
        <w:rPr>
          <w:rStyle w:val="Emphasis"/>
          <w:rFonts w:ascii="Arial" w:hAnsi="Arial" w:cs="Arial"/>
        </w:rPr>
        <w:t>The Complete Guide to Referencing and Avoiding Plagiarism</w:t>
      </w:r>
      <w:r w:rsidRPr="00FF028E">
        <w:rPr>
          <w:rFonts w:ascii="Arial" w:hAnsi="Arial" w:cs="Arial"/>
        </w:rPr>
        <w:t xml:space="preserve">. 3rd </w:t>
      </w:r>
      <w:proofErr w:type="spellStart"/>
      <w:r w:rsidRPr="00FF028E">
        <w:rPr>
          <w:rFonts w:ascii="Arial" w:hAnsi="Arial" w:cs="Arial"/>
        </w:rPr>
        <w:t>edn</w:t>
      </w:r>
      <w:proofErr w:type="spellEnd"/>
      <w:r w:rsidRPr="00FF028E">
        <w:rPr>
          <w:rFonts w:ascii="Arial" w:hAnsi="Arial" w:cs="Arial"/>
        </w:rPr>
        <w:t>. Maidenhead: Open University Press.</w:t>
      </w:r>
    </w:p>
    <w:p w14:paraId="1DB53A0C"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Pears, R. &amp; Shields, G. (2019) </w:t>
      </w:r>
      <w:r w:rsidRPr="00FF028E">
        <w:rPr>
          <w:rStyle w:val="Emphasis"/>
          <w:rFonts w:ascii="Arial" w:hAnsi="Arial" w:cs="Arial"/>
        </w:rPr>
        <w:t>Cite Them Right: The Essential Referencing Guide</w:t>
      </w:r>
      <w:r w:rsidRPr="00FF028E">
        <w:rPr>
          <w:rFonts w:ascii="Arial" w:hAnsi="Arial" w:cs="Arial"/>
        </w:rPr>
        <w:t xml:space="preserve">. 11th </w:t>
      </w:r>
      <w:proofErr w:type="spellStart"/>
      <w:r w:rsidRPr="00FF028E">
        <w:rPr>
          <w:rFonts w:ascii="Arial" w:hAnsi="Arial" w:cs="Arial"/>
        </w:rPr>
        <w:t>edn</w:t>
      </w:r>
      <w:proofErr w:type="spellEnd"/>
      <w:r w:rsidRPr="00FF028E">
        <w:rPr>
          <w:rFonts w:ascii="Arial" w:hAnsi="Arial" w:cs="Arial"/>
        </w:rPr>
        <w:t>. London: Macmillan.</w:t>
      </w:r>
    </w:p>
    <w:p w14:paraId="4C80A085"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lastRenderedPageBreak/>
        <w:t xml:space="preserve">PMI (Project Management Institute) (2021) </w:t>
      </w:r>
      <w:r w:rsidRPr="00FF028E">
        <w:rPr>
          <w:rStyle w:val="Emphasis"/>
          <w:rFonts w:ascii="Arial" w:hAnsi="Arial" w:cs="Arial"/>
        </w:rPr>
        <w:t>A Guide to the Project Management Body of Knowledge</w:t>
      </w:r>
      <w:r w:rsidRPr="00FF028E">
        <w:rPr>
          <w:rFonts w:ascii="Arial" w:hAnsi="Arial" w:cs="Arial"/>
        </w:rPr>
        <w:t xml:space="preserve">. 7th </w:t>
      </w:r>
      <w:proofErr w:type="spellStart"/>
      <w:r w:rsidRPr="00FF028E">
        <w:rPr>
          <w:rFonts w:ascii="Arial" w:hAnsi="Arial" w:cs="Arial"/>
        </w:rPr>
        <w:t>edn</w:t>
      </w:r>
      <w:proofErr w:type="spellEnd"/>
      <w:r w:rsidRPr="00FF028E">
        <w:rPr>
          <w:rFonts w:ascii="Arial" w:hAnsi="Arial" w:cs="Arial"/>
        </w:rPr>
        <w:t>. Newtown Square: PMI.</w:t>
      </w:r>
    </w:p>
    <w:p w14:paraId="7D9AF710"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Rowlands, J. (2021) </w:t>
      </w:r>
      <w:r w:rsidRPr="00FF028E">
        <w:rPr>
          <w:rStyle w:val="Emphasis"/>
          <w:rFonts w:ascii="Arial" w:hAnsi="Arial" w:cs="Arial"/>
        </w:rPr>
        <w:t>Learning Skills for University Success</w:t>
      </w:r>
      <w:r w:rsidRPr="00FF028E">
        <w:rPr>
          <w:rFonts w:ascii="Arial" w:hAnsi="Arial" w:cs="Arial"/>
        </w:rPr>
        <w:t>. London: Sage.</w:t>
      </w:r>
    </w:p>
    <w:p w14:paraId="3D051E78"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Stone, M. (2021) </w:t>
      </w:r>
      <w:r w:rsidRPr="00FF028E">
        <w:rPr>
          <w:rStyle w:val="Emphasis"/>
          <w:rFonts w:ascii="Arial" w:hAnsi="Arial" w:cs="Arial"/>
        </w:rPr>
        <w:t>Digital Note-Taking for Productivity</w:t>
      </w:r>
      <w:r w:rsidRPr="00FF028E">
        <w:rPr>
          <w:rFonts w:ascii="Arial" w:hAnsi="Arial" w:cs="Arial"/>
        </w:rPr>
        <w:t>. Oxford: Oxford Productivity Press.</w:t>
      </w:r>
    </w:p>
    <w:p w14:paraId="086EAC9A" w14:textId="77777777" w:rsidR="00FF028E" w:rsidRPr="00FF028E" w:rsidRDefault="00FF028E" w:rsidP="00FF028E">
      <w:pPr>
        <w:pStyle w:val="NormalWeb"/>
        <w:spacing w:line="360" w:lineRule="auto"/>
        <w:jc w:val="both"/>
        <w:rPr>
          <w:rFonts w:ascii="Arial" w:hAnsi="Arial" w:cs="Arial"/>
        </w:rPr>
      </w:pPr>
      <w:proofErr w:type="spellStart"/>
      <w:r w:rsidRPr="00FF028E">
        <w:rPr>
          <w:rFonts w:ascii="Arial" w:hAnsi="Arial" w:cs="Arial"/>
        </w:rPr>
        <w:t>Sweller</w:t>
      </w:r>
      <w:proofErr w:type="spellEnd"/>
      <w:r w:rsidRPr="00FF028E">
        <w:rPr>
          <w:rFonts w:ascii="Arial" w:hAnsi="Arial" w:cs="Arial"/>
        </w:rPr>
        <w:t xml:space="preserve">, J. (1994) ‘Cognitive load theory, learning difficulty, and instructional design’, </w:t>
      </w:r>
      <w:r w:rsidRPr="00FF028E">
        <w:rPr>
          <w:rStyle w:val="Emphasis"/>
          <w:rFonts w:ascii="Arial" w:hAnsi="Arial" w:cs="Arial"/>
        </w:rPr>
        <w:t>Learning and Instruction</w:t>
      </w:r>
      <w:r w:rsidRPr="00FF028E">
        <w:rPr>
          <w:rFonts w:ascii="Arial" w:hAnsi="Arial" w:cs="Arial"/>
        </w:rPr>
        <w:t>, 4(4), pp. 295–312.</w:t>
      </w:r>
    </w:p>
    <w:p w14:paraId="18E03C9B" w14:textId="77777777" w:rsidR="00FF028E" w:rsidRPr="00FF028E" w:rsidRDefault="00FF028E" w:rsidP="00FF028E">
      <w:pPr>
        <w:pStyle w:val="NormalWeb"/>
        <w:spacing w:line="360" w:lineRule="auto"/>
        <w:jc w:val="both"/>
        <w:rPr>
          <w:rFonts w:ascii="Arial" w:hAnsi="Arial" w:cs="Arial"/>
        </w:rPr>
      </w:pPr>
      <w:proofErr w:type="spellStart"/>
      <w:r w:rsidRPr="00FF028E">
        <w:rPr>
          <w:rFonts w:ascii="Arial" w:hAnsi="Arial" w:cs="Arial"/>
        </w:rPr>
        <w:t>Sweller</w:t>
      </w:r>
      <w:proofErr w:type="spellEnd"/>
      <w:r w:rsidRPr="00FF028E">
        <w:rPr>
          <w:rFonts w:ascii="Arial" w:hAnsi="Arial" w:cs="Arial"/>
        </w:rPr>
        <w:t xml:space="preserve">, J. (2010) ‘Cognitive load theory: Recent theoretical advances’, </w:t>
      </w:r>
      <w:r w:rsidRPr="00FF028E">
        <w:rPr>
          <w:rStyle w:val="Emphasis"/>
          <w:rFonts w:ascii="Arial" w:hAnsi="Arial" w:cs="Arial"/>
        </w:rPr>
        <w:t>Cognitive Psychology</w:t>
      </w:r>
      <w:r w:rsidRPr="00FF028E">
        <w:rPr>
          <w:rFonts w:ascii="Arial" w:hAnsi="Arial" w:cs="Arial"/>
        </w:rPr>
        <w:t>, 59(2), pp. 106–116.</w:t>
      </w:r>
    </w:p>
    <w:p w14:paraId="6D81C3AC"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van der Meer, J. (2019) ‘Note-taking for learning’, </w:t>
      </w:r>
      <w:r w:rsidRPr="00FF028E">
        <w:rPr>
          <w:rStyle w:val="Emphasis"/>
          <w:rFonts w:ascii="Arial" w:hAnsi="Arial" w:cs="Arial"/>
        </w:rPr>
        <w:t>Journal of University Teaching &amp; Learning Practice</w:t>
      </w:r>
      <w:r w:rsidRPr="00FF028E">
        <w:rPr>
          <w:rFonts w:ascii="Arial" w:hAnsi="Arial" w:cs="Arial"/>
        </w:rPr>
        <w:t>, 16(2), pp. 1–15.</w:t>
      </w:r>
    </w:p>
    <w:p w14:paraId="263C949F"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van der Meer, J. (2019) ‘Students’ note-taking practices in higher education’, </w:t>
      </w:r>
      <w:r w:rsidRPr="00FF028E">
        <w:rPr>
          <w:rStyle w:val="Emphasis"/>
          <w:rFonts w:ascii="Arial" w:hAnsi="Arial" w:cs="Arial"/>
        </w:rPr>
        <w:t>Journal of Academic Skills Development</w:t>
      </w:r>
      <w:r w:rsidRPr="00FF028E">
        <w:rPr>
          <w:rFonts w:ascii="Arial" w:hAnsi="Arial" w:cs="Arial"/>
        </w:rPr>
        <w:t>, 12(3), pp. 45–58.</w:t>
      </w:r>
    </w:p>
    <w:p w14:paraId="7D1E6A67"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Williams, K. &amp; Eggert, L. (2020) </w:t>
      </w:r>
      <w:r w:rsidRPr="00FF028E">
        <w:rPr>
          <w:rStyle w:val="Emphasis"/>
          <w:rFonts w:ascii="Arial" w:hAnsi="Arial" w:cs="Arial"/>
        </w:rPr>
        <w:t>Study Skills for Students</w:t>
      </w:r>
      <w:r w:rsidRPr="00FF028E">
        <w:rPr>
          <w:rFonts w:ascii="Arial" w:hAnsi="Arial" w:cs="Arial"/>
        </w:rPr>
        <w:t>. London: Routledge.</w:t>
      </w:r>
    </w:p>
    <w:p w14:paraId="12E4FF09"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Williams, R. &amp; Eggert, A. (2020) </w:t>
      </w:r>
      <w:r w:rsidRPr="00FF028E">
        <w:rPr>
          <w:rStyle w:val="Emphasis"/>
          <w:rFonts w:ascii="Arial" w:hAnsi="Arial" w:cs="Arial"/>
        </w:rPr>
        <w:t>Note-Taking Strategies for Academic Success</w:t>
      </w:r>
      <w:r w:rsidRPr="00FF028E">
        <w:rPr>
          <w:rFonts w:ascii="Arial" w:hAnsi="Arial" w:cs="Arial"/>
        </w:rPr>
        <w:t>. Oxford: Oxford University Press.</w:t>
      </w:r>
    </w:p>
    <w:p w14:paraId="7618BB6E"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Zotero (2021) </w:t>
      </w:r>
      <w:r w:rsidRPr="00FF028E">
        <w:rPr>
          <w:rStyle w:val="Emphasis"/>
          <w:rFonts w:ascii="Arial" w:hAnsi="Arial" w:cs="Arial"/>
        </w:rPr>
        <w:t>Guide to Referencing and Citation Management</w:t>
      </w:r>
      <w:r w:rsidRPr="00FF028E">
        <w:rPr>
          <w:rFonts w:ascii="Arial" w:hAnsi="Arial" w:cs="Arial"/>
        </w:rPr>
        <w:t xml:space="preserve">. Available at: </w:t>
      </w:r>
      <w:hyperlink r:id="rId7" w:tgtFrame="_new" w:history="1">
        <w:r w:rsidRPr="00FF028E">
          <w:rPr>
            <w:rStyle w:val="Hyperlink"/>
            <w:rFonts w:ascii="Arial" w:hAnsi="Arial" w:cs="Arial"/>
          </w:rPr>
          <w:t>https://www.zotero.org</w:t>
        </w:r>
      </w:hyperlink>
      <w:r w:rsidRPr="00FF028E">
        <w:rPr>
          <w:rFonts w:ascii="Arial" w:hAnsi="Arial" w:cs="Arial"/>
        </w:rPr>
        <w:t xml:space="preserve"> (Accessed: insert date).</w:t>
      </w:r>
    </w:p>
    <w:p w14:paraId="2DDB6FE3" w14:textId="77777777" w:rsidR="00FF028E" w:rsidRPr="00F321AA" w:rsidRDefault="00FF028E" w:rsidP="00FF028E">
      <w:pPr>
        <w:spacing w:line="360" w:lineRule="auto"/>
        <w:jc w:val="both"/>
        <w:rPr>
          <w:rFonts w:ascii="Arial" w:hAnsi="Arial" w:cs="Arial"/>
          <w:sz w:val="24"/>
        </w:rPr>
      </w:pPr>
    </w:p>
    <w:sectPr w:rsidR="00FF028E" w:rsidRPr="00F321AA" w:rsidSect="00FB7D5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32FB0"/>
    <w:multiLevelType w:val="multilevel"/>
    <w:tmpl w:val="0590D62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4A51E8"/>
    <w:multiLevelType w:val="multilevel"/>
    <w:tmpl w:val="7DEE8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D43ED4"/>
    <w:multiLevelType w:val="multilevel"/>
    <w:tmpl w:val="0590D62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D038F0"/>
    <w:multiLevelType w:val="multilevel"/>
    <w:tmpl w:val="35C05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413316"/>
    <w:multiLevelType w:val="multilevel"/>
    <w:tmpl w:val="0590D62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4462878">
    <w:abstractNumId w:val="1"/>
  </w:num>
  <w:num w:numId="2" w16cid:durableId="1570996210">
    <w:abstractNumId w:val="4"/>
  </w:num>
  <w:num w:numId="3" w16cid:durableId="1711033298">
    <w:abstractNumId w:val="2"/>
  </w:num>
  <w:num w:numId="4" w16cid:durableId="2035182631">
    <w:abstractNumId w:val="0"/>
  </w:num>
  <w:num w:numId="5" w16cid:durableId="13321808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00B"/>
    <w:rsid w:val="001874CC"/>
    <w:rsid w:val="002068FD"/>
    <w:rsid w:val="00227920"/>
    <w:rsid w:val="00556834"/>
    <w:rsid w:val="005C43B7"/>
    <w:rsid w:val="006C5BC8"/>
    <w:rsid w:val="007A400B"/>
    <w:rsid w:val="00867DAE"/>
    <w:rsid w:val="00D7638E"/>
    <w:rsid w:val="00E5233F"/>
    <w:rsid w:val="00F321AA"/>
    <w:rsid w:val="00FB7D5B"/>
    <w:rsid w:val="00FF02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C6EF7"/>
  <w15:docId w15:val="{6283B14E-D88E-4B45-8B43-2DB5C4142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D5B"/>
  </w:style>
  <w:style w:type="paragraph" w:styleId="Heading1">
    <w:name w:val="heading 1"/>
    <w:basedOn w:val="Normal"/>
    <w:next w:val="Normal"/>
    <w:link w:val="Heading1Char"/>
    <w:uiPriority w:val="9"/>
    <w:qFormat/>
    <w:rsid w:val="0022792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5C43B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5C43B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C43B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5C43B7"/>
    <w:rPr>
      <w:rFonts w:ascii="Times New Roman" w:eastAsia="Times New Roman" w:hAnsi="Times New Roman" w:cs="Times New Roman"/>
      <w:b/>
      <w:bCs/>
      <w:sz w:val="27"/>
      <w:szCs w:val="27"/>
    </w:rPr>
  </w:style>
  <w:style w:type="character" w:styleId="Strong">
    <w:name w:val="Strong"/>
    <w:basedOn w:val="DefaultParagraphFont"/>
    <w:uiPriority w:val="22"/>
    <w:qFormat/>
    <w:rsid w:val="005C43B7"/>
    <w:rPr>
      <w:b/>
      <w:bCs/>
    </w:rPr>
  </w:style>
  <w:style w:type="paragraph" w:styleId="NormalWeb">
    <w:name w:val="Normal (Web)"/>
    <w:basedOn w:val="Normal"/>
    <w:uiPriority w:val="99"/>
    <w:unhideWhenUsed/>
    <w:rsid w:val="005C43B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C43B7"/>
    <w:rPr>
      <w:i/>
      <w:iCs/>
    </w:rPr>
  </w:style>
  <w:style w:type="paragraph" w:styleId="ListParagraph">
    <w:name w:val="List Paragraph"/>
    <w:basedOn w:val="Normal"/>
    <w:uiPriority w:val="34"/>
    <w:qFormat/>
    <w:rsid w:val="005C43B7"/>
    <w:pPr>
      <w:ind w:left="720"/>
      <w:contextualSpacing/>
    </w:pPr>
  </w:style>
  <w:style w:type="paragraph" w:styleId="BalloonText">
    <w:name w:val="Balloon Text"/>
    <w:basedOn w:val="Normal"/>
    <w:link w:val="BalloonTextChar"/>
    <w:uiPriority w:val="99"/>
    <w:semiHidden/>
    <w:unhideWhenUsed/>
    <w:rsid w:val="005C43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43B7"/>
    <w:rPr>
      <w:rFonts w:ascii="Tahoma" w:hAnsi="Tahoma" w:cs="Tahoma"/>
      <w:sz w:val="16"/>
      <w:szCs w:val="16"/>
    </w:rPr>
  </w:style>
  <w:style w:type="character" w:styleId="Hyperlink">
    <w:name w:val="Hyperlink"/>
    <w:basedOn w:val="DefaultParagraphFont"/>
    <w:uiPriority w:val="99"/>
    <w:unhideWhenUsed/>
    <w:rsid w:val="00FF028E"/>
    <w:rPr>
      <w:color w:val="0000FF"/>
      <w:u w:val="single"/>
    </w:rPr>
  </w:style>
  <w:style w:type="character" w:customStyle="1" w:styleId="Heading1Char">
    <w:name w:val="Heading 1 Char"/>
    <w:basedOn w:val="DefaultParagraphFont"/>
    <w:link w:val="Heading1"/>
    <w:uiPriority w:val="9"/>
    <w:rsid w:val="0022792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5233F"/>
    <w:pPr>
      <w:outlineLvl w:val="9"/>
    </w:pPr>
  </w:style>
  <w:style w:type="paragraph" w:styleId="TOC2">
    <w:name w:val="toc 2"/>
    <w:basedOn w:val="Normal"/>
    <w:next w:val="Normal"/>
    <w:autoRedefine/>
    <w:uiPriority w:val="39"/>
    <w:unhideWhenUsed/>
    <w:rsid w:val="00E5233F"/>
    <w:pPr>
      <w:spacing w:after="100"/>
      <w:ind w:left="220"/>
    </w:pPr>
  </w:style>
  <w:style w:type="paragraph" w:styleId="TOC3">
    <w:name w:val="toc 3"/>
    <w:basedOn w:val="Normal"/>
    <w:next w:val="Normal"/>
    <w:autoRedefine/>
    <w:uiPriority w:val="39"/>
    <w:unhideWhenUsed/>
    <w:rsid w:val="00E5233F"/>
    <w:pPr>
      <w:spacing w:after="100"/>
      <w:ind w:left="440"/>
    </w:pPr>
  </w:style>
  <w:style w:type="paragraph" w:styleId="TOC1">
    <w:name w:val="toc 1"/>
    <w:basedOn w:val="Normal"/>
    <w:next w:val="Normal"/>
    <w:autoRedefine/>
    <w:uiPriority w:val="39"/>
    <w:unhideWhenUsed/>
    <w:rsid w:val="00E5233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1823938">
      <w:bodyDiv w:val="1"/>
      <w:marLeft w:val="0"/>
      <w:marRight w:val="0"/>
      <w:marTop w:val="0"/>
      <w:marBottom w:val="0"/>
      <w:divBdr>
        <w:top w:val="none" w:sz="0" w:space="0" w:color="auto"/>
        <w:left w:val="none" w:sz="0" w:space="0" w:color="auto"/>
        <w:bottom w:val="none" w:sz="0" w:space="0" w:color="auto"/>
        <w:right w:val="none" w:sz="0" w:space="0" w:color="auto"/>
      </w:divBdr>
    </w:div>
    <w:div w:id="575089167">
      <w:bodyDiv w:val="1"/>
      <w:marLeft w:val="0"/>
      <w:marRight w:val="0"/>
      <w:marTop w:val="0"/>
      <w:marBottom w:val="0"/>
      <w:divBdr>
        <w:top w:val="none" w:sz="0" w:space="0" w:color="auto"/>
        <w:left w:val="none" w:sz="0" w:space="0" w:color="auto"/>
        <w:bottom w:val="none" w:sz="0" w:space="0" w:color="auto"/>
        <w:right w:val="none" w:sz="0" w:space="0" w:color="auto"/>
      </w:divBdr>
    </w:div>
    <w:div w:id="1060403129">
      <w:bodyDiv w:val="1"/>
      <w:marLeft w:val="0"/>
      <w:marRight w:val="0"/>
      <w:marTop w:val="0"/>
      <w:marBottom w:val="0"/>
      <w:divBdr>
        <w:top w:val="none" w:sz="0" w:space="0" w:color="auto"/>
        <w:left w:val="none" w:sz="0" w:space="0" w:color="auto"/>
        <w:bottom w:val="none" w:sz="0" w:space="0" w:color="auto"/>
        <w:right w:val="none" w:sz="0" w:space="0" w:color="auto"/>
      </w:divBdr>
    </w:div>
    <w:div w:id="1098909058">
      <w:bodyDiv w:val="1"/>
      <w:marLeft w:val="0"/>
      <w:marRight w:val="0"/>
      <w:marTop w:val="0"/>
      <w:marBottom w:val="0"/>
      <w:divBdr>
        <w:top w:val="none" w:sz="0" w:space="0" w:color="auto"/>
        <w:left w:val="none" w:sz="0" w:space="0" w:color="auto"/>
        <w:bottom w:val="none" w:sz="0" w:space="0" w:color="auto"/>
        <w:right w:val="none" w:sz="0" w:space="0" w:color="auto"/>
      </w:divBdr>
    </w:div>
    <w:div w:id="1161970101">
      <w:bodyDiv w:val="1"/>
      <w:marLeft w:val="0"/>
      <w:marRight w:val="0"/>
      <w:marTop w:val="0"/>
      <w:marBottom w:val="0"/>
      <w:divBdr>
        <w:top w:val="none" w:sz="0" w:space="0" w:color="auto"/>
        <w:left w:val="none" w:sz="0" w:space="0" w:color="auto"/>
        <w:bottom w:val="none" w:sz="0" w:space="0" w:color="auto"/>
        <w:right w:val="none" w:sz="0" w:space="0" w:color="auto"/>
      </w:divBdr>
    </w:div>
    <w:div w:id="1443455915">
      <w:bodyDiv w:val="1"/>
      <w:marLeft w:val="0"/>
      <w:marRight w:val="0"/>
      <w:marTop w:val="0"/>
      <w:marBottom w:val="0"/>
      <w:divBdr>
        <w:top w:val="none" w:sz="0" w:space="0" w:color="auto"/>
        <w:left w:val="none" w:sz="0" w:space="0" w:color="auto"/>
        <w:bottom w:val="none" w:sz="0" w:space="0" w:color="auto"/>
        <w:right w:val="none" w:sz="0" w:space="0" w:color="auto"/>
      </w:divBdr>
    </w:div>
    <w:div w:id="1845051633">
      <w:bodyDiv w:val="1"/>
      <w:marLeft w:val="0"/>
      <w:marRight w:val="0"/>
      <w:marTop w:val="0"/>
      <w:marBottom w:val="0"/>
      <w:divBdr>
        <w:top w:val="none" w:sz="0" w:space="0" w:color="auto"/>
        <w:left w:val="none" w:sz="0" w:space="0" w:color="auto"/>
        <w:bottom w:val="none" w:sz="0" w:space="0" w:color="auto"/>
        <w:right w:val="none" w:sz="0" w:space="0" w:color="auto"/>
      </w:divBdr>
    </w:div>
    <w:div w:id="1859729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zotero.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AB2914-93AC-484B-AA75-CFAD14DD7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3059</Words>
  <Characters>17437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ROSE STUDIO POONCH</cp:lastModifiedBy>
  <cp:revision>2</cp:revision>
  <dcterms:created xsi:type="dcterms:W3CDTF">2025-11-19T13:00:00Z</dcterms:created>
  <dcterms:modified xsi:type="dcterms:W3CDTF">2025-11-19T13:00:00Z</dcterms:modified>
</cp:coreProperties>
</file>