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rPr>
          <w:sz w:val="20"/>
          <w:szCs w:val="20"/>
        </w:rPr>
      </w:pPr>
      <w:r w:rsidDel="00000000" w:rsidR="00000000" w:rsidRPr="00000000">
        <w:rPr>
          <w:sz w:val="20"/>
          <w:szCs w:val="20"/>
          <w:rtl w:val="0"/>
        </w:rPr>
        <w:t xml:space="preserve">Exercise 4. The Domesday Book Translations</w:t>
      </w:r>
    </w:p>
    <w:p w:rsidR="00000000" w:rsidDel="00000000" w:rsidP="00000000" w:rsidRDefault="00000000" w:rsidRPr="00000000" w14:paraId="00000001">
      <w:pPr>
        <w:spacing w:line="360" w:lineRule="auto"/>
        <w:contextualSpacing w:val="0"/>
        <w:rPr>
          <w:sz w:val="20"/>
          <w:szCs w:val="20"/>
        </w:rPr>
      </w:pPr>
      <w:r w:rsidDel="00000000" w:rsidR="00000000" w:rsidRPr="00000000">
        <w:rPr>
          <w:sz w:val="20"/>
          <w:szCs w:val="20"/>
          <w:rtl w:val="0"/>
        </w:rPr>
        <w:t xml:space="preserve">By Sadie Page. October 2018</w:t>
      </w:r>
      <w:r w:rsidDel="00000000" w:rsidR="00000000" w:rsidRPr="00000000">
        <w:rPr>
          <w:rtl w:val="0"/>
        </w:rPr>
      </w:r>
    </w:p>
    <w:p w:rsidR="00000000" w:rsidDel="00000000" w:rsidP="00000000" w:rsidRDefault="00000000" w:rsidRPr="00000000" w14:paraId="00000002">
      <w:pPr>
        <w:spacing w:line="360" w:lineRule="auto"/>
        <w:contextualSpacing w:val="0"/>
        <w:rPr>
          <w:sz w:val="20"/>
          <w:szCs w:val="20"/>
        </w:rPr>
      </w:pPr>
      <w:r w:rsidDel="00000000" w:rsidR="00000000" w:rsidRPr="00000000">
        <w:rPr>
          <w:color w:val="222222"/>
          <w:sz w:val="20"/>
          <w:szCs w:val="20"/>
          <w:rtl w:val="0"/>
        </w:rPr>
        <w:t xml:space="preserve">After the Norman invasion and subsequent conquest of England in 1066, William th</w:t>
      </w:r>
      <w:r w:rsidDel="00000000" w:rsidR="00000000" w:rsidRPr="00000000">
        <w:rPr>
          <w:color w:val="222222"/>
          <w:sz w:val="20"/>
          <w:szCs w:val="20"/>
          <w:rtl w:val="0"/>
        </w:rPr>
        <w:t xml:space="preserve">e </w:t>
      </w:r>
      <w:r w:rsidDel="00000000" w:rsidR="00000000" w:rsidRPr="00000000">
        <w:rPr>
          <w:color w:val="222222"/>
          <w:sz w:val="20"/>
          <w:szCs w:val="20"/>
          <w:rtl w:val="0"/>
        </w:rPr>
        <w:t xml:space="preserve">Conqueror commissioned  a survey in 1085 to assess the wealth and and assets of his subjects throughout the land.</w:t>
      </w:r>
      <w:r w:rsidDel="00000000" w:rsidR="00000000" w:rsidRPr="00000000">
        <w:rPr>
          <w:color w:val="121212"/>
          <w:sz w:val="20"/>
          <w:szCs w:val="20"/>
          <w:rtl w:val="0"/>
        </w:rPr>
        <w:t xml:space="preserve"> The Domesday book  is the oldest surviving public record of the English state .</w:t>
      </w:r>
      <w:r w:rsidDel="00000000" w:rsidR="00000000" w:rsidRPr="00000000">
        <w:rPr>
          <w:sz w:val="20"/>
          <w:szCs w:val="20"/>
          <w:rtl w:val="0"/>
        </w:rPr>
        <w:t xml:space="preserve">Over the centuries, the Domesday book has been transcribed and translated many times. My aim for this exercise is to compile a list of five printed primary translations of the Domesday book (extract and/or full text), with a brief commentary on each source, ascertaining the style, authenticity, significance, context and intrinsic value of each edition . </w:t>
      </w:r>
    </w:p>
    <w:p w:rsidR="00000000" w:rsidDel="00000000" w:rsidP="00000000" w:rsidRDefault="00000000" w:rsidRPr="00000000" w14:paraId="00000003">
      <w:pPr>
        <w:spacing w:line="360" w:lineRule="auto"/>
        <w:contextualSpacing w:val="0"/>
        <w:rPr>
          <w:sz w:val="20"/>
          <w:szCs w:val="20"/>
        </w:rPr>
      </w:pPr>
      <w:r w:rsidDel="00000000" w:rsidR="00000000" w:rsidRPr="00000000">
        <w:rPr>
          <w:rtl w:val="0"/>
        </w:rPr>
      </w:r>
    </w:p>
    <w:p w:rsidR="00000000" w:rsidDel="00000000" w:rsidP="00000000" w:rsidRDefault="00000000" w:rsidRPr="00000000" w14:paraId="00000004">
      <w:pPr>
        <w:spacing w:line="360" w:lineRule="auto"/>
        <w:ind w:left="0" w:firstLine="0"/>
        <w:contextualSpacing w:val="0"/>
        <w:rPr>
          <w:sz w:val="20"/>
          <w:szCs w:val="20"/>
        </w:rPr>
      </w:pPr>
      <w:r w:rsidDel="00000000" w:rsidR="00000000" w:rsidRPr="00000000">
        <w:rPr>
          <w:sz w:val="20"/>
          <w:szCs w:val="20"/>
          <w:rtl w:val="0"/>
        </w:rPr>
        <w:t xml:space="preserve">(</w:t>
      </w:r>
      <w:r w:rsidDel="00000000" w:rsidR="00000000" w:rsidRPr="00000000">
        <w:rPr>
          <w:sz w:val="20"/>
          <w:szCs w:val="20"/>
          <w:rtl w:val="0"/>
        </w:rPr>
        <w:t xml:space="preserve">1)</w:t>
      </w:r>
      <w:r w:rsidDel="00000000" w:rsidR="00000000" w:rsidRPr="00000000">
        <w:rPr>
          <w:sz w:val="20"/>
          <w:szCs w:val="20"/>
          <w:rtl w:val="0"/>
        </w:rPr>
        <w:t xml:space="preserve"> </w:t>
      </w:r>
      <w:r w:rsidDel="00000000" w:rsidR="00000000" w:rsidRPr="00000000">
        <w:rPr>
          <w:sz w:val="20"/>
          <w:szCs w:val="20"/>
          <w:rtl w:val="0"/>
        </w:rPr>
        <w:t xml:space="preserve">Parish, Rev. W. D., ed., Domesday Book in relation to the Count of Sussex (Lewes: H. Wolff for the Sussex Archaeological Society, 1886)</w:t>
      </w:r>
    </w:p>
    <w:p w:rsidR="00000000" w:rsidDel="00000000" w:rsidP="00000000" w:rsidRDefault="00000000" w:rsidRPr="00000000" w14:paraId="00000005">
      <w:pPr>
        <w:spacing w:line="360" w:lineRule="auto"/>
        <w:ind w:left="0" w:firstLine="0"/>
        <w:contextualSpacing w:val="0"/>
        <w:rPr>
          <w:sz w:val="20"/>
          <w:szCs w:val="20"/>
        </w:rPr>
      </w:pPr>
      <w:r w:rsidDel="00000000" w:rsidR="00000000" w:rsidRPr="00000000">
        <w:rPr>
          <w:sz w:val="20"/>
          <w:szCs w:val="20"/>
          <w:rtl w:val="0"/>
        </w:rPr>
        <w:t xml:space="preserve">William Douglas Parish (1833-1904) was vicar of Selmeston and Alciston and could afford to indulge his interests, which included etymology, local history and education. Parish edited this edition taking</w:t>
      </w:r>
      <w:r w:rsidDel="00000000" w:rsidR="00000000" w:rsidRPr="00000000">
        <w:rPr>
          <w:sz w:val="20"/>
          <w:szCs w:val="20"/>
          <w:rtl w:val="0"/>
        </w:rPr>
        <w:t xml:space="preserve"> from the original Latin entries in the Domesday book,  </w:t>
      </w:r>
      <w:r w:rsidDel="00000000" w:rsidR="00000000" w:rsidRPr="00000000">
        <w:rPr>
          <w:sz w:val="20"/>
          <w:szCs w:val="20"/>
          <w:rtl w:val="0"/>
        </w:rPr>
        <w:t xml:space="preserve">extracts </w:t>
      </w:r>
      <w:r w:rsidDel="00000000" w:rsidR="00000000" w:rsidRPr="00000000">
        <w:rPr>
          <w:sz w:val="20"/>
          <w:szCs w:val="20"/>
          <w:rtl w:val="0"/>
        </w:rPr>
        <w:t xml:space="preserve">relating to the county of Sussex He gives readers a literal translation of the Latin into English, with each paragraph </w:t>
      </w:r>
      <w:r w:rsidDel="00000000" w:rsidR="00000000" w:rsidRPr="00000000">
        <w:rPr>
          <w:sz w:val="20"/>
          <w:szCs w:val="20"/>
          <w:rtl w:val="0"/>
        </w:rPr>
        <w:t xml:space="preserve">alongside</w:t>
      </w:r>
      <w:r w:rsidDel="00000000" w:rsidR="00000000" w:rsidRPr="00000000">
        <w:rPr>
          <w:sz w:val="20"/>
          <w:szCs w:val="20"/>
          <w:rtl w:val="0"/>
        </w:rPr>
        <w:t xml:space="preserve"> the correlating original. This edition comprises a facsimile of the original references and a recreated Medieval style map of the county of Sussex. A careful  and dedicated work which states that, after careful consideration, any controversial matter was excluded, thus the volume would be ‘in the most useful shape for the student of Doomsday’</w:t>
      </w:r>
      <w:r w:rsidDel="00000000" w:rsidR="00000000" w:rsidRPr="00000000">
        <w:rPr>
          <w:sz w:val="20"/>
          <w:szCs w:val="20"/>
          <w:rtl w:val="0"/>
        </w:rPr>
        <w:t xml:space="preserve">. </w:t>
      </w:r>
      <w:r w:rsidDel="00000000" w:rsidR="00000000" w:rsidRPr="00000000">
        <w:rPr>
          <w:sz w:val="20"/>
          <w:szCs w:val="20"/>
          <w:rtl w:val="0"/>
        </w:rPr>
        <w:t xml:space="preserve">A valuable edition with authentic merit, particularly due to the nature of its collective authorship but without being familiar with the aforementioned omissions, one has to assume that this edition is a heavily stylised version . </w:t>
      </w:r>
    </w:p>
    <w:p w:rsidR="00000000" w:rsidDel="00000000" w:rsidP="00000000" w:rsidRDefault="00000000" w:rsidRPr="00000000" w14:paraId="00000006">
      <w:pPr>
        <w:spacing w:line="360" w:lineRule="auto"/>
        <w:ind w:left="0" w:firstLine="0"/>
        <w:contextualSpacing w:val="0"/>
        <w:rPr>
          <w:sz w:val="20"/>
          <w:szCs w:val="20"/>
        </w:rPr>
      </w:pPr>
      <w:r w:rsidDel="00000000" w:rsidR="00000000" w:rsidRPr="00000000">
        <w:rPr>
          <w:rtl w:val="0"/>
        </w:rPr>
      </w:r>
    </w:p>
    <w:p w:rsidR="00000000" w:rsidDel="00000000" w:rsidP="00000000" w:rsidRDefault="00000000" w:rsidRPr="00000000" w14:paraId="00000007">
      <w:pPr>
        <w:spacing w:line="360" w:lineRule="auto"/>
        <w:ind w:left="566.9291338582675" w:hanging="566.9291338582675"/>
        <w:contextualSpacing w:val="0"/>
        <w:rPr>
          <w:sz w:val="20"/>
          <w:szCs w:val="20"/>
        </w:rPr>
      </w:pPr>
      <w:r w:rsidDel="00000000" w:rsidR="00000000" w:rsidRPr="00000000">
        <w:rPr>
          <w:sz w:val="20"/>
          <w:szCs w:val="20"/>
          <w:rtl w:val="0"/>
        </w:rPr>
        <w:t xml:space="preserve">(</w:t>
      </w:r>
      <w:r w:rsidDel="00000000" w:rsidR="00000000" w:rsidRPr="00000000">
        <w:rPr>
          <w:sz w:val="20"/>
          <w:szCs w:val="20"/>
          <w:rtl w:val="0"/>
        </w:rPr>
        <w:t xml:space="preserve">2) Moriss, J (text and translation), Edited from a draft translation prepared by Margaret Newman And Sara Wood, 1976, </w:t>
      </w:r>
      <w:r w:rsidDel="00000000" w:rsidR="00000000" w:rsidRPr="00000000">
        <w:rPr>
          <w:i w:val="1"/>
          <w:sz w:val="20"/>
          <w:szCs w:val="20"/>
          <w:rtl w:val="0"/>
        </w:rPr>
        <w:t xml:space="preserve">Domesday Book, 12, Hertfordshire</w:t>
      </w:r>
      <w:r w:rsidDel="00000000" w:rsidR="00000000" w:rsidRPr="00000000">
        <w:rPr>
          <w:sz w:val="20"/>
          <w:szCs w:val="20"/>
          <w:rtl w:val="0"/>
        </w:rPr>
        <w:t xml:space="preserve">, Phillimore and Co, Chichester.</w:t>
      </w:r>
    </w:p>
    <w:p w:rsidR="00000000" w:rsidDel="00000000" w:rsidP="00000000" w:rsidRDefault="00000000" w:rsidRPr="00000000" w14:paraId="00000008">
      <w:pPr>
        <w:spacing w:line="360" w:lineRule="auto"/>
        <w:contextualSpacing w:val="0"/>
        <w:rPr>
          <w:sz w:val="20"/>
          <w:szCs w:val="20"/>
        </w:rPr>
      </w:pPr>
      <w:r w:rsidDel="00000000" w:rsidR="00000000" w:rsidRPr="00000000">
        <w:rPr>
          <w:sz w:val="20"/>
          <w:szCs w:val="20"/>
          <w:rtl w:val="0"/>
        </w:rPr>
        <w:t xml:space="preserve">The </w:t>
      </w:r>
      <w:hyperlink r:id="rId7">
        <w:r w:rsidDel="00000000" w:rsidR="00000000" w:rsidRPr="00000000">
          <w:rPr>
            <w:sz w:val="20"/>
            <w:szCs w:val="20"/>
            <w:rtl w:val="0"/>
          </w:rPr>
          <w:t xml:space="preserve">Phillimore editions</w:t>
        </w:r>
      </w:hyperlink>
      <w:r w:rsidDel="00000000" w:rsidR="00000000" w:rsidRPr="00000000">
        <w:rPr>
          <w:sz w:val="20"/>
          <w:szCs w:val="20"/>
          <w:rtl w:val="0"/>
        </w:rPr>
        <w:t xml:space="preserve"> (Chichester 1975-1992) are arranged by county and have a transcript of the original abbreviated Latin on the left page, facing an English translation on the right page. These volumes do not have page numbers, because as far as possible they use the reference systems found within Domesday itself. This edition aims to publish history written directly from the sources for all interested readers, both specialists and others. The introduction sets out the aims of William the Conqueror and the manner in which the data was collected, including instructions from the commissioners brief as to how the survey questions were being asked.A thorough edition, of previously translated work by Abraham Farley in 1783, Morris states that the book uses Farley's text, ‘because of it’s excellence... any alternative would prove astronomically expensive. His text has been checked against the facsimile, and discrepancies observed have been verified against the manuscript.</w:t>
      </w:r>
      <w:r w:rsidDel="00000000" w:rsidR="00000000" w:rsidRPr="00000000">
        <w:rPr>
          <w:sz w:val="20"/>
          <w:szCs w:val="20"/>
          <w:vertAlign w:val="superscript"/>
        </w:rPr>
        <w:footnoteReference w:customMarkFollows="0" w:id="0"/>
      </w:r>
      <w:r w:rsidDel="00000000" w:rsidR="00000000" w:rsidRPr="00000000">
        <w:rPr>
          <w:sz w:val="20"/>
          <w:szCs w:val="20"/>
          <w:rtl w:val="0"/>
        </w:rPr>
        <w:t xml:space="preserve"> This edition aims to update the previously translated Farley edition, into modern English,  the draft translations being the work of  a team, with the hope that there will be ‘fewer errors than in versions published by single fallible individuals’.</w:t>
      </w:r>
      <w:r w:rsidDel="00000000" w:rsidR="00000000" w:rsidRPr="00000000">
        <w:rPr>
          <w:sz w:val="20"/>
          <w:szCs w:val="20"/>
          <w:vertAlign w:val="superscript"/>
        </w:rPr>
        <w:footnoteReference w:customMarkFollows="0" w:id="1"/>
      </w:r>
      <w:r w:rsidDel="00000000" w:rsidR="00000000" w:rsidRPr="00000000">
        <w:rPr>
          <w:rtl w:val="0"/>
        </w:rPr>
      </w:r>
    </w:p>
    <w:p w:rsidR="00000000" w:rsidDel="00000000" w:rsidP="00000000" w:rsidRDefault="00000000" w:rsidRPr="00000000" w14:paraId="00000009">
      <w:pPr>
        <w:spacing w:line="360" w:lineRule="auto"/>
        <w:contextualSpacing w:val="0"/>
        <w:rPr>
          <w:sz w:val="20"/>
          <w:szCs w:val="20"/>
        </w:rPr>
      </w:pPr>
      <w:r w:rsidDel="00000000" w:rsidR="00000000" w:rsidRPr="00000000">
        <w:rPr>
          <w:rtl w:val="0"/>
        </w:rPr>
      </w:r>
    </w:p>
    <w:p w:rsidR="00000000" w:rsidDel="00000000" w:rsidP="00000000" w:rsidRDefault="00000000" w:rsidRPr="00000000" w14:paraId="0000000A">
      <w:pPr>
        <w:spacing w:line="360" w:lineRule="auto"/>
        <w:contextualSpacing w:val="0"/>
        <w:rPr>
          <w:i w:val="1"/>
          <w:sz w:val="20"/>
          <w:szCs w:val="20"/>
        </w:rPr>
      </w:pPr>
      <w:r w:rsidDel="00000000" w:rsidR="00000000" w:rsidRPr="00000000">
        <w:rPr>
          <w:sz w:val="20"/>
          <w:szCs w:val="20"/>
          <w:rtl w:val="0"/>
        </w:rPr>
        <w:t xml:space="preserve">(</w:t>
      </w:r>
      <w:r w:rsidDel="00000000" w:rsidR="00000000" w:rsidRPr="00000000">
        <w:rPr>
          <w:sz w:val="20"/>
          <w:szCs w:val="20"/>
          <w:rtl w:val="0"/>
        </w:rPr>
        <w:t xml:space="preserve">3). Stephen Baxter, PASE, ,</w:t>
      </w:r>
      <w:r w:rsidDel="00000000" w:rsidR="00000000" w:rsidRPr="00000000">
        <w:rPr>
          <w:i w:val="1"/>
          <w:sz w:val="20"/>
          <w:szCs w:val="20"/>
          <w:rtl w:val="0"/>
        </w:rPr>
        <w:t xml:space="preserve"> The Prosopography of Anglo-Saxon England, </w:t>
      </w:r>
      <w:hyperlink r:id="rId8">
        <w:r w:rsidDel="00000000" w:rsidR="00000000" w:rsidRPr="00000000">
          <w:rPr>
            <w:i w:val="1"/>
            <w:sz w:val="20"/>
            <w:szCs w:val="20"/>
            <w:rtl w:val="0"/>
          </w:rPr>
          <w:t xml:space="preserve">http://domesday.pase.ac.uk</w:t>
        </w:r>
      </w:hyperlink>
      <w:r w:rsidDel="00000000" w:rsidR="00000000" w:rsidRPr="00000000">
        <w:rPr>
          <w:i w:val="1"/>
          <w:sz w:val="20"/>
          <w:szCs w:val="20"/>
          <w:rtl w:val="0"/>
        </w:rPr>
        <w:t xml:space="preserve">, 2010, Accessed 2018</w:t>
      </w:r>
    </w:p>
    <w:p w:rsidR="00000000" w:rsidDel="00000000" w:rsidP="00000000" w:rsidRDefault="00000000" w:rsidRPr="00000000" w14:paraId="0000000B">
      <w:pPr>
        <w:spacing w:line="360" w:lineRule="auto"/>
        <w:contextualSpacing w:val="0"/>
        <w:rPr>
          <w:sz w:val="20"/>
          <w:szCs w:val="20"/>
        </w:rPr>
      </w:pPr>
      <w:r w:rsidDel="00000000" w:rsidR="00000000" w:rsidRPr="00000000">
        <w:rPr>
          <w:sz w:val="20"/>
          <w:szCs w:val="20"/>
          <w:rtl w:val="0"/>
        </w:rPr>
        <w:t xml:space="preserve">PASE Domesday, forms part of a long-term research initiative which aims in due course to identify all the landholders named in Domesday Book and to produce ‘a major study of landed society in England in 1066 and 1086 , based on a systematic examination of the available written sources for the period, the principal task being to work systematically through Domesday Book, editing each row in the database, and assigning each parcel of land to an identified person’, </w:t>
      </w:r>
      <w:r w:rsidDel="00000000" w:rsidR="00000000" w:rsidRPr="00000000">
        <w:rPr>
          <w:sz w:val="20"/>
          <w:szCs w:val="20"/>
          <w:vertAlign w:val="superscript"/>
        </w:rPr>
        <w:footnoteReference w:customMarkFollows="0" w:id="2"/>
      </w:r>
      <w:r w:rsidDel="00000000" w:rsidR="00000000" w:rsidRPr="00000000">
        <w:rPr>
          <w:sz w:val="20"/>
          <w:szCs w:val="20"/>
          <w:rtl w:val="0"/>
        </w:rPr>
        <w:t xml:space="preserve">  having done so, to produce written profiles of each person, explaining and justifying the identification. The website comprises two main elements: a database designed to capture every parcel of landed property recorded in Domesday Book and link them to particular people. Each profile includes maps, tables, and a prose analysis which explains the rationale behind the identification of land/person.</w:t>
      </w:r>
    </w:p>
    <w:p w:rsidR="00000000" w:rsidDel="00000000" w:rsidP="00000000" w:rsidRDefault="00000000" w:rsidRPr="00000000" w14:paraId="0000000C">
      <w:pPr>
        <w:spacing w:line="360" w:lineRule="auto"/>
        <w:contextualSpacing w:val="0"/>
        <w:rPr>
          <w:sz w:val="20"/>
          <w:szCs w:val="20"/>
        </w:rPr>
      </w:pPr>
      <w:r w:rsidDel="00000000" w:rsidR="00000000" w:rsidRPr="00000000">
        <w:rPr>
          <w:rtl w:val="0"/>
        </w:rPr>
      </w:r>
    </w:p>
    <w:p w:rsidR="00000000" w:rsidDel="00000000" w:rsidP="00000000" w:rsidRDefault="00000000" w:rsidRPr="00000000" w14:paraId="0000000D">
      <w:pPr>
        <w:spacing w:line="360" w:lineRule="auto"/>
        <w:contextualSpacing w:val="0"/>
        <w:rPr>
          <w:sz w:val="20"/>
          <w:szCs w:val="20"/>
        </w:rPr>
      </w:pPr>
      <w:r w:rsidDel="00000000" w:rsidR="00000000" w:rsidRPr="00000000">
        <w:rPr>
          <w:rtl w:val="0"/>
        </w:rPr>
      </w:r>
    </w:p>
    <w:p w:rsidR="00000000" w:rsidDel="00000000" w:rsidP="00000000" w:rsidRDefault="00000000" w:rsidRPr="00000000" w14:paraId="0000000E">
      <w:pPr>
        <w:spacing w:line="360" w:lineRule="auto"/>
        <w:ind w:left="566.9291338582675" w:hanging="566.9291338582675"/>
        <w:contextualSpacing w:val="0"/>
        <w:rPr>
          <w:sz w:val="20"/>
          <w:szCs w:val="20"/>
        </w:rPr>
      </w:pPr>
      <w:r w:rsidDel="00000000" w:rsidR="00000000" w:rsidRPr="00000000">
        <w:rPr>
          <w:sz w:val="20"/>
          <w:szCs w:val="20"/>
          <w:rtl w:val="0"/>
        </w:rPr>
        <w:t xml:space="preserve">(4). 'Interpretation Domesday',  http://www.nationalarchives.gov.uk/domesday, in Discover Domesday &lt;The National Archives&gt; [accessed 2018].</w:t>
      </w:r>
    </w:p>
    <w:p w:rsidR="00000000" w:rsidDel="00000000" w:rsidP="00000000" w:rsidRDefault="00000000" w:rsidRPr="00000000" w14:paraId="0000000F">
      <w:pPr>
        <w:spacing w:line="360" w:lineRule="auto"/>
        <w:contextualSpacing w:val="0"/>
        <w:rPr>
          <w:sz w:val="20"/>
          <w:szCs w:val="20"/>
        </w:rPr>
      </w:pPr>
      <w:r w:rsidDel="00000000" w:rsidR="00000000" w:rsidRPr="00000000">
        <w:rPr>
          <w:sz w:val="20"/>
          <w:szCs w:val="20"/>
          <w:rtl w:val="0"/>
        </w:rPr>
        <w:t xml:space="preserve">The National Archives has a section that focuses on The Domesday Book and provides assistance to help with further research. It has several categories that offer advice on how to interpret the translated material, such as Reading Domesday Entries, Insight into Society, a bibliography, glossary, commentary on the layout of Domesday Book , accessing Domesday online and in print etc. An excellent source for research, particularly for scholars who might benefit from understanding the social and economic context that facilitated the Domesday survey .</w:t>
      </w:r>
    </w:p>
    <w:p w:rsidR="00000000" w:rsidDel="00000000" w:rsidP="00000000" w:rsidRDefault="00000000" w:rsidRPr="00000000" w14:paraId="00000010">
      <w:pPr>
        <w:spacing w:line="360" w:lineRule="auto"/>
        <w:contextualSpacing w:val="0"/>
        <w:rPr>
          <w:sz w:val="20"/>
          <w:szCs w:val="20"/>
        </w:rPr>
      </w:pPr>
      <w:r w:rsidDel="00000000" w:rsidR="00000000" w:rsidRPr="00000000">
        <w:rPr>
          <w:rtl w:val="0"/>
        </w:rPr>
      </w:r>
    </w:p>
    <w:p w:rsidR="00000000" w:rsidDel="00000000" w:rsidP="00000000" w:rsidRDefault="00000000" w:rsidRPr="00000000" w14:paraId="00000011">
      <w:pPr>
        <w:spacing w:line="360" w:lineRule="auto"/>
        <w:ind w:left="425.19685039370086" w:hanging="425.19685039370086"/>
        <w:contextualSpacing w:val="0"/>
        <w:rPr>
          <w:sz w:val="20"/>
          <w:szCs w:val="20"/>
        </w:rPr>
      </w:pPr>
      <w:r w:rsidDel="00000000" w:rsidR="00000000" w:rsidRPr="00000000">
        <w:rPr>
          <w:sz w:val="20"/>
          <w:szCs w:val="20"/>
          <w:rtl w:val="0"/>
        </w:rPr>
        <w:t xml:space="preserve">(</w:t>
      </w:r>
      <w:r w:rsidDel="00000000" w:rsidR="00000000" w:rsidRPr="00000000">
        <w:rPr>
          <w:sz w:val="20"/>
          <w:szCs w:val="20"/>
          <w:rtl w:val="0"/>
        </w:rPr>
        <w:t xml:space="preserve">5) Alecto Historical Editions , </w:t>
      </w:r>
      <w:r w:rsidDel="00000000" w:rsidR="00000000" w:rsidRPr="00000000">
        <w:rPr>
          <w:i w:val="1"/>
          <w:sz w:val="20"/>
          <w:szCs w:val="20"/>
          <w:rtl w:val="0"/>
        </w:rPr>
        <w:t xml:space="preserve">Domesday Book ; A Complete Translation</w:t>
      </w:r>
      <w:r w:rsidDel="00000000" w:rsidR="00000000" w:rsidRPr="00000000">
        <w:rPr>
          <w:sz w:val="20"/>
          <w:szCs w:val="20"/>
          <w:rtl w:val="0"/>
        </w:rPr>
        <w:t xml:space="preserve"> [(London: Penguin Books Ltd, 07 Nov 2002)], ISBN10 0141005238</w:t>
      </w:r>
    </w:p>
    <w:p w:rsidR="00000000" w:rsidDel="00000000" w:rsidP="00000000" w:rsidRDefault="00000000" w:rsidRPr="00000000" w14:paraId="00000012">
      <w:pPr>
        <w:spacing w:line="360" w:lineRule="auto"/>
        <w:contextualSpacing w:val="0"/>
        <w:rPr>
          <w:sz w:val="20"/>
          <w:szCs w:val="20"/>
        </w:rPr>
      </w:pPr>
      <w:r w:rsidDel="00000000" w:rsidR="00000000" w:rsidRPr="00000000">
        <w:rPr>
          <w:sz w:val="20"/>
          <w:szCs w:val="20"/>
          <w:rtl w:val="0"/>
        </w:rPr>
        <w:t xml:space="preserve">The Alecto Editions are a series of high-quality bibliophile facsimiles published 1985–1992, with a new English translation in two separate volumes. Alecto (1985): In 1985 when Domesday was rebound, every page was photographed. The result is a high quality colour facsimile of both Great and Little Domesday. Extensive county introductions, maps, and historical essays accompany the facsimile and its translation. This volume presents a complete, authoritative translation of Domesday Book from the original Latin, together with an index of places and a glossary of terms used. </w:t>
      </w:r>
      <w:hyperlink r:id="rId9">
        <w:r w:rsidDel="00000000" w:rsidR="00000000" w:rsidRPr="00000000">
          <w:rPr>
            <w:sz w:val="20"/>
            <w:szCs w:val="20"/>
            <w:rtl w:val="0"/>
          </w:rPr>
          <w:t xml:space="preserve">Penguin Books</w:t>
        </w:r>
      </w:hyperlink>
      <w:r w:rsidDel="00000000" w:rsidR="00000000" w:rsidRPr="00000000">
        <w:rPr>
          <w:sz w:val="20"/>
          <w:szCs w:val="20"/>
          <w:rtl w:val="0"/>
        </w:rPr>
        <w:t xml:space="preserve"> reproduced the Alecto translation in a single volume, published in 2002 in hardback and in 2003 in paperback, with an introduction by Professor </w:t>
      </w:r>
      <w:hyperlink r:id="rId10">
        <w:r w:rsidDel="00000000" w:rsidR="00000000" w:rsidRPr="00000000">
          <w:rPr>
            <w:sz w:val="20"/>
            <w:szCs w:val="20"/>
            <w:rtl w:val="0"/>
          </w:rPr>
          <w:t xml:space="preserve">Geoffrey Martin</w:t>
        </w:r>
      </w:hyperlink>
      <w:r w:rsidDel="00000000" w:rsidR="00000000" w:rsidRPr="00000000">
        <w:rPr>
          <w:sz w:val="20"/>
          <w:szCs w:val="20"/>
          <w:rtl w:val="0"/>
        </w:rPr>
        <w:t xml:space="preserve">, then Keeper of Public Records and custodian of the original Domesday. It is the first edition to omit the Latin text entirely, and the first single-volume edition of the translated text. Alecto Editions can be seen in printed form at The National Archives at Kew. </w:t>
      </w:r>
    </w:p>
    <w:p w:rsidR="00000000" w:rsidDel="00000000" w:rsidP="00000000" w:rsidRDefault="00000000" w:rsidRPr="00000000" w14:paraId="00000013">
      <w:pPr>
        <w:spacing w:line="360" w:lineRule="auto"/>
        <w:contextualSpacing w:val="0"/>
        <w:rPr>
          <w:sz w:val="20"/>
          <w:szCs w:val="20"/>
        </w:rPr>
      </w:pPr>
      <w:r w:rsidDel="00000000" w:rsidR="00000000" w:rsidRPr="00000000">
        <w:rPr>
          <w:sz w:val="20"/>
          <w:szCs w:val="20"/>
          <w:rtl w:val="0"/>
        </w:rPr>
        <w:t xml:space="preserve">Within this exercise, I have attempted to locate a range of translations that have allowed the Domesday book to be more widely available in printed form. There are not a great number of full literal translations. This appears, in part, due to 18th century translation by Abraham Farley (1783), popularly considered to be so exceptional that further revisions are not required. Or perhaps, the intrinsic nature of the Domesday book; being a shorthand record means that the margin for translational error is less likely than literature of that era, therefore revisions or modern translations, would not deviate from earlier translations enough to warrant undertaking or produce the formidable project. Within this exercise, I have offered some examples to illustrate the nature of available translations, and attempted to identify the circumstances in which they were written and discuss the  component that attribute to their value, authority and significance. </w:t>
      </w:r>
    </w:p>
    <w:p w:rsidR="00000000" w:rsidDel="00000000" w:rsidP="00000000" w:rsidRDefault="00000000" w:rsidRPr="00000000" w14:paraId="00000014">
      <w:pPr>
        <w:keepNext w:val="0"/>
        <w:keepLines w:val="0"/>
        <w:pBdr>
          <w:top w:color="000000" w:space="0" w:sz="0" w:val="none"/>
          <w:bottom w:color="000000" w:space="0" w:sz="0" w:val="none"/>
          <w:right w:color="000000" w:space="0" w:sz="0" w:val="none"/>
          <w:between w:color="000000" w:space="0" w:sz="0" w:val="none"/>
        </w:pBdr>
        <w:spacing w:after="540" w:before="820" w:line="360" w:lineRule="auto"/>
        <w:contextualSpacing w:val="0"/>
        <w:rPr/>
      </w:pPr>
      <w:r w:rsidDel="00000000" w:rsidR="00000000" w:rsidRPr="00000000">
        <w:rPr>
          <w:rtl w:val="0"/>
        </w:rPr>
      </w:r>
    </w:p>
    <w:p w:rsidR="00000000" w:rsidDel="00000000" w:rsidP="00000000" w:rsidRDefault="00000000" w:rsidRPr="00000000" w14:paraId="00000015">
      <w:pPr>
        <w:keepNext w:val="0"/>
        <w:keepLines w:val="0"/>
        <w:pBdr>
          <w:top w:color="000000" w:space="0" w:sz="0" w:val="none"/>
          <w:bottom w:color="000000" w:space="0" w:sz="0" w:val="none"/>
          <w:right w:color="000000" w:space="0" w:sz="0" w:val="none"/>
          <w:between w:color="000000" w:space="0" w:sz="0" w:val="none"/>
        </w:pBdr>
        <w:spacing w:after="540" w:before="820" w:line="360" w:lineRule="auto"/>
        <w:contextualSpacing w:val="0"/>
        <w:rPr>
          <w:sz w:val="20"/>
          <w:szCs w:val="20"/>
        </w:rPr>
      </w:pPr>
      <w:r w:rsidDel="00000000" w:rsidR="00000000" w:rsidRPr="00000000">
        <w:rPr>
          <w:sz w:val="20"/>
          <w:szCs w:val="20"/>
          <w:rtl w:val="0"/>
        </w:rPr>
        <w:t xml:space="preserve">Bibliography/links</w:t>
      </w:r>
    </w:p>
    <w:p w:rsidR="00000000" w:rsidDel="00000000" w:rsidP="00000000" w:rsidRDefault="00000000" w:rsidRPr="00000000" w14:paraId="00000016">
      <w:pPr>
        <w:pBdr>
          <w:top w:color="000000" w:space="0" w:sz="0" w:val="none"/>
          <w:bottom w:color="000000" w:space="0" w:sz="0" w:val="none"/>
          <w:right w:color="000000" w:space="0" w:sz="0" w:val="none"/>
          <w:between w:color="000000" w:space="0" w:sz="0" w:val="none"/>
        </w:pBdr>
        <w:spacing w:after="340" w:line="360" w:lineRule="auto"/>
        <w:contextualSpacing w:val="0"/>
        <w:rPr>
          <w:sz w:val="20"/>
          <w:szCs w:val="20"/>
        </w:rPr>
      </w:pPr>
      <w:r w:rsidDel="00000000" w:rsidR="00000000" w:rsidRPr="00000000">
        <w:rPr>
          <w:sz w:val="20"/>
          <w:szCs w:val="20"/>
          <w:rtl w:val="0"/>
        </w:rPr>
        <w:t xml:space="preserve">Darby, H C  Domesday England [Cambridge University Press, 1977)].</w:t>
      </w:r>
    </w:p>
    <w:p w:rsidR="00000000" w:rsidDel="00000000" w:rsidP="00000000" w:rsidRDefault="00000000" w:rsidRPr="00000000" w14:paraId="00000017">
      <w:pPr>
        <w:pBdr>
          <w:top w:color="000000" w:space="0" w:sz="0" w:val="none"/>
          <w:bottom w:color="000000" w:space="0" w:sz="0" w:val="none"/>
          <w:right w:color="000000" w:space="0" w:sz="0" w:val="none"/>
          <w:between w:color="000000" w:space="0" w:sz="0" w:val="none"/>
        </w:pBdr>
        <w:spacing w:after="340" w:line="360" w:lineRule="auto"/>
        <w:contextualSpacing w:val="0"/>
        <w:rPr>
          <w:sz w:val="20"/>
          <w:szCs w:val="20"/>
        </w:rPr>
      </w:pPr>
      <w:r w:rsidDel="00000000" w:rsidR="00000000" w:rsidRPr="00000000">
        <w:rPr>
          <w:sz w:val="20"/>
          <w:szCs w:val="20"/>
          <w:rtl w:val="0"/>
        </w:rPr>
        <w:t xml:space="preserve">Erskine R W H and A Williams (eds), Story of the Domesday Book [</w:t>
      </w:r>
      <w:r w:rsidDel="00000000" w:rsidR="00000000" w:rsidRPr="00000000">
        <w:rPr>
          <w:sz w:val="20"/>
          <w:szCs w:val="20"/>
          <w:rtl w:val="0"/>
        </w:rPr>
        <w:t xml:space="preserve">Chichester, West Sussex: Phillimore</w:t>
      </w:r>
      <w:r w:rsidDel="00000000" w:rsidR="00000000" w:rsidRPr="00000000">
        <w:rPr>
          <w:sz w:val="20"/>
          <w:szCs w:val="20"/>
          <w:rtl w:val="0"/>
        </w:rPr>
        <w:t xml:space="preserve"> (2003)].</w:t>
      </w:r>
    </w:p>
    <w:p w:rsidR="00000000" w:rsidDel="00000000" w:rsidP="00000000" w:rsidRDefault="00000000" w:rsidRPr="00000000" w14:paraId="00000018">
      <w:pPr>
        <w:pBdr>
          <w:top w:color="000000" w:space="0" w:sz="0" w:val="none"/>
          <w:bottom w:color="000000" w:space="0" w:sz="0" w:val="none"/>
          <w:right w:color="000000" w:space="0" w:sz="0" w:val="none"/>
          <w:between w:color="000000" w:space="0" w:sz="0" w:val="none"/>
        </w:pBdr>
        <w:spacing w:after="340" w:line="360" w:lineRule="auto"/>
        <w:contextualSpacing w:val="0"/>
        <w:rPr>
          <w:sz w:val="20"/>
          <w:szCs w:val="20"/>
        </w:rPr>
      </w:pPr>
      <w:r w:rsidDel="00000000" w:rsidR="00000000" w:rsidRPr="00000000">
        <w:rPr>
          <w:sz w:val="20"/>
          <w:szCs w:val="20"/>
          <w:rtl w:val="0"/>
        </w:rPr>
        <w:t xml:space="preserve">Hallam E M , Domesday Book through Nine Centuries [Thames and Hudson,NY (1986)].</w:t>
      </w:r>
    </w:p>
    <w:p w:rsidR="00000000" w:rsidDel="00000000" w:rsidP="00000000" w:rsidRDefault="00000000" w:rsidRPr="00000000" w14:paraId="00000019">
      <w:pPr>
        <w:pBdr>
          <w:top w:color="000000" w:space="0" w:sz="0" w:val="none"/>
          <w:bottom w:color="000000" w:space="0" w:sz="0" w:val="none"/>
          <w:right w:color="000000" w:space="0" w:sz="0" w:val="none"/>
          <w:between w:color="000000" w:space="0" w:sz="0" w:val="none"/>
        </w:pBdr>
        <w:shd w:fill="auto" w:val="clear"/>
        <w:spacing w:after="0" w:before="0" w:line="360" w:lineRule="auto"/>
        <w:contextualSpacing w:val="0"/>
        <w:jc w:val="both"/>
        <w:rPr>
          <w:sz w:val="20"/>
          <w:szCs w:val="20"/>
        </w:rPr>
      </w:pPr>
      <w:r w:rsidDel="00000000" w:rsidR="00000000" w:rsidRPr="00000000">
        <w:rPr>
          <w:sz w:val="20"/>
          <w:szCs w:val="20"/>
          <w:rtl w:val="0"/>
        </w:rPr>
        <w:t xml:space="preserve">Hoskins, W. G., </w:t>
      </w:r>
      <w:r w:rsidDel="00000000" w:rsidR="00000000" w:rsidRPr="00000000">
        <w:rPr>
          <w:i w:val="1"/>
          <w:sz w:val="20"/>
          <w:szCs w:val="20"/>
          <w:rtl w:val="0"/>
        </w:rPr>
        <w:t xml:space="preserve">Local History in England</w:t>
      </w:r>
      <w:r w:rsidDel="00000000" w:rsidR="00000000" w:rsidRPr="00000000">
        <w:rPr>
          <w:sz w:val="20"/>
          <w:szCs w:val="20"/>
          <w:rtl w:val="0"/>
        </w:rPr>
        <w:t xml:space="preserve">, 3rd edn [(London: Longman, 1984)].</w:t>
      </w:r>
    </w:p>
    <w:p w:rsidR="00000000" w:rsidDel="00000000" w:rsidP="00000000" w:rsidRDefault="00000000" w:rsidRPr="00000000" w14:paraId="0000001A">
      <w:pPr>
        <w:pBdr>
          <w:top w:color="000000" w:space="0" w:sz="0" w:val="none"/>
          <w:bottom w:color="000000" w:space="0" w:sz="0" w:val="none"/>
          <w:right w:color="000000" w:space="0" w:sz="0" w:val="none"/>
          <w:between w:color="000000" w:space="0" w:sz="0" w:val="none"/>
        </w:pBdr>
        <w:spacing w:after="340" w:line="360" w:lineRule="auto"/>
        <w:contextualSpacing w:val="0"/>
        <w:rPr>
          <w:sz w:val="20"/>
          <w:szCs w:val="20"/>
        </w:rPr>
      </w:pPr>
      <w:r w:rsidDel="00000000" w:rsidR="00000000" w:rsidRPr="00000000">
        <w:rPr>
          <w:sz w:val="20"/>
          <w:szCs w:val="20"/>
          <w:rtl w:val="0"/>
        </w:rPr>
        <w:t xml:space="preserve">Roffe, D  Decoding Domesday[ Boydell Press, (2007)].</w:t>
      </w:r>
    </w:p>
    <w:p w:rsidR="00000000" w:rsidDel="00000000" w:rsidP="00000000" w:rsidRDefault="00000000" w:rsidRPr="00000000" w14:paraId="0000001B">
      <w:pPr>
        <w:pBdr>
          <w:top w:color="000000" w:space="0" w:sz="0" w:val="none"/>
          <w:bottom w:color="000000" w:space="0" w:sz="0" w:val="none"/>
          <w:right w:color="000000" w:space="0" w:sz="0" w:val="none"/>
          <w:between w:color="000000" w:space="0" w:sz="0" w:val="none"/>
        </w:pBdr>
        <w:spacing w:after="340" w:line="360" w:lineRule="auto"/>
        <w:contextualSpacing w:val="0"/>
        <w:rPr>
          <w:sz w:val="20"/>
          <w:szCs w:val="20"/>
        </w:rPr>
      </w:pPr>
      <w:r w:rsidDel="00000000" w:rsidR="00000000" w:rsidRPr="00000000">
        <w:rPr>
          <w:sz w:val="20"/>
          <w:szCs w:val="20"/>
          <w:rtl w:val="0"/>
        </w:rPr>
        <w:t xml:space="preserve">Williams A and G H Martin (eds), Domesday Book: A Complete Translation [London ;Penguin, (2003)].</w:t>
      </w:r>
    </w:p>
    <w:p w:rsidR="00000000" w:rsidDel="00000000" w:rsidP="00000000" w:rsidRDefault="00000000" w:rsidRPr="00000000" w14:paraId="0000001C">
      <w:pPr>
        <w:pBdr>
          <w:top w:color="000000" w:space="0" w:sz="0" w:val="none"/>
          <w:bottom w:color="000000" w:space="0" w:sz="0" w:val="none"/>
          <w:right w:color="000000" w:space="0" w:sz="0" w:val="none"/>
          <w:between w:color="000000" w:space="0" w:sz="0" w:val="none"/>
        </w:pBdr>
        <w:spacing w:after="340" w:line="360" w:lineRule="auto"/>
        <w:contextualSpacing w:val="0"/>
        <w:rPr>
          <w:sz w:val="20"/>
          <w:szCs w:val="20"/>
        </w:rPr>
      </w:pPr>
      <w:hyperlink r:id="rId11">
        <w:r w:rsidDel="00000000" w:rsidR="00000000" w:rsidRPr="00000000">
          <w:rPr>
            <w:sz w:val="20"/>
            <w:szCs w:val="20"/>
            <w:rtl w:val="0"/>
          </w:rPr>
          <w:t xml:space="preserve">https://copac.jisc.ac.uk/</w:t>
        </w:r>
      </w:hyperlink>
      <w:r w:rsidDel="00000000" w:rsidR="00000000" w:rsidRPr="00000000">
        <w:rPr>
          <w:rtl w:val="0"/>
        </w:rPr>
      </w:r>
    </w:p>
    <w:p w:rsidR="00000000" w:rsidDel="00000000" w:rsidP="00000000" w:rsidRDefault="00000000" w:rsidRPr="00000000" w14:paraId="0000001D">
      <w:pPr>
        <w:pBdr>
          <w:top w:color="000000" w:space="0" w:sz="0" w:val="none"/>
          <w:bottom w:color="000000" w:space="0" w:sz="0" w:val="none"/>
          <w:right w:color="000000" w:space="0" w:sz="0" w:val="none"/>
          <w:between w:color="000000" w:space="0" w:sz="0" w:val="none"/>
        </w:pBdr>
        <w:spacing w:after="340" w:line="360" w:lineRule="auto"/>
        <w:contextualSpacing w:val="0"/>
        <w:rPr>
          <w:sz w:val="20"/>
          <w:szCs w:val="20"/>
        </w:rPr>
      </w:pPr>
      <w:r w:rsidDel="00000000" w:rsidR="00000000" w:rsidRPr="00000000">
        <w:rPr>
          <w:sz w:val="20"/>
          <w:szCs w:val="20"/>
          <w:rtl w:val="0"/>
        </w:rPr>
        <w:t xml:space="preserve">https://www.bl.uk/</w:t>
      </w:r>
    </w:p>
    <w:p w:rsidR="00000000" w:rsidDel="00000000" w:rsidP="00000000" w:rsidRDefault="00000000" w:rsidRPr="00000000" w14:paraId="0000001E">
      <w:pPr>
        <w:pBdr>
          <w:top w:color="000000" w:space="0" w:sz="0" w:val="none"/>
          <w:bottom w:color="000000" w:space="0" w:sz="0" w:val="none"/>
          <w:right w:color="000000" w:space="0" w:sz="0" w:val="none"/>
          <w:between w:color="000000" w:space="0" w:sz="0" w:val="none"/>
        </w:pBdr>
        <w:spacing w:after="340" w:line="360" w:lineRule="auto"/>
        <w:contextualSpacing w:val="0"/>
        <w:rPr>
          <w:b w:val="1"/>
          <w:sz w:val="20"/>
          <w:szCs w:val="20"/>
        </w:rPr>
      </w:pPr>
      <w:r w:rsidDel="00000000" w:rsidR="00000000" w:rsidRPr="00000000">
        <w:rPr>
          <w:rtl w:val="0"/>
        </w:rPr>
      </w:r>
    </w:p>
    <w:p w:rsidR="00000000" w:rsidDel="00000000" w:rsidP="00000000" w:rsidRDefault="00000000" w:rsidRPr="00000000" w14:paraId="0000001F">
      <w:pPr>
        <w:pBdr>
          <w:top w:color="000000" w:space="0" w:sz="0" w:val="none"/>
          <w:bottom w:color="000000" w:space="0" w:sz="0" w:val="none"/>
          <w:right w:color="000000" w:space="0" w:sz="0" w:val="none"/>
          <w:between w:color="000000" w:space="0" w:sz="0" w:val="none"/>
        </w:pBdr>
        <w:spacing w:after="340" w:line="360" w:lineRule="auto"/>
        <w:contextualSpacing w:val="0"/>
        <w:rPr>
          <w:sz w:val="20"/>
          <w:szCs w:val="20"/>
        </w:rPr>
      </w:pPr>
      <w:r w:rsidDel="00000000" w:rsidR="00000000" w:rsidRPr="00000000">
        <w:rPr>
          <w:rtl w:val="0"/>
        </w:rPr>
      </w:r>
    </w:p>
    <w:p w:rsidR="00000000" w:rsidDel="00000000" w:rsidP="00000000" w:rsidRDefault="00000000" w:rsidRPr="00000000" w14:paraId="00000020">
      <w:pPr>
        <w:pBdr>
          <w:top w:color="000000" w:space="0" w:sz="0" w:val="none"/>
          <w:bottom w:color="000000" w:space="0" w:sz="0" w:val="none"/>
          <w:right w:color="000000" w:space="0" w:sz="0" w:val="none"/>
          <w:between w:color="000000" w:space="0" w:sz="0" w:val="none"/>
        </w:pBdr>
        <w:spacing w:after="100" w:before="100" w:line="360" w:lineRule="auto"/>
        <w:contextualSpacing w:val="0"/>
        <w:rPr>
          <w:color w:val="333333"/>
          <w:sz w:val="20"/>
          <w:szCs w:val="20"/>
        </w:rPr>
      </w:pPr>
      <w:r w:rsidDel="00000000" w:rsidR="00000000" w:rsidRPr="00000000">
        <w:rPr>
          <w:rtl w:val="0"/>
        </w:rPr>
      </w:r>
    </w:p>
    <w:p w:rsidR="00000000" w:rsidDel="00000000" w:rsidP="00000000" w:rsidRDefault="00000000" w:rsidRPr="00000000" w14:paraId="00000021">
      <w:pPr>
        <w:spacing w:line="360" w:lineRule="auto"/>
        <w:ind w:left="720"/>
        <w:contextualSpacing w:val="0"/>
        <w:rPr>
          <w:color w:val="333333"/>
          <w:sz w:val="20"/>
          <w:szCs w:val="20"/>
        </w:rPr>
      </w:pPr>
      <w:r w:rsidDel="00000000" w:rsidR="00000000" w:rsidRPr="00000000">
        <w:rPr>
          <w:rtl w:val="0"/>
        </w:rPr>
      </w:r>
    </w:p>
    <w:p w:rsidR="00000000" w:rsidDel="00000000" w:rsidP="00000000" w:rsidRDefault="00000000" w:rsidRPr="00000000" w14:paraId="00000022">
      <w:pPr>
        <w:spacing w:line="360" w:lineRule="auto"/>
        <w:ind w:left="720"/>
        <w:contextualSpacing w:val="0"/>
        <w:rPr>
          <w:color w:val="121212"/>
          <w:sz w:val="20"/>
          <w:szCs w:val="20"/>
        </w:rPr>
      </w:pPr>
      <w:r w:rsidDel="00000000" w:rsidR="00000000" w:rsidRPr="00000000">
        <w:rPr>
          <w:rtl w:val="0"/>
        </w:rPr>
      </w:r>
    </w:p>
    <w:p w:rsidR="00000000" w:rsidDel="00000000" w:rsidP="00000000" w:rsidRDefault="00000000" w:rsidRPr="00000000" w14:paraId="00000023">
      <w:pPr>
        <w:contextualSpacing w:val="0"/>
        <w:rPr>
          <w:rFonts w:ascii="Georgia" w:cs="Georgia" w:eastAsia="Georgia" w:hAnsi="Georgia"/>
          <w:color w:val="121212"/>
          <w:sz w:val="26"/>
          <w:szCs w:val="26"/>
        </w:rPr>
      </w:pPr>
      <w:r w:rsidDel="00000000" w:rsidR="00000000" w:rsidRPr="00000000">
        <w:rPr>
          <w:rtl w:val="0"/>
        </w:rPr>
      </w:r>
    </w:p>
    <w:sectPr>
      <w:pgSz w:h="16834" w:w="11909"/>
      <w:pgMar w:bottom="806" w:top="850.3937007874016" w:left="1417"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24">
      <w:pPr>
        <w:spacing w:after="0" w:before="0"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 Moriss, 1976, Domesday Book, 12, Hertfordshire, Phillimore and Co, Chichester, Introduction</w:t>
      </w:r>
    </w:p>
  </w:footnote>
  <w:footnote w:id="1">
    <w:p w:rsidR="00000000" w:rsidDel="00000000" w:rsidP="00000000" w:rsidRDefault="00000000" w:rsidRPr="00000000" w14:paraId="00000025">
      <w:pPr>
        <w:spacing w:after="0" w:before="0"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 Moriss,  1976, Domesday Book, Introduction</w:t>
      </w:r>
    </w:p>
  </w:footnote>
  <w:footnote w:id="2">
    <w:p w:rsidR="00000000" w:rsidDel="00000000" w:rsidP="00000000" w:rsidRDefault="00000000" w:rsidRPr="00000000" w14:paraId="00000026">
      <w:pPr>
        <w:spacing w:after="0" w:before="0" w:line="240" w:lineRule="auto"/>
        <w:contextualSpacing w:val="0"/>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Stephen Baxter, PASE, The Prosopography of Anglo-Saxon Engla</w:t>
      </w:r>
      <w:r w:rsidDel="00000000" w:rsidR="00000000" w:rsidRPr="00000000">
        <w:rPr>
          <w:sz w:val="20"/>
          <w:szCs w:val="20"/>
          <w:rtl w:val="0"/>
        </w:rPr>
        <w:t xml:space="preserve">nd, </w:t>
      </w:r>
      <w:hyperlink r:id="rId1">
        <w:r w:rsidDel="00000000" w:rsidR="00000000" w:rsidRPr="00000000">
          <w:rPr>
            <w:sz w:val="20"/>
            <w:szCs w:val="20"/>
            <w:rtl w:val="0"/>
          </w:rPr>
          <w:t xml:space="preserve">http://domesday.pase.ac.uk</w:t>
        </w:r>
      </w:hyperlink>
      <w:r w:rsidDel="00000000" w:rsidR="00000000" w:rsidRPr="00000000">
        <w:rPr>
          <w:sz w:val="20"/>
          <w:szCs w:val="20"/>
          <w:rtl w:val="0"/>
        </w:rPr>
        <w:t xml:space="preserve">, 2010, </w:t>
      </w:r>
      <w:r w:rsidDel="00000000" w:rsidR="00000000" w:rsidRPr="00000000">
        <w:rPr>
          <w:sz w:val="20"/>
          <w:szCs w:val="20"/>
          <w:rtl w:val="0"/>
        </w:rPr>
        <w:t xml:space="preserve">Accessed 2018, Introduction</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18"/>
        <w:szCs w:val="18"/>
        <w:highlight w:val="white"/>
        <w:lang w:val="en-GB"/>
      </w:rPr>
    </w:rPrDefault>
    <w:pPrDefault>
      <w:pPr>
        <w:pBdr>
          <w:top w:color="000000" w:space="7" w:sz="0" w:val="none"/>
          <w:bottom w:color="000000" w:space="7" w:sz="0" w:val="none"/>
          <w:right w:color="000000" w:space="7" w:sz="0" w:val="none"/>
          <w:between w:color="000000" w:space="7" w:sz="0" w:val="none"/>
        </w:pBdr>
        <w:shd w:fill="ffffff" w:val="clear"/>
        <w:spacing w:after="380" w:before="160" w:line="335"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1" Type="http://schemas.openxmlformats.org/officeDocument/2006/relationships/hyperlink" Target="https://copac.jisc.ac.uk/" TargetMode="External"/><Relationship Id="rId10" Type="http://schemas.openxmlformats.org/officeDocument/2006/relationships/hyperlink" Target="https://en.wikipedia.org/wiki/Geoffrey_Martin_(historian)" TargetMode="External"/><Relationship Id="rId9" Type="http://schemas.openxmlformats.org/officeDocument/2006/relationships/hyperlink" Target="https://en.wikipedia.org/wiki/Penguin_Books"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tna.koha-ptfs.co.uk/cgi-bin/koha/opac-search.pl?idx=kw&amp;q=phillimore+domesday&amp;limit=se%3ADomesday+Book+&amp;sort_by=title_az&amp;addto=Add+to..." TargetMode="External"/><Relationship Id="rId8" Type="http://schemas.openxmlformats.org/officeDocument/2006/relationships/hyperlink" Target="http://domesday.pase.ac.uk"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domesday.pase.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