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E634" w14:textId="77777777" w:rsidR="00CC5814" w:rsidRDefault="00862588">
      <w:pPr>
        <w:pStyle w:val="Body"/>
        <w:spacing w:line="480" w:lineRule="auto"/>
        <w:jc w:val="center"/>
        <w:rPr>
          <w:b/>
          <w:bCs/>
          <w:sz w:val="26"/>
          <w:szCs w:val="26"/>
          <w:u w:val="single"/>
        </w:rPr>
      </w:pPr>
      <w:r>
        <w:rPr>
          <w:b/>
          <w:bCs/>
          <w:sz w:val="26"/>
          <w:szCs w:val="26"/>
          <w:u w:val="single"/>
        </w:rPr>
        <w:t>Critically Evaluate the Usefulness of Malinowski’s Explanation of Ritual as an Existential Practice in Understanding the Festival of Ghosts in Chinese Religions</w:t>
      </w:r>
    </w:p>
    <w:p w14:paraId="16231D01" w14:textId="77777777" w:rsidR="00CC5814" w:rsidRDefault="00CC5814">
      <w:pPr>
        <w:pStyle w:val="Body"/>
        <w:spacing w:line="480" w:lineRule="auto"/>
        <w:jc w:val="center"/>
        <w:rPr>
          <w:b/>
          <w:bCs/>
          <w:sz w:val="26"/>
          <w:szCs w:val="26"/>
          <w:u w:val="single"/>
        </w:rPr>
      </w:pPr>
    </w:p>
    <w:p w14:paraId="5C1C671C" w14:textId="5E8D588F" w:rsidR="00CC5814" w:rsidRDefault="00862588">
      <w:pPr>
        <w:pStyle w:val="Body"/>
        <w:spacing w:line="480" w:lineRule="auto"/>
      </w:pPr>
      <w:r>
        <w:t xml:space="preserve">Within functionalism, theorists attempt to explain religion and ritualist practices </w:t>
      </w:r>
      <w:r>
        <w:t xml:space="preserve">through the role they play in different societies and cultures, and functionalist theorist </w:t>
      </w:r>
      <w:proofErr w:type="spellStart"/>
      <w:r>
        <w:t>Bronisław</w:t>
      </w:r>
      <w:proofErr w:type="spellEnd"/>
      <w:r>
        <w:t xml:space="preserve"> Malinowski believed that ‘ritual was a psychological tool to help us cope with life’s uncertainties’ (Hedges, 2021: 280). Thus, he believed that within rel</w:t>
      </w:r>
      <w:r>
        <w:t>igion, ritual is used to ease anxieties about the unknown, most prominently death anxiety. In order to critically evaluate Malinowski’s theory, I will discuss its application to the traditional Chinese ritual of the Festival of Ghosts, in which different r</w:t>
      </w:r>
      <w:r>
        <w:t xml:space="preserve">eligions annually celebrate a </w:t>
      </w:r>
      <w:proofErr w:type="gramStart"/>
      <w:r>
        <w:t>month long</w:t>
      </w:r>
      <w:proofErr w:type="gramEnd"/>
      <w:r>
        <w:t xml:space="preserve"> festival designed to appease and comfort angry, hungry ghosts and ancestors ‘in order to stem their wrath and ensure self-protection’ (Yang, 2020: 88). I will discuss the Ghost Festival in the contexts of both Buddh</w:t>
      </w:r>
      <w:r>
        <w:t xml:space="preserve">ism and Daoism in order to effectively assess the usefulness of Malinowski’s theory and conclude </w:t>
      </w:r>
      <w:r w:rsidR="004207B0">
        <w:t>whether</w:t>
      </w:r>
      <w:r>
        <w:t xml:space="preserve"> this functionalist perspective offers a useful explanation behind religious rituals. </w:t>
      </w:r>
    </w:p>
    <w:p w14:paraId="48AC7C68" w14:textId="77777777" w:rsidR="00CC5814" w:rsidRDefault="00CC5814">
      <w:pPr>
        <w:pStyle w:val="Body"/>
        <w:spacing w:line="480" w:lineRule="auto"/>
      </w:pPr>
    </w:p>
    <w:p w14:paraId="1C2D7674" w14:textId="29465658" w:rsidR="00CC5814" w:rsidRDefault="00862588">
      <w:pPr>
        <w:pStyle w:val="Body"/>
        <w:spacing w:line="480" w:lineRule="auto"/>
      </w:pPr>
      <w:r>
        <w:t>Malinowski’s theory begins with the idea that in primitiv</w:t>
      </w:r>
      <w:r>
        <w:t>e times, societies believed in magic and began to learn how to use it control nature, prompting it to meet their needs. For example, if during harvest season the condition of the soil was not adequate, ‘the primitives feel a sentiment which we call anxiety</w:t>
      </w:r>
      <w:r>
        <w:t xml:space="preserve"> and they perform magical rites’ (Homans, 1941: 164) to attempt to ensure good luck and fortune, with the belief that if performed correctly they would have a successful harvest season. According to Malinowski, religion and the practice of rituals develops</w:t>
      </w:r>
      <w:r>
        <w:t xml:space="preserve"> from this belief in magic but is</w:t>
      </w:r>
      <w:r w:rsidR="00B40940">
        <w:t xml:space="preserve"> specifically</w:t>
      </w:r>
      <w:r>
        <w:t xml:space="preserve"> designed to combat existential concerns and the fear of the unknown, particularly the fear of death and the unknown nature of the afterlife. While the magical rite is performed with clear intentions, for example, a success</w:t>
      </w:r>
      <w:r>
        <w:t xml:space="preserve">ful harvest, the religious ritual has a purpose that is not as clear nor specific, with no real idea on how to ease their anxiety as it is </w:t>
      </w:r>
      <w:r>
        <w:lastRenderedPageBreak/>
        <w:t xml:space="preserve">caused by the unknown itself. George </w:t>
      </w:r>
      <w:proofErr w:type="spellStart"/>
      <w:r>
        <w:t>Hormans</w:t>
      </w:r>
      <w:proofErr w:type="spellEnd"/>
      <w:r>
        <w:t xml:space="preserve"> (1941) concisely stated the following </w:t>
      </w:r>
      <w:proofErr w:type="gramStart"/>
      <w:r>
        <w:t>in regards to</w:t>
      </w:r>
      <w:proofErr w:type="gramEnd"/>
      <w:r>
        <w:t xml:space="preserve"> the motivation for t</w:t>
      </w:r>
      <w:r>
        <w:t xml:space="preserve">he performance of a magic or religious ritual: </w:t>
      </w:r>
    </w:p>
    <w:p w14:paraId="1725FD5C" w14:textId="77777777" w:rsidR="00CC5814" w:rsidRDefault="00862588">
      <w:pPr>
        <w:pStyle w:val="Body"/>
      </w:pPr>
      <w:r>
        <w:tab/>
      </w:r>
      <w:r>
        <w:tab/>
        <w:t>‘</w:t>
      </w:r>
      <w:r>
        <w:t xml:space="preserve">Without doubt there are many factors involved in the </w:t>
      </w:r>
      <w:r>
        <w:br/>
      </w:r>
      <w:r>
        <w:tab/>
      </w:r>
      <w:r>
        <w:tab/>
      </w:r>
      <w:r>
        <w:t>performance of magic, but the least number which must be</w:t>
      </w:r>
      <w:r>
        <w:br/>
      </w:r>
      <w:r>
        <w:tab/>
      </w:r>
      <w:r>
        <w:tab/>
      </w:r>
      <w:r>
        <w:t xml:space="preserve">taken into consideration are apparently the following. A </w:t>
      </w:r>
      <w:r>
        <w:br/>
      </w:r>
      <w:r>
        <w:tab/>
      </w:r>
      <w:r>
        <w:tab/>
      </w:r>
      <w:r>
        <w:t>sentiment which we call anxiet</w:t>
      </w:r>
      <w:r>
        <w:t xml:space="preserve">y arises when men feel </w:t>
      </w:r>
      <w:r>
        <w:br/>
      </w:r>
      <w:r>
        <w:tab/>
      </w:r>
      <w:r>
        <w:tab/>
      </w:r>
      <w:r>
        <w:t xml:space="preserve">certain desires and do not possess the techniques which </w:t>
      </w:r>
      <w:r>
        <w:br/>
      </w:r>
      <w:r>
        <w:tab/>
      </w:r>
      <w:r>
        <w:tab/>
      </w:r>
      <w:r>
        <w:t xml:space="preserve">make them sure of satisfying the desires. This sentiment of </w:t>
      </w:r>
      <w:r>
        <w:br/>
      </w:r>
      <w:r>
        <w:tab/>
      </w:r>
      <w:r>
        <w:tab/>
      </w:r>
      <w:r>
        <w:t xml:space="preserve">anxiety then manifests itself in ritual </w:t>
      </w:r>
      <w:proofErr w:type="spellStart"/>
      <w:r>
        <w:t>behaviour</w:t>
      </w:r>
      <w:proofErr w:type="spellEnd"/>
      <w:r>
        <w:t>.’</w:t>
      </w:r>
    </w:p>
    <w:p w14:paraId="27757542" w14:textId="77777777" w:rsidR="00CC5814" w:rsidRDefault="00862588">
      <w:pPr>
        <w:pStyle w:val="Body"/>
      </w:pPr>
      <w:r>
        <w:tab/>
      </w:r>
      <w:r>
        <w:tab/>
      </w:r>
      <w:r>
        <w:tab/>
      </w:r>
      <w:r>
        <w:tab/>
      </w:r>
      <w:r>
        <w:tab/>
      </w:r>
      <w:r>
        <w:tab/>
      </w:r>
      <w:r>
        <w:tab/>
      </w:r>
      <w:r>
        <w:tab/>
      </w:r>
      <w:r>
        <w:tab/>
      </w:r>
      <w:r>
        <w:tab/>
        <w:t>(166)</w:t>
      </w:r>
    </w:p>
    <w:p w14:paraId="60203FB7" w14:textId="77777777" w:rsidR="00CC5814" w:rsidRDefault="00CC5814">
      <w:pPr>
        <w:pStyle w:val="Body"/>
      </w:pPr>
    </w:p>
    <w:p w14:paraId="5039280C" w14:textId="2E63AF83" w:rsidR="00CC5814" w:rsidRDefault="00862588">
      <w:pPr>
        <w:pStyle w:val="Body"/>
        <w:spacing w:line="480" w:lineRule="auto"/>
      </w:pPr>
      <w:proofErr w:type="gramStart"/>
      <w:r>
        <w:t>It is clear that while</w:t>
      </w:r>
      <w:proofErr w:type="gramEnd"/>
      <w:r>
        <w:t xml:space="preserve"> religious ritual</w:t>
      </w:r>
      <w:r>
        <w:t xml:space="preserve">s may have several reasons as to why they </w:t>
      </w:r>
      <w:r w:rsidR="00B40940">
        <w:t xml:space="preserve">are </w:t>
      </w:r>
      <w:r>
        <w:t xml:space="preserve">carried out, perhaps including the length of time in which it has been a tradition, in some way the reason for the ritual will be rooted in some form of anxiety. </w:t>
      </w:r>
    </w:p>
    <w:p w14:paraId="3BC222A9" w14:textId="77777777" w:rsidR="00CC5814" w:rsidRDefault="00CC5814">
      <w:pPr>
        <w:pStyle w:val="Body"/>
        <w:spacing w:line="480" w:lineRule="auto"/>
      </w:pPr>
    </w:p>
    <w:p w14:paraId="21B8801E" w14:textId="77777777" w:rsidR="00CC5814" w:rsidRDefault="00862588">
      <w:pPr>
        <w:pStyle w:val="Body"/>
        <w:spacing w:line="480" w:lineRule="auto"/>
      </w:pPr>
      <w:r>
        <w:t>In traditional Chinese culture, the concept of the</w:t>
      </w:r>
      <w:r>
        <w:t xml:space="preserve"> ghost can also be thought of as ‘strangers who did not receive a proper funeral or burial, and so they bear grudges against society’ (Yang, 2020: 88), and on the fifteenth day of the seventh month of the lunar calendar, different religions within China, s</w:t>
      </w:r>
      <w:r>
        <w:t>uch as Daoism and Buddhism, celebrate the annual Festival of Ghosts (</w:t>
      </w:r>
      <w:r>
        <w:rPr>
          <w:rFonts w:ascii="Arial Unicode MS" w:hAnsi="Arial Unicode MS" w:hint="eastAsia"/>
          <w:lang w:val="zh-TW" w:eastAsia="zh-TW"/>
        </w:rPr>
        <w:t>鬼節</w:t>
      </w:r>
      <w:r>
        <w:t>). According to Zhang (2009), the Ghost Festivals are month long events held due to the belief that on this date the ‘gates of hell are thrown open, releasing hungry ghosts to wander th</w:t>
      </w:r>
      <w:r>
        <w:t xml:space="preserve">e earth in search of food and taking revenge upon those who wronged them in life’ (68), and during the festival, offerings of food and entertainment are made to the ghosts and ancestors </w:t>
      </w:r>
      <w:proofErr w:type="gramStart"/>
      <w:r>
        <w:t>in an attempt to</w:t>
      </w:r>
      <w:proofErr w:type="gramEnd"/>
      <w:r>
        <w:t xml:space="preserve"> appease them. As a result, we can clearly see evidenc</w:t>
      </w:r>
      <w:r>
        <w:t>e of Malinowski’s theory here as the motivation behind the festival appears to stem from a deep fear of the wrath of these hungry ghosts, and so rituals and offerings during the celebration are carried out to ease anxiety within the self and fear of the un</w:t>
      </w:r>
      <w:r>
        <w:t xml:space="preserve">known. Therefore, here we can see that Malinowski’s functionalist theory of ritual as a tool for existentialism is useful in explaining the thinking behind rituals. </w:t>
      </w:r>
    </w:p>
    <w:p w14:paraId="3E17C6C1" w14:textId="77777777" w:rsidR="00CC5814" w:rsidRDefault="00CC5814">
      <w:pPr>
        <w:pStyle w:val="Body"/>
        <w:spacing w:line="480" w:lineRule="auto"/>
      </w:pPr>
    </w:p>
    <w:p w14:paraId="3130BB5F" w14:textId="77777777" w:rsidR="00CC5814" w:rsidRDefault="00862588">
      <w:pPr>
        <w:pStyle w:val="Body"/>
        <w:spacing w:line="480" w:lineRule="auto"/>
      </w:pPr>
      <w:r>
        <w:t xml:space="preserve">The festival has its roots in Buddhism, known as the </w:t>
      </w:r>
      <w:proofErr w:type="spellStart"/>
      <w:r>
        <w:t>Ullambana</w:t>
      </w:r>
      <w:proofErr w:type="spellEnd"/>
      <w:r>
        <w:t xml:space="preserve"> festival or the </w:t>
      </w:r>
      <w:proofErr w:type="spellStart"/>
      <w:r>
        <w:t>Yulanpen</w:t>
      </w:r>
      <w:proofErr w:type="spellEnd"/>
      <w:r>
        <w:t xml:space="preserve"> F</w:t>
      </w:r>
      <w:r>
        <w:t xml:space="preserve">estival, and is thought to be symbolic of the importance of filial piety, with the idea behind the festival stemming from a boy, </w:t>
      </w:r>
      <w:proofErr w:type="spellStart"/>
      <w:r>
        <w:t>Mahāmaudgalyāyana</w:t>
      </w:r>
      <w:proofErr w:type="spellEnd"/>
      <w:r>
        <w:t xml:space="preserve">, who asked for the Buddha’s help after finding his </w:t>
      </w:r>
      <w:r>
        <w:lastRenderedPageBreak/>
        <w:t>mother suffering for her sins in the cosmos as a hungry gh</w:t>
      </w:r>
      <w:r>
        <w:t xml:space="preserve">ost. After an unsuccessful attempt at offering her food, he asked the Buddha for help who advised that the combined worship of the monks may be able to free her from suffering, even if temporarily. According to the Buddha, children were able to free their </w:t>
      </w:r>
      <w:r>
        <w:t>ancestors from suffering as hungry ghosts through offerings and celebration, and so the festival became an annual ritual. Yang (2020), who attended the festival in 2008, stated that as well as offerings of food and incense, ‘</w:t>
      </w:r>
      <w:proofErr w:type="gramStart"/>
      <w:r>
        <w:t>local residents</w:t>
      </w:r>
      <w:proofErr w:type="gramEnd"/>
      <w:r>
        <w:t xml:space="preserve"> floated myriad </w:t>
      </w:r>
      <w:r>
        <w:t xml:space="preserve">candlelit paper lanterns on the moat to light the way for the orphan souls who visit Earth’ (88), promoting filial devotion to ancestors and providing a time and space where hungry ghosts can enjoy and satisfy their hunger. Stephen </w:t>
      </w:r>
      <w:proofErr w:type="spellStart"/>
      <w:r>
        <w:t>Teiser</w:t>
      </w:r>
      <w:proofErr w:type="spellEnd"/>
      <w:r>
        <w:t xml:space="preserve"> (2004) suggests t</w:t>
      </w:r>
      <w:r>
        <w:t xml:space="preserve">hat ‘the story of </w:t>
      </w:r>
      <w:proofErr w:type="spellStart"/>
      <w:r>
        <w:t>Mahāmaudgalyāyana</w:t>
      </w:r>
      <w:proofErr w:type="spellEnd"/>
      <w:r>
        <w:t xml:space="preserve"> proved that one could be both a monk - one who renounces his family and leaves home - and a son who fulfils his obligations to his ancestors’ (308), illustrating that the primary motivation for this ritual is not to appe</w:t>
      </w:r>
      <w:r>
        <w:t>ase hungry ghosts but rather to help them. Thus, Malinowski’s theory is here proved not useful in our understanding of the concept of ritual, as fear and anxiety do not seem to be a factor behind the performance, unless we consider fear felt for the wellbe</w:t>
      </w:r>
      <w:r>
        <w:t xml:space="preserve">ing of the suffering ancestor. Hence, we can conclude that Malinowski’s functionalist theory explaining ritual as an existential practice used to ease anxiety is unable to be applied to the </w:t>
      </w:r>
      <w:proofErr w:type="spellStart"/>
      <w:r>
        <w:t>Ullambana</w:t>
      </w:r>
      <w:proofErr w:type="spellEnd"/>
      <w:r>
        <w:t xml:space="preserve"> Festival, and so is not useful and somewhat invalidated </w:t>
      </w:r>
      <w:r>
        <w:t xml:space="preserve">when explaining religion and ritualistic practices. </w:t>
      </w:r>
    </w:p>
    <w:p w14:paraId="3590FC83" w14:textId="77777777" w:rsidR="00CC5814" w:rsidRDefault="00CC5814">
      <w:pPr>
        <w:pStyle w:val="Body"/>
        <w:spacing w:line="480" w:lineRule="auto"/>
      </w:pPr>
    </w:p>
    <w:p w14:paraId="1633EEA1" w14:textId="77777777" w:rsidR="00CC5814" w:rsidRDefault="00862588">
      <w:pPr>
        <w:pStyle w:val="Body"/>
        <w:spacing w:line="480" w:lineRule="auto"/>
      </w:pPr>
      <w:r>
        <w:t xml:space="preserve">The Festival of Ghosts developed throughout later centuries and was adopted by other Chinese religions, including Daoism. For </w:t>
      </w:r>
      <w:proofErr w:type="spellStart"/>
      <w:r>
        <w:t>Daoists</w:t>
      </w:r>
      <w:proofErr w:type="spellEnd"/>
      <w:r>
        <w:t>, the festival is known as the Mid-Primordial Universal Salvation Fes</w:t>
      </w:r>
      <w:r>
        <w:t xml:space="preserve">tival, or more commonly the </w:t>
      </w:r>
      <w:proofErr w:type="spellStart"/>
      <w:r>
        <w:t>Zhongyuan</w:t>
      </w:r>
      <w:proofErr w:type="spellEnd"/>
      <w:r>
        <w:t xml:space="preserve"> Festival. Daoist doctrines state that the official of earth, Lord </w:t>
      </w:r>
      <w:proofErr w:type="spellStart"/>
      <w:r>
        <w:t>Qingxu</w:t>
      </w:r>
      <w:proofErr w:type="spellEnd"/>
      <w:r>
        <w:t>, was born on the fifteenth day of the seventh month and during this day he would release the dead from their sufferings in hell, and the living w</w:t>
      </w:r>
      <w:r>
        <w:t xml:space="preserve">ho have committed sins were able to pray for ablution. Hungry ghosts were therefore able to freely roam the earth, and locals would take it upon themselves to please the ghosts so they would not wreak havoc on their lives. Rituals during the </w:t>
      </w:r>
      <w:proofErr w:type="spellStart"/>
      <w:r>
        <w:t>Zhongyuan</w:t>
      </w:r>
      <w:proofErr w:type="spellEnd"/>
      <w:r>
        <w:t xml:space="preserve"> Fest</w:t>
      </w:r>
      <w:r>
        <w:t xml:space="preserve">ival include ‘offering food and burning hell money and incense in front of the house to please the visiting ghosts and spirits as deities and ancestors’ (Zhang, 2009: 69). Furthermore, Zhang states that on the day of the festival ‘streets that night are </w:t>
      </w:r>
      <w:r>
        <w:lastRenderedPageBreak/>
        <w:t>em</w:t>
      </w:r>
      <w:r>
        <w:t xml:space="preserve">pty in some cities, as few dare leave their house’ (2009: 69), with anxiety over a ghost following someone home and cursing their family with bad luck all year round. Here, we can clearly see evidence of Malinowski’s theory with the </w:t>
      </w:r>
      <w:proofErr w:type="spellStart"/>
      <w:r>
        <w:t>Zhongyuan</w:t>
      </w:r>
      <w:proofErr w:type="spellEnd"/>
      <w:r>
        <w:t xml:space="preserve"> Ghost Festiva</w:t>
      </w:r>
      <w:r>
        <w:t xml:space="preserve">l seemingly deeply rooted in anxiety and fear surrounding the hungry ghosts. Rituals and celebrations during the festival are carried out to please the ghosts in an attempt not to offend and anger them further, and so their anxiety over the </w:t>
      </w:r>
      <w:proofErr w:type="spellStart"/>
      <w:r>
        <w:t>behaviour</w:t>
      </w:r>
      <w:proofErr w:type="spellEnd"/>
      <w:r>
        <w:t xml:space="preserve"> and p</w:t>
      </w:r>
      <w:r>
        <w:t xml:space="preserve">otential unknown actions of the </w:t>
      </w:r>
      <w:proofErr w:type="gramStart"/>
      <w:r>
        <w:t>ghosts</w:t>
      </w:r>
      <w:proofErr w:type="gramEnd"/>
      <w:r>
        <w:t xml:space="preserve"> manifests into a ritual act, consequently creating the overall festival. Malinowski’s functionalist theory can be easily applied to the Ghost Festival in Daoist culture, with the </w:t>
      </w:r>
      <w:proofErr w:type="spellStart"/>
      <w:r>
        <w:t>Zhongyuan</w:t>
      </w:r>
      <w:proofErr w:type="spellEnd"/>
      <w:r>
        <w:t xml:space="preserve"> festival being a key example</w:t>
      </w:r>
      <w:r>
        <w:t xml:space="preserve"> of a ritual act performed out of existential fear of the unknown. Malinowski’s theory is thus useful in this instance in explaining the </w:t>
      </w:r>
      <w:proofErr w:type="spellStart"/>
      <w:r>
        <w:t>behaviour</w:t>
      </w:r>
      <w:proofErr w:type="spellEnd"/>
      <w:r>
        <w:t xml:space="preserve"> behind rituals.</w:t>
      </w:r>
    </w:p>
    <w:p w14:paraId="61566370" w14:textId="77777777" w:rsidR="00CC5814" w:rsidRDefault="00CC5814">
      <w:pPr>
        <w:pStyle w:val="Body"/>
        <w:spacing w:line="480" w:lineRule="auto"/>
      </w:pPr>
    </w:p>
    <w:p w14:paraId="4A31AE6E" w14:textId="230E5E91" w:rsidR="00CC5814" w:rsidRDefault="00862588">
      <w:pPr>
        <w:pStyle w:val="Body"/>
        <w:spacing w:line="480" w:lineRule="auto"/>
      </w:pPr>
      <w:r>
        <w:t>In conclusion, through the application of Malinowski’s theory to the traditional Chinese Gho</w:t>
      </w:r>
      <w:r>
        <w:t xml:space="preserve">st Festival celebration, we can clearly see that his functionalist theory of ritual as an existential tool to express fear of the unknown is only applicable to certain rituals, and not to others. The Daoist tradition of the </w:t>
      </w:r>
      <w:proofErr w:type="spellStart"/>
      <w:r>
        <w:t>Zhongyuan</w:t>
      </w:r>
      <w:proofErr w:type="spellEnd"/>
      <w:r>
        <w:t xml:space="preserve"> festival illustrates t</w:t>
      </w:r>
      <w:r>
        <w:t xml:space="preserve">hat Malinowski was correct in his theory, and so illustrates the validity and the usefulness of this theory. However, when attempting to apply it to the Buddhist tradition of the </w:t>
      </w:r>
      <w:proofErr w:type="spellStart"/>
      <w:r>
        <w:t>Ullambana</w:t>
      </w:r>
      <w:proofErr w:type="spellEnd"/>
      <w:r>
        <w:t xml:space="preserve"> Festival, it is clear</w:t>
      </w:r>
      <w:r>
        <w:t xml:space="preserve"> the motivation for the rituals performed </w:t>
      </w:r>
      <w:r>
        <w:t xml:space="preserve">do not stem from existential fear and anxiety but rather out of the desire for their ancestors to be free from suffering. Therefore, we must conclude that Malinowski’s theory is not useful, as it </w:t>
      </w:r>
      <w:proofErr w:type="spellStart"/>
      <w:r>
        <w:t>can not</w:t>
      </w:r>
      <w:proofErr w:type="spellEnd"/>
      <w:r>
        <w:t xml:space="preserve"> be generally applied to religion and rituals.</w:t>
      </w:r>
      <w:r>
        <w:rPr>
          <w:rFonts w:ascii="Arial Unicode MS" w:hAnsi="Arial Unicode MS"/>
        </w:rPr>
        <w:br w:type="page"/>
      </w:r>
    </w:p>
    <w:p w14:paraId="13FFC6B1" w14:textId="66ED37CE" w:rsidR="00B40940" w:rsidRPr="00B40940" w:rsidRDefault="00B40940">
      <w:pPr>
        <w:pStyle w:val="Body"/>
        <w:spacing w:line="480" w:lineRule="auto"/>
        <w:rPr>
          <w:b/>
          <w:bCs/>
          <w:u w:val="single"/>
        </w:rPr>
      </w:pPr>
      <w:r>
        <w:rPr>
          <w:b/>
          <w:bCs/>
          <w:u w:val="single"/>
        </w:rPr>
        <w:lastRenderedPageBreak/>
        <w:t>Bibliography</w:t>
      </w:r>
    </w:p>
    <w:p w14:paraId="0FB559E3" w14:textId="77777777" w:rsidR="00B40940" w:rsidRDefault="00B40940">
      <w:pPr>
        <w:pStyle w:val="Body"/>
        <w:spacing w:line="480" w:lineRule="auto"/>
      </w:pPr>
    </w:p>
    <w:p w14:paraId="470315A7" w14:textId="3B461F4C" w:rsidR="00B40940" w:rsidRDefault="00B40940">
      <w:pPr>
        <w:pStyle w:val="Body"/>
        <w:spacing w:line="480" w:lineRule="auto"/>
      </w:pPr>
      <w:r>
        <w:t xml:space="preserve">Hedges, P. (2021). </w:t>
      </w:r>
      <w:r>
        <w:rPr>
          <w:i/>
          <w:iCs/>
        </w:rPr>
        <w:t>Understanding Religion</w:t>
      </w:r>
      <w:r>
        <w:t>. Oakland: California Press.</w:t>
      </w:r>
    </w:p>
    <w:p w14:paraId="7398357B" w14:textId="77777777" w:rsidR="00B40940" w:rsidRDefault="00B40940">
      <w:pPr>
        <w:pStyle w:val="Body"/>
        <w:spacing w:line="480" w:lineRule="auto"/>
      </w:pPr>
    </w:p>
    <w:p w14:paraId="5C628481" w14:textId="3582BCF8" w:rsidR="00B40940" w:rsidRDefault="00B40940">
      <w:pPr>
        <w:pStyle w:val="Body"/>
        <w:spacing w:line="480" w:lineRule="auto"/>
      </w:pPr>
      <w:r>
        <w:t xml:space="preserve">Homans, G. (1941). Anxiety and Ritual: The Theories of Malinowski and Radcliffe-Brown. </w:t>
      </w:r>
      <w:r>
        <w:rPr>
          <w:i/>
          <w:iCs/>
        </w:rPr>
        <w:t>American Anthropologist</w:t>
      </w:r>
      <w:r>
        <w:t xml:space="preserve">. [online]. Available at: </w:t>
      </w:r>
      <w:hyperlink r:id="rId6" w:history="1">
        <w:r>
          <w:rPr>
            <w:rStyle w:val="Hyperlink0"/>
          </w:rPr>
          <w:t>https://www.jstor.org/stable/662949</w:t>
        </w:r>
      </w:hyperlink>
      <w:r>
        <w:t xml:space="preserve"> [Accessed 6. Dec 2021]</w:t>
      </w:r>
    </w:p>
    <w:p w14:paraId="4AA7BF32" w14:textId="77777777" w:rsidR="00B40940" w:rsidRDefault="00B40940">
      <w:pPr>
        <w:pStyle w:val="Body"/>
        <w:spacing w:line="480" w:lineRule="auto"/>
      </w:pPr>
    </w:p>
    <w:p w14:paraId="4A8224BA" w14:textId="3148A326" w:rsidR="00B40940" w:rsidRDefault="00B40940">
      <w:pPr>
        <w:pStyle w:val="Body"/>
        <w:spacing w:line="480" w:lineRule="auto"/>
      </w:pPr>
      <w:proofErr w:type="spellStart"/>
      <w:r>
        <w:t>Teiser</w:t>
      </w:r>
      <w:proofErr w:type="spellEnd"/>
      <w:r>
        <w:t xml:space="preserve">, S. (2004). Ghost Festival. </w:t>
      </w:r>
      <w:proofErr w:type="spellStart"/>
      <w:r>
        <w:rPr>
          <w:i/>
          <w:iCs/>
        </w:rPr>
        <w:t>Encyclopaedia</w:t>
      </w:r>
      <w:proofErr w:type="spellEnd"/>
      <w:r>
        <w:rPr>
          <w:i/>
          <w:iCs/>
        </w:rPr>
        <w:t xml:space="preserve"> of </w:t>
      </w:r>
      <w:proofErr w:type="spellStart"/>
      <w:r>
        <w:rPr>
          <w:i/>
          <w:iCs/>
        </w:rPr>
        <w:t>Buddhsim</w:t>
      </w:r>
      <w:proofErr w:type="spellEnd"/>
      <w:r>
        <w:t xml:space="preserve">. Vol 1. Available at: </w:t>
      </w:r>
      <w:hyperlink r:id="rId7" w:history="1">
        <w:r>
          <w:rPr>
            <w:rStyle w:val="Hyperlink0"/>
          </w:rPr>
          <w:t>https://link.gale.com/apps/doc/CX3402600176/GVRL?u=walamp&amp;sid=bookmark-GVRL&amp;xid=95315da5</w:t>
        </w:r>
      </w:hyperlink>
      <w:r>
        <w:t xml:space="preserve"> [Accessed 7 Dec. 2021]</w:t>
      </w:r>
    </w:p>
    <w:p w14:paraId="6FB42A74" w14:textId="77777777" w:rsidR="00B40940" w:rsidRDefault="00B40940">
      <w:pPr>
        <w:pStyle w:val="Body"/>
        <w:spacing w:line="480" w:lineRule="auto"/>
      </w:pPr>
    </w:p>
    <w:p w14:paraId="00D3E796" w14:textId="77777777" w:rsidR="00B40940" w:rsidRDefault="00B40940">
      <w:pPr>
        <w:pStyle w:val="Body"/>
        <w:spacing w:line="480" w:lineRule="auto"/>
      </w:pPr>
      <w:r>
        <w:t xml:space="preserve">Yang, M. (2020). Re-Enchanting Modernity: Ritual Economy and Society in Wenzhou, China. New </w:t>
      </w:r>
    </w:p>
    <w:p w14:paraId="7DC7C191" w14:textId="6DCD877E" w:rsidR="00B40940" w:rsidRDefault="00B40940">
      <w:pPr>
        <w:pStyle w:val="Body"/>
        <w:spacing w:line="480" w:lineRule="auto"/>
      </w:pPr>
      <w:r>
        <w:t xml:space="preserve">York: Duke University Press. [online] Available at: </w:t>
      </w:r>
      <w:hyperlink r:id="rId8" w:history="1">
        <w:r>
          <w:rPr>
            <w:rStyle w:val="Hyperlink0"/>
          </w:rPr>
          <w:t>https://doi.org/10.1515/9781478009245</w:t>
        </w:r>
      </w:hyperlink>
      <w:r>
        <w:t xml:space="preserve"> [Accessed 6. Dec 2021]</w:t>
      </w:r>
    </w:p>
    <w:p w14:paraId="1EE946E9" w14:textId="77777777" w:rsidR="00B40940" w:rsidRDefault="00B40940">
      <w:pPr>
        <w:pStyle w:val="Body"/>
        <w:spacing w:line="480" w:lineRule="auto"/>
      </w:pPr>
    </w:p>
    <w:p w14:paraId="7359DB3F" w14:textId="5C680DE1" w:rsidR="00B40940" w:rsidRDefault="00B40940">
      <w:pPr>
        <w:pStyle w:val="Body"/>
        <w:spacing w:line="480" w:lineRule="auto"/>
      </w:pPr>
      <w:r>
        <w:t xml:space="preserve">Zhang, W. (2009). How Do We Think About </w:t>
      </w:r>
      <w:proofErr w:type="gramStart"/>
      <w:r>
        <w:t>Death?.</w:t>
      </w:r>
      <w:proofErr w:type="gramEnd"/>
      <w:r>
        <w:t xml:space="preserve"> </w:t>
      </w:r>
      <w:r>
        <w:rPr>
          <w:i/>
          <w:iCs/>
        </w:rPr>
        <w:t>International Education Studies</w:t>
      </w:r>
      <w:r>
        <w:t xml:space="preserve">. [online] Vol 2(4). Available at: </w:t>
      </w:r>
      <w:hyperlink r:id="rId9" w:history="1">
        <w:r>
          <w:rPr>
            <w:rStyle w:val="Hyperlink0"/>
          </w:rPr>
          <w:t>https://files.eric.ed.gov/fulltext/EJ1065752.pdf</w:t>
        </w:r>
      </w:hyperlink>
      <w:r>
        <w:t xml:space="preserve"> [Accessed 9 Dec. 2021]</w:t>
      </w:r>
    </w:p>
    <w:sectPr w:rsidR="00B40940">
      <w:headerReference w:type="even" r:id="rId10"/>
      <w:headerReference w:type="default" r:id="rId1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E9DEF" w14:textId="77777777" w:rsidR="00862588" w:rsidRDefault="00862588">
      <w:r>
        <w:separator/>
      </w:r>
    </w:p>
  </w:endnote>
  <w:endnote w:type="continuationSeparator" w:id="0">
    <w:p w14:paraId="1A20C257" w14:textId="77777777" w:rsidR="00862588" w:rsidRDefault="008625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E8D51" w14:textId="77777777" w:rsidR="00862588" w:rsidRDefault="00862588">
      <w:r>
        <w:separator/>
      </w:r>
    </w:p>
  </w:footnote>
  <w:footnote w:type="continuationSeparator" w:id="0">
    <w:p w14:paraId="0F3392DF" w14:textId="77777777" w:rsidR="00862588" w:rsidRDefault="008625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4220095"/>
      <w:docPartObj>
        <w:docPartGallery w:val="Page Numbers (Top of Page)"/>
        <w:docPartUnique/>
      </w:docPartObj>
    </w:sdtPr>
    <w:sdtContent>
      <w:p w14:paraId="35A47D6A" w14:textId="073577CA" w:rsidR="004207B0" w:rsidRDefault="004207B0" w:rsidP="00745A3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B8D226" w14:textId="77777777" w:rsidR="004207B0" w:rsidRDefault="004207B0" w:rsidP="004207B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7319578"/>
      <w:docPartObj>
        <w:docPartGallery w:val="Page Numbers (Top of Page)"/>
        <w:docPartUnique/>
      </w:docPartObj>
    </w:sdtPr>
    <w:sdtContent>
      <w:p w14:paraId="5E923A92" w14:textId="662E4E3F" w:rsidR="004207B0" w:rsidRDefault="004207B0" w:rsidP="00745A3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8AAC99" w14:textId="197CB808" w:rsidR="00CC5814" w:rsidRDefault="004207B0" w:rsidP="004207B0">
    <w:pPr>
      <w:ind w:right="360"/>
    </w:pPr>
    <w:r>
      <w:t>2100311</w:t>
    </w:r>
    <w:r>
      <w:ptab w:relativeTo="margin" w:alignment="center" w:leader="none"/>
    </w:r>
    <w:r>
      <w:t>Amelia Price</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814"/>
    <w:rsid w:val="004207B0"/>
    <w:rsid w:val="00862588"/>
    <w:rsid w:val="00B40940"/>
    <w:rsid w:val="00CC5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9BC91B"/>
  <w15:docId w15:val="{1DEE077F-2556-F840-BFD0-693430D70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customStyle="1" w:styleId="Hyperlink0">
    <w:name w:val="Hyperlink.0"/>
    <w:basedOn w:val="Hyperlink"/>
    <w:rPr>
      <w:u w:val="single"/>
    </w:rPr>
  </w:style>
  <w:style w:type="paragraph" w:styleId="Header">
    <w:name w:val="header"/>
    <w:basedOn w:val="Normal"/>
    <w:link w:val="HeaderChar"/>
    <w:uiPriority w:val="99"/>
    <w:unhideWhenUsed/>
    <w:rsid w:val="004207B0"/>
    <w:pPr>
      <w:tabs>
        <w:tab w:val="center" w:pos="4513"/>
        <w:tab w:val="right" w:pos="9026"/>
      </w:tabs>
    </w:pPr>
  </w:style>
  <w:style w:type="character" w:customStyle="1" w:styleId="HeaderChar">
    <w:name w:val="Header Char"/>
    <w:basedOn w:val="DefaultParagraphFont"/>
    <w:link w:val="Header"/>
    <w:uiPriority w:val="99"/>
    <w:rsid w:val="004207B0"/>
    <w:rPr>
      <w:sz w:val="24"/>
      <w:szCs w:val="24"/>
      <w:lang w:val="en-US" w:eastAsia="en-US"/>
    </w:rPr>
  </w:style>
  <w:style w:type="paragraph" w:styleId="Footer">
    <w:name w:val="footer"/>
    <w:basedOn w:val="Normal"/>
    <w:link w:val="FooterChar"/>
    <w:uiPriority w:val="99"/>
    <w:unhideWhenUsed/>
    <w:rsid w:val="004207B0"/>
    <w:pPr>
      <w:tabs>
        <w:tab w:val="center" w:pos="4513"/>
        <w:tab w:val="right" w:pos="9026"/>
      </w:tabs>
    </w:pPr>
  </w:style>
  <w:style w:type="character" w:customStyle="1" w:styleId="FooterChar">
    <w:name w:val="Footer Char"/>
    <w:basedOn w:val="DefaultParagraphFont"/>
    <w:link w:val="Footer"/>
    <w:uiPriority w:val="99"/>
    <w:rsid w:val="004207B0"/>
    <w:rPr>
      <w:sz w:val="24"/>
      <w:szCs w:val="24"/>
      <w:lang w:val="en-US" w:eastAsia="en-US"/>
    </w:rPr>
  </w:style>
  <w:style w:type="character" w:styleId="PageNumber">
    <w:name w:val="page number"/>
    <w:basedOn w:val="DefaultParagraphFont"/>
    <w:uiPriority w:val="99"/>
    <w:semiHidden/>
    <w:unhideWhenUsed/>
    <w:rsid w:val="00420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515/9781478009245"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nk.gale.com/apps/doc/CX3402600176/GVRL?u=walamp&amp;sid=bookmark-GVRL&amp;xid=95315da5"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662949" TargetMode="External"/><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files.eric.ed.gov/fulltext/EJ1065752.pdf"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1506</Words>
  <Characters>8587</Characters>
  <Application>Microsoft Office Word</Application>
  <DocSecurity>0</DocSecurity>
  <Lines>71</Lines>
  <Paragraphs>20</Paragraphs>
  <ScaleCrop>false</ScaleCrop>
  <Company/>
  <LinksUpToDate>false</LinksUpToDate>
  <CharactersWithSpaces>10073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Millie Alys Price (2100311)</cp:lastModifiedBy>
  <cp:revision>3</cp:revision>
  <dcterms:created xsi:type="dcterms:W3CDTF">2021-12-14T22:53:00Z</dcterms:created>
  <dcterms:modified xsi:type="dcterms:W3CDTF">2021-12-14T23:00:00Z</dcterms:modified>
</cp:coreProperties>
</file>