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750B8F" w14:textId="77777777" w:rsidR="007929A7" w:rsidRPr="00EF3725" w:rsidRDefault="007929A7" w:rsidP="007929A7">
      <w:pPr>
        <w:jc w:val="center"/>
        <w:rPr>
          <w:rFonts w:eastAsia="Times New Roman"/>
          <w:b/>
          <w:color w:val="000000" w:themeColor="text1"/>
          <w:szCs w:val="24"/>
          <w:lang w:val="en-GB"/>
        </w:rPr>
      </w:pPr>
    </w:p>
    <w:p w14:paraId="42493867" w14:textId="77777777" w:rsidR="007929A7" w:rsidRPr="00EF3725" w:rsidRDefault="007929A7" w:rsidP="007929A7">
      <w:pPr>
        <w:jc w:val="center"/>
        <w:rPr>
          <w:rFonts w:eastAsia="Times New Roman"/>
          <w:b/>
          <w:color w:val="000000" w:themeColor="text1"/>
          <w:szCs w:val="24"/>
          <w:lang w:val="en-GB"/>
        </w:rPr>
      </w:pPr>
      <w:bookmarkStart w:id="0" w:name="_eiv3o8z9we5w" w:colFirst="0" w:colLast="0"/>
      <w:bookmarkEnd w:id="0"/>
      <w:r>
        <w:rPr>
          <w:noProof/>
        </w:rPr>
        <w:drawing>
          <wp:inline distT="0" distB="0" distL="0" distR="0" wp14:anchorId="34E56D6F" wp14:editId="60A41935">
            <wp:extent cx="5715000" cy="1895475"/>
            <wp:effectExtent l="0" t="0" r="0" b="9525"/>
            <wp:docPr id="1157199235" name="Picture 1157199235"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white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0E059DE3" w14:textId="77777777" w:rsidR="007929A7" w:rsidRPr="00EF3725" w:rsidRDefault="007929A7" w:rsidP="007929A7">
      <w:pPr>
        <w:jc w:val="center"/>
        <w:rPr>
          <w:rFonts w:eastAsia="Times New Roman"/>
          <w:b/>
          <w:color w:val="000000" w:themeColor="text1"/>
          <w:szCs w:val="24"/>
          <w:lang w:val="en-GB"/>
        </w:rPr>
      </w:pPr>
    </w:p>
    <w:p w14:paraId="0886D879" w14:textId="77777777" w:rsidR="007929A7" w:rsidRPr="00EF3725" w:rsidRDefault="007929A7" w:rsidP="007929A7">
      <w:pPr>
        <w:jc w:val="center"/>
        <w:rPr>
          <w:rFonts w:eastAsia="Times New Roman"/>
          <w:b/>
          <w:color w:val="000000" w:themeColor="text1"/>
          <w:szCs w:val="24"/>
          <w:lang w:val="en-GB"/>
        </w:rPr>
      </w:pPr>
    </w:p>
    <w:p w14:paraId="382B469D" w14:textId="77777777" w:rsidR="007929A7" w:rsidRPr="00EF3725" w:rsidRDefault="007929A7" w:rsidP="007929A7">
      <w:pPr>
        <w:jc w:val="center"/>
        <w:rPr>
          <w:rFonts w:eastAsia="Times New Roman"/>
          <w:b/>
          <w:color w:val="000000" w:themeColor="text1"/>
          <w:szCs w:val="24"/>
          <w:lang w:val="en-GB"/>
        </w:rPr>
      </w:pPr>
      <w:r w:rsidRPr="00EF3725">
        <w:rPr>
          <w:rFonts w:eastAsia="Times New Roman"/>
          <w:b/>
          <w:color w:val="000000" w:themeColor="text1"/>
          <w:szCs w:val="24"/>
          <w:lang w:val="en-GB"/>
        </w:rPr>
        <w:t xml:space="preserve"> </w:t>
      </w:r>
    </w:p>
    <w:p w14:paraId="6F40D8C3" w14:textId="77777777" w:rsidR="007929A7" w:rsidRDefault="007929A7" w:rsidP="007929A7">
      <w:pPr>
        <w:jc w:val="center"/>
        <w:rPr>
          <w:rFonts w:eastAsia="Times New Roman"/>
          <w:bCs/>
          <w:color w:val="000000" w:themeColor="text1"/>
          <w:sz w:val="32"/>
          <w:szCs w:val="24"/>
          <w:lang w:val="en-GB"/>
        </w:rPr>
      </w:pPr>
      <w:r w:rsidRPr="00EF3725">
        <w:rPr>
          <w:rFonts w:eastAsia="Times New Roman"/>
          <w:b/>
          <w:color w:val="000000" w:themeColor="text1"/>
          <w:sz w:val="32"/>
          <w:szCs w:val="24"/>
          <w:lang w:val="en-GB"/>
        </w:rPr>
        <w:t xml:space="preserve">PROGRAMME: </w:t>
      </w:r>
      <w:r>
        <w:rPr>
          <w:rFonts w:eastAsia="Times New Roman"/>
          <w:bCs/>
          <w:color w:val="000000" w:themeColor="text1"/>
          <w:sz w:val="32"/>
          <w:szCs w:val="24"/>
          <w:lang w:val="en-GB"/>
        </w:rPr>
        <w:t>MBA – International Business</w:t>
      </w:r>
    </w:p>
    <w:p w14:paraId="25C8A7FA" w14:textId="77777777" w:rsidR="007929A7" w:rsidRDefault="007929A7" w:rsidP="007929A7">
      <w:pPr>
        <w:jc w:val="center"/>
        <w:rPr>
          <w:rFonts w:eastAsia="Times New Roman"/>
          <w:bCs/>
          <w:color w:val="000000" w:themeColor="text1"/>
          <w:sz w:val="32"/>
          <w:szCs w:val="24"/>
          <w:lang w:val="en-GB"/>
        </w:rPr>
      </w:pPr>
      <w:r>
        <w:rPr>
          <w:rFonts w:eastAsia="Times New Roman"/>
          <w:bCs/>
          <w:color w:val="000000" w:themeColor="text1"/>
          <w:sz w:val="32"/>
          <w:szCs w:val="24"/>
          <w:lang w:val="en-GB"/>
        </w:rPr>
        <w:t>Term 1</w:t>
      </w:r>
    </w:p>
    <w:p w14:paraId="1DE0F478" w14:textId="77777777" w:rsidR="007929A7" w:rsidRPr="00B420D9" w:rsidRDefault="007929A7" w:rsidP="007929A7">
      <w:pPr>
        <w:jc w:val="center"/>
        <w:rPr>
          <w:rFonts w:eastAsia="Times New Roman"/>
          <w:bCs/>
          <w:color w:val="000000" w:themeColor="text1"/>
          <w:sz w:val="32"/>
          <w:szCs w:val="24"/>
          <w:lang w:val="en-GB"/>
        </w:rPr>
      </w:pPr>
    </w:p>
    <w:p w14:paraId="5A0F607B" w14:textId="365B8FA4" w:rsidR="007929A7" w:rsidRPr="00B420D9" w:rsidRDefault="007929A7" w:rsidP="007929A7">
      <w:pPr>
        <w:jc w:val="center"/>
        <w:rPr>
          <w:rFonts w:eastAsia="Times New Roman"/>
          <w:b/>
          <w:color w:val="000000" w:themeColor="text1"/>
          <w:sz w:val="32"/>
          <w:szCs w:val="24"/>
          <w:lang w:val="en-GB"/>
        </w:rPr>
      </w:pPr>
      <w:r w:rsidRPr="00B420D9">
        <w:rPr>
          <w:rFonts w:eastAsia="Times New Roman"/>
          <w:b/>
          <w:color w:val="000000" w:themeColor="text1"/>
          <w:sz w:val="32"/>
          <w:szCs w:val="24"/>
          <w:lang w:val="en-GB"/>
        </w:rPr>
        <w:t xml:space="preserve">STUDENT NAME: </w:t>
      </w:r>
      <w:r>
        <w:rPr>
          <w:rFonts w:eastAsia="Times New Roman"/>
          <w:bCs/>
          <w:color w:val="000000" w:themeColor="text1"/>
          <w:sz w:val="32"/>
          <w:szCs w:val="24"/>
          <w:lang w:val="en-GB"/>
        </w:rPr>
        <w:t>Anuj Raval</w:t>
      </w:r>
    </w:p>
    <w:p w14:paraId="1AF53410" w14:textId="2AD8639D" w:rsidR="007929A7" w:rsidRDefault="007929A7" w:rsidP="007929A7">
      <w:pPr>
        <w:jc w:val="center"/>
        <w:rPr>
          <w:rFonts w:eastAsia="Times New Roman"/>
          <w:b/>
          <w:color w:val="000000" w:themeColor="text1"/>
          <w:sz w:val="32"/>
          <w:szCs w:val="24"/>
          <w:lang w:val="en-GB"/>
        </w:rPr>
      </w:pPr>
      <w:r w:rsidRPr="00B420D9">
        <w:rPr>
          <w:rFonts w:eastAsia="Times New Roman"/>
          <w:b/>
          <w:color w:val="000000" w:themeColor="text1"/>
          <w:sz w:val="32"/>
          <w:szCs w:val="24"/>
          <w:lang w:val="en-GB"/>
        </w:rPr>
        <w:t xml:space="preserve">STUDENT ID: </w:t>
      </w:r>
      <w:r>
        <w:rPr>
          <w:rFonts w:eastAsia="Times New Roman"/>
          <w:bCs/>
          <w:color w:val="000000" w:themeColor="text1"/>
          <w:sz w:val="32"/>
          <w:szCs w:val="24"/>
          <w:lang w:val="en-GB"/>
        </w:rPr>
        <w:t>2432471</w:t>
      </w:r>
      <w:r w:rsidRPr="00B420D9">
        <w:rPr>
          <w:rFonts w:eastAsia="Times New Roman"/>
          <w:b/>
          <w:color w:val="000000" w:themeColor="text1"/>
          <w:sz w:val="32"/>
          <w:szCs w:val="24"/>
          <w:lang w:val="en-GB"/>
        </w:rPr>
        <w:t xml:space="preserve"> </w:t>
      </w:r>
    </w:p>
    <w:p w14:paraId="4BDB1A6F" w14:textId="77777777" w:rsidR="007929A7" w:rsidRDefault="007929A7" w:rsidP="007929A7">
      <w:pPr>
        <w:jc w:val="center"/>
        <w:rPr>
          <w:rFonts w:eastAsia="Times New Roman"/>
          <w:b/>
          <w:color w:val="000000" w:themeColor="text1"/>
          <w:sz w:val="32"/>
          <w:szCs w:val="24"/>
          <w:lang w:val="en-GB"/>
        </w:rPr>
      </w:pPr>
    </w:p>
    <w:p w14:paraId="2F91FF40" w14:textId="77777777" w:rsidR="007929A7" w:rsidRPr="00EF3725" w:rsidRDefault="007929A7" w:rsidP="007929A7">
      <w:pPr>
        <w:jc w:val="center"/>
        <w:rPr>
          <w:rFonts w:eastAsia="Times New Roman"/>
          <w:b/>
          <w:color w:val="000000" w:themeColor="text1"/>
          <w:sz w:val="32"/>
          <w:szCs w:val="24"/>
          <w:lang w:val="en-GB"/>
        </w:rPr>
      </w:pPr>
      <w:r w:rsidRPr="00EF3725">
        <w:rPr>
          <w:rFonts w:eastAsia="Times New Roman"/>
          <w:b/>
          <w:color w:val="000000" w:themeColor="text1"/>
          <w:sz w:val="32"/>
          <w:szCs w:val="24"/>
          <w:lang w:val="en-GB"/>
        </w:rPr>
        <w:t xml:space="preserve">MODULE: </w:t>
      </w:r>
      <w:r>
        <w:rPr>
          <w:rFonts w:eastAsia="Times New Roman"/>
          <w:bCs/>
          <w:color w:val="000000" w:themeColor="text1"/>
          <w:sz w:val="32"/>
          <w:szCs w:val="24"/>
          <w:lang w:val="en-GB"/>
        </w:rPr>
        <w:t>Human Capital Management</w:t>
      </w:r>
    </w:p>
    <w:p w14:paraId="0EF9F572" w14:textId="77777777" w:rsidR="007929A7" w:rsidRDefault="007929A7" w:rsidP="007929A7">
      <w:pPr>
        <w:jc w:val="center"/>
        <w:rPr>
          <w:rFonts w:eastAsia="Times New Roman"/>
          <w:b/>
          <w:color w:val="000000" w:themeColor="text1"/>
          <w:sz w:val="32"/>
          <w:szCs w:val="32"/>
          <w:lang w:val="en-GB"/>
        </w:rPr>
      </w:pPr>
      <w:r w:rsidRPr="00EF3725">
        <w:rPr>
          <w:rFonts w:eastAsia="Times New Roman"/>
          <w:b/>
          <w:color w:val="000000" w:themeColor="text1"/>
          <w:sz w:val="32"/>
          <w:szCs w:val="32"/>
          <w:lang w:val="en-GB"/>
        </w:rPr>
        <w:t xml:space="preserve">MODULE CODE: </w:t>
      </w:r>
      <w:r w:rsidRPr="00B420D9">
        <w:rPr>
          <w:rFonts w:eastAsia="Times New Roman"/>
          <w:bCs/>
          <w:color w:val="000000" w:themeColor="text1"/>
          <w:sz w:val="32"/>
          <w:szCs w:val="32"/>
          <w:lang w:val="en-GB"/>
        </w:rPr>
        <w:t>LCMB7023</w:t>
      </w:r>
      <w:r w:rsidRPr="00EF3725">
        <w:rPr>
          <w:rFonts w:eastAsia="Times New Roman"/>
          <w:b/>
          <w:color w:val="000000" w:themeColor="text1"/>
          <w:sz w:val="32"/>
          <w:szCs w:val="32"/>
          <w:lang w:val="en-GB"/>
        </w:rPr>
        <w:t xml:space="preserve"> </w:t>
      </w:r>
    </w:p>
    <w:p w14:paraId="2649DCEC" w14:textId="77777777" w:rsidR="007929A7" w:rsidRDefault="007929A7" w:rsidP="007929A7">
      <w:pPr>
        <w:jc w:val="center"/>
        <w:rPr>
          <w:rFonts w:eastAsia="Times New Roman"/>
          <w:b/>
          <w:color w:val="000000" w:themeColor="text1"/>
          <w:sz w:val="32"/>
          <w:szCs w:val="32"/>
          <w:lang w:val="en-GB"/>
        </w:rPr>
      </w:pPr>
    </w:p>
    <w:p w14:paraId="7AAD20A6" w14:textId="77777777" w:rsidR="007929A7" w:rsidRDefault="007929A7" w:rsidP="007929A7">
      <w:pPr>
        <w:jc w:val="center"/>
        <w:rPr>
          <w:rFonts w:eastAsia="Times New Roman"/>
          <w:bCs/>
          <w:color w:val="000000" w:themeColor="text1"/>
          <w:sz w:val="32"/>
          <w:szCs w:val="32"/>
          <w:lang w:val="en-GB"/>
        </w:rPr>
      </w:pPr>
      <w:r>
        <w:rPr>
          <w:rFonts w:eastAsia="Times New Roman"/>
          <w:b/>
          <w:color w:val="000000" w:themeColor="text1"/>
          <w:sz w:val="32"/>
          <w:szCs w:val="32"/>
          <w:lang w:val="en-GB"/>
        </w:rPr>
        <w:t xml:space="preserve">Lecturer’s Name: </w:t>
      </w:r>
      <w:r w:rsidRPr="00201DF0">
        <w:rPr>
          <w:rFonts w:eastAsia="Times New Roman"/>
          <w:bCs/>
          <w:color w:val="000000" w:themeColor="text1"/>
          <w:sz w:val="32"/>
          <w:szCs w:val="32"/>
          <w:lang w:val="en-GB"/>
        </w:rPr>
        <w:t>Dr.</w:t>
      </w:r>
      <w:r>
        <w:rPr>
          <w:rFonts w:eastAsia="Times New Roman"/>
          <w:b/>
          <w:color w:val="000000" w:themeColor="text1"/>
          <w:sz w:val="32"/>
          <w:szCs w:val="32"/>
          <w:lang w:val="en-GB"/>
        </w:rPr>
        <w:t xml:space="preserve"> </w:t>
      </w:r>
      <w:r w:rsidRPr="00201DF0">
        <w:rPr>
          <w:rFonts w:eastAsia="Times New Roman"/>
          <w:bCs/>
          <w:color w:val="000000" w:themeColor="text1"/>
          <w:sz w:val="32"/>
          <w:szCs w:val="32"/>
          <w:lang w:val="en-GB"/>
        </w:rPr>
        <w:t>Gladius Kulothungan</w:t>
      </w:r>
    </w:p>
    <w:p w14:paraId="5ECA751E" w14:textId="7F34EB94" w:rsidR="007929A7" w:rsidRPr="00FB079D" w:rsidRDefault="007929A7" w:rsidP="007929A7">
      <w:pPr>
        <w:jc w:val="center"/>
        <w:rPr>
          <w:rFonts w:eastAsia="Times New Roman"/>
          <w:bCs/>
          <w:color w:val="000000" w:themeColor="text1"/>
          <w:sz w:val="32"/>
          <w:szCs w:val="32"/>
          <w:lang w:val="en-GB"/>
        </w:rPr>
      </w:pPr>
      <w:r w:rsidRPr="00FB079D">
        <w:rPr>
          <w:rFonts w:eastAsia="Times New Roman"/>
          <w:b/>
          <w:color w:val="000000" w:themeColor="text1"/>
          <w:sz w:val="32"/>
          <w:szCs w:val="32"/>
          <w:lang w:val="en-GB"/>
        </w:rPr>
        <w:t>Word Count:</w:t>
      </w:r>
      <w:r>
        <w:rPr>
          <w:rFonts w:eastAsia="Times New Roman"/>
          <w:b/>
          <w:color w:val="000000" w:themeColor="text1"/>
          <w:sz w:val="32"/>
          <w:szCs w:val="32"/>
          <w:lang w:val="en-GB"/>
        </w:rPr>
        <w:t xml:space="preserve"> </w:t>
      </w:r>
      <w:r>
        <w:rPr>
          <w:rFonts w:eastAsia="Times New Roman"/>
          <w:bCs/>
          <w:color w:val="000000" w:themeColor="text1"/>
          <w:sz w:val="32"/>
          <w:szCs w:val="32"/>
          <w:lang w:val="en-GB"/>
        </w:rPr>
        <w:t>25</w:t>
      </w:r>
      <w:r>
        <w:rPr>
          <w:rFonts w:eastAsia="Times New Roman"/>
          <w:bCs/>
          <w:color w:val="000000" w:themeColor="text1"/>
          <w:sz w:val="32"/>
          <w:szCs w:val="32"/>
          <w:lang w:val="en-GB"/>
        </w:rPr>
        <w:t>62</w:t>
      </w:r>
      <w:r>
        <w:rPr>
          <w:rFonts w:eastAsia="Times New Roman"/>
          <w:bCs/>
          <w:color w:val="000000" w:themeColor="text1"/>
          <w:sz w:val="32"/>
          <w:szCs w:val="32"/>
          <w:lang w:val="en-GB"/>
        </w:rPr>
        <w:t>/2500</w:t>
      </w:r>
      <w:r w:rsidRPr="00FB079D">
        <w:rPr>
          <w:rFonts w:eastAsia="Times New Roman"/>
          <w:b/>
          <w:color w:val="000000" w:themeColor="text1"/>
          <w:sz w:val="32"/>
          <w:szCs w:val="32"/>
          <w:lang w:val="en-GB"/>
        </w:rPr>
        <w:t xml:space="preserve"> </w:t>
      </w:r>
    </w:p>
    <w:p w14:paraId="17FBE0A2" w14:textId="77777777" w:rsidR="007929A7" w:rsidRPr="00EF3725" w:rsidRDefault="007929A7" w:rsidP="007929A7">
      <w:pPr>
        <w:rPr>
          <w:rFonts w:eastAsia="Times New Roman"/>
          <w:b/>
          <w:color w:val="000000" w:themeColor="text1"/>
          <w:szCs w:val="24"/>
          <w:lang w:val="en-GB"/>
        </w:rPr>
      </w:pPr>
      <w:r w:rsidRPr="00EF3725">
        <w:rPr>
          <w:rFonts w:eastAsia="Times New Roman"/>
          <w:b/>
          <w:color w:val="000000" w:themeColor="text1"/>
          <w:szCs w:val="24"/>
          <w:lang w:val="en-GB"/>
        </w:rPr>
        <w:br w:type="page"/>
      </w:r>
    </w:p>
    <w:p w14:paraId="75FA0B68" w14:textId="77777777" w:rsidR="004A0901" w:rsidRPr="005D2DE9" w:rsidRDefault="004A0901">
      <w:pPr>
        <w:pStyle w:val="Normal1"/>
        <w:spacing w:before="200" w:line="360" w:lineRule="auto"/>
        <w:jc w:val="center"/>
        <w:rPr>
          <w:rFonts w:ascii="Times New Roman" w:eastAsia="Times New Roman" w:hAnsi="Times New Roman" w:cs="Times New Roman"/>
          <w:b/>
          <w:sz w:val="30"/>
          <w:szCs w:val="30"/>
          <w:lang w:val="en-GB"/>
        </w:rPr>
      </w:pPr>
    </w:p>
    <w:p w14:paraId="7156A464" w14:textId="77777777" w:rsidR="00CD78B5" w:rsidRPr="005D2DE9" w:rsidRDefault="00CD78B5" w:rsidP="00CD78B5">
      <w:pPr>
        <w:jc w:val="center"/>
        <w:rPr>
          <w:rFonts w:eastAsia="Times New Roman" w:cs="Times New Roman"/>
          <w:b/>
          <w:szCs w:val="24"/>
          <w:lang w:val="en-GB"/>
        </w:rPr>
      </w:pPr>
      <w:r w:rsidRPr="005D2DE9">
        <w:rPr>
          <w:rFonts w:eastAsia="Times New Roman" w:cs="Times New Roman"/>
          <w:b/>
          <w:szCs w:val="24"/>
          <w:lang w:val="en-GB"/>
        </w:rPr>
        <w:t>Executive Summary</w:t>
      </w:r>
    </w:p>
    <w:p w14:paraId="45FF3E61" w14:textId="6953810D" w:rsidR="00E76A98" w:rsidRPr="005D2DE9" w:rsidRDefault="00CD78B5" w:rsidP="00CD78B5">
      <w:pPr>
        <w:rPr>
          <w:rFonts w:eastAsia="Times New Roman" w:cs="Times New Roman"/>
          <w:bCs/>
          <w:szCs w:val="24"/>
          <w:lang w:val="en-GB"/>
        </w:rPr>
      </w:pPr>
      <w:r w:rsidRPr="005D2DE9">
        <w:rPr>
          <w:rFonts w:eastAsia="Times New Roman" w:cs="Times New Roman"/>
          <w:bCs/>
          <w:szCs w:val="24"/>
          <w:lang w:val="en-GB"/>
        </w:rPr>
        <w:t>This report explores the effects brought about by changes in technology, population structure and geopolitics towards human capital personnel control and international personnel management strategies. It focuses on the effect of automation and AI on changing job markets, the problems associated with old age and immigration, as well as calling upon human resource experts to adjust by developing new skills, taking care of talents, and embracing various culturally diverse practices.</w:t>
      </w:r>
      <w:r w:rsidR="00E76A98" w:rsidRPr="005D2DE9">
        <w:rPr>
          <w:rFonts w:eastAsia="Times New Roman" w:cs="Times New Roman"/>
          <w:bCs/>
          <w:szCs w:val="24"/>
          <w:lang w:val="en-GB"/>
        </w:rPr>
        <w:br w:type="page"/>
      </w:r>
    </w:p>
    <w:sdt>
      <w:sdtPr>
        <w:rPr>
          <w:rFonts w:ascii="Arial" w:eastAsia="Arial" w:hAnsi="Arial" w:cs="Arial"/>
          <w:b w:val="0"/>
          <w:bCs w:val="0"/>
          <w:color w:val="auto"/>
          <w:sz w:val="22"/>
          <w:szCs w:val="22"/>
          <w:lang w:val="en-GB"/>
        </w:rPr>
        <w:id w:val="509167671"/>
        <w:docPartObj>
          <w:docPartGallery w:val="Table of Contents"/>
          <w:docPartUnique/>
        </w:docPartObj>
      </w:sdtPr>
      <w:sdtEndPr>
        <w:rPr>
          <w:rFonts w:ascii="Times New Roman" w:hAnsi="Times New Roman"/>
          <w:sz w:val="24"/>
        </w:rPr>
      </w:sdtEndPr>
      <w:sdtContent>
        <w:p w14:paraId="6C08D9DD" w14:textId="77777777" w:rsidR="00E76A98" w:rsidRPr="005D2DE9" w:rsidRDefault="00E76A98" w:rsidP="00E76A98">
          <w:pPr>
            <w:pStyle w:val="TOCHeading"/>
            <w:spacing w:line="360" w:lineRule="auto"/>
            <w:jc w:val="center"/>
            <w:rPr>
              <w:rFonts w:ascii="Times New Roman" w:hAnsi="Times New Roman" w:cs="Times New Roman"/>
              <w:sz w:val="24"/>
              <w:szCs w:val="24"/>
              <w:lang w:val="en-GB"/>
            </w:rPr>
          </w:pPr>
          <w:r w:rsidRPr="005D2DE9">
            <w:rPr>
              <w:rFonts w:ascii="Times New Roman" w:hAnsi="Times New Roman" w:cs="Times New Roman"/>
              <w:color w:val="000000" w:themeColor="text1"/>
              <w:sz w:val="24"/>
              <w:szCs w:val="24"/>
              <w:lang w:val="en-GB"/>
            </w:rPr>
            <w:t>Table of Contents</w:t>
          </w:r>
        </w:p>
        <w:p w14:paraId="3109B9BB" w14:textId="70A50DEF" w:rsidR="000F12D6" w:rsidRPr="005D2DE9" w:rsidRDefault="00E76A98">
          <w:pPr>
            <w:pStyle w:val="TOC1"/>
            <w:tabs>
              <w:tab w:val="right" w:leader="dot" w:pos="9350"/>
            </w:tabs>
            <w:rPr>
              <w:rFonts w:asciiTheme="minorHAnsi" w:eastAsiaTheme="minorEastAsia" w:hAnsiTheme="minorHAnsi" w:cstheme="minorBidi"/>
              <w:noProof/>
              <w:kern w:val="2"/>
              <w:szCs w:val="24"/>
              <w:lang w:val="en-GB"/>
              <w14:ligatures w14:val="standardContextual"/>
            </w:rPr>
          </w:pPr>
          <w:r w:rsidRPr="005D2DE9">
            <w:rPr>
              <w:rFonts w:cs="Times New Roman"/>
              <w:szCs w:val="24"/>
              <w:lang w:val="en-GB"/>
            </w:rPr>
            <w:fldChar w:fldCharType="begin"/>
          </w:r>
          <w:r w:rsidRPr="005D2DE9">
            <w:rPr>
              <w:rFonts w:cs="Times New Roman"/>
              <w:szCs w:val="24"/>
              <w:lang w:val="en-GB"/>
            </w:rPr>
            <w:instrText xml:space="preserve"> TOC \o "1-3" \h \z \u </w:instrText>
          </w:r>
          <w:r w:rsidRPr="005D2DE9">
            <w:rPr>
              <w:rFonts w:cs="Times New Roman"/>
              <w:szCs w:val="24"/>
              <w:lang w:val="en-GB"/>
            </w:rPr>
            <w:fldChar w:fldCharType="separate"/>
          </w:r>
          <w:hyperlink w:anchor="_Toc213520068" w:history="1">
            <w:r w:rsidR="000F12D6" w:rsidRPr="005D2DE9">
              <w:rPr>
                <w:rStyle w:val="Hyperlink"/>
                <w:noProof/>
                <w:lang w:val="en-GB"/>
              </w:rPr>
              <w:t>Introduction</w:t>
            </w:r>
            <w:r w:rsidR="000F12D6" w:rsidRPr="005D2DE9">
              <w:rPr>
                <w:noProof/>
                <w:webHidden/>
                <w:lang w:val="en-GB"/>
              </w:rPr>
              <w:tab/>
            </w:r>
            <w:r w:rsidR="000F12D6" w:rsidRPr="005D2DE9">
              <w:rPr>
                <w:noProof/>
                <w:webHidden/>
                <w:lang w:val="en-GB"/>
              </w:rPr>
              <w:fldChar w:fldCharType="begin"/>
            </w:r>
            <w:r w:rsidR="000F12D6" w:rsidRPr="005D2DE9">
              <w:rPr>
                <w:noProof/>
                <w:webHidden/>
                <w:lang w:val="en-GB"/>
              </w:rPr>
              <w:instrText xml:space="preserve"> PAGEREF _Toc213520068 \h </w:instrText>
            </w:r>
            <w:r w:rsidR="000F12D6" w:rsidRPr="005D2DE9">
              <w:rPr>
                <w:noProof/>
                <w:webHidden/>
                <w:lang w:val="en-GB"/>
              </w:rPr>
            </w:r>
            <w:r w:rsidR="000F12D6" w:rsidRPr="005D2DE9">
              <w:rPr>
                <w:noProof/>
                <w:webHidden/>
                <w:lang w:val="en-GB"/>
              </w:rPr>
              <w:fldChar w:fldCharType="separate"/>
            </w:r>
            <w:r w:rsidR="000F12D6" w:rsidRPr="005D2DE9">
              <w:rPr>
                <w:noProof/>
                <w:webHidden/>
                <w:lang w:val="en-GB"/>
              </w:rPr>
              <w:t>3</w:t>
            </w:r>
            <w:r w:rsidR="000F12D6" w:rsidRPr="005D2DE9">
              <w:rPr>
                <w:noProof/>
                <w:webHidden/>
                <w:lang w:val="en-GB"/>
              </w:rPr>
              <w:fldChar w:fldCharType="end"/>
            </w:r>
          </w:hyperlink>
        </w:p>
        <w:p w14:paraId="5D26F9CC" w14:textId="3595F72E" w:rsidR="000F12D6" w:rsidRPr="005D2DE9" w:rsidRDefault="000F12D6">
          <w:pPr>
            <w:pStyle w:val="TOC1"/>
            <w:tabs>
              <w:tab w:val="right" w:leader="dot" w:pos="9350"/>
            </w:tabs>
            <w:rPr>
              <w:rFonts w:asciiTheme="minorHAnsi" w:eastAsiaTheme="minorEastAsia" w:hAnsiTheme="minorHAnsi" w:cstheme="minorBidi"/>
              <w:noProof/>
              <w:kern w:val="2"/>
              <w:szCs w:val="24"/>
              <w:lang w:val="en-GB"/>
              <w14:ligatures w14:val="standardContextual"/>
            </w:rPr>
          </w:pPr>
          <w:hyperlink w:anchor="_Toc213520069" w:history="1">
            <w:r w:rsidRPr="005D2DE9">
              <w:rPr>
                <w:rStyle w:val="Hyperlink"/>
                <w:noProof/>
                <w:lang w:val="en-GB"/>
              </w:rPr>
              <w:t>Technological Advancements reshaping labour markets and its implications on HRM and IHRM strategies</w:t>
            </w:r>
            <w:r w:rsidRPr="005D2DE9">
              <w:rPr>
                <w:noProof/>
                <w:webHidden/>
                <w:lang w:val="en-GB"/>
              </w:rPr>
              <w:tab/>
            </w:r>
            <w:r w:rsidRPr="005D2DE9">
              <w:rPr>
                <w:noProof/>
                <w:webHidden/>
                <w:lang w:val="en-GB"/>
              </w:rPr>
              <w:fldChar w:fldCharType="begin"/>
            </w:r>
            <w:r w:rsidRPr="005D2DE9">
              <w:rPr>
                <w:noProof/>
                <w:webHidden/>
                <w:lang w:val="en-GB"/>
              </w:rPr>
              <w:instrText xml:space="preserve"> PAGEREF _Toc213520069 \h </w:instrText>
            </w:r>
            <w:r w:rsidRPr="005D2DE9">
              <w:rPr>
                <w:noProof/>
                <w:webHidden/>
                <w:lang w:val="en-GB"/>
              </w:rPr>
            </w:r>
            <w:r w:rsidRPr="005D2DE9">
              <w:rPr>
                <w:noProof/>
                <w:webHidden/>
                <w:lang w:val="en-GB"/>
              </w:rPr>
              <w:fldChar w:fldCharType="separate"/>
            </w:r>
            <w:r w:rsidRPr="005D2DE9">
              <w:rPr>
                <w:noProof/>
                <w:webHidden/>
                <w:lang w:val="en-GB"/>
              </w:rPr>
              <w:t>3</w:t>
            </w:r>
            <w:r w:rsidRPr="005D2DE9">
              <w:rPr>
                <w:noProof/>
                <w:webHidden/>
                <w:lang w:val="en-GB"/>
              </w:rPr>
              <w:fldChar w:fldCharType="end"/>
            </w:r>
          </w:hyperlink>
        </w:p>
        <w:p w14:paraId="3B49F029" w14:textId="6FD02818" w:rsidR="000F12D6" w:rsidRPr="005D2DE9" w:rsidRDefault="000F12D6">
          <w:pPr>
            <w:pStyle w:val="TOC1"/>
            <w:tabs>
              <w:tab w:val="right" w:leader="dot" w:pos="9350"/>
            </w:tabs>
            <w:rPr>
              <w:rFonts w:asciiTheme="minorHAnsi" w:eastAsiaTheme="minorEastAsia" w:hAnsiTheme="minorHAnsi" w:cstheme="minorBidi"/>
              <w:noProof/>
              <w:kern w:val="2"/>
              <w:szCs w:val="24"/>
              <w:lang w:val="en-GB"/>
              <w14:ligatures w14:val="standardContextual"/>
            </w:rPr>
          </w:pPr>
          <w:hyperlink w:anchor="_Toc213520070" w:history="1">
            <w:r w:rsidRPr="005D2DE9">
              <w:rPr>
                <w:rStyle w:val="Hyperlink"/>
                <w:noProof/>
                <w:lang w:val="en-GB"/>
              </w:rPr>
              <w:t>Key demographic and geopolitical factors influencing employment markets today and challenges for HR professionals</w:t>
            </w:r>
            <w:r w:rsidRPr="005D2DE9">
              <w:rPr>
                <w:noProof/>
                <w:webHidden/>
                <w:lang w:val="en-GB"/>
              </w:rPr>
              <w:tab/>
            </w:r>
            <w:r w:rsidRPr="005D2DE9">
              <w:rPr>
                <w:noProof/>
                <w:webHidden/>
                <w:lang w:val="en-GB"/>
              </w:rPr>
              <w:fldChar w:fldCharType="begin"/>
            </w:r>
            <w:r w:rsidRPr="005D2DE9">
              <w:rPr>
                <w:noProof/>
                <w:webHidden/>
                <w:lang w:val="en-GB"/>
              </w:rPr>
              <w:instrText xml:space="preserve"> PAGEREF _Toc213520070 \h </w:instrText>
            </w:r>
            <w:r w:rsidRPr="005D2DE9">
              <w:rPr>
                <w:noProof/>
                <w:webHidden/>
                <w:lang w:val="en-GB"/>
              </w:rPr>
            </w:r>
            <w:r w:rsidRPr="005D2DE9">
              <w:rPr>
                <w:noProof/>
                <w:webHidden/>
                <w:lang w:val="en-GB"/>
              </w:rPr>
              <w:fldChar w:fldCharType="separate"/>
            </w:r>
            <w:r w:rsidRPr="005D2DE9">
              <w:rPr>
                <w:noProof/>
                <w:webHidden/>
                <w:lang w:val="en-GB"/>
              </w:rPr>
              <w:t>4</w:t>
            </w:r>
            <w:r w:rsidRPr="005D2DE9">
              <w:rPr>
                <w:noProof/>
                <w:webHidden/>
                <w:lang w:val="en-GB"/>
              </w:rPr>
              <w:fldChar w:fldCharType="end"/>
            </w:r>
          </w:hyperlink>
        </w:p>
        <w:p w14:paraId="1E8F21B3" w14:textId="353AC0DE" w:rsidR="000F12D6" w:rsidRPr="005D2DE9" w:rsidRDefault="000F12D6">
          <w:pPr>
            <w:pStyle w:val="TOC1"/>
            <w:tabs>
              <w:tab w:val="right" w:leader="dot" w:pos="9350"/>
            </w:tabs>
            <w:rPr>
              <w:rFonts w:asciiTheme="minorHAnsi" w:eastAsiaTheme="minorEastAsia" w:hAnsiTheme="minorHAnsi" w:cstheme="minorBidi"/>
              <w:noProof/>
              <w:kern w:val="2"/>
              <w:szCs w:val="24"/>
              <w:lang w:val="en-GB"/>
              <w14:ligatures w14:val="standardContextual"/>
            </w:rPr>
          </w:pPr>
          <w:hyperlink w:anchor="_Toc213520071" w:history="1">
            <w:r w:rsidRPr="005D2DE9">
              <w:rPr>
                <w:rStyle w:val="Hyperlink"/>
                <w:noProof/>
                <w:lang w:val="en-GB"/>
              </w:rPr>
              <w:t>Addressing Skill Gaps and Talent Shortages in Critical Sectors Through HRM Strategies</w:t>
            </w:r>
            <w:r w:rsidRPr="005D2DE9">
              <w:rPr>
                <w:noProof/>
                <w:webHidden/>
                <w:lang w:val="en-GB"/>
              </w:rPr>
              <w:tab/>
            </w:r>
            <w:r w:rsidRPr="005D2DE9">
              <w:rPr>
                <w:noProof/>
                <w:webHidden/>
                <w:lang w:val="en-GB"/>
              </w:rPr>
              <w:fldChar w:fldCharType="begin"/>
            </w:r>
            <w:r w:rsidRPr="005D2DE9">
              <w:rPr>
                <w:noProof/>
                <w:webHidden/>
                <w:lang w:val="en-GB"/>
              </w:rPr>
              <w:instrText xml:space="preserve"> PAGEREF _Toc213520071 \h </w:instrText>
            </w:r>
            <w:r w:rsidRPr="005D2DE9">
              <w:rPr>
                <w:noProof/>
                <w:webHidden/>
                <w:lang w:val="en-GB"/>
              </w:rPr>
            </w:r>
            <w:r w:rsidRPr="005D2DE9">
              <w:rPr>
                <w:noProof/>
                <w:webHidden/>
                <w:lang w:val="en-GB"/>
              </w:rPr>
              <w:fldChar w:fldCharType="separate"/>
            </w:r>
            <w:r w:rsidRPr="005D2DE9">
              <w:rPr>
                <w:noProof/>
                <w:webHidden/>
                <w:lang w:val="en-GB"/>
              </w:rPr>
              <w:t>5</w:t>
            </w:r>
            <w:r w:rsidRPr="005D2DE9">
              <w:rPr>
                <w:noProof/>
                <w:webHidden/>
                <w:lang w:val="en-GB"/>
              </w:rPr>
              <w:fldChar w:fldCharType="end"/>
            </w:r>
          </w:hyperlink>
        </w:p>
        <w:p w14:paraId="740C8A78" w14:textId="3B46F4D6" w:rsidR="000F12D6" w:rsidRPr="005D2DE9" w:rsidRDefault="000F12D6">
          <w:pPr>
            <w:pStyle w:val="TOC1"/>
            <w:tabs>
              <w:tab w:val="right" w:leader="dot" w:pos="9350"/>
            </w:tabs>
            <w:rPr>
              <w:rFonts w:asciiTheme="minorHAnsi" w:eastAsiaTheme="minorEastAsia" w:hAnsiTheme="minorHAnsi" w:cstheme="minorBidi"/>
              <w:noProof/>
              <w:kern w:val="2"/>
              <w:szCs w:val="24"/>
              <w:lang w:val="en-GB"/>
              <w14:ligatures w14:val="standardContextual"/>
            </w:rPr>
          </w:pPr>
          <w:hyperlink w:anchor="_Toc213520072" w:history="1">
            <w:r w:rsidRPr="005D2DE9">
              <w:rPr>
                <w:rStyle w:val="Hyperlink"/>
                <w:noProof/>
                <w:lang w:val="en-GB"/>
              </w:rPr>
              <w:t>Reflective Self-Assessment</w:t>
            </w:r>
            <w:r w:rsidRPr="005D2DE9">
              <w:rPr>
                <w:noProof/>
                <w:webHidden/>
                <w:lang w:val="en-GB"/>
              </w:rPr>
              <w:tab/>
            </w:r>
            <w:r w:rsidRPr="005D2DE9">
              <w:rPr>
                <w:noProof/>
                <w:webHidden/>
                <w:lang w:val="en-GB"/>
              </w:rPr>
              <w:fldChar w:fldCharType="begin"/>
            </w:r>
            <w:r w:rsidRPr="005D2DE9">
              <w:rPr>
                <w:noProof/>
                <w:webHidden/>
                <w:lang w:val="en-GB"/>
              </w:rPr>
              <w:instrText xml:space="preserve"> PAGEREF _Toc213520072 \h </w:instrText>
            </w:r>
            <w:r w:rsidRPr="005D2DE9">
              <w:rPr>
                <w:noProof/>
                <w:webHidden/>
                <w:lang w:val="en-GB"/>
              </w:rPr>
            </w:r>
            <w:r w:rsidRPr="005D2DE9">
              <w:rPr>
                <w:noProof/>
                <w:webHidden/>
                <w:lang w:val="en-GB"/>
              </w:rPr>
              <w:fldChar w:fldCharType="separate"/>
            </w:r>
            <w:r w:rsidRPr="005D2DE9">
              <w:rPr>
                <w:noProof/>
                <w:webHidden/>
                <w:lang w:val="en-GB"/>
              </w:rPr>
              <w:t>7</w:t>
            </w:r>
            <w:r w:rsidRPr="005D2DE9">
              <w:rPr>
                <w:noProof/>
                <w:webHidden/>
                <w:lang w:val="en-GB"/>
              </w:rPr>
              <w:fldChar w:fldCharType="end"/>
            </w:r>
          </w:hyperlink>
        </w:p>
        <w:p w14:paraId="20291183" w14:textId="1E55771F" w:rsidR="000F12D6" w:rsidRPr="005D2DE9" w:rsidRDefault="000F12D6">
          <w:pPr>
            <w:pStyle w:val="TOC1"/>
            <w:tabs>
              <w:tab w:val="right" w:leader="dot" w:pos="9350"/>
            </w:tabs>
            <w:rPr>
              <w:rFonts w:asciiTheme="minorHAnsi" w:eastAsiaTheme="minorEastAsia" w:hAnsiTheme="minorHAnsi" w:cstheme="minorBidi"/>
              <w:noProof/>
              <w:kern w:val="2"/>
              <w:szCs w:val="24"/>
              <w:lang w:val="en-GB"/>
              <w14:ligatures w14:val="standardContextual"/>
            </w:rPr>
          </w:pPr>
          <w:hyperlink w:anchor="_Toc213520073" w:history="1">
            <w:r w:rsidRPr="005D2DE9">
              <w:rPr>
                <w:rStyle w:val="Hyperlink"/>
                <w:noProof/>
                <w:lang w:val="en-GB"/>
              </w:rPr>
              <w:t>Conclusion</w:t>
            </w:r>
            <w:r w:rsidRPr="005D2DE9">
              <w:rPr>
                <w:noProof/>
                <w:webHidden/>
                <w:lang w:val="en-GB"/>
              </w:rPr>
              <w:tab/>
            </w:r>
            <w:r w:rsidRPr="005D2DE9">
              <w:rPr>
                <w:noProof/>
                <w:webHidden/>
                <w:lang w:val="en-GB"/>
              </w:rPr>
              <w:fldChar w:fldCharType="begin"/>
            </w:r>
            <w:r w:rsidRPr="005D2DE9">
              <w:rPr>
                <w:noProof/>
                <w:webHidden/>
                <w:lang w:val="en-GB"/>
              </w:rPr>
              <w:instrText xml:space="preserve"> PAGEREF _Toc213520073 \h </w:instrText>
            </w:r>
            <w:r w:rsidRPr="005D2DE9">
              <w:rPr>
                <w:noProof/>
                <w:webHidden/>
                <w:lang w:val="en-GB"/>
              </w:rPr>
            </w:r>
            <w:r w:rsidRPr="005D2DE9">
              <w:rPr>
                <w:noProof/>
                <w:webHidden/>
                <w:lang w:val="en-GB"/>
              </w:rPr>
              <w:fldChar w:fldCharType="separate"/>
            </w:r>
            <w:r w:rsidRPr="005D2DE9">
              <w:rPr>
                <w:noProof/>
                <w:webHidden/>
                <w:lang w:val="en-GB"/>
              </w:rPr>
              <w:t>10</w:t>
            </w:r>
            <w:r w:rsidRPr="005D2DE9">
              <w:rPr>
                <w:noProof/>
                <w:webHidden/>
                <w:lang w:val="en-GB"/>
              </w:rPr>
              <w:fldChar w:fldCharType="end"/>
            </w:r>
          </w:hyperlink>
        </w:p>
        <w:p w14:paraId="62918210" w14:textId="39E28426" w:rsidR="000F12D6" w:rsidRPr="005D2DE9" w:rsidRDefault="000F12D6">
          <w:pPr>
            <w:pStyle w:val="TOC1"/>
            <w:tabs>
              <w:tab w:val="right" w:leader="dot" w:pos="9350"/>
            </w:tabs>
            <w:rPr>
              <w:rFonts w:asciiTheme="minorHAnsi" w:eastAsiaTheme="minorEastAsia" w:hAnsiTheme="minorHAnsi" w:cstheme="minorBidi"/>
              <w:noProof/>
              <w:kern w:val="2"/>
              <w:szCs w:val="24"/>
              <w:lang w:val="en-GB"/>
              <w14:ligatures w14:val="standardContextual"/>
            </w:rPr>
          </w:pPr>
          <w:hyperlink w:anchor="_Toc213520074" w:history="1">
            <w:r w:rsidRPr="005D2DE9">
              <w:rPr>
                <w:rStyle w:val="Hyperlink"/>
                <w:noProof/>
                <w:lang w:val="en-GB"/>
              </w:rPr>
              <w:t>References</w:t>
            </w:r>
            <w:r w:rsidRPr="005D2DE9">
              <w:rPr>
                <w:noProof/>
                <w:webHidden/>
                <w:lang w:val="en-GB"/>
              </w:rPr>
              <w:tab/>
            </w:r>
            <w:r w:rsidRPr="005D2DE9">
              <w:rPr>
                <w:noProof/>
                <w:webHidden/>
                <w:lang w:val="en-GB"/>
              </w:rPr>
              <w:fldChar w:fldCharType="begin"/>
            </w:r>
            <w:r w:rsidRPr="005D2DE9">
              <w:rPr>
                <w:noProof/>
                <w:webHidden/>
                <w:lang w:val="en-GB"/>
              </w:rPr>
              <w:instrText xml:space="preserve"> PAGEREF _Toc213520074 \h </w:instrText>
            </w:r>
            <w:r w:rsidRPr="005D2DE9">
              <w:rPr>
                <w:noProof/>
                <w:webHidden/>
                <w:lang w:val="en-GB"/>
              </w:rPr>
            </w:r>
            <w:r w:rsidRPr="005D2DE9">
              <w:rPr>
                <w:noProof/>
                <w:webHidden/>
                <w:lang w:val="en-GB"/>
              </w:rPr>
              <w:fldChar w:fldCharType="separate"/>
            </w:r>
            <w:r w:rsidRPr="005D2DE9">
              <w:rPr>
                <w:noProof/>
                <w:webHidden/>
                <w:lang w:val="en-GB"/>
              </w:rPr>
              <w:t>11</w:t>
            </w:r>
            <w:r w:rsidRPr="005D2DE9">
              <w:rPr>
                <w:noProof/>
                <w:webHidden/>
                <w:lang w:val="en-GB"/>
              </w:rPr>
              <w:fldChar w:fldCharType="end"/>
            </w:r>
          </w:hyperlink>
        </w:p>
        <w:p w14:paraId="566CAFB3" w14:textId="033797DA" w:rsidR="00E76A98" w:rsidRPr="005D2DE9" w:rsidRDefault="00E76A98" w:rsidP="00E76A98">
          <w:pPr>
            <w:rPr>
              <w:lang w:val="en-GB"/>
            </w:rPr>
          </w:pPr>
          <w:r w:rsidRPr="005D2DE9">
            <w:rPr>
              <w:rFonts w:cs="Times New Roman"/>
              <w:szCs w:val="24"/>
              <w:lang w:val="en-GB"/>
            </w:rPr>
            <w:fldChar w:fldCharType="end"/>
          </w:r>
        </w:p>
      </w:sdtContent>
    </w:sdt>
    <w:p w14:paraId="229D4603" w14:textId="77777777" w:rsidR="004A0901" w:rsidRPr="005D2DE9" w:rsidRDefault="004C3F47" w:rsidP="004C3F47">
      <w:pPr>
        <w:pStyle w:val="Normal1"/>
        <w:spacing w:before="200" w:line="360" w:lineRule="auto"/>
        <w:jc w:val="center"/>
        <w:rPr>
          <w:rFonts w:ascii="Times New Roman" w:eastAsia="Times New Roman" w:hAnsi="Times New Roman" w:cs="Times New Roman"/>
          <w:b/>
          <w:sz w:val="24"/>
          <w:szCs w:val="24"/>
          <w:lang w:val="en-GB"/>
        </w:rPr>
      </w:pPr>
      <w:r w:rsidRPr="005D2DE9">
        <w:rPr>
          <w:lang w:val="en-GB"/>
        </w:rPr>
        <w:br w:type="page"/>
      </w:r>
    </w:p>
    <w:p w14:paraId="412A6D4F" w14:textId="77777777" w:rsidR="00E56878" w:rsidRPr="005D2DE9" w:rsidRDefault="00E56878" w:rsidP="000F12D6">
      <w:pPr>
        <w:pStyle w:val="Heading1"/>
      </w:pPr>
      <w:bookmarkStart w:id="1" w:name="_Toc213520068"/>
      <w:r w:rsidRPr="005D2DE9">
        <w:lastRenderedPageBreak/>
        <w:t>Introduction</w:t>
      </w:r>
      <w:bookmarkEnd w:id="1"/>
    </w:p>
    <w:p w14:paraId="13B04139" w14:textId="10681F98" w:rsidR="00E56878" w:rsidRPr="005D2DE9" w:rsidRDefault="00E56878" w:rsidP="00E56878">
      <w:pPr>
        <w:rPr>
          <w:lang w:val="en-GB"/>
        </w:rPr>
      </w:pPr>
      <w:r w:rsidRPr="005D2DE9">
        <w:rPr>
          <w:lang w:val="en-GB"/>
        </w:rPr>
        <w:t xml:space="preserve">The worldwide </w:t>
      </w:r>
      <w:r w:rsidR="005D2DE9" w:rsidRPr="005D2DE9">
        <w:rPr>
          <w:lang w:val="en-GB"/>
        </w:rPr>
        <w:t>labour</w:t>
      </w:r>
      <w:r w:rsidRPr="005D2DE9">
        <w:rPr>
          <w:lang w:val="en-GB"/>
        </w:rPr>
        <w:t xml:space="preserve"> market is expanded for making continuous change through national and international economic forces, advancements in technology and geopolitical transformations. There are some affected strategies of HRM and IHRM are greatly affected by these changes. In this report, the mobile workforce discusses issues with the assistance of skill gaps, technology incorporation and leadership across different cultures. In today’s world, the organizations are required to adapt their human resource (HR) practices more regularly than before in order to deal with the problems of skill deficiencies, technology adoption, and cross-cultural issues that are characteristic of the dynamic </w:t>
      </w:r>
      <w:r w:rsidR="005D2DE9" w:rsidRPr="005D2DE9">
        <w:rPr>
          <w:lang w:val="en-GB"/>
        </w:rPr>
        <w:t>labour</w:t>
      </w:r>
      <w:r w:rsidRPr="005D2DE9">
        <w:rPr>
          <w:lang w:val="en-GB"/>
        </w:rPr>
        <w:t xml:space="preserve"> market. </w:t>
      </w:r>
    </w:p>
    <w:p w14:paraId="6BC2F328" w14:textId="77777777" w:rsidR="00E56878" w:rsidRPr="005D2DE9" w:rsidRDefault="00E56878" w:rsidP="00E56878">
      <w:pPr>
        <w:pStyle w:val="Heading1"/>
      </w:pPr>
      <w:bookmarkStart w:id="2" w:name="_ne763560f4o2" w:colFirst="0" w:colLast="0"/>
      <w:bookmarkStart w:id="3" w:name="_Toc213520069"/>
      <w:bookmarkEnd w:id="2"/>
      <w:r w:rsidRPr="005D2DE9">
        <w:t>Technological Advancements reshaping labour markets and its implications on HRM and IHRM strategies</w:t>
      </w:r>
      <w:bookmarkEnd w:id="3"/>
    </w:p>
    <w:p w14:paraId="30F7425D" w14:textId="77777777" w:rsidR="00E56878" w:rsidRPr="005D2DE9" w:rsidRDefault="00E56878" w:rsidP="00E56878">
      <w:pPr>
        <w:rPr>
          <w:lang w:val="en-GB"/>
        </w:rPr>
      </w:pPr>
      <w:r w:rsidRPr="005D2DE9">
        <w:rPr>
          <w:b/>
          <w:i/>
          <w:lang w:val="en-GB"/>
        </w:rPr>
        <w:t>Claim</w:t>
      </w:r>
      <w:r w:rsidRPr="005D2DE9">
        <w:rPr>
          <w:lang w:val="en-GB"/>
        </w:rPr>
        <w:t>: According to the argument, the effectiveness of the global labour market by taking the assistance of emerging technologies such as robotics, artificial intelligence, automation, and digital platforms in relation to the aspects of HRM as well as IHRM strategies on a global platform. The various technological advancements surely changed the employee expectations and effectiveness of the performed work posing a challenge to other related processes within organizations that call for flexible HR managers.</w:t>
      </w:r>
    </w:p>
    <w:p w14:paraId="18B9B4F1" w14:textId="77777777" w:rsidR="00E56878" w:rsidRPr="005D2DE9" w:rsidRDefault="00E56878" w:rsidP="00E56878">
      <w:pPr>
        <w:rPr>
          <w:lang w:val="en-GB"/>
        </w:rPr>
      </w:pPr>
      <w:r w:rsidRPr="005D2DE9">
        <w:rPr>
          <w:b/>
          <w:i/>
          <w:lang w:val="en-GB"/>
        </w:rPr>
        <w:t>Evidence</w:t>
      </w:r>
      <w:r w:rsidRPr="005D2DE9">
        <w:rPr>
          <w:lang w:val="en-GB"/>
        </w:rPr>
        <w:t xml:space="preserve">: The usage of technology is transforming jobs through automation and AI that utilises the menial roles by making operations run smoothly. A study conducted by McKinsey &amp; Company (2021) indicates that employment fears hinder organizational change efforts, especially in the era of robotics, given that about 375 million workers will have to move into different job families by the year 2030, according to </w:t>
      </w:r>
      <w:proofErr w:type="spellStart"/>
      <w:r w:rsidRPr="005D2DE9">
        <w:rPr>
          <w:lang w:val="en-GB"/>
        </w:rPr>
        <w:t>Dalsaniya</w:t>
      </w:r>
      <w:proofErr w:type="spellEnd"/>
      <w:r w:rsidRPr="005D2DE9">
        <w:rPr>
          <w:lang w:val="en-GB"/>
        </w:rPr>
        <w:t xml:space="preserve"> and Patel (2022). Nevertheless, such advanced machineries give rise to fresh job opportunities like data analysis personnel, AI experts, and robotics engineers. The combination of artificial intelligence (AI) and robotics is changing job roles through the automation of repetitive tasks and integration of cognitive functions into what used to be monotone applications (Ness, Shepherd, &amp; Xuan, 2023). The availability of cheap communication platforms and cloud storage like Zoom or Slack, which broadens the pool of talented individuals from different parts that can recruit anyone around the globe by using organization.  HR professionals available, some AI-based recruitment tools </w:t>
      </w:r>
      <w:r w:rsidRPr="005D2DE9">
        <w:rPr>
          <w:lang w:val="en-GB"/>
        </w:rPr>
        <w:lastRenderedPageBreak/>
        <w:t>through which they can easily approach candidates, take interviews, evaluate, and give them job offers quickly.</w:t>
      </w:r>
    </w:p>
    <w:p w14:paraId="275F3C26" w14:textId="33C112AE" w:rsidR="00E56878" w:rsidRPr="005D2DE9" w:rsidRDefault="00E56878" w:rsidP="00E56878">
      <w:pPr>
        <w:rPr>
          <w:lang w:val="en-GB"/>
        </w:rPr>
      </w:pPr>
      <w:r w:rsidRPr="005D2DE9">
        <w:rPr>
          <w:b/>
          <w:i/>
          <w:lang w:val="en-GB"/>
        </w:rPr>
        <w:t>Interpretations</w:t>
      </w:r>
      <w:r w:rsidRPr="005D2DE9">
        <w:rPr>
          <w:lang w:val="en-GB"/>
        </w:rPr>
        <w:t xml:space="preserve">: The effective strategies of HRM and IHRM are greatly affected by these changes in technology. Automation widens the skills gap that requires adaptive HRM strategies to address it. Thus, organizations must implement re-skilling and up-skilling programs to ensure that their employees are ready for the upcoming </w:t>
      </w:r>
      <w:r w:rsidR="005D2DE9" w:rsidRPr="005D2DE9">
        <w:rPr>
          <w:lang w:val="en-GB"/>
        </w:rPr>
        <w:t>labour</w:t>
      </w:r>
      <w:r w:rsidRPr="005D2DE9">
        <w:rPr>
          <w:lang w:val="en-GB"/>
        </w:rPr>
        <w:t xml:space="preserve"> market. Currently, workers operating within highly automated environments should continuously receive support through accessible HRM systems that offer learning opportunities such as online courses, certificates, and partnerships with educational institutions so that they can stay relevant. Secondly, the evolution of technology facilitates organization’s control over virtual teams in IHRM perspective. However, there are challenges in cross-cultural communication, supervision and leadership of expatriates in today’s globalized industries. IHRM should adopt AI-based HR systems for effective performance evaluation and cross-temporal communication (Deepa </w:t>
      </w:r>
      <w:r w:rsidRPr="005D2DE9">
        <w:rPr>
          <w:i/>
          <w:lang w:val="en-GB"/>
        </w:rPr>
        <w:t>et al.</w:t>
      </w:r>
      <w:r w:rsidRPr="005D2DE9">
        <w:rPr>
          <w:lang w:val="en-GB"/>
        </w:rPr>
        <w:t xml:space="preserve"> 2024). Be it global or affected by globalization, cross-cultural training is essential for employees to interact across cultures at work. These changes also relate to ethics, AI bias, and data privacy. Hence HRM and IHRM should promote justice and fairness in the operation of AI system and prevent any data abuse on employees especially with cross border legislations such as GDPR.</w:t>
      </w:r>
    </w:p>
    <w:p w14:paraId="0B9332EF" w14:textId="77777777" w:rsidR="00E56878" w:rsidRPr="005D2DE9" w:rsidRDefault="00E56878" w:rsidP="00E56878">
      <w:pPr>
        <w:pStyle w:val="Heading1"/>
      </w:pPr>
      <w:bookmarkStart w:id="4" w:name="_emxxd884la5g" w:colFirst="0" w:colLast="0"/>
      <w:bookmarkStart w:id="5" w:name="_Toc213520070"/>
      <w:bookmarkEnd w:id="4"/>
      <w:r w:rsidRPr="005D2DE9">
        <w:t>Key demographic and geopolitical factors influencing employment markets today and challenges for HR professionals</w:t>
      </w:r>
      <w:bookmarkEnd w:id="5"/>
    </w:p>
    <w:p w14:paraId="2915A5FC" w14:textId="77777777" w:rsidR="00E56878" w:rsidRPr="005D2DE9" w:rsidRDefault="00E56878" w:rsidP="00E56878">
      <w:pPr>
        <w:rPr>
          <w:lang w:val="en-GB"/>
        </w:rPr>
      </w:pPr>
      <w:r w:rsidRPr="005D2DE9">
        <w:rPr>
          <w:b/>
          <w:i/>
          <w:lang w:val="en-GB"/>
        </w:rPr>
        <w:t>Claim</w:t>
      </w:r>
      <w:r w:rsidRPr="005D2DE9">
        <w:rPr>
          <w:lang w:val="en-GB"/>
        </w:rPr>
        <w:t>: Today’s job markets are being influenced by various factors such as an increase in certain age groups, immigration, variety, politics, and the movement of goods. Human resource managers face many challenges and prospects from these factors, which make it necessary for them to adjust the HR strategies so that the organization can efficiently sail through this turmoil.</w:t>
      </w:r>
    </w:p>
    <w:p w14:paraId="3E8D8000" w14:textId="0A39D4E3" w:rsidR="00E56878" w:rsidRPr="005D2DE9" w:rsidRDefault="00E56878" w:rsidP="00E56878">
      <w:pPr>
        <w:rPr>
          <w:lang w:val="en-GB"/>
        </w:rPr>
      </w:pPr>
      <w:r w:rsidRPr="005D2DE9">
        <w:rPr>
          <w:b/>
          <w:i/>
          <w:lang w:val="en-GB"/>
        </w:rPr>
        <w:t>Evidence</w:t>
      </w:r>
      <w:r w:rsidRPr="005D2DE9">
        <w:rPr>
          <w:lang w:val="en-GB"/>
        </w:rPr>
        <w:t xml:space="preserve">: One of the </w:t>
      </w:r>
      <w:r w:rsidR="005D2DE9" w:rsidRPr="005D2DE9">
        <w:rPr>
          <w:lang w:val="en-GB"/>
        </w:rPr>
        <w:t>pieces of evidence</w:t>
      </w:r>
      <w:r w:rsidRPr="005D2DE9">
        <w:rPr>
          <w:lang w:val="en-GB"/>
        </w:rPr>
        <w:t xml:space="preserve"> supporting this claim is the impact of an aging population, which has had a significant effect on the working age globally. First, there is an increase in migratory movement among employees who come from different economic, war-inflicted, or environmentally hazard susceptible zones worldwide. The situation is compounded by the fact that there are larger numbers of migrants than ever before entering various countries around the world today for job opportunities they believe are better than those back home. According to a recent report by the Organisation for Economic Co-operation and Development </w:t>
      </w:r>
      <w:r w:rsidRPr="005D2DE9">
        <w:rPr>
          <w:lang w:val="en-GB"/>
        </w:rPr>
        <w:lastRenderedPageBreak/>
        <w:t xml:space="preserve">(OECD), migration has reshaped </w:t>
      </w:r>
      <w:r w:rsidR="005D2DE9" w:rsidRPr="005D2DE9">
        <w:rPr>
          <w:lang w:val="en-GB"/>
        </w:rPr>
        <w:t>labour</w:t>
      </w:r>
      <w:r w:rsidRPr="005D2DE9">
        <w:rPr>
          <w:lang w:val="en-GB"/>
        </w:rPr>
        <w:t xml:space="preserve"> markets and increased the number of multi-cultural workforces, which pose challenges for effective leadership in organizations that have them. The global GDP growth is projected to stand at 2. 7% in 2023, with the OECD area accounting for 1. 4% over the 2023–2024 period (He </w:t>
      </w:r>
      <w:r w:rsidRPr="005D2DE9">
        <w:rPr>
          <w:i/>
          <w:lang w:val="en-GB"/>
        </w:rPr>
        <w:t>et al</w:t>
      </w:r>
      <w:r w:rsidRPr="005D2DE9">
        <w:rPr>
          <w:lang w:val="en-GB"/>
        </w:rPr>
        <w:t xml:space="preserve">. 2024). Geopolitical issues like political unrest and trade conflicts greatly affect the job sector. For instance, the ongoing Russia-Ukraine conflict has led to interruptions in the supply of certain products, hence creating a deficiency of </w:t>
      </w:r>
      <w:r w:rsidR="005D2DE9" w:rsidRPr="005D2DE9">
        <w:rPr>
          <w:lang w:val="en-GB"/>
        </w:rPr>
        <w:t>labour</w:t>
      </w:r>
      <w:r w:rsidRPr="005D2DE9">
        <w:rPr>
          <w:lang w:val="en-GB"/>
        </w:rPr>
        <w:t xml:space="preserve"> in some specific markets, e. g. manufacturing, transport. These interruptions are felt worldwide, hence the need for companies to reconsider their workforce strategies on an international level. The trade tensions and protectionist stances may reduce </w:t>
      </w:r>
      <w:r w:rsidR="005D2DE9" w:rsidRPr="005D2DE9">
        <w:rPr>
          <w:lang w:val="en-GB"/>
        </w:rPr>
        <w:t>labour</w:t>
      </w:r>
      <w:r w:rsidRPr="005D2DE9">
        <w:rPr>
          <w:lang w:val="en-GB"/>
        </w:rPr>
        <w:t xml:space="preserve"> mobility. The World Bank and IMF have formed an interactive partnership aimed at driving sustainable development and fostering economic resilience (</w:t>
      </w:r>
      <w:proofErr w:type="spellStart"/>
      <w:r w:rsidRPr="005D2DE9">
        <w:rPr>
          <w:lang w:val="en-GB"/>
        </w:rPr>
        <w:t>Keliwaal</w:t>
      </w:r>
      <w:proofErr w:type="spellEnd"/>
      <w:r w:rsidRPr="005D2DE9">
        <w:rPr>
          <w:lang w:val="en-GB"/>
        </w:rPr>
        <w:t>, Stanikzai, &amp; Jawad, 2023). As a result, organizations in sectors such as manufacturing or technology have been compelled to review their expatriate staffing levels due to these changes in the global supply chain.</w:t>
      </w:r>
    </w:p>
    <w:p w14:paraId="55745677" w14:textId="77777777" w:rsidR="00E56878" w:rsidRPr="005D2DE9" w:rsidRDefault="00E56878" w:rsidP="00E56878">
      <w:pPr>
        <w:rPr>
          <w:lang w:val="en-GB"/>
        </w:rPr>
      </w:pPr>
      <w:r w:rsidRPr="005D2DE9">
        <w:rPr>
          <w:b/>
          <w:i/>
          <w:lang w:val="en-GB"/>
        </w:rPr>
        <w:t>Interpretations:</w:t>
      </w:r>
      <w:r w:rsidRPr="005D2DE9">
        <w:rPr>
          <w:lang w:val="en-GB"/>
        </w:rPr>
        <w:t xml:space="preserve"> </w:t>
      </w:r>
    </w:p>
    <w:p w14:paraId="6B260498" w14:textId="29F8130D" w:rsidR="00E56878" w:rsidRPr="005D2DE9" w:rsidRDefault="00E56878" w:rsidP="00E56878">
      <w:pPr>
        <w:rPr>
          <w:lang w:val="en-GB"/>
        </w:rPr>
      </w:pPr>
      <w:r w:rsidRPr="005D2DE9">
        <w:rPr>
          <w:lang w:val="en-GB"/>
        </w:rPr>
        <w:t>The demographic and geopolitical shifts pose a great challenge to normal HRM and IHRM practices in the view of human resource managers. The major problem is an aging staff that should be managed and whose retirement should be planned. Thus, the HRM strategies should take into account some flexible retirement policies, plans of succession, and mentoring programs that will facilitate knowledge and skill transfer to younger generations. The workspace design may also need changes, while wellness programs should be introduced to take care of the health condition of elderly employees. Migration has also made people work in environments that are very diverse, HR professionals should come up with better ways of having all these people work together. In order to ensure equal treatment for employees from any cultural background or heritage, irrespective of their national origins, it is important that International Human Resource Management (IHRM) adopts culturally sensitive training programs, an all-encompassing staffing process as well as various forms of leadership training</w:t>
      </w:r>
      <w:r w:rsidR="0027376E">
        <w:rPr>
          <w:lang w:val="en-GB"/>
        </w:rPr>
        <w:t xml:space="preserve"> </w:t>
      </w:r>
      <w:r w:rsidRPr="005D2DE9">
        <w:rPr>
          <w:lang w:val="en-GB"/>
        </w:rPr>
        <w:t>(</w:t>
      </w:r>
      <w:proofErr w:type="spellStart"/>
      <w:r w:rsidRPr="005D2DE9">
        <w:rPr>
          <w:lang w:val="en-GB"/>
        </w:rPr>
        <w:t>Dwiarto</w:t>
      </w:r>
      <w:proofErr w:type="spellEnd"/>
      <w:r w:rsidRPr="005D2DE9">
        <w:rPr>
          <w:lang w:val="en-GB"/>
        </w:rPr>
        <w:t xml:space="preserve"> </w:t>
      </w:r>
      <w:r w:rsidRPr="005D2DE9">
        <w:rPr>
          <w:i/>
          <w:lang w:val="en-GB"/>
        </w:rPr>
        <w:t>et al</w:t>
      </w:r>
      <w:r w:rsidRPr="005D2DE9">
        <w:rPr>
          <w:lang w:val="en-GB"/>
        </w:rPr>
        <w:t>. 2025).Human resource (HR) managers are required to take flexible and adaptive measures in their HRM plans, such as scenario planning and formulating global staff mobility policies to overcome any disruption at the worldwide level.</w:t>
      </w:r>
    </w:p>
    <w:p w14:paraId="2C8B349B" w14:textId="77777777" w:rsidR="00E56878" w:rsidRPr="005D2DE9" w:rsidRDefault="00E56878" w:rsidP="00E56878">
      <w:pPr>
        <w:pStyle w:val="Heading1"/>
      </w:pPr>
      <w:bookmarkStart w:id="6" w:name="_95cl3ol8kg1r" w:colFirst="0" w:colLast="0"/>
      <w:bookmarkStart w:id="7" w:name="_Toc213520071"/>
      <w:bookmarkEnd w:id="6"/>
      <w:r w:rsidRPr="005D2DE9">
        <w:t>Addressing Skill Gaps and Talent Shortages in Critical Sectors Through HRM Strategies</w:t>
      </w:r>
      <w:bookmarkEnd w:id="7"/>
    </w:p>
    <w:p w14:paraId="736DDBAC" w14:textId="77777777" w:rsidR="00E56878" w:rsidRPr="005D2DE9" w:rsidRDefault="00E56878" w:rsidP="00E56878">
      <w:pPr>
        <w:rPr>
          <w:lang w:val="en-GB"/>
        </w:rPr>
      </w:pPr>
      <w:r w:rsidRPr="0003780A">
        <w:rPr>
          <w:b/>
          <w:i/>
          <w:iCs/>
          <w:lang w:val="en-GB"/>
        </w:rPr>
        <w:lastRenderedPageBreak/>
        <w:t>Claim</w:t>
      </w:r>
      <w:r w:rsidRPr="0003780A">
        <w:rPr>
          <w:i/>
          <w:iCs/>
          <w:lang w:val="en-GB"/>
        </w:rPr>
        <w:t>:</w:t>
      </w:r>
      <w:r w:rsidRPr="005D2DE9">
        <w:rPr>
          <w:lang w:val="en-GB"/>
        </w:rPr>
        <w:t xml:space="preserve"> Metaphorically speaking, organizations all over the world are facing a very big issue; this is because there are not enough people in some jobs who have certain abilities, or there are too many people with abilities that are not needed in some important areas, which include IT, health, and hotel industries. For this reason, HRM strategies should change in order to overcome these challenges through reskilling, talent attraction, and maintaining a viable workforce for the long term.</w:t>
      </w:r>
    </w:p>
    <w:p w14:paraId="5B07E837" w14:textId="42E4A130" w:rsidR="00E56878" w:rsidRPr="005D2DE9" w:rsidRDefault="00E56878" w:rsidP="00E56878">
      <w:pPr>
        <w:rPr>
          <w:lang w:val="en-GB"/>
        </w:rPr>
      </w:pPr>
      <w:r w:rsidRPr="0003780A">
        <w:rPr>
          <w:b/>
          <w:i/>
          <w:iCs/>
          <w:lang w:val="en-GB"/>
        </w:rPr>
        <w:t>Evidence</w:t>
      </w:r>
      <w:r w:rsidRPr="0003780A">
        <w:rPr>
          <w:i/>
          <w:iCs/>
          <w:lang w:val="en-GB"/>
        </w:rPr>
        <w:t>:</w:t>
      </w:r>
      <w:r w:rsidRPr="005D2DE9">
        <w:rPr>
          <w:lang w:val="en-GB"/>
        </w:rPr>
        <w:t xml:space="preserve"> The evidence presented in a study by PwC in 2024 indicates that a majority of Chief Executive Officers are concerned about the risk posed to business expansion by inadequate personnel. Data gathered from all over the world, with special focus on the construction industry employing 4,290 respondents, indicates that the sector is under increasing pressure to cut emissions and enhance energy efficiency (Nováková, 2025). Such critical areas experience massive deficits. As per a report by the World Economic Forum in 2022, there are approximately 1,5 million job vacancies for specialists in the IT area worldwide, particularly in cybersecurity and artificial intelligence. Moreover, the public health sector still lacks enough nurses, physicians, and other specialized medical personnel, many of whom are already hard to come by and whose availability has been further reduced due to the continued strain of COVID-19 on healthcare systems. Organizations face huge skill gaps within the hospitality sector, and there are few experienced employees for supervising customer services efficiently and keeping up with business tasks. According to the World Tourism Organization’s report for 2021, the lack of a qualified workforce is slowing down recovery after the pandemic in hospitality, as it remains understaffed with professionals.</w:t>
      </w:r>
    </w:p>
    <w:p w14:paraId="34FE3FDE" w14:textId="7C7C25FA" w:rsidR="00E56878" w:rsidRPr="005D2DE9" w:rsidRDefault="00E56878" w:rsidP="00E56878">
      <w:pPr>
        <w:rPr>
          <w:lang w:val="en-GB"/>
        </w:rPr>
      </w:pPr>
      <w:r w:rsidRPr="0003780A">
        <w:rPr>
          <w:b/>
          <w:i/>
          <w:iCs/>
          <w:lang w:val="en-GB"/>
        </w:rPr>
        <w:t>Interpretations:</w:t>
      </w:r>
      <w:r w:rsidRPr="005D2DE9">
        <w:rPr>
          <w:b/>
          <w:lang w:val="en-GB"/>
        </w:rPr>
        <w:t xml:space="preserve"> </w:t>
      </w:r>
      <w:r w:rsidRPr="005D2DE9">
        <w:rPr>
          <w:lang w:val="en-GB"/>
        </w:rPr>
        <w:t xml:space="preserve">HRM strategies should consider solving this problem, talent management, and development initiatives that are actively focused on addressing critical skills gaps and talent deficits.  First and foremost, Human Resource Management can be seen as an approach to increasing employees’ capacities. In this regard, reskilling and upskilling the current workforce remains an important arm in the organization. To illustrate, it is necessary for companies to invest in training courses focusing on digital literacy, cybersecurity, healthcare management and other related subjects. Human resource units can also introduce internal talent mobility in order to improve promotional prospects for employees who want to move around in the </w:t>
      </w:r>
      <w:r w:rsidR="005D2DE9" w:rsidRPr="005D2DE9">
        <w:rPr>
          <w:lang w:val="en-GB"/>
        </w:rPr>
        <w:t>labour</w:t>
      </w:r>
      <w:r w:rsidRPr="005D2DE9">
        <w:rPr>
          <w:lang w:val="en-GB"/>
        </w:rPr>
        <w:t xml:space="preserve"> market. Partnerships of this kind could as well facilitate tailor-made training schedules occasionally. Human resource management strategies are targeted at improving recruitment practices by using </w:t>
      </w:r>
      <w:r w:rsidRPr="005D2DE9">
        <w:rPr>
          <w:lang w:val="en-GB"/>
        </w:rPr>
        <w:lastRenderedPageBreak/>
        <w:t>specialized marketing strategies, among other ways. (</w:t>
      </w:r>
      <w:proofErr w:type="spellStart"/>
      <w:r w:rsidRPr="005D2DE9">
        <w:rPr>
          <w:lang w:val="en-GB"/>
        </w:rPr>
        <w:t>Ogedengbe</w:t>
      </w:r>
      <w:proofErr w:type="spellEnd"/>
      <w:r w:rsidRPr="005D2DE9">
        <w:rPr>
          <w:i/>
          <w:lang w:val="en-GB"/>
        </w:rPr>
        <w:t xml:space="preserve"> et al.</w:t>
      </w:r>
      <w:r w:rsidRPr="005D2DE9">
        <w:rPr>
          <w:lang w:val="en-GB"/>
        </w:rPr>
        <w:t xml:space="preserve"> 2024). It calls for the exploitation of the available AI-driven recruitment tools and data analytics to efficiently identify and draw in potential top talent.</w:t>
      </w:r>
    </w:p>
    <w:p w14:paraId="0693AEB8" w14:textId="3D10CEAA" w:rsidR="004A0901" w:rsidRPr="005D2DE9" w:rsidRDefault="000C49B3" w:rsidP="004C3F47">
      <w:pPr>
        <w:pStyle w:val="Heading1"/>
      </w:pPr>
      <w:bookmarkStart w:id="8" w:name="_Toc213520072"/>
      <w:r w:rsidRPr="005D2DE9">
        <w:t>Reflective Self-Assessment</w:t>
      </w:r>
      <w:bookmarkEnd w:id="8"/>
    </w:p>
    <w:p w14:paraId="6AA28336" w14:textId="77777777" w:rsidR="004A0901" w:rsidRPr="005D2DE9" w:rsidRDefault="000C49B3">
      <w:pPr>
        <w:pStyle w:val="Normal1"/>
        <w:spacing w:before="200" w:line="360" w:lineRule="auto"/>
        <w:jc w:val="both"/>
        <w:rPr>
          <w:rFonts w:ascii="Times New Roman" w:eastAsia="Times New Roman" w:hAnsi="Times New Roman" w:cs="Times New Roman"/>
          <w:sz w:val="24"/>
          <w:szCs w:val="24"/>
          <w:lang w:val="en-GB"/>
        </w:rPr>
      </w:pPr>
      <w:r w:rsidRPr="005D2DE9">
        <w:rPr>
          <w:rFonts w:ascii="Times New Roman" w:eastAsia="Times New Roman" w:hAnsi="Times New Roman" w:cs="Times New Roman"/>
          <w:sz w:val="24"/>
          <w:szCs w:val="24"/>
          <w:lang w:val="en-GB"/>
        </w:rPr>
        <w:t xml:space="preserve">The reflective report involves analysing my recent experience of reviewing HRM of international organisations and the highly-sought skills by the employers. Applying the “Gibbs’ Reflective Cycle”, I intend to use the specific stages to reflect on my experience and identify my strengths and areas of opportunities. According to Hashim </w:t>
      </w:r>
      <w:r w:rsidRPr="005D2DE9">
        <w:rPr>
          <w:rFonts w:ascii="Times New Roman" w:eastAsia="Times New Roman" w:hAnsi="Times New Roman" w:cs="Times New Roman"/>
          <w:i/>
          <w:sz w:val="24"/>
          <w:szCs w:val="24"/>
          <w:lang w:val="en-GB"/>
        </w:rPr>
        <w:t>et al.</w:t>
      </w:r>
      <w:r w:rsidRPr="005D2DE9">
        <w:rPr>
          <w:rFonts w:ascii="Times New Roman" w:eastAsia="Times New Roman" w:hAnsi="Times New Roman" w:cs="Times New Roman"/>
          <w:sz w:val="24"/>
          <w:szCs w:val="24"/>
          <w:lang w:val="en-GB"/>
        </w:rPr>
        <w:t xml:space="preserve"> (2023), Gibbs’ model offers six stages in conducting a reflective analysis including description, feelings, evaluation, analysis, </w:t>
      </w:r>
      <w:r w:rsidR="004C3F47" w:rsidRPr="005D2DE9">
        <w:rPr>
          <w:rFonts w:ascii="Times New Roman" w:eastAsia="Times New Roman" w:hAnsi="Times New Roman" w:cs="Times New Roman"/>
          <w:sz w:val="24"/>
          <w:szCs w:val="24"/>
          <w:lang w:val="en-GB"/>
        </w:rPr>
        <w:t>and conclusion</w:t>
      </w:r>
      <w:r w:rsidRPr="005D2DE9">
        <w:rPr>
          <w:rFonts w:ascii="Times New Roman" w:eastAsia="Times New Roman" w:hAnsi="Times New Roman" w:cs="Times New Roman"/>
          <w:sz w:val="24"/>
          <w:szCs w:val="24"/>
          <w:lang w:val="en-GB"/>
        </w:rPr>
        <w:t xml:space="preserve"> and action plan. Hence, conducting the reflective analysis, I plan to further analyse my potential to work among the globalised workforce. </w:t>
      </w:r>
    </w:p>
    <w:p w14:paraId="77909B8F" w14:textId="77777777" w:rsidR="004C3F47" w:rsidRPr="005D2DE9" w:rsidRDefault="004C3F47" w:rsidP="004C3F47">
      <w:pPr>
        <w:pStyle w:val="Normal1"/>
        <w:spacing w:before="200" w:line="360" w:lineRule="auto"/>
        <w:jc w:val="center"/>
        <w:rPr>
          <w:rFonts w:ascii="Times New Roman" w:eastAsia="Times New Roman" w:hAnsi="Times New Roman" w:cs="Times New Roman"/>
          <w:sz w:val="24"/>
          <w:szCs w:val="24"/>
          <w:lang w:val="en-GB"/>
        </w:rPr>
      </w:pPr>
      <w:r w:rsidRPr="005D2DE9">
        <w:rPr>
          <w:rFonts w:ascii="Times New Roman" w:eastAsia="Times New Roman" w:hAnsi="Times New Roman" w:cs="Times New Roman"/>
          <w:noProof/>
          <w:sz w:val="24"/>
          <w:szCs w:val="24"/>
          <w:lang w:val="en-GB"/>
        </w:rPr>
        <w:drawing>
          <wp:inline distT="0" distB="0" distL="0" distR="0" wp14:anchorId="2E516647" wp14:editId="03CD79E1">
            <wp:extent cx="3319145" cy="2923540"/>
            <wp:effectExtent l="19050" t="19050" r="14605" b="1016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319145" cy="2923540"/>
                    </a:xfrm>
                    <a:prstGeom prst="rect">
                      <a:avLst/>
                    </a:prstGeom>
                    <a:noFill/>
                    <a:ln w="9525">
                      <a:solidFill>
                        <a:schemeClr val="tx1"/>
                      </a:solidFill>
                      <a:miter lim="800000"/>
                      <a:headEnd/>
                      <a:tailEnd/>
                    </a:ln>
                  </pic:spPr>
                </pic:pic>
              </a:graphicData>
            </a:graphic>
          </wp:inline>
        </w:drawing>
      </w:r>
    </w:p>
    <w:p w14:paraId="01ACC134" w14:textId="77777777" w:rsidR="004C3F47" w:rsidRPr="005D2DE9" w:rsidRDefault="004C3F47" w:rsidP="004C3F47">
      <w:pPr>
        <w:pStyle w:val="Normal1"/>
        <w:spacing w:before="200" w:line="360" w:lineRule="auto"/>
        <w:jc w:val="center"/>
        <w:rPr>
          <w:rFonts w:ascii="Times New Roman" w:eastAsia="Times New Roman" w:hAnsi="Times New Roman" w:cs="Times New Roman"/>
          <w:b/>
          <w:sz w:val="24"/>
          <w:szCs w:val="24"/>
          <w:lang w:val="en-GB"/>
        </w:rPr>
      </w:pPr>
      <w:r w:rsidRPr="005D2DE9">
        <w:rPr>
          <w:rFonts w:ascii="Times New Roman" w:eastAsia="Times New Roman" w:hAnsi="Times New Roman" w:cs="Times New Roman"/>
          <w:b/>
          <w:sz w:val="24"/>
          <w:szCs w:val="24"/>
          <w:lang w:val="en-GB"/>
        </w:rPr>
        <w:t>Figure 1: Gibbs’ reflective Cycle</w:t>
      </w:r>
    </w:p>
    <w:p w14:paraId="5B7C8BEE" w14:textId="77777777" w:rsidR="004C3F47" w:rsidRPr="005D2DE9" w:rsidRDefault="004C3F47" w:rsidP="004C3F47">
      <w:pPr>
        <w:pStyle w:val="Normal1"/>
        <w:spacing w:before="200" w:line="360" w:lineRule="auto"/>
        <w:jc w:val="center"/>
        <w:rPr>
          <w:rFonts w:ascii="Times New Roman" w:eastAsia="Times New Roman" w:hAnsi="Times New Roman" w:cs="Times New Roman"/>
          <w:sz w:val="24"/>
          <w:szCs w:val="24"/>
          <w:lang w:val="en-GB"/>
        </w:rPr>
      </w:pPr>
      <w:r w:rsidRPr="005D2DE9">
        <w:rPr>
          <w:rFonts w:ascii="Times New Roman" w:eastAsia="Times New Roman" w:hAnsi="Times New Roman" w:cs="Times New Roman"/>
          <w:sz w:val="24"/>
          <w:szCs w:val="24"/>
          <w:lang w:val="en-GB"/>
        </w:rPr>
        <w:t>(Source: Self-Developed)</w:t>
      </w:r>
    </w:p>
    <w:p w14:paraId="54111176" w14:textId="77777777" w:rsidR="004A0901" w:rsidRPr="005D2DE9" w:rsidRDefault="000C49B3">
      <w:pPr>
        <w:pStyle w:val="Normal1"/>
        <w:spacing w:before="200" w:after="200" w:line="360" w:lineRule="auto"/>
        <w:jc w:val="both"/>
        <w:rPr>
          <w:rFonts w:ascii="Times New Roman" w:eastAsia="Times New Roman" w:hAnsi="Times New Roman" w:cs="Times New Roman"/>
          <w:b/>
          <w:i/>
          <w:sz w:val="24"/>
          <w:szCs w:val="24"/>
          <w:lang w:val="en-GB"/>
        </w:rPr>
      </w:pPr>
      <w:r w:rsidRPr="005D2DE9">
        <w:rPr>
          <w:rFonts w:ascii="Times New Roman" w:eastAsia="Times New Roman" w:hAnsi="Times New Roman" w:cs="Times New Roman"/>
          <w:b/>
          <w:i/>
          <w:sz w:val="24"/>
          <w:szCs w:val="24"/>
          <w:lang w:val="en-GB"/>
        </w:rPr>
        <w:t>Description:</w:t>
      </w:r>
    </w:p>
    <w:p w14:paraId="2DD7D135" w14:textId="77777777" w:rsidR="004A0901" w:rsidRPr="005D2DE9" w:rsidRDefault="000C49B3">
      <w:pPr>
        <w:pStyle w:val="Normal1"/>
        <w:spacing w:before="200" w:after="200" w:line="360" w:lineRule="auto"/>
        <w:jc w:val="both"/>
        <w:rPr>
          <w:rFonts w:ascii="Times New Roman" w:eastAsia="Times New Roman" w:hAnsi="Times New Roman" w:cs="Times New Roman"/>
          <w:sz w:val="24"/>
          <w:szCs w:val="24"/>
          <w:lang w:val="en-GB"/>
        </w:rPr>
      </w:pPr>
      <w:r w:rsidRPr="005D2DE9">
        <w:rPr>
          <w:rFonts w:ascii="Times New Roman" w:eastAsia="Times New Roman" w:hAnsi="Times New Roman" w:cs="Times New Roman"/>
          <w:sz w:val="24"/>
          <w:szCs w:val="24"/>
          <w:lang w:val="en-GB"/>
        </w:rPr>
        <w:t xml:space="preserve">My recent experience involves assessing required capabilities associated with working in international organisations. Reviewing materials and conducting external study has helped me </w:t>
      </w:r>
      <w:r w:rsidRPr="005D2DE9">
        <w:rPr>
          <w:rFonts w:ascii="Times New Roman" w:eastAsia="Times New Roman" w:hAnsi="Times New Roman" w:cs="Times New Roman"/>
          <w:sz w:val="24"/>
          <w:szCs w:val="24"/>
          <w:lang w:val="en-GB"/>
        </w:rPr>
        <w:lastRenderedPageBreak/>
        <w:t xml:space="preserve">determine the necessary skills demanded across international environments. For instance, Week 4 session has offered information regarding the way organisational culture influences employee performance. Additionally, in the learning, I have further addressed HR challenges along with the ways technology has reshaped labour markets. Thus, I can mention that the experience has been insightful in improving my knowledge related to global challenges of HR while identifying strategies taken to address skill-gaps. </w:t>
      </w:r>
    </w:p>
    <w:p w14:paraId="4B81A2F6" w14:textId="77777777" w:rsidR="004A0901" w:rsidRPr="005D2DE9" w:rsidRDefault="000C49B3">
      <w:pPr>
        <w:pStyle w:val="Normal1"/>
        <w:spacing w:before="200" w:after="200" w:line="360" w:lineRule="auto"/>
        <w:jc w:val="both"/>
        <w:rPr>
          <w:rFonts w:ascii="Times New Roman" w:eastAsia="Times New Roman" w:hAnsi="Times New Roman" w:cs="Times New Roman"/>
          <w:b/>
          <w:i/>
          <w:sz w:val="24"/>
          <w:szCs w:val="24"/>
          <w:lang w:val="en-GB"/>
        </w:rPr>
      </w:pPr>
      <w:r w:rsidRPr="005D2DE9">
        <w:rPr>
          <w:rFonts w:ascii="Times New Roman" w:eastAsia="Times New Roman" w:hAnsi="Times New Roman" w:cs="Times New Roman"/>
          <w:b/>
          <w:i/>
          <w:sz w:val="24"/>
          <w:szCs w:val="24"/>
          <w:lang w:val="en-GB"/>
        </w:rPr>
        <w:t xml:space="preserve">Feelings: </w:t>
      </w:r>
    </w:p>
    <w:p w14:paraId="4755A6DC" w14:textId="77777777" w:rsidR="004A0901" w:rsidRPr="005D2DE9" w:rsidRDefault="000C49B3">
      <w:pPr>
        <w:pStyle w:val="Normal1"/>
        <w:spacing w:before="200" w:after="200" w:line="360" w:lineRule="auto"/>
        <w:jc w:val="both"/>
        <w:rPr>
          <w:rFonts w:ascii="Times New Roman" w:eastAsia="Times New Roman" w:hAnsi="Times New Roman" w:cs="Times New Roman"/>
          <w:sz w:val="24"/>
          <w:szCs w:val="24"/>
          <w:lang w:val="en-GB"/>
        </w:rPr>
      </w:pPr>
      <w:r w:rsidRPr="005D2DE9">
        <w:rPr>
          <w:rFonts w:ascii="Times New Roman" w:eastAsia="Times New Roman" w:hAnsi="Times New Roman" w:cs="Times New Roman"/>
          <w:sz w:val="24"/>
          <w:szCs w:val="24"/>
          <w:lang w:val="en-GB"/>
        </w:rPr>
        <w:t xml:space="preserve">My feelings while addressing HR challenges and reviewing materials on organisation culture along with performance management was quite positive. Initially, I experienced difficulties in </w:t>
      </w:r>
      <w:r w:rsidR="004C3F47" w:rsidRPr="005D2DE9">
        <w:rPr>
          <w:rFonts w:ascii="Times New Roman" w:eastAsia="Times New Roman" w:hAnsi="Times New Roman" w:cs="Times New Roman"/>
          <w:sz w:val="24"/>
          <w:szCs w:val="24"/>
          <w:lang w:val="en-GB"/>
        </w:rPr>
        <w:t>conducting thorough</w:t>
      </w:r>
      <w:r w:rsidRPr="005D2DE9">
        <w:rPr>
          <w:rFonts w:ascii="Times New Roman" w:eastAsia="Times New Roman" w:hAnsi="Times New Roman" w:cs="Times New Roman"/>
          <w:sz w:val="24"/>
          <w:szCs w:val="24"/>
          <w:lang w:val="en-GB"/>
        </w:rPr>
        <w:t xml:space="preserve"> research to gather evidence on technological impact and identify examples of organisations. However, use of critical thinking has been beneficial to tackle the challenge and I have further used online libraries to locate authentic references. According </w:t>
      </w:r>
      <w:r w:rsidR="004C3F47" w:rsidRPr="005D2DE9">
        <w:rPr>
          <w:rFonts w:ascii="Times New Roman" w:eastAsia="Times New Roman" w:hAnsi="Times New Roman" w:cs="Times New Roman"/>
          <w:sz w:val="24"/>
          <w:szCs w:val="24"/>
          <w:lang w:val="en-GB"/>
        </w:rPr>
        <w:t>to Xu</w:t>
      </w:r>
      <w:r w:rsidRPr="005D2DE9">
        <w:rPr>
          <w:rFonts w:ascii="Times New Roman" w:eastAsia="Times New Roman" w:hAnsi="Times New Roman" w:cs="Times New Roman"/>
          <w:sz w:val="24"/>
          <w:szCs w:val="24"/>
          <w:lang w:val="en-GB"/>
        </w:rPr>
        <w:t xml:space="preserve"> </w:t>
      </w:r>
      <w:r w:rsidRPr="005D2DE9">
        <w:rPr>
          <w:rFonts w:ascii="Times New Roman" w:eastAsia="Times New Roman" w:hAnsi="Times New Roman" w:cs="Times New Roman"/>
          <w:i/>
          <w:sz w:val="24"/>
          <w:szCs w:val="24"/>
          <w:lang w:val="en-GB"/>
        </w:rPr>
        <w:t xml:space="preserve">et al. </w:t>
      </w:r>
      <w:r w:rsidRPr="005D2DE9">
        <w:rPr>
          <w:rFonts w:ascii="Times New Roman" w:eastAsia="Times New Roman" w:hAnsi="Times New Roman" w:cs="Times New Roman"/>
          <w:sz w:val="24"/>
          <w:szCs w:val="24"/>
          <w:lang w:val="en-GB"/>
        </w:rPr>
        <w:t xml:space="preserve">(2023), critical thinking enables students to recognise the root cause of a problem, while questioning claims. On the other hand, working on a team during sessions activities was highly challenging which resulted in negative experience. Team-based conflicts along with my difficulties in guiding the members during the assignments have essentially caused stress during the experience. </w:t>
      </w:r>
    </w:p>
    <w:p w14:paraId="3BEF2A8D" w14:textId="77777777" w:rsidR="004A0901" w:rsidRPr="005D2DE9" w:rsidRDefault="000C49B3">
      <w:pPr>
        <w:pStyle w:val="Normal1"/>
        <w:spacing w:before="200" w:after="200" w:line="360" w:lineRule="auto"/>
        <w:jc w:val="both"/>
        <w:rPr>
          <w:rFonts w:ascii="Times New Roman" w:eastAsia="Times New Roman" w:hAnsi="Times New Roman" w:cs="Times New Roman"/>
          <w:b/>
          <w:i/>
          <w:sz w:val="24"/>
          <w:szCs w:val="24"/>
          <w:lang w:val="en-GB"/>
        </w:rPr>
      </w:pPr>
      <w:r w:rsidRPr="005D2DE9">
        <w:rPr>
          <w:rFonts w:ascii="Times New Roman" w:eastAsia="Times New Roman" w:hAnsi="Times New Roman" w:cs="Times New Roman"/>
          <w:b/>
          <w:i/>
          <w:sz w:val="24"/>
          <w:szCs w:val="24"/>
          <w:lang w:val="en-GB"/>
        </w:rPr>
        <w:t>Evaluation:</w:t>
      </w:r>
    </w:p>
    <w:p w14:paraId="61403AE3" w14:textId="77777777" w:rsidR="004A0901" w:rsidRPr="005D2DE9" w:rsidRDefault="000C49B3">
      <w:pPr>
        <w:pStyle w:val="Normal1"/>
        <w:spacing w:before="200" w:after="200" w:line="360" w:lineRule="auto"/>
        <w:jc w:val="both"/>
        <w:rPr>
          <w:rFonts w:ascii="Times New Roman" w:eastAsia="Times New Roman" w:hAnsi="Times New Roman" w:cs="Times New Roman"/>
          <w:sz w:val="24"/>
          <w:szCs w:val="24"/>
          <w:lang w:val="en-GB"/>
        </w:rPr>
      </w:pPr>
      <w:r w:rsidRPr="005D2DE9">
        <w:rPr>
          <w:rFonts w:ascii="Times New Roman" w:eastAsia="Times New Roman" w:hAnsi="Times New Roman" w:cs="Times New Roman"/>
          <w:sz w:val="24"/>
          <w:szCs w:val="24"/>
          <w:lang w:val="en-GB"/>
        </w:rPr>
        <w:t xml:space="preserve">Positive aspects regarding the experience involve my use of self-directed learning and knowledge on technology to increase critical writing within the assignment. Based on </w:t>
      </w:r>
      <w:proofErr w:type="spellStart"/>
      <w:r w:rsidRPr="005D2DE9">
        <w:rPr>
          <w:rFonts w:ascii="Times New Roman" w:eastAsia="Times New Roman" w:hAnsi="Times New Roman" w:cs="Times New Roman"/>
          <w:sz w:val="24"/>
          <w:szCs w:val="24"/>
          <w:lang w:val="en-GB"/>
        </w:rPr>
        <w:t>Charokar</w:t>
      </w:r>
      <w:proofErr w:type="spellEnd"/>
      <w:r w:rsidRPr="005D2DE9">
        <w:rPr>
          <w:rFonts w:ascii="Times New Roman" w:eastAsia="Times New Roman" w:hAnsi="Times New Roman" w:cs="Times New Roman"/>
          <w:sz w:val="24"/>
          <w:szCs w:val="24"/>
          <w:lang w:val="en-GB"/>
        </w:rPr>
        <w:t xml:space="preserve"> and Dulloo (2022), self-directed learning involves taking its own initiative to understand learning barriers and developing an appropriate plan to address the issue. Use of self-directed learning has influenced individual’s ability to increase employability scope and build resilience to adapt in the changing labour market. On the other hand, factors that have turned my experience negative involve my lack of ability to efficiently collaborate with team members, while guiding members during conflicts. As discussed by Mahajan </w:t>
      </w:r>
      <w:r w:rsidRPr="005D2DE9">
        <w:rPr>
          <w:rFonts w:ascii="Times New Roman" w:eastAsia="Times New Roman" w:hAnsi="Times New Roman" w:cs="Times New Roman"/>
          <w:i/>
          <w:sz w:val="24"/>
          <w:szCs w:val="24"/>
          <w:lang w:val="en-GB"/>
        </w:rPr>
        <w:t>et al.</w:t>
      </w:r>
      <w:r w:rsidRPr="005D2DE9">
        <w:rPr>
          <w:rFonts w:ascii="Times New Roman" w:eastAsia="Times New Roman" w:hAnsi="Times New Roman" w:cs="Times New Roman"/>
          <w:sz w:val="24"/>
          <w:szCs w:val="24"/>
          <w:lang w:val="en-GB"/>
        </w:rPr>
        <w:t xml:space="preserve"> (2022), teamworking is one of the highly-sought employability skills, as it enables individuals to work with members from diverse backgrounds in international organisations. In this context, the barriers, my contribution in team activity has been limited resulting in higher conflicts and negative experience. </w:t>
      </w:r>
    </w:p>
    <w:p w14:paraId="7820043B" w14:textId="77777777" w:rsidR="004A0901" w:rsidRPr="005D2DE9" w:rsidRDefault="000C49B3">
      <w:pPr>
        <w:pStyle w:val="Normal1"/>
        <w:spacing w:before="200" w:after="200" w:line="360" w:lineRule="auto"/>
        <w:jc w:val="both"/>
        <w:rPr>
          <w:rFonts w:ascii="Times New Roman" w:eastAsia="Times New Roman" w:hAnsi="Times New Roman" w:cs="Times New Roman"/>
          <w:b/>
          <w:i/>
          <w:sz w:val="24"/>
          <w:szCs w:val="24"/>
          <w:lang w:val="en-GB"/>
        </w:rPr>
      </w:pPr>
      <w:r w:rsidRPr="005D2DE9">
        <w:rPr>
          <w:rFonts w:ascii="Times New Roman" w:eastAsia="Times New Roman" w:hAnsi="Times New Roman" w:cs="Times New Roman"/>
          <w:b/>
          <w:i/>
          <w:sz w:val="24"/>
          <w:szCs w:val="24"/>
          <w:lang w:val="en-GB"/>
        </w:rPr>
        <w:lastRenderedPageBreak/>
        <w:t>Analysis:</w:t>
      </w:r>
    </w:p>
    <w:p w14:paraId="7F4F4F9B" w14:textId="77777777" w:rsidR="004A0901" w:rsidRPr="005D2DE9" w:rsidRDefault="000C49B3">
      <w:pPr>
        <w:pStyle w:val="Normal1"/>
        <w:spacing w:before="200" w:after="200" w:line="360" w:lineRule="auto"/>
        <w:jc w:val="both"/>
        <w:rPr>
          <w:rFonts w:ascii="Times New Roman" w:eastAsia="Times New Roman" w:hAnsi="Times New Roman" w:cs="Times New Roman"/>
          <w:sz w:val="24"/>
          <w:szCs w:val="24"/>
          <w:lang w:val="en-GB"/>
        </w:rPr>
      </w:pPr>
      <w:r w:rsidRPr="005D2DE9">
        <w:rPr>
          <w:rFonts w:ascii="Times New Roman" w:eastAsia="Times New Roman" w:hAnsi="Times New Roman" w:cs="Times New Roman"/>
          <w:sz w:val="24"/>
          <w:szCs w:val="24"/>
          <w:lang w:val="en-GB"/>
        </w:rPr>
        <w:t xml:space="preserve">My application of self-directed learning has been a key factor that turned the experience positive, as I have been able to address my issues and develop a strategic plan. Furthermore, my technological proficiency, which involves using a range of digital tools and conflicting online searches have been effective in preparing an evidence-based report. In Session 1 of Recruitment and Selection, I have identified that the hiring process is typically based on competencies, especially employee’s ability to meet job requirements. According to Kadhim (2024), technological skills are in demand, as digital knowledge is required to achieve data driven decision-making. As a result, my technological competencies along with ability to self-learn further increase my employability scope under the international context. </w:t>
      </w:r>
    </w:p>
    <w:p w14:paraId="20ADD709" w14:textId="77777777" w:rsidR="004A0901" w:rsidRPr="005D2DE9" w:rsidRDefault="000C49B3">
      <w:pPr>
        <w:pStyle w:val="Normal1"/>
        <w:spacing w:before="200" w:after="200" w:line="360" w:lineRule="auto"/>
        <w:jc w:val="both"/>
        <w:rPr>
          <w:rFonts w:ascii="Times New Roman" w:eastAsia="Times New Roman" w:hAnsi="Times New Roman" w:cs="Times New Roman"/>
          <w:sz w:val="24"/>
          <w:szCs w:val="24"/>
          <w:lang w:val="en-GB"/>
        </w:rPr>
      </w:pPr>
      <w:r w:rsidRPr="005D2DE9">
        <w:rPr>
          <w:rFonts w:ascii="Times New Roman" w:eastAsia="Times New Roman" w:hAnsi="Times New Roman" w:cs="Times New Roman"/>
          <w:sz w:val="24"/>
          <w:szCs w:val="24"/>
          <w:lang w:val="en-GB"/>
        </w:rPr>
        <w:t xml:space="preserve">Limitations in areas such as communication, leadership and teamwork, has led to the challenges as difficulties in completing the assignment. As found by </w:t>
      </w:r>
      <w:proofErr w:type="spellStart"/>
      <w:r w:rsidR="004C3F47" w:rsidRPr="005D2DE9">
        <w:rPr>
          <w:rFonts w:ascii="Times New Roman" w:eastAsia="Times New Roman" w:hAnsi="Times New Roman" w:cs="Times New Roman"/>
          <w:sz w:val="24"/>
          <w:szCs w:val="24"/>
          <w:lang w:val="en-GB"/>
        </w:rPr>
        <w:t>Kuregyan</w:t>
      </w:r>
      <w:proofErr w:type="spellEnd"/>
      <w:r w:rsidR="004C3F47" w:rsidRPr="005D2DE9">
        <w:rPr>
          <w:rFonts w:ascii="Times New Roman" w:eastAsia="Times New Roman" w:hAnsi="Times New Roman" w:cs="Times New Roman"/>
          <w:sz w:val="24"/>
          <w:szCs w:val="24"/>
          <w:lang w:val="en-GB"/>
        </w:rPr>
        <w:t xml:space="preserve"> and</w:t>
      </w:r>
      <w:r w:rsidRPr="005D2DE9">
        <w:rPr>
          <w:rFonts w:ascii="Times New Roman" w:eastAsia="Times New Roman" w:hAnsi="Times New Roman" w:cs="Times New Roman"/>
          <w:sz w:val="24"/>
          <w:szCs w:val="24"/>
          <w:lang w:val="en-GB"/>
        </w:rPr>
        <w:t xml:space="preserve"> </w:t>
      </w:r>
      <w:proofErr w:type="spellStart"/>
      <w:r w:rsidRPr="005D2DE9">
        <w:rPr>
          <w:rFonts w:ascii="Times New Roman" w:eastAsia="Times New Roman" w:hAnsi="Times New Roman" w:cs="Times New Roman"/>
          <w:sz w:val="24"/>
          <w:szCs w:val="24"/>
          <w:lang w:val="en-GB"/>
        </w:rPr>
        <w:t>Khusainova</w:t>
      </w:r>
      <w:proofErr w:type="spellEnd"/>
      <w:r w:rsidRPr="005D2DE9">
        <w:rPr>
          <w:rFonts w:ascii="Times New Roman" w:eastAsia="Times New Roman" w:hAnsi="Times New Roman" w:cs="Times New Roman"/>
          <w:sz w:val="24"/>
          <w:szCs w:val="24"/>
          <w:lang w:val="en-GB"/>
        </w:rPr>
        <w:t xml:space="preserve"> (2022), highly-demanded soft-skills mainly include communication, teamwork, and problem-solving. Hence, I can mention mitigating barriers such as developing communication skills along with adoption of leadership abilities to address team-conflicts. </w:t>
      </w:r>
    </w:p>
    <w:p w14:paraId="481F3322" w14:textId="77777777" w:rsidR="004A0901" w:rsidRPr="005D2DE9" w:rsidRDefault="000C49B3">
      <w:pPr>
        <w:pStyle w:val="Normal1"/>
        <w:spacing w:before="200" w:after="200" w:line="360" w:lineRule="auto"/>
        <w:jc w:val="both"/>
        <w:rPr>
          <w:rFonts w:ascii="Times New Roman" w:eastAsia="Times New Roman" w:hAnsi="Times New Roman" w:cs="Times New Roman"/>
          <w:b/>
          <w:i/>
          <w:sz w:val="24"/>
          <w:szCs w:val="24"/>
          <w:lang w:val="en-GB"/>
        </w:rPr>
      </w:pPr>
      <w:r w:rsidRPr="005D2DE9">
        <w:rPr>
          <w:rFonts w:ascii="Times New Roman" w:eastAsia="Times New Roman" w:hAnsi="Times New Roman" w:cs="Times New Roman"/>
          <w:b/>
          <w:i/>
          <w:sz w:val="24"/>
          <w:szCs w:val="24"/>
          <w:lang w:val="en-GB"/>
        </w:rPr>
        <w:t>Conclusion</w:t>
      </w:r>
      <w:r w:rsidR="004C3F47" w:rsidRPr="005D2DE9">
        <w:rPr>
          <w:rFonts w:ascii="Times New Roman" w:eastAsia="Times New Roman" w:hAnsi="Times New Roman" w:cs="Times New Roman"/>
          <w:b/>
          <w:i/>
          <w:sz w:val="24"/>
          <w:szCs w:val="24"/>
          <w:lang w:val="en-GB"/>
        </w:rPr>
        <w:t>:</w:t>
      </w:r>
      <w:r w:rsidRPr="005D2DE9">
        <w:rPr>
          <w:rFonts w:ascii="Times New Roman" w:eastAsia="Times New Roman" w:hAnsi="Times New Roman" w:cs="Times New Roman"/>
          <w:b/>
          <w:i/>
          <w:sz w:val="24"/>
          <w:szCs w:val="24"/>
          <w:lang w:val="en-GB"/>
        </w:rPr>
        <w:t xml:space="preserve"> </w:t>
      </w:r>
    </w:p>
    <w:p w14:paraId="6FF98866" w14:textId="77777777" w:rsidR="004A0901" w:rsidRPr="005D2DE9" w:rsidRDefault="000C49B3">
      <w:pPr>
        <w:pStyle w:val="Normal1"/>
        <w:spacing w:before="200" w:after="200" w:line="360" w:lineRule="auto"/>
        <w:jc w:val="both"/>
        <w:rPr>
          <w:rFonts w:ascii="Times New Roman" w:eastAsia="Times New Roman" w:hAnsi="Times New Roman" w:cs="Times New Roman"/>
          <w:sz w:val="24"/>
          <w:szCs w:val="24"/>
          <w:lang w:val="en-GB"/>
        </w:rPr>
      </w:pPr>
      <w:r w:rsidRPr="005D2DE9">
        <w:rPr>
          <w:rFonts w:ascii="Times New Roman" w:eastAsia="Times New Roman" w:hAnsi="Times New Roman" w:cs="Times New Roman"/>
          <w:sz w:val="24"/>
          <w:szCs w:val="24"/>
          <w:lang w:val="en-GB"/>
        </w:rPr>
        <w:t xml:space="preserve">Summarising the experience, I can highlight that my employability capabilities mainly involve digital proficiency along with self-directed learning which helped in making innovative plans. On the other hand, factors hampering my employability scope involve a lack of effective communication, along with leadership and teamworking abilities. Hence, gathering insights from the experience, I plan to transform my weaknesses through an action plan that offers strategies such as boosting collaboration, open-communication skills and the ability to lead team members. </w:t>
      </w:r>
    </w:p>
    <w:p w14:paraId="145E2635" w14:textId="76EE8158" w:rsidR="00E56878" w:rsidRPr="005D2DE9" w:rsidRDefault="00E56878" w:rsidP="00E56878">
      <w:pPr>
        <w:spacing w:before="240" w:after="240"/>
        <w:rPr>
          <w:lang w:val="en-GB"/>
        </w:rPr>
      </w:pPr>
      <w:r w:rsidRPr="005D2DE9">
        <w:rPr>
          <w:lang w:val="en-GB"/>
        </w:rPr>
        <w:t xml:space="preserve">My recent encounter unveils the employability strengths and weaknesses for me in the international HRM context. I was able to overcome some very complex HR issues and arrive at certain decisions due to being very good at two things such as my ability with anything digital and the second is </w:t>
      </w:r>
      <w:r w:rsidR="005D2DE9" w:rsidRPr="005D2DE9">
        <w:rPr>
          <w:lang w:val="en-GB"/>
        </w:rPr>
        <w:t>self-teaching</w:t>
      </w:r>
      <w:r w:rsidRPr="005D2DE9">
        <w:rPr>
          <w:lang w:val="en-GB"/>
        </w:rPr>
        <w:t>. This trait enables me to have other unique ideas especially when I am sorting through information that is gathered with the help of technology. The first fact that I think analytically and act on my own also played a role in improving my grades.</w:t>
      </w:r>
    </w:p>
    <w:p w14:paraId="7AEC7C2B" w14:textId="77777777" w:rsidR="00E56878" w:rsidRPr="005D2DE9" w:rsidRDefault="00E56878" w:rsidP="00E56878">
      <w:pPr>
        <w:spacing w:before="240" w:after="240"/>
        <w:rPr>
          <w:lang w:val="en-GB"/>
        </w:rPr>
      </w:pPr>
      <w:r w:rsidRPr="005D2DE9">
        <w:rPr>
          <w:lang w:val="en-GB"/>
        </w:rPr>
        <w:lastRenderedPageBreak/>
        <w:t>The specific elements such as ineffective communication, leadership lapses, as well as poor teamwork capabilities that affected my employability potential. It was quite a task trying to solve conflicts experienced within the group, and this resulted in much pressure with little input on my part. Recognizing that HR professionals working for multinational organizations require teamwork abilities and leadership skills motivated me to change for the better in these areas. I intend to deal with the identified weaknesses through a planned course of action. I plan to take part in activities aimed at promoting teamwork and communication while also gaining experience on how to lead others better. Therefore, I hope that through these efforts, I will become well-suited to an international HRM role with time.</w:t>
      </w:r>
    </w:p>
    <w:p w14:paraId="19B38ABF" w14:textId="77777777" w:rsidR="00E56878" w:rsidRPr="005D2DE9" w:rsidRDefault="00E56878" w:rsidP="000F12D6">
      <w:pPr>
        <w:pStyle w:val="Heading1"/>
      </w:pPr>
      <w:bookmarkStart w:id="9" w:name="_Toc213520073"/>
      <w:r w:rsidRPr="005D2DE9">
        <w:t>Conclusion</w:t>
      </w:r>
      <w:bookmarkEnd w:id="9"/>
      <w:r w:rsidRPr="005D2DE9">
        <w:t xml:space="preserve"> </w:t>
      </w:r>
    </w:p>
    <w:p w14:paraId="17DE8413" w14:textId="77777777" w:rsidR="00E56878" w:rsidRPr="005D2DE9" w:rsidRDefault="00E56878" w:rsidP="00E56878">
      <w:pPr>
        <w:spacing w:before="240" w:after="240"/>
        <w:rPr>
          <w:lang w:val="en-GB"/>
        </w:rPr>
      </w:pPr>
      <w:r w:rsidRPr="005D2DE9">
        <w:rPr>
          <w:lang w:val="en-GB"/>
        </w:rPr>
        <w:t>The experience has increased my digital proficiency and ability to learn alone, two of the aspects critical in human resource management within the international arena. This limited my employability. The determined to overcome this by coming up with a detailed plan aimed at fostering teamwork, enhancing communication, and developing leadership. I wanted to improve my skills in order to become a proficient HR specialist ready for work in the modern globalized world.</w:t>
      </w:r>
    </w:p>
    <w:p w14:paraId="55F78961" w14:textId="77777777" w:rsidR="00E56878" w:rsidRPr="005D2DE9" w:rsidRDefault="00E56878">
      <w:pPr>
        <w:pStyle w:val="Normal1"/>
        <w:spacing w:before="200" w:after="200" w:line="360" w:lineRule="auto"/>
        <w:jc w:val="both"/>
        <w:rPr>
          <w:rFonts w:ascii="Times New Roman" w:eastAsia="Times New Roman" w:hAnsi="Times New Roman" w:cs="Times New Roman"/>
          <w:sz w:val="24"/>
          <w:szCs w:val="24"/>
          <w:lang w:val="en-GB"/>
        </w:rPr>
      </w:pPr>
    </w:p>
    <w:p w14:paraId="52F2A438" w14:textId="77777777" w:rsidR="004A0901" w:rsidRPr="005D2DE9" w:rsidRDefault="000C49B3">
      <w:pPr>
        <w:pStyle w:val="Normal1"/>
        <w:spacing w:before="200" w:after="200" w:line="360" w:lineRule="auto"/>
        <w:jc w:val="both"/>
        <w:rPr>
          <w:rFonts w:ascii="Times New Roman" w:eastAsia="Times New Roman" w:hAnsi="Times New Roman" w:cs="Times New Roman"/>
          <w:sz w:val="24"/>
          <w:szCs w:val="24"/>
          <w:lang w:val="en-GB"/>
        </w:rPr>
      </w:pPr>
      <w:r w:rsidRPr="005D2DE9">
        <w:rPr>
          <w:lang w:val="en-GB"/>
        </w:rPr>
        <w:br w:type="page"/>
      </w:r>
    </w:p>
    <w:p w14:paraId="4192D93A" w14:textId="77777777" w:rsidR="004A0901" w:rsidRPr="005D2DE9" w:rsidRDefault="000C49B3" w:rsidP="004C3F47">
      <w:pPr>
        <w:pStyle w:val="Heading1"/>
      </w:pPr>
      <w:bookmarkStart w:id="10" w:name="_Toc213520074"/>
      <w:r w:rsidRPr="005D2DE9">
        <w:lastRenderedPageBreak/>
        <w:t>References</w:t>
      </w:r>
      <w:bookmarkEnd w:id="10"/>
    </w:p>
    <w:p w14:paraId="7B532606" w14:textId="77777777" w:rsidR="007B04B6" w:rsidRPr="005D2DE9" w:rsidRDefault="007B04B6">
      <w:pPr>
        <w:pStyle w:val="Normal1"/>
        <w:spacing w:before="240" w:line="360" w:lineRule="auto"/>
        <w:jc w:val="both"/>
        <w:rPr>
          <w:rFonts w:ascii="Times New Roman" w:eastAsia="Times New Roman" w:hAnsi="Times New Roman" w:cs="Times New Roman"/>
          <w:sz w:val="24"/>
          <w:szCs w:val="24"/>
          <w:u w:val="single"/>
          <w:lang w:val="en-GB"/>
        </w:rPr>
      </w:pPr>
      <w:proofErr w:type="spellStart"/>
      <w:r w:rsidRPr="005D2DE9">
        <w:rPr>
          <w:rFonts w:ascii="Times New Roman" w:eastAsia="Times New Roman" w:hAnsi="Times New Roman" w:cs="Times New Roman"/>
          <w:sz w:val="24"/>
          <w:szCs w:val="24"/>
          <w:lang w:val="en-GB"/>
        </w:rPr>
        <w:t>Charokar</w:t>
      </w:r>
      <w:proofErr w:type="spellEnd"/>
      <w:r w:rsidRPr="005D2DE9">
        <w:rPr>
          <w:rFonts w:ascii="Times New Roman" w:eastAsia="Times New Roman" w:hAnsi="Times New Roman" w:cs="Times New Roman"/>
          <w:sz w:val="24"/>
          <w:szCs w:val="24"/>
          <w:lang w:val="en-GB"/>
        </w:rPr>
        <w:t xml:space="preserve">, K. and Dulloo, P., (2022) ‘Self-directed learning theory to practice: a footstep towards the path of being a life-long </w:t>
      </w:r>
      <w:proofErr w:type="spellStart"/>
      <w:r w:rsidRPr="005D2DE9">
        <w:rPr>
          <w:rFonts w:ascii="Times New Roman" w:eastAsia="Times New Roman" w:hAnsi="Times New Roman" w:cs="Times New Roman"/>
          <w:sz w:val="24"/>
          <w:szCs w:val="24"/>
          <w:lang w:val="en-GB"/>
        </w:rPr>
        <w:t>learne</w:t>
      </w:r>
      <w:proofErr w:type="spellEnd"/>
      <w:r w:rsidRPr="005D2DE9">
        <w:rPr>
          <w:rFonts w:ascii="Times New Roman" w:eastAsia="Times New Roman" w:hAnsi="Times New Roman" w:cs="Times New Roman"/>
          <w:sz w:val="24"/>
          <w:szCs w:val="24"/>
          <w:lang w:val="en-GB"/>
        </w:rPr>
        <w:t xml:space="preserve">’. </w:t>
      </w:r>
      <w:r w:rsidRPr="005D2DE9">
        <w:rPr>
          <w:rFonts w:ascii="Times New Roman" w:eastAsia="Times New Roman" w:hAnsi="Times New Roman" w:cs="Times New Roman"/>
          <w:i/>
          <w:sz w:val="24"/>
          <w:szCs w:val="24"/>
          <w:lang w:val="en-GB"/>
        </w:rPr>
        <w:t>Journal of Advances in Medical Education &amp; Professionalism</w:t>
      </w:r>
      <w:r w:rsidRPr="005D2DE9">
        <w:rPr>
          <w:rFonts w:ascii="Times New Roman" w:eastAsia="Times New Roman" w:hAnsi="Times New Roman" w:cs="Times New Roman"/>
          <w:sz w:val="24"/>
          <w:szCs w:val="24"/>
          <w:lang w:val="en-GB"/>
        </w:rPr>
        <w:t xml:space="preserve">, </w:t>
      </w:r>
      <w:r w:rsidRPr="005D2DE9">
        <w:rPr>
          <w:rFonts w:ascii="Times New Roman" w:eastAsia="Times New Roman" w:hAnsi="Times New Roman" w:cs="Times New Roman"/>
          <w:i/>
          <w:sz w:val="24"/>
          <w:szCs w:val="24"/>
          <w:lang w:val="en-GB"/>
        </w:rPr>
        <w:t>10</w:t>
      </w:r>
      <w:r w:rsidRPr="005D2DE9">
        <w:rPr>
          <w:rFonts w:ascii="Times New Roman" w:eastAsia="Times New Roman" w:hAnsi="Times New Roman" w:cs="Times New Roman"/>
          <w:sz w:val="24"/>
          <w:szCs w:val="24"/>
          <w:lang w:val="en-GB"/>
        </w:rPr>
        <w:t>(3), p.135. Available at:</w:t>
      </w:r>
      <w:hyperlink r:id="rId9">
        <w:r w:rsidRPr="005D2DE9">
          <w:rPr>
            <w:rFonts w:ascii="Times New Roman" w:eastAsia="Times New Roman" w:hAnsi="Times New Roman" w:cs="Times New Roman"/>
            <w:sz w:val="24"/>
            <w:szCs w:val="24"/>
            <w:lang w:val="en-GB"/>
          </w:rPr>
          <w:t xml:space="preserve"> </w:t>
        </w:r>
      </w:hyperlink>
      <w:hyperlink r:id="rId10">
        <w:r w:rsidRPr="005D2DE9">
          <w:rPr>
            <w:rFonts w:ascii="Times New Roman" w:eastAsia="Times New Roman" w:hAnsi="Times New Roman" w:cs="Times New Roman"/>
            <w:sz w:val="24"/>
            <w:szCs w:val="24"/>
            <w:u w:val="single"/>
            <w:lang w:val="en-GB"/>
          </w:rPr>
          <w:t>https://pmc.ncbi.nlm.nih.gov/articles/PMC9309162/pdf/JAMP-10-135.pdf</w:t>
        </w:r>
      </w:hyperlink>
    </w:p>
    <w:p w14:paraId="3FE6B595" w14:textId="77777777" w:rsidR="007B04B6" w:rsidRPr="005D2DE9" w:rsidRDefault="007B04B6" w:rsidP="00E56878">
      <w:pPr>
        <w:rPr>
          <w:highlight w:val="white"/>
          <w:lang w:val="en-GB"/>
        </w:rPr>
      </w:pPr>
      <w:proofErr w:type="spellStart"/>
      <w:r w:rsidRPr="005D2DE9">
        <w:rPr>
          <w:highlight w:val="white"/>
          <w:lang w:val="en-GB"/>
        </w:rPr>
        <w:t>Dalsaniya</w:t>
      </w:r>
      <w:proofErr w:type="spellEnd"/>
      <w:r w:rsidRPr="005D2DE9">
        <w:rPr>
          <w:highlight w:val="white"/>
          <w:lang w:val="en-GB"/>
        </w:rPr>
        <w:t xml:space="preserve">, A. and Patel, K., 2022. ‘Enhancing process automation with AI: The role of intelligent automation in business efficiency.’ </w:t>
      </w:r>
      <w:r w:rsidRPr="005D2DE9">
        <w:rPr>
          <w:i/>
          <w:highlight w:val="white"/>
          <w:lang w:val="en-GB"/>
        </w:rPr>
        <w:t>International Journal of Science and Research Archive</w:t>
      </w:r>
      <w:r w:rsidRPr="005D2DE9">
        <w:rPr>
          <w:highlight w:val="white"/>
          <w:lang w:val="en-GB"/>
        </w:rPr>
        <w:t xml:space="preserve">, </w:t>
      </w:r>
      <w:r w:rsidRPr="005D2DE9">
        <w:rPr>
          <w:i/>
          <w:highlight w:val="white"/>
          <w:lang w:val="en-GB"/>
        </w:rPr>
        <w:t>5</w:t>
      </w:r>
      <w:r w:rsidRPr="005D2DE9">
        <w:rPr>
          <w:highlight w:val="white"/>
          <w:lang w:val="en-GB"/>
        </w:rPr>
        <w:t xml:space="preserve">(2), pp.322-337. Available at: </w:t>
      </w:r>
      <w:hyperlink r:id="rId11">
        <w:r w:rsidRPr="005D2DE9">
          <w:rPr>
            <w:highlight w:val="white"/>
            <w:u w:val="single"/>
            <w:lang w:val="en-GB"/>
          </w:rPr>
          <w:t>https://doi.org/10.30574/ijsra.2022.5.2.0083</w:t>
        </w:r>
      </w:hyperlink>
    </w:p>
    <w:p w14:paraId="10D0E348" w14:textId="77777777" w:rsidR="007B04B6" w:rsidRPr="005D2DE9" w:rsidRDefault="007B04B6" w:rsidP="00E56878">
      <w:pPr>
        <w:rPr>
          <w:highlight w:val="white"/>
          <w:lang w:val="en-GB"/>
        </w:rPr>
      </w:pPr>
      <w:r w:rsidRPr="005D2DE9">
        <w:rPr>
          <w:highlight w:val="white"/>
          <w:lang w:val="en-GB"/>
        </w:rPr>
        <w:t xml:space="preserve">Deepa, R., Sekar, S., Malik, A., Kumar, J. and </w:t>
      </w:r>
      <w:proofErr w:type="spellStart"/>
      <w:r w:rsidRPr="005D2DE9">
        <w:rPr>
          <w:highlight w:val="white"/>
          <w:lang w:val="en-GB"/>
        </w:rPr>
        <w:t>Attri</w:t>
      </w:r>
      <w:proofErr w:type="spellEnd"/>
      <w:r w:rsidRPr="005D2DE9">
        <w:rPr>
          <w:highlight w:val="white"/>
          <w:lang w:val="en-GB"/>
        </w:rPr>
        <w:t xml:space="preserve">, R., (2024). ‘Impact of AI-focussed technologies on social and technical competencies for HR managers–A systematic review and research agenda.’ </w:t>
      </w:r>
      <w:r w:rsidRPr="005D2DE9">
        <w:rPr>
          <w:i/>
          <w:highlight w:val="white"/>
          <w:lang w:val="en-GB"/>
        </w:rPr>
        <w:t>Technological Forecasting and Social Change</w:t>
      </w:r>
      <w:r w:rsidRPr="005D2DE9">
        <w:rPr>
          <w:highlight w:val="white"/>
          <w:lang w:val="en-GB"/>
        </w:rPr>
        <w:t xml:space="preserve">, </w:t>
      </w:r>
      <w:r w:rsidRPr="005D2DE9">
        <w:rPr>
          <w:i/>
          <w:highlight w:val="white"/>
          <w:lang w:val="en-GB"/>
        </w:rPr>
        <w:t>202</w:t>
      </w:r>
      <w:r w:rsidRPr="005D2DE9">
        <w:rPr>
          <w:highlight w:val="white"/>
          <w:lang w:val="en-GB"/>
        </w:rPr>
        <w:t xml:space="preserve">, p.123301. Available at: </w:t>
      </w:r>
      <w:hyperlink r:id="rId12">
        <w:r w:rsidRPr="005D2DE9">
          <w:rPr>
            <w:highlight w:val="white"/>
            <w:u w:val="single"/>
            <w:lang w:val="en-GB"/>
          </w:rPr>
          <w:t>https://doi.org/10.1016/j.techfore.2024.123301</w:t>
        </w:r>
      </w:hyperlink>
    </w:p>
    <w:p w14:paraId="38AC05F1" w14:textId="77777777" w:rsidR="007B04B6" w:rsidRPr="005D2DE9" w:rsidRDefault="007B04B6">
      <w:pPr>
        <w:pStyle w:val="Normal1"/>
        <w:spacing w:before="240" w:line="360" w:lineRule="auto"/>
        <w:jc w:val="both"/>
        <w:rPr>
          <w:rFonts w:ascii="Times New Roman" w:eastAsia="Times New Roman" w:hAnsi="Times New Roman" w:cs="Times New Roman"/>
          <w:sz w:val="24"/>
          <w:szCs w:val="24"/>
          <w:u w:val="single"/>
          <w:lang w:val="en-GB"/>
        </w:rPr>
      </w:pPr>
      <w:r w:rsidRPr="005D2DE9">
        <w:rPr>
          <w:rFonts w:ascii="Times New Roman" w:eastAsia="Times New Roman" w:hAnsi="Times New Roman" w:cs="Times New Roman"/>
          <w:sz w:val="24"/>
          <w:szCs w:val="24"/>
          <w:lang w:val="en-GB"/>
        </w:rPr>
        <w:t xml:space="preserve">Hashim, S.N.A., Yaacob, A., Suryani, I., Asraf, R.M., Bahador, Z. and </w:t>
      </w:r>
      <w:proofErr w:type="spellStart"/>
      <w:r w:rsidRPr="005D2DE9">
        <w:rPr>
          <w:rFonts w:ascii="Times New Roman" w:eastAsia="Times New Roman" w:hAnsi="Times New Roman" w:cs="Times New Roman"/>
          <w:sz w:val="24"/>
          <w:szCs w:val="24"/>
          <w:lang w:val="en-GB"/>
        </w:rPr>
        <w:t>Supian</w:t>
      </w:r>
      <w:proofErr w:type="spellEnd"/>
      <w:r w:rsidRPr="005D2DE9">
        <w:rPr>
          <w:rFonts w:ascii="Times New Roman" w:eastAsia="Times New Roman" w:hAnsi="Times New Roman" w:cs="Times New Roman"/>
          <w:sz w:val="24"/>
          <w:szCs w:val="24"/>
          <w:lang w:val="en-GB"/>
        </w:rPr>
        <w:t xml:space="preserve">, N., (2023) ‘Exploring the Use of Gibbs' Reflective Model in Enhancing In-Service ESL Teachers' Reflective Writing’. </w:t>
      </w:r>
      <w:r w:rsidRPr="005D2DE9">
        <w:rPr>
          <w:rFonts w:ascii="Times New Roman" w:eastAsia="Times New Roman" w:hAnsi="Times New Roman" w:cs="Times New Roman"/>
          <w:i/>
          <w:sz w:val="24"/>
          <w:szCs w:val="24"/>
          <w:lang w:val="en-GB"/>
        </w:rPr>
        <w:t>Arab World English Journal</w:t>
      </w:r>
      <w:r w:rsidRPr="005D2DE9">
        <w:rPr>
          <w:rFonts w:ascii="Times New Roman" w:eastAsia="Times New Roman" w:hAnsi="Times New Roman" w:cs="Times New Roman"/>
          <w:sz w:val="24"/>
          <w:szCs w:val="24"/>
          <w:lang w:val="en-GB"/>
        </w:rPr>
        <w:t xml:space="preserve">, </w:t>
      </w:r>
      <w:r w:rsidRPr="005D2DE9">
        <w:rPr>
          <w:rFonts w:ascii="Times New Roman" w:eastAsia="Times New Roman" w:hAnsi="Times New Roman" w:cs="Times New Roman"/>
          <w:i/>
          <w:sz w:val="24"/>
          <w:szCs w:val="24"/>
          <w:lang w:val="en-GB"/>
        </w:rPr>
        <w:t>14</w:t>
      </w:r>
      <w:r w:rsidRPr="005D2DE9">
        <w:rPr>
          <w:rFonts w:ascii="Times New Roman" w:eastAsia="Times New Roman" w:hAnsi="Times New Roman" w:cs="Times New Roman"/>
          <w:sz w:val="24"/>
          <w:szCs w:val="24"/>
          <w:lang w:val="en-GB"/>
        </w:rPr>
        <w:t>(2). Available at:</w:t>
      </w:r>
      <w:hyperlink r:id="rId13">
        <w:r w:rsidRPr="005D2DE9">
          <w:rPr>
            <w:rFonts w:ascii="Times New Roman" w:eastAsia="Times New Roman" w:hAnsi="Times New Roman" w:cs="Times New Roman"/>
            <w:sz w:val="24"/>
            <w:szCs w:val="24"/>
            <w:lang w:val="en-GB"/>
          </w:rPr>
          <w:t xml:space="preserve"> </w:t>
        </w:r>
      </w:hyperlink>
      <w:hyperlink r:id="rId14">
        <w:r w:rsidRPr="005D2DE9">
          <w:rPr>
            <w:rFonts w:ascii="Times New Roman" w:eastAsia="Times New Roman" w:hAnsi="Times New Roman" w:cs="Times New Roman"/>
            <w:sz w:val="24"/>
            <w:szCs w:val="24"/>
            <w:u w:val="single"/>
            <w:lang w:val="en-GB"/>
          </w:rPr>
          <w:t>https://dx.doi.org/10.24093/awej/vol14no2.17</w:t>
        </w:r>
      </w:hyperlink>
    </w:p>
    <w:p w14:paraId="3A6CBEA6" w14:textId="77777777" w:rsidR="007B04B6" w:rsidRPr="005D2DE9" w:rsidRDefault="007B04B6" w:rsidP="00E56878">
      <w:pPr>
        <w:rPr>
          <w:highlight w:val="white"/>
          <w:lang w:val="en-GB"/>
        </w:rPr>
      </w:pPr>
      <w:r w:rsidRPr="005D2DE9">
        <w:rPr>
          <w:highlight w:val="white"/>
          <w:lang w:val="en-GB"/>
        </w:rPr>
        <w:t xml:space="preserve">He, B., Jie, W., He, H., </w:t>
      </w:r>
      <w:proofErr w:type="spellStart"/>
      <w:r w:rsidRPr="005D2DE9">
        <w:rPr>
          <w:highlight w:val="white"/>
          <w:lang w:val="en-GB"/>
        </w:rPr>
        <w:t>Alsubih</w:t>
      </w:r>
      <w:proofErr w:type="spellEnd"/>
      <w:r w:rsidRPr="005D2DE9">
        <w:rPr>
          <w:highlight w:val="white"/>
          <w:lang w:val="en-GB"/>
        </w:rPr>
        <w:t xml:space="preserve">, M., Arnone, G. and Makhmudov, S., (2024). ‘From resources to resilience: How green innovation, fintech and natural resources shape sustainability in OECD countries.’ </w:t>
      </w:r>
      <w:r w:rsidRPr="005D2DE9">
        <w:rPr>
          <w:i/>
          <w:highlight w:val="white"/>
          <w:lang w:val="en-GB"/>
        </w:rPr>
        <w:t>Resources Policy</w:t>
      </w:r>
      <w:r w:rsidRPr="005D2DE9">
        <w:rPr>
          <w:highlight w:val="white"/>
          <w:lang w:val="en-GB"/>
        </w:rPr>
        <w:t xml:space="preserve">, </w:t>
      </w:r>
      <w:r w:rsidRPr="005D2DE9">
        <w:rPr>
          <w:i/>
          <w:highlight w:val="white"/>
          <w:lang w:val="en-GB"/>
        </w:rPr>
        <w:t>91</w:t>
      </w:r>
      <w:r w:rsidRPr="005D2DE9">
        <w:rPr>
          <w:highlight w:val="white"/>
          <w:lang w:val="en-GB"/>
        </w:rPr>
        <w:t xml:space="preserve">, p.104856. Available at: </w:t>
      </w:r>
      <w:hyperlink r:id="rId15">
        <w:r w:rsidRPr="005D2DE9">
          <w:rPr>
            <w:highlight w:val="white"/>
            <w:u w:val="single"/>
            <w:lang w:val="en-GB"/>
          </w:rPr>
          <w:t>https://doi.org/10.1016/j.resourpol.2024.104856</w:t>
        </w:r>
      </w:hyperlink>
    </w:p>
    <w:p w14:paraId="78DAC6CF" w14:textId="77777777" w:rsidR="007B04B6" w:rsidRPr="005D2DE9" w:rsidRDefault="007B04B6">
      <w:pPr>
        <w:pStyle w:val="Normal1"/>
        <w:spacing w:before="240" w:line="360" w:lineRule="auto"/>
        <w:jc w:val="both"/>
        <w:rPr>
          <w:rFonts w:ascii="Times New Roman" w:eastAsia="Times New Roman" w:hAnsi="Times New Roman" w:cs="Times New Roman"/>
          <w:sz w:val="24"/>
          <w:szCs w:val="24"/>
          <w:u w:val="single"/>
          <w:lang w:val="en-GB"/>
        </w:rPr>
      </w:pPr>
      <w:r w:rsidRPr="005D2DE9">
        <w:rPr>
          <w:rFonts w:ascii="Times New Roman" w:eastAsia="Times New Roman" w:hAnsi="Times New Roman" w:cs="Times New Roman"/>
          <w:sz w:val="24"/>
          <w:szCs w:val="24"/>
          <w:lang w:val="en-GB"/>
        </w:rPr>
        <w:t xml:space="preserve">Kadhim, M.J., (2024) ‘Digital literacy and its importance in the modern workforce’. </w:t>
      </w:r>
      <w:r w:rsidRPr="005D2DE9">
        <w:rPr>
          <w:rFonts w:ascii="Times New Roman" w:eastAsia="Times New Roman" w:hAnsi="Times New Roman" w:cs="Times New Roman"/>
          <w:i/>
          <w:sz w:val="24"/>
          <w:szCs w:val="24"/>
          <w:lang w:val="en-GB"/>
        </w:rPr>
        <w:t>International Journal of Social Trends</w:t>
      </w:r>
      <w:r w:rsidRPr="005D2DE9">
        <w:rPr>
          <w:rFonts w:ascii="Times New Roman" w:eastAsia="Times New Roman" w:hAnsi="Times New Roman" w:cs="Times New Roman"/>
          <w:sz w:val="24"/>
          <w:szCs w:val="24"/>
          <w:lang w:val="en-GB"/>
        </w:rPr>
        <w:t xml:space="preserve">, </w:t>
      </w:r>
      <w:r w:rsidRPr="005D2DE9">
        <w:rPr>
          <w:rFonts w:ascii="Times New Roman" w:eastAsia="Times New Roman" w:hAnsi="Times New Roman" w:cs="Times New Roman"/>
          <w:i/>
          <w:sz w:val="24"/>
          <w:szCs w:val="24"/>
          <w:lang w:val="en-GB"/>
        </w:rPr>
        <w:t>2</w:t>
      </w:r>
      <w:r w:rsidRPr="005D2DE9">
        <w:rPr>
          <w:rFonts w:ascii="Times New Roman" w:eastAsia="Times New Roman" w:hAnsi="Times New Roman" w:cs="Times New Roman"/>
          <w:sz w:val="24"/>
          <w:szCs w:val="24"/>
          <w:lang w:val="en-GB"/>
        </w:rPr>
        <w:t>(2), pp.44-50. Available at:</w:t>
      </w:r>
      <w:hyperlink r:id="rId16">
        <w:r w:rsidRPr="005D2DE9">
          <w:rPr>
            <w:rFonts w:ascii="Times New Roman" w:eastAsia="Times New Roman" w:hAnsi="Times New Roman" w:cs="Times New Roman"/>
            <w:sz w:val="24"/>
            <w:szCs w:val="24"/>
            <w:lang w:val="en-GB"/>
          </w:rPr>
          <w:t xml:space="preserve"> </w:t>
        </w:r>
      </w:hyperlink>
      <w:hyperlink r:id="rId17">
        <w:r w:rsidRPr="005D2DE9">
          <w:rPr>
            <w:rFonts w:ascii="Times New Roman" w:eastAsia="Times New Roman" w:hAnsi="Times New Roman" w:cs="Times New Roman"/>
            <w:sz w:val="24"/>
            <w:szCs w:val="24"/>
            <w:u w:val="single"/>
            <w:lang w:val="en-GB"/>
          </w:rPr>
          <w:t>https://www.researchgate.net/profile/Mohammed-Jawad-Kadhim-2/publication/382641453_Digital_Literacy_and_Its_Importance_in_the_Modern_Workforce/links/66a7620ec6e41359a846a810/Digital-Literacy-and-Its-Importance-in-the-Modern-Workforce.pdf</w:t>
        </w:r>
      </w:hyperlink>
    </w:p>
    <w:p w14:paraId="7C09F19A" w14:textId="77777777" w:rsidR="007B04B6" w:rsidRPr="005D2DE9" w:rsidRDefault="007B04B6" w:rsidP="00E56878">
      <w:pPr>
        <w:rPr>
          <w:highlight w:val="white"/>
          <w:lang w:val="en-GB"/>
        </w:rPr>
      </w:pPr>
      <w:proofErr w:type="spellStart"/>
      <w:r w:rsidRPr="005D2DE9">
        <w:rPr>
          <w:highlight w:val="white"/>
          <w:lang w:val="en-GB"/>
        </w:rPr>
        <w:t>Keliwaal</w:t>
      </w:r>
      <w:proofErr w:type="spellEnd"/>
      <w:r w:rsidRPr="005D2DE9">
        <w:rPr>
          <w:highlight w:val="white"/>
          <w:lang w:val="en-GB"/>
        </w:rPr>
        <w:t xml:space="preserve">, A.N., Stanikzai, I.U. and Jawad, K., 2023. ‘Fostering Sustainable Economic Growth: The Role of World Bank and IMF Programs in Developing Countries.’ </w:t>
      </w:r>
      <w:r w:rsidRPr="005D2DE9">
        <w:rPr>
          <w:i/>
          <w:highlight w:val="white"/>
          <w:lang w:val="en-GB"/>
        </w:rPr>
        <w:t xml:space="preserve">Journal of Asian </w:t>
      </w:r>
      <w:r w:rsidRPr="005D2DE9">
        <w:rPr>
          <w:i/>
          <w:highlight w:val="white"/>
          <w:lang w:val="en-GB"/>
        </w:rPr>
        <w:lastRenderedPageBreak/>
        <w:t>Development Studies</w:t>
      </w:r>
      <w:r w:rsidRPr="005D2DE9">
        <w:rPr>
          <w:highlight w:val="white"/>
          <w:lang w:val="en-GB"/>
        </w:rPr>
        <w:t xml:space="preserve">, </w:t>
      </w:r>
      <w:r w:rsidRPr="005D2DE9">
        <w:rPr>
          <w:i/>
          <w:highlight w:val="white"/>
          <w:lang w:val="en-GB"/>
        </w:rPr>
        <w:t>12</w:t>
      </w:r>
      <w:r w:rsidRPr="005D2DE9">
        <w:rPr>
          <w:highlight w:val="white"/>
          <w:lang w:val="en-GB"/>
        </w:rPr>
        <w:t xml:space="preserve">(4), pp.928-934. Available at: </w:t>
      </w:r>
      <w:hyperlink r:id="rId18">
        <w:r w:rsidRPr="005D2DE9">
          <w:rPr>
            <w:highlight w:val="white"/>
            <w:u w:val="single"/>
            <w:lang w:val="en-GB"/>
          </w:rPr>
          <w:t>https://doi.org/10.62345/jads.2023.12.4.73</w:t>
        </w:r>
      </w:hyperlink>
    </w:p>
    <w:p w14:paraId="24868B45" w14:textId="77777777" w:rsidR="007B04B6" w:rsidRPr="005D2DE9" w:rsidRDefault="007B04B6">
      <w:pPr>
        <w:pStyle w:val="Normal1"/>
        <w:spacing w:before="240" w:line="360" w:lineRule="auto"/>
        <w:jc w:val="both"/>
        <w:rPr>
          <w:rFonts w:ascii="Times New Roman" w:eastAsia="Times New Roman" w:hAnsi="Times New Roman" w:cs="Times New Roman"/>
          <w:sz w:val="24"/>
          <w:szCs w:val="24"/>
          <w:u w:val="single"/>
          <w:lang w:val="en-GB"/>
        </w:rPr>
      </w:pPr>
      <w:proofErr w:type="spellStart"/>
      <w:r w:rsidRPr="005D2DE9">
        <w:rPr>
          <w:rFonts w:ascii="Times New Roman" w:eastAsia="Times New Roman" w:hAnsi="Times New Roman" w:cs="Times New Roman"/>
          <w:sz w:val="24"/>
          <w:szCs w:val="24"/>
          <w:lang w:val="en-GB"/>
        </w:rPr>
        <w:t>Kuregyan</w:t>
      </w:r>
      <w:proofErr w:type="spellEnd"/>
      <w:r w:rsidRPr="005D2DE9">
        <w:rPr>
          <w:rFonts w:ascii="Times New Roman" w:eastAsia="Times New Roman" w:hAnsi="Times New Roman" w:cs="Times New Roman"/>
          <w:sz w:val="24"/>
          <w:szCs w:val="24"/>
          <w:lang w:val="en-GB"/>
        </w:rPr>
        <w:t xml:space="preserve">, A.L. and Khusainova, M.A., (2022) ‘Soft skills as key competences for successful employability of graduate </w:t>
      </w:r>
      <w:proofErr w:type="gramStart"/>
      <w:r w:rsidRPr="005D2DE9">
        <w:rPr>
          <w:rFonts w:ascii="Times New Roman" w:eastAsia="Times New Roman" w:hAnsi="Times New Roman" w:cs="Times New Roman"/>
          <w:sz w:val="24"/>
          <w:szCs w:val="24"/>
          <w:lang w:val="en-GB"/>
        </w:rPr>
        <w:t>students’</w:t>
      </w:r>
      <w:proofErr w:type="gramEnd"/>
      <w:r w:rsidRPr="005D2DE9">
        <w:rPr>
          <w:rFonts w:ascii="Times New Roman" w:eastAsia="Times New Roman" w:hAnsi="Times New Roman" w:cs="Times New Roman"/>
          <w:sz w:val="24"/>
          <w:szCs w:val="24"/>
          <w:lang w:val="en-GB"/>
        </w:rPr>
        <w:t xml:space="preserve">. </w:t>
      </w:r>
      <w:proofErr w:type="spellStart"/>
      <w:r w:rsidRPr="005D2DE9">
        <w:rPr>
          <w:rFonts w:ascii="Times New Roman" w:eastAsia="Times New Roman" w:hAnsi="Times New Roman" w:cs="Times New Roman"/>
          <w:i/>
          <w:sz w:val="24"/>
          <w:szCs w:val="24"/>
          <w:lang w:val="en-GB"/>
        </w:rPr>
        <w:t>Vestnik</w:t>
      </w:r>
      <w:proofErr w:type="spellEnd"/>
      <w:r w:rsidRPr="005D2DE9">
        <w:rPr>
          <w:rFonts w:ascii="Times New Roman" w:eastAsia="Times New Roman" w:hAnsi="Times New Roman" w:cs="Times New Roman"/>
          <w:i/>
          <w:sz w:val="24"/>
          <w:szCs w:val="24"/>
          <w:lang w:val="en-GB"/>
        </w:rPr>
        <w:t xml:space="preserve"> of Samara State Technical University Psychological and Pedagogical Sciences</w:t>
      </w:r>
      <w:r w:rsidRPr="005D2DE9">
        <w:rPr>
          <w:rFonts w:ascii="Times New Roman" w:eastAsia="Times New Roman" w:hAnsi="Times New Roman" w:cs="Times New Roman"/>
          <w:sz w:val="24"/>
          <w:szCs w:val="24"/>
          <w:lang w:val="en-GB"/>
        </w:rPr>
        <w:t xml:space="preserve">, </w:t>
      </w:r>
      <w:r w:rsidRPr="005D2DE9">
        <w:rPr>
          <w:rFonts w:ascii="Times New Roman" w:eastAsia="Times New Roman" w:hAnsi="Times New Roman" w:cs="Times New Roman"/>
          <w:i/>
          <w:sz w:val="24"/>
          <w:szCs w:val="24"/>
          <w:lang w:val="en-GB"/>
        </w:rPr>
        <w:t>19</w:t>
      </w:r>
      <w:r w:rsidRPr="005D2DE9">
        <w:rPr>
          <w:rFonts w:ascii="Times New Roman" w:eastAsia="Times New Roman" w:hAnsi="Times New Roman" w:cs="Times New Roman"/>
          <w:sz w:val="24"/>
          <w:szCs w:val="24"/>
          <w:lang w:val="en-GB"/>
        </w:rPr>
        <w:t>(4), pp.113-120. Available at:</w:t>
      </w:r>
      <w:hyperlink r:id="rId19">
        <w:r w:rsidRPr="005D2DE9">
          <w:rPr>
            <w:rFonts w:ascii="Times New Roman" w:eastAsia="Times New Roman" w:hAnsi="Times New Roman" w:cs="Times New Roman"/>
            <w:sz w:val="24"/>
            <w:szCs w:val="24"/>
            <w:lang w:val="en-GB"/>
          </w:rPr>
          <w:t xml:space="preserve"> </w:t>
        </w:r>
      </w:hyperlink>
      <w:hyperlink r:id="rId20">
        <w:r w:rsidRPr="005D2DE9">
          <w:rPr>
            <w:rFonts w:ascii="Times New Roman" w:eastAsia="Times New Roman" w:hAnsi="Times New Roman" w:cs="Times New Roman"/>
            <w:sz w:val="24"/>
            <w:szCs w:val="24"/>
            <w:u w:val="single"/>
            <w:lang w:val="en-GB"/>
          </w:rPr>
          <w:t>https://doi.org/10.17673/vsgtu-pps.2022.4.9</w:t>
        </w:r>
      </w:hyperlink>
    </w:p>
    <w:p w14:paraId="5899A650" w14:textId="77777777" w:rsidR="007B04B6" w:rsidRPr="005D2DE9" w:rsidRDefault="007B04B6">
      <w:pPr>
        <w:pStyle w:val="Normal1"/>
        <w:spacing w:before="240" w:line="360" w:lineRule="auto"/>
        <w:jc w:val="both"/>
        <w:rPr>
          <w:rFonts w:ascii="Times New Roman" w:eastAsia="Times New Roman" w:hAnsi="Times New Roman" w:cs="Times New Roman"/>
          <w:sz w:val="24"/>
          <w:szCs w:val="24"/>
          <w:u w:val="single"/>
          <w:lang w:val="en-GB"/>
        </w:rPr>
      </w:pPr>
      <w:r w:rsidRPr="005D2DE9">
        <w:rPr>
          <w:rFonts w:ascii="Times New Roman" w:eastAsia="Times New Roman" w:hAnsi="Times New Roman" w:cs="Times New Roman"/>
          <w:sz w:val="24"/>
          <w:szCs w:val="24"/>
          <w:lang w:val="en-GB"/>
        </w:rPr>
        <w:t xml:space="preserve">Mahajan, R., Gupta, P. and Misra, R., (2022) ‘Employability skills framework: a tripartite approach’. </w:t>
      </w:r>
      <w:r w:rsidRPr="005D2DE9">
        <w:rPr>
          <w:rFonts w:ascii="Times New Roman" w:eastAsia="Times New Roman" w:hAnsi="Times New Roman" w:cs="Times New Roman"/>
          <w:i/>
          <w:sz w:val="24"/>
          <w:szCs w:val="24"/>
          <w:lang w:val="en-GB"/>
        </w:rPr>
        <w:t>Education+ Training</w:t>
      </w:r>
      <w:r w:rsidRPr="005D2DE9">
        <w:rPr>
          <w:rFonts w:ascii="Times New Roman" w:eastAsia="Times New Roman" w:hAnsi="Times New Roman" w:cs="Times New Roman"/>
          <w:sz w:val="24"/>
          <w:szCs w:val="24"/>
          <w:lang w:val="en-GB"/>
        </w:rPr>
        <w:t xml:space="preserve">, </w:t>
      </w:r>
      <w:r w:rsidRPr="005D2DE9">
        <w:rPr>
          <w:rFonts w:ascii="Times New Roman" w:eastAsia="Times New Roman" w:hAnsi="Times New Roman" w:cs="Times New Roman"/>
          <w:i/>
          <w:sz w:val="24"/>
          <w:szCs w:val="24"/>
          <w:lang w:val="en-GB"/>
        </w:rPr>
        <w:t>64</w:t>
      </w:r>
      <w:r w:rsidRPr="005D2DE9">
        <w:rPr>
          <w:rFonts w:ascii="Times New Roman" w:eastAsia="Times New Roman" w:hAnsi="Times New Roman" w:cs="Times New Roman"/>
          <w:sz w:val="24"/>
          <w:szCs w:val="24"/>
          <w:lang w:val="en-GB"/>
        </w:rPr>
        <w:t>(3), pp.360-379. Available at:</w:t>
      </w:r>
      <w:hyperlink r:id="rId21">
        <w:r w:rsidRPr="005D2DE9">
          <w:rPr>
            <w:rFonts w:ascii="Times New Roman" w:eastAsia="Times New Roman" w:hAnsi="Times New Roman" w:cs="Times New Roman"/>
            <w:sz w:val="24"/>
            <w:szCs w:val="24"/>
            <w:lang w:val="en-GB"/>
          </w:rPr>
          <w:t xml:space="preserve"> </w:t>
        </w:r>
      </w:hyperlink>
      <w:hyperlink r:id="rId22">
        <w:r w:rsidRPr="005D2DE9">
          <w:rPr>
            <w:rFonts w:ascii="Times New Roman" w:eastAsia="Times New Roman" w:hAnsi="Times New Roman" w:cs="Times New Roman"/>
            <w:sz w:val="24"/>
            <w:szCs w:val="24"/>
            <w:u w:val="single"/>
            <w:lang w:val="en-GB"/>
          </w:rPr>
          <w:t>https://doi.org/10.1108/ET-12-2020-0367</w:t>
        </w:r>
      </w:hyperlink>
    </w:p>
    <w:p w14:paraId="198E3982" w14:textId="77777777" w:rsidR="007B04B6" w:rsidRPr="005D2DE9" w:rsidRDefault="007B04B6" w:rsidP="00E56878">
      <w:pPr>
        <w:rPr>
          <w:highlight w:val="white"/>
          <w:lang w:val="en-GB"/>
        </w:rPr>
      </w:pPr>
      <w:r w:rsidRPr="005D2DE9">
        <w:rPr>
          <w:highlight w:val="white"/>
          <w:lang w:val="en-GB"/>
        </w:rPr>
        <w:t xml:space="preserve">Ness, S., Shepherd, N.J. and Xuan, T.R., (2023).’ Synergy between AI and robotics: A comprehensive integration.’ </w:t>
      </w:r>
      <w:r w:rsidRPr="005D2DE9">
        <w:rPr>
          <w:i/>
          <w:highlight w:val="white"/>
          <w:lang w:val="en-GB"/>
        </w:rPr>
        <w:t>Asian Journal of Research in Computer Science</w:t>
      </w:r>
      <w:r w:rsidRPr="005D2DE9">
        <w:rPr>
          <w:highlight w:val="white"/>
          <w:lang w:val="en-GB"/>
        </w:rPr>
        <w:t xml:space="preserve">, </w:t>
      </w:r>
      <w:r w:rsidRPr="005D2DE9">
        <w:rPr>
          <w:i/>
          <w:highlight w:val="white"/>
          <w:lang w:val="en-GB"/>
        </w:rPr>
        <w:t>16</w:t>
      </w:r>
      <w:r w:rsidRPr="005D2DE9">
        <w:rPr>
          <w:highlight w:val="white"/>
          <w:lang w:val="en-GB"/>
        </w:rPr>
        <w:t>(4), pp.80-94. Available at: DOI: 10.9734/AJRCOS/2023/v16i4372</w:t>
      </w:r>
    </w:p>
    <w:p w14:paraId="00410008" w14:textId="77777777" w:rsidR="007B04B6" w:rsidRPr="005D2DE9" w:rsidRDefault="007B04B6" w:rsidP="00E56878">
      <w:pPr>
        <w:rPr>
          <w:highlight w:val="white"/>
          <w:lang w:val="en-GB"/>
        </w:rPr>
      </w:pPr>
      <w:r w:rsidRPr="005D2DE9">
        <w:rPr>
          <w:highlight w:val="white"/>
          <w:lang w:val="en-GB"/>
        </w:rPr>
        <w:t xml:space="preserve">Nováková, V., (2025). ‘ESG implementation in the construction industry according to 2022-2024 surveys.’ </w:t>
      </w:r>
      <w:proofErr w:type="spellStart"/>
      <w:r w:rsidRPr="005D2DE9">
        <w:rPr>
          <w:i/>
          <w:highlight w:val="white"/>
          <w:lang w:val="en-GB"/>
        </w:rPr>
        <w:t>Stavební</w:t>
      </w:r>
      <w:proofErr w:type="spellEnd"/>
      <w:r w:rsidRPr="005D2DE9">
        <w:rPr>
          <w:i/>
          <w:highlight w:val="white"/>
          <w:lang w:val="en-GB"/>
        </w:rPr>
        <w:t xml:space="preserve"> </w:t>
      </w:r>
      <w:proofErr w:type="spellStart"/>
      <w:r w:rsidRPr="005D2DE9">
        <w:rPr>
          <w:i/>
          <w:highlight w:val="white"/>
          <w:lang w:val="en-GB"/>
        </w:rPr>
        <w:t>obzor</w:t>
      </w:r>
      <w:proofErr w:type="spellEnd"/>
      <w:r w:rsidRPr="005D2DE9">
        <w:rPr>
          <w:i/>
          <w:highlight w:val="white"/>
          <w:lang w:val="en-GB"/>
        </w:rPr>
        <w:t>-Civil Engineering Journal</w:t>
      </w:r>
      <w:r w:rsidRPr="005D2DE9">
        <w:rPr>
          <w:highlight w:val="white"/>
          <w:lang w:val="en-GB"/>
        </w:rPr>
        <w:t xml:space="preserve">, </w:t>
      </w:r>
      <w:r w:rsidRPr="005D2DE9">
        <w:rPr>
          <w:i/>
          <w:highlight w:val="white"/>
          <w:lang w:val="en-GB"/>
        </w:rPr>
        <w:t>34</w:t>
      </w:r>
      <w:r w:rsidRPr="005D2DE9">
        <w:rPr>
          <w:highlight w:val="white"/>
          <w:lang w:val="en-GB"/>
        </w:rPr>
        <w:t>(1), pp.101-111. Available at:  DOI 10.14311/CEJ.2025.01.0007</w:t>
      </w:r>
    </w:p>
    <w:p w14:paraId="58AAD12D" w14:textId="77777777" w:rsidR="007B04B6" w:rsidRPr="005D2DE9" w:rsidRDefault="007B04B6" w:rsidP="00E56878">
      <w:pPr>
        <w:rPr>
          <w:highlight w:val="white"/>
          <w:lang w:val="en-GB"/>
        </w:rPr>
      </w:pPr>
      <w:proofErr w:type="spellStart"/>
      <w:r w:rsidRPr="005D2DE9">
        <w:rPr>
          <w:highlight w:val="white"/>
          <w:lang w:val="en-GB"/>
        </w:rPr>
        <w:t>Ogedengbe</w:t>
      </w:r>
      <w:proofErr w:type="spellEnd"/>
      <w:r w:rsidRPr="005D2DE9">
        <w:rPr>
          <w:highlight w:val="white"/>
          <w:lang w:val="en-GB"/>
        </w:rPr>
        <w:t xml:space="preserve">, D.E., Oladapo, J.O., </w:t>
      </w:r>
      <w:proofErr w:type="spellStart"/>
      <w:r w:rsidRPr="005D2DE9">
        <w:rPr>
          <w:highlight w:val="white"/>
          <w:lang w:val="en-GB"/>
        </w:rPr>
        <w:t>Elufioye</w:t>
      </w:r>
      <w:proofErr w:type="spellEnd"/>
      <w:r w:rsidRPr="005D2DE9">
        <w:rPr>
          <w:highlight w:val="white"/>
          <w:lang w:val="en-GB"/>
        </w:rPr>
        <w:t xml:space="preserve">, O.A., </w:t>
      </w:r>
      <w:proofErr w:type="spellStart"/>
      <w:r w:rsidRPr="005D2DE9">
        <w:rPr>
          <w:highlight w:val="white"/>
          <w:lang w:val="en-GB"/>
        </w:rPr>
        <w:t>Ejairu</w:t>
      </w:r>
      <w:proofErr w:type="spellEnd"/>
      <w:r w:rsidRPr="005D2DE9">
        <w:rPr>
          <w:highlight w:val="white"/>
          <w:lang w:val="en-GB"/>
        </w:rPr>
        <w:t xml:space="preserve">, E. and </w:t>
      </w:r>
      <w:proofErr w:type="spellStart"/>
      <w:r w:rsidRPr="005D2DE9">
        <w:rPr>
          <w:highlight w:val="white"/>
          <w:lang w:val="en-GB"/>
        </w:rPr>
        <w:t>Ezeafulukwe</w:t>
      </w:r>
      <w:proofErr w:type="spellEnd"/>
      <w:r w:rsidRPr="005D2DE9">
        <w:rPr>
          <w:highlight w:val="white"/>
          <w:lang w:val="en-GB"/>
        </w:rPr>
        <w:t xml:space="preserve">, C., (2024). ‘Strategic HRM in the logistics and shipping sector: Challenges and </w:t>
      </w:r>
      <w:proofErr w:type="gramStart"/>
      <w:r w:rsidRPr="005D2DE9">
        <w:rPr>
          <w:highlight w:val="white"/>
          <w:lang w:val="en-GB"/>
        </w:rPr>
        <w:t>opportunities’</w:t>
      </w:r>
      <w:proofErr w:type="gramEnd"/>
      <w:r w:rsidRPr="005D2DE9">
        <w:rPr>
          <w:highlight w:val="white"/>
          <w:lang w:val="en-GB"/>
        </w:rPr>
        <w:t xml:space="preserve">. </w:t>
      </w:r>
      <w:r w:rsidRPr="005D2DE9">
        <w:rPr>
          <w:i/>
          <w:highlight w:val="white"/>
          <w:lang w:val="en-GB"/>
        </w:rPr>
        <w:t>International Journal of Science and Research Archive</w:t>
      </w:r>
      <w:r w:rsidRPr="005D2DE9">
        <w:rPr>
          <w:highlight w:val="white"/>
          <w:lang w:val="en-GB"/>
        </w:rPr>
        <w:t xml:space="preserve">, </w:t>
      </w:r>
      <w:r w:rsidRPr="005D2DE9">
        <w:rPr>
          <w:i/>
          <w:highlight w:val="white"/>
          <w:lang w:val="en-GB"/>
        </w:rPr>
        <w:t>11</w:t>
      </w:r>
      <w:r w:rsidRPr="005D2DE9">
        <w:rPr>
          <w:highlight w:val="white"/>
          <w:lang w:val="en-GB"/>
        </w:rPr>
        <w:t xml:space="preserve">(1), pp.2000-2011. Available </w:t>
      </w:r>
      <w:proofErr w:type="spellStart"/>
      <w:r w:rsidRPr="005D2DE9">
        <w:rPr>
          <w:highlight w:val="white"/>
          <w:lang w:val="en-GB"/>
        </w:rPr>
        <w:t>at:</w:t>
      </w:r>
      <w:hyperlink r:id="rId23">
        <w:r w:rsidRPr="005D2DE9">
          <w:rPr>
            <w:highlight w:val="white"/>
            <w:u w:val="single"/>
            <w:lang w:val="en-GB"/>
          </w:rPr>
          <w:t>https</w:t>
        </w:r>
        <w:proofErr w:type="spellEnd"/>
        <w:r w:rsidRPr="005D2DE9">
          <w:rPr>
            <w:highlight w:val="white"/>
            <w:u w:val="single"/>
            <w:lang w:val="en-GB"/>
          </w:rPr>
          <w:t>://doi.org/10.30574/msarr.2024.10.1.0032</w:t>
        </w:r>
      </w:hyperlink>
      <w:r w:rsidRPr="005D2DE9">
        <w:rPr>
          <w:highlight w:val="white"/>
          <w:lang w:val="en-GB"/>
        </w:rPr>
        <w:t xml:space="preserve"> </w:t>
      </w:r>
    </w:p>
    <w:p w14:paraId="2C2793E0" w14:textId="77777777" w:rsidR="007B04B6" w:rsidRPr="005D2DE9" w:rsidRDefault="007B04B6">
      <w:pPr>
        <w:pStyle w:val="Normal1"/>
        <w:spacing w:before="240" w:line="360" w:lineRule="auto"/>
        <w:jc w:val="both"/>
        <w:rPr>
          <w:lang w:val="en-GB"/>
        </w:rPr>
      </w:pPr>
      <w:r w:rsidRPr="005D2DE9">
        <w:rPr>
          <w:rFonts w:ascii="Times New Roman" w:eastAsia="Times New Roman" w:hAnsi="Times New Roman" w:cs="Times New Roman"/>
          <w:sz w:val="24"/>
          <w:szCs w:val="24"/>
          <w:lang w:val="en-GB"/>
        </w:rPr>
        <w:t xml:space="preserve">Xu, E., Wang, W. and Wang, Q., (2023) ‘The effectiveness of collaborative problem solving in promoting students’ critical thinking: A meta-analysis based on empirical literature’. </w:t>
      </w:r>
      <w:r w:rsidRPr="005D2DE9">
        <w:rPr>
          <w:rFonts w:ascii="Times New Roman" w:eastAsia="Times New Roman" w:hAnsi="Times New Roman" w:cs="Times New Roman"/>
          <w:i/>
          <w:sz w:val="24"/>
          <w:szCs w:val="24"/>
          <w:lang w:val="en-GB"/>
        </w:rPr>
        <w:t>Humanities and Social Sciences Communications</w:t>
      </w:r>
      <w:r w:rsidRPr="005D2DE9">
        <w:rPr>
          <w:rFonts w:ascii="Times New Roman" w:eastAsia="Times New Roman" w:hAnsi="Times New Roman" w:cs="Times New Roman"/>
          <w:sz w:val="24"/>
          <w:szCs w:val="24"/>
          <w:lang w:val="en-GB"/>
        </w:rPr>
        <w:t xml:space="preserve">, </w:t>
      </w:r>
      <w:r w:rsidRPr="005D2DE9">
        <w:rPr>
          <w:rFonts w:ascii="Times New Roman" w:eastAsia="Times New Roman" w:hAnsi="Times New Roman" w:cs="Times New Roman"/>
          <w:i/>
          <w:sz w:val="24"/>
          <w:szCs w:val="24"/>
          <w:lang w:val="en-GB"/>
        </w:rPr>
        <w:t>10</w:t>
      </w:r>
      <w:r w:rsidRPr="005D2DE9">
        <w:rPr>
          <w:rFonts w:ascii="Times New Roman" w:eastAsia="Times New Roman" w:hAnsi="Times New Roman" w:cs="Times New Roman"/>
          <w:sz w:val="24"/>
          <w:szCs w:val="24"/>
          <w:lang w:val="en-GB"/>
        </w:rPr>
        <w:t>(1), pp.1-11. Available at:</w:t>
      </w:r>
      <w:hyperlink r:id="rId24">
        <w:r w:rsidRPr="005D2DE9">
          <w:rPr>
            <w:rFonts w:ascii="Times New Roman" w:eastAsia="Times New Roman" w:hAnsi="Times New Roman" w:cs="Times New Roman"/>
            <w:sz w:val="24"/>
            <w:szCs w:val="24"/>
            <w:lang w:val="en-GB"/>
          </w:rPr>
          <w:t xml:space="preserve"> </w:t>
        </w:r>
      </w:hyperlink>
      <w:hyperlink r:id="rId25">
        <w:r w:rsidRPr="005D2DE9">
          <w:rPr>
            <w:rFonts w:ascii="Times New Roman" w:eastAsia="Times New Roman" w:hAnsi="Times New Roman" w:cs="Times New Roman"/>
            <w:sz w:val="24"/>
            <w:szCs w:val="24"/>
            <w:u w:val="single"/>
            <w:lang w:val="en-GB"/>
          </w:rPr>
          <w:t>https://doi.org/10.1057/s41599-023-01508-1</w:t>
        </w:r>
      </w:hyperlink>
    </w:p>
    <w:p w14:paraId="59A20C78" w14:textId="77777777" w:rsidR="00E56878" w:rsidRPr="005D2DE9" w:rsidRDefault="00E56878" w:rsidP="00E56878">
      <w:pPr>
        <w:rPr>
          <w:rFonts w:ascii="Arial" w:hAnsi="Arial"/>
          <w:sz w:val="20"/>
          <w:szCs w:val="20"/>
          <w:highlight w:val="white"/>
          <w:lang w:val="en-GB"/>
        </w:rPr>
      </w:pPr>
    </w:p>
    <w:p w14:paraId="68AB0774" w14:textId="77777777" w:rsidR="00E56878" w:rsidRPr="005D2DE9" w:rsidRDefault="00E56878">
      <w:pPr>
        <w:pStyle w:val="Normal1"/>
        <w:spacing w:before="240" w:line="360" w:lineRule="auto"/>
        <w:jc w:val="both"/>
        <w:rPr>
          <w:rFonts w:ascii="Times New Roman" w:eastAsia="Times New Roman" w:hAnsi="Times New Roman" w:cs="Times New Roman"/>
          <w:color w:val="1155CC"/>
          <w:sz w:val="24"/>
          <w:szCs w:val="24"/>
          <w:u w:val="single"/>
          <w:lang w:val="en-GB"/>
        </w:rPr>
      </w:pPr>
    </w:p>
    <w:p w14:paraId="2CFB5534" w14:textId="77777777" w:rsidR="004A0901" w:rsidRPr="005D2DE9" w:rsidRDefault="004A0901">
      <w:pPr>
        <w:pStyle w:val="Normal1"/>
        <w:spacing w:before="200" w:line="360" w:lineRule="auto"/>
        <w:jc w:val="both"/>
        <w:rPr>
          <w:rFonts w:ascii="Times New Roman" w:eastAsia="Times New Roman" w:hAnsi="Times New Roman" w:cs="Times New Roman"/>
          <w:sz w:val="24"/>
          <w:szCs w:val="24"/>
          <w:lang w:val="en-GB"/>
        </w:rPr>
      </w:pPr>
    </w:p>
    <w:sectPr w:rsidR="004A0901" w:rsidRPr="005D2DE9" w:rsidSect="00962E4A">
      <w:footerReference w:type="default" r:id="rId2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C6A70D" w14:textId="77777777" w:rsidR="00FA5FE8" w:rsidRDefault="00FA5FE8" w:rsidP="004C3F47">
      <w:pPr>
        <w:spacing w:line="240" w:lineRule="auto"/>
      </w:pPr>
      <w:r>
        <w:separator/>
      </w:r>
    </w:p>
  </w:endnote>
  <w:endnote w:type="continuationSeparator" w:id="0">
    <w:p w14:paraId="18F2394D" w14:textId="77777777" w:rsidR="00FA5FE8" w:rsidRDefault="00FA5FE8" w:rsidP="004C3F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205EEE7E-28A1-435C-815E-CA4F3119CCB8}"/>
  </w:font>
  <w:font w:name="Calibri">
    <w:panose1 w:val="020F0502020204030204"/>
    <w:charset w:val="00"/>
    <w:family w:val="swiss"/>
    <w:pitch w:val="variable"/>
    <w:sig w:usb0="E4002EFF" w:usb1="C200247B" w:usb2="00000009" w:usb3="00000000" w:csb0="000001FF" w:csb1="00000000"/>
    <w:embedRegular r:id="rId2" w:fontKey="{F83E1276-8718-41C1-AB14-9028A0840ACA}"/>
    <w:embedBold r:id="rId3" w:fontKey="{3C805DD7-788A-41E5-8DCC-30F9444F4DF2}"/>
  </w:font>
  <w:font w:name="Cambria">
    <w:panose1 w:val="02040503050406030204"/>
    <w:charset w:val="00"/>
    <w:family w:val="roman"/>
    <w:pitch w:val="variable"/>
    <w:sig w:usb0="E00006FF" w:usb1="420024FF" w:usb2="02000000" w:usb3="00000000" w:csb0="0000019F" w:csb1="00000000"/>
    <w:embedRegular r:id="rId4" w:fontKey="{1F51B7AB-92D8-4246-A923-0924C8DEB56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9167668"/>
      <w:docPartObj>
        <w:docPartGallery w:val="Page Numbers (Bottom of Page)"/>
        <w:docPartUnique/>
      </w:docPartObj>
    </w:sdtPr>
    <w:sdtEndPr>
      <w:rPr>
        <w:rFonts w:cs="Times New Roman"/>
        <w:sz w:val="20"/>
      </w:rPr>
    </w:sdtEndPr>
    <w:sdtContent>
      <w:p w14:paraId="7322EFD3" w14:textId="77777777" w:rsidR="004C3F47" w:rsidRPr="004C3F47" w:rsidRDefault="004C3F47">
        <w:pPr>
          <w:pStyle w:val="Footer"/>
          <w:jc w:val="right"/>
          <w:rPr>
            <w:rFonts w:cs="Times New Roman"/>
            <w:sz w:val="20"/>
          </w:rPr>
        </w:pPr>
        <w:r w:rsidRPr="004C3F47">
          <w:rPr>
            <w:rFonts w:cs="Times New Roman"/>
            <w:sz w:val="20"/>
          </w:rPr>
          <w:fldChar w:fldCharType="begin"/>
        </w:r>
        <w:r w:rsidRPr="004C3F47">
          <w:rPr>
            <w:rFonts w:cs="Times New Roman"/>
            <w:sz w:val="20"/>
          </w:rPr>
          <w:instrText xml:space="preserve"> PAGE   \* MERGEFORMAT </w:instrText>
        </w:r>
        <w:r w:rsidRPr="004C3F47">
          <w:rPr>
            <w:rFonts w:cs="Times New Roman"/>
            <w:sz w:val="20"/>
          </w:rPr>
          <w:fldChar w:fldCharType="separate"/>
        </w:r>
        <w:r w:rsidR="00292856">
          <w:rPr>
            <w:rFonts w:cs="Times New Roman"/>
            <w:noProof/>
            <w:sz w:val="20"/>
          </w:rPr>
          <w:t>2</w:t>
        </w:r>
        <w:r w:rsidRPr="004C3F47">
          <w:rPr>
            <w:rFonts w:cs="Times New Roman"/>
            <w:sz w:val="20"/>
          </w:rPr>
          <w:fldChar w:fldCharType="end"/>
        </w:r>
      </w:p>
    </w:sdtContent>
  </w:sdt>
  <w:p w14:paraId="1E575F93" w14:textId="77777777" w:rsidR="004C3F47" w:rsidRDefault="004C3F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E45297" w14:textId="77777777" w:rsidR="00FA5FE8" w:rsidRDefault="00FA5FE8" w:rsidP="004C3F47">
      <w:pPr>
        <w:spacing w:line="240" w:lineRule="auto"/>
      </w:pPr>
      <w:r>
        <w:separator/>
      </w:r>
    </w:p>
  </w:footnote>
  <w:footnote w:type="continuationSeparator" w:id="0">
    <w:p w14:paraId="264C9F07" w14:textId="77777777" w:rsidR="00FA5FE8" w:rsidRDefault="00FA5FE8" w:rsidP="004C3F4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901"/>
    <w:rsid w:val="0003780A"/>
    <w:rsid w:val="000C49B3"/>
    <w:rsid w:val="000F12D6"/>
    <w:rsid w:val="0027376E"/>
    <w:rsid w:val="00292856"/>
    <w:rsid w:val="0038371D"/>
    <w:rsid w:val="003C7CBA"/>
    <w:rsid w:val="0041229A"/>
    <w:rsid w:val="004A0901"/>
    <w:rsid w:val="004C3F47"/>
    <w:rsid w:val="005C24C1"/>
    <w:rsid w:val="005D2DE9"/>
    <w:rsid w:val="006A4342"/>
    <w:rsid w:val="006F7D4E"/>
    <w:rsid w:val="007929A7"/>
    <w:rsid w:val="007B04B6"/>
    <w:rsid w:val="00801790"/>
    <w:rsid w:val="008360B1"/>
    <w:rsid w:val="00962E4A"/>
    <w:rsid w:val="00A859E6"/>
    <w:rsid w:val="00A9170C"/>
    <w:rsid w:val="00CD78B5"/>
    <w:rsid w:val="00E56878"/>
    <w:rsid w:val="00E76A98"/>
    <w:rsid w:val="00E81975"/>
    <w:rsid w:val="00EB73EA"/>
    <w:rsid w:val="00EF1E1A"/>
    <w:rsid w:val="00FA152E"/>
    <w:rsid w:val="00FA5FE8"/>
    <w:rsid w:val="00FE5F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669A8"/>
  <w15:docId w15:val="{C5038D52-FA88-4F2C-AF9C-A4CB5140A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6878"/>
    <w:pPr>
      <w:spacing w:line="360" w:lineRule="auto"/>
      <w:jc w:val="both"/>
    </w:pPr>
    <w:rPr>
      <w:rFonts w:ascii="Times New Roman" w:hAnsi="Times New Roman"/>
      <w:sz w:val="24"/>
    </w:rPr>
  </w:style>
  <w:style w:type="paragraph" w:styleId="Heading1">
    <w:name w:val="heading 1"/>
    <w:basedOn w:val="Normal1"/>
    <w:next w:val="Normal1"/>
    <w:rsid w:val="004C3F47"/>
    <w:pPr>
      <w:spacing w:before="200" w:after="200" w:line="360" w:lineRule="auto"/>
      <w:jc w:val="both"/>
      <w:outlineLvl w:val="0"/>
    </w:pPr>
    <w:rPr>
      <w:rFonts w:ascii="Times New Roman" w:eastAsia="Times New Roman" w:hAnsi="Times New Roman" w:cs="Times New Roman"/>
      <w:b/>
      <w:sz w:val="24"/>
      <w:szCs w:val="24"/>
      <w:lang w:val="en-GB"/>
    </w:rPr>
  </w:style>
  <w:style w:type="paragraph" w:styleId="Heading2">
    <w:name w:val="heading 2"/>
    <w:basedOn w:val="Normal1"/>
    <w:next w:val="Normal1"/>
    <w:rsid w:val="004A0901"/>
    <w:pPr>
      <w:keepNext/>
      <w:keepLines/>
      <w:spacing w:before="360" w:after="120"/>
      <w:outlineLvl w:val="1"/>
    </w:pPr>
    <w:rPr>
      <w:sz w:val="32"/>
      <w:szCs w:val="32"/>
    </w:rPr>
  </w:style>
  <w:style w:type="paragraph" w:styleId="Heading3">
    <w:name w:val="heading 3"/>
    <w:basedOn w:val="Normal1"/>
    <w:next w:val="Normal1"/>
    <w:rsid w:val="004A0901"/>
    <w:pPr>
      <w:keepNext/>
      <w:keepLines/>
      <w:spacing w:before="320" w:after="80"/>
      <w:outlineLvl w:val="2"/>
    </w:pPr>
    <w:rPr>
      <w:color w:val="434343"/>
      <w:sz w:val="28"/>
      <w:szCs w:val="28"/>
    </w:rPr>
  </w:style>
  <w:style w:type="paragraph" w:styleId="Heading4">
    <w:name w:val="heading 4"/>
    <w:basedOn w:val="Normal1"/>
    <w:next w:val="Normal1"/>
    <w:rsid w:val="004A0901"/>
    <w:pPr>
      <w:keepNext/>
      <w:keepLines/>
      <w:spacing w:before="280" w:after="80"/>
      <w:outlineLvl w:val="3"/>
    </w:pPr>
    <w:rPr>
      <w:color w:val="666666"/>
      <w:sz w:val="24"/>
      <w:szCs w:val="24"/>
    </w:rPr>
  </w:style>
  <w:style w:type="paragraph" w:styleId="Heading5">
    <w:name w:val="heading 5"/>
    <w:basedOn w:val="Normal1"/>
    <w:next w:val="Normal1"/>
    <w:rsid w:val="004A0901"/>
    <w:pPr>
      <w:keepNext/>
      <w:keepLines/>
      <w:spacing w:before="240" w:after="80"/>
      <w:outlineLvl w:val="4"/>
    </w:pPr>
    <w:rPr>
      <w:color w:val="666666"/>
    </w:rPr>
  </w:style>
  <w:style w:type="paragraph" w:styleId="Heading6">
    <w:name w:val="heading 6"/>
    <w:basedOn w:val="Normal1"/>
    <w:next w:val="Normal1"/>
    <w:rsid w:val="004A090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4A0901"/>
    <w:tblPr>
      <w:tblCellMar>
        <w:top w:w="100" w:type="dxa"/>
        <w:left w:w="100" w:type="dxa"/>
        <w:bottom w:w="100" w:type="dxa"/>
        <w:right w:w="100" w:type="dxa"/>
      </w:tblCellMar>
    </w:tblPr>
  </w:style>
  <w:style w:type="paragraph" w:customStyle="1" w:styleId="Normal1">
    <w:name w:val="Normal1"/>
    <w:rsid w:val="004A0901"/>
  </w:style>
  <w:style w:type="paragraph" w:styleId="Title">
    <w:name w:val="Title"/>
    <w:basedOn w:val="Normal1"/>
    <w:next w:val="Normal1"/>
    <w:rsid w:val="004A0901"/>
    <w:pPr>
      <w:keepNext/>
      <w:keepLines/>
      <w:spacing w:after="60"/>
    </w:pPr>
    <w:rPr>
      <w:sz w:val="52"/>
      <w:szCs w:val="52"/>
    </w:rPr>
  </w:style>
  <w:style w:type="paragraph" w:styleId="Subtitle">
    <w:name w:val="Subtitle"/>
    <w:basedOn w:val="Normal1"/>
    <w:next w:val="Normal1"/>
    <w:rsid w:val="004A0901"/>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4C3F4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3F47"/>
    <w:rPr>
      <w:rFonts w:ascii="Tahoma" w:hAnsi="Tahoma" w:cs="Tahoma"/>
      <w:sz w:val="16"/>
      <w:szCs w:val="16"/>
    </w:rPr>
  </w:style>
  <w:style w:type="paragraph" w:styleId="Header">
    <w:name w:val="header"/>
    <w:basedOn w:val="Normal"/>
    <w:link w:val="HeaderChar"/>
    <w:uiPriority w:val="99"/>
    <w:semiHidden/>
    <w:unhideWhenUsed/>
    <w:rsid w:val="004C3F47"/>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4C3F47"/>
  </w:style>
  <w:style w:type="paragraph" w:styleId="Footer">
    <w:name w:val="footer"/>
    <w:basedOn w:val="Normal"/>
    <w:link w:val="FooterChar"/>
    <w:uiPriority w:val="99"/>
    <w:unhideWhenUsed/>
    <w:rsid w:val="004C3F47"/>
    <w:pPr>
      <w:tabs>
        <w:tab w:val="center" w:pos="4680"/>
        <w:tab w:val="right" w:pos="9360"/>
      </w:tabs>
      <w:spacing w:line="240" w:lineRule="auto"/>
    </w:pPr>
  </w:style>
  <w:style w:type="character" w:customStyle="1" w:styleId="FooterChar">
    <w:name w:val="Footer Char"/>
    <w:basedOn w:val="DefaultParagraphFont"/>
    <w:link w:val="Footer"/>
    <w:uiPriority w:val="99"/>
    <w:rsid w:val="004C3F47"/>
  </w:style>
  <w:style w:type="paragraph" w:styleId="TOCHeading">
    <w:name w:val="TOC Heading"/>
    <w:basedOn w:val="Heading1"/>
    <w:next w:val="Normal"/>
    <w:uiPriority w:val="39"/>
    <w:semiHidden/>
    <w:unhideWhenUsed/>
    <w:qFormat/>
    <w:rsid w:val="00E76A98"/>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E76A98"/>
    <w:pPr>
      <w:spacing w:after="100"/>
    </w:pPr>
  </w:style>
  <w:style w:type="character" w:styleId="Hyperlink">
    <w:name w:val="Hyperlink"/>
    <w:basedOn w:val="DefaultParagraphFont"/>
    <w:uiPriority w:val="99"/>
    <w:unhideWhenUsed/>
    <w:rsid w:val="00E76A9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x.doi.org/10.24093/awej/vol14no2.17" TargetMode="External"/><Relationship Id="rId18" Type="http://schemas.openxmlformats.org/officeDocument/2006/relationships/hyperlink" Target="https://doi.org/10.62345/jads.2023.12.4.73"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doi.org/10.1108/ET-12-2020-0367" TargetMode="External"/><Relationship Id="rId7" Type="http://schemas.openxmlformats.org/officeDocument/2006/relationships/image" Target="media/image1.png"/><Relationship Id="rId12" Type="http://schemas.openxmlformats.org/officeDocument/2006/relationships/hyperlink" Target="https://doi.org/10.1016/j.techfore.2024.123301" TargetMode="External"/><Relationship Id="rId17" Type="http://schemas.openxmlformats.org/officeDocument/2006/relationships/hyperlink" Target="https://www.researchgate.net/profile/Mohammed-Jawad-Kadhim-2/publication/382641453_Digital_Literacy_and_Its_Importance_in_the_Modern_Workforce/links/66a7620ec6e41359a846a810/Digital-Literacy-and-Its-Importance-in-the-Modern-Workforce.pdf" TargetMode="External"/><Relationship Id="rId25" Type="http://schemas.openxmlformats.org/officeDocument/2006/relationships/hyperlink" Target="https://doi.org/10.1057/s41599-023-01508-1" TargetMode="External"/><Relationship Id="rId2" Type="http://schemas.openxmlformats.org/officeDocument/2006/relationships/styles" Target="styles.xml"/><Relationship Id="rId16" Type="http://schemas.openxmlformats.org/officeDocument/2006/relationships/hyperlink" Target="https://www.researchgate.net/profile/Mohammed-Jawad-Kadhim-2/publication/382641453_Digital_Literacy_and_Its_Importance_in_the_Modern_Workforce/links/66a7620ec6e41359a846a810/Digital-Literacy-and-Its-Importance-in-the-Modern-Workforce.pdf" TargetMode="External"/><Relationship Id="rId20" Type="http://schemas.openxmlformats.org/officeDocument/2006/relationships/hyperlink" Target="https://doi.org/10.17673/vsgtu-pps.2022.4.9"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30574/ijsra.2022.5.2.0083" TargetMode="External"/><Relationship Id="rId24" Type="http://schemas.openxmlformats.org/officeDocument/2006/relationships/hyperlink" Target="https://doi.org/10.1057/s41599-023-01508-1" TargetMode="External"/><Relationship Id="rId5" Type="http://schemas.openxmlformats.org/officeDocument/2006/relationships/footnotes" Target="footnotes.xml"/><Relationship Id="rId15" Type="http://schemas.openxmlformats.org/officeDocument/2006/relationships/hyperlink" Target="https://doi.org/10.1016/j.resourpol.2024.104856" TargetMode="External"/><Relationship Id="rId23" Type="http://schemas.openxmlformats.org/officeDocument/2006/relationships/hyperlink" Target="https://doi.org/10.30574/msarr.2024.10.1.0032" TargetMode="External"/><Relationship Id="rId28" Type="http://schemas.openxmlformats.org/officeDocument/2006/relationships/theme" Target="theme/theme1.xml"/><Relationship Id="rId10" Type="http://schemas.openxmlformats.org/officeDocument/2006/relationships/hyperlink" Target="https://pmc.ncbi.nlm.nih.gov/articles/PMC9309162/pdf/JAMP-10-135.pdf" TargetMode="External"/><Relationship Id="rId19" Type="http://schemas.openxmlformats.org/officeDocument/2006/relationships/hyperlink" Target="https://doi.org/10.17673/vsgtu-pps.2022.4.9" TargetMode="External"/><Relationship Id="rId4" Type="http://schemas.openxmlformats.org/officeDocument/2006/relationships/webSettings" Target="webSettings.xml"/><Relationship Id="rId9" Type="http://schemas.openxmlformats.org/officeDocument/2006/relationships/hyperlink" Target="https://pmc.ncbi.nlm.nih.gov/articles/PMC9309162/pdf/JAMP-10-135.pdf" TargetMode="External"/><Relationship Id="rId14" Type="http://schemas.openxmlformats.org/officeDocument/2006/relationships/hyperlink" Target="https://dx.doi.org/10.24093/awej/vol14no2.17" TargetMode="External"/><Relationship Id="rId22" Type="http://schemas.openxmlformats.org/officeDocument/2006/relationships/hyperlink" Target="https://doi.org/10.1108/ET-12-2020-0367" TargetMode="External"/><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5DA9A536-2F94-44CD-9BA2-52B32A7A8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3652</Words>
  <Characters>20821</Characters>
  <Application>Microsoft Office Word</Application>
  <DocSecurity>0</DocSecurity>
  <Lines>173</Lines>
  <Paragraphs>48</Paragraphs>
  <ScaleCrop>false</ScaleCrop>
  <Company/>
  <LinksUpToDate>false</LinksUpToDate>
  <CharactersWithSpaces>24425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ANUJ</dc:creator>
  <cp:lastModifiedBy>PREMIUM</cp:lastModifiedBy>
  <cp:revision>2</cp:revision>
  <dcterms:created xsi:type="dcterms:W3CDTF">2025-11-11T17:15:00Z</dcterms:created>
  <dcterms:modified xsi:type="dcterms:W3CDTF">2025-11-11T17:15:00Z</dcterms:modified>
</cp:coreProperties>
</file>