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073194" w:rsidRDefault="00B037A5">
      <w:pPr>
        <w:pStyle w:val="Heading3"/>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00000002" w14:textId="0F7A5E80" w:rsidR="00073194" w:rsidRDefault="00B037A5">
      <w:pPr>
        <w:pStyle w:val="Heading3"/>
        <w:rPr>
          <w:rFonts w:ascii="Times New Roman" w:eastAsia="Times New Roman" w:hAnsi="Times New Roman" w:cs="Times New Roman"/>
          <w:sz w:val="24"/>
          <w:szCs w:val="24"/>
        </w:rPr>
      </w:pPr>
      <w:r>
        <w:rPr>
          <w:rFonts w:ascii="Times New Roman" w:eastAsia="Times New Roman" w:hAnsi="Times New Roman" w:cs="Times New Roman"/>
          <w:sz w:val="24"/>
          <w:szCs w:val="24"/>
        </w:rPr>
        <w:t>The Swansea Sport and Health Team benefits from a robust infrastructure and strategic partnerships that enhance its sports development initiatives. It offers a diverse range of sporting amenities</w:t>
      </w:r>
      <w:r w:rsidR="00BB443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making it a key centre for various sports. However, whilst this increases reach and enhances inclusivity, there is a risk of resources being overstretched, which could lead to the </w:t>
      </w:r>
      <w:proofErr w:type="spellStart"/>
      <w:r>
        <w:rPr>
          <w:rFonts w:ascii="Times New Roman" w:eastAsia="Times New Roman" w:hAnsi="Times New Roman" w:cs="Times New Roman"/>
          <w:sz w:val="24"/>
          <w:szCs w:val="24"/>
        </w:rPr>
        <w:t>prioritisation</w:t>
      </w:r>
      <w:proofErr w:type="spellEnd"/>
      <w:r>
        <w:rPr>
          <w:rFonts w:ascii="Times New Roman" w:eastAsia="Times New Roman" w:hAnsi="Times New Roman" w:cs="Times New Roman"/>
          <w:sz w:val="24"/>
          <w:szCs w:val="24"/>
        </w:rPr>
        <w:t xml:space="preserve"> of certain areas to the detriment of others. Research suggests that the expansion of professional infrastructure and policy demands on grassroots sports organisations can strain limited local resources, reducing their capacity to act effectively (Misener et al., 2013).</w:t>
      </w:r>
      <w:r w:rsidR="00BB443F">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Furthermore, the fragility of partnerships, due to staffing turnover and shifting policy contexts, can undermine the long-term sustainability of such initiatives (</w:t>
      </w:r>
      <w:proofErr w:type="spellStart"/>
      <w:r>
        <w:rPr>
          <w:rFonts w:ascii="Times New Roman" w:eastAsia="Times New Roman" w:hAnsi="Times New Roman" w:cs="Times New Roman"/>
          <w:sz w:val="24"/>
          <w:szCs w:val="24"/>
        </w:rPr>
        <w:t>Phillpots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Grix</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Quarmby</w:t>
      </w:r>
      <w:proofErr w:type="spellEnd"/>
      <w:r>
        <w:rPr>
          <w:rFonts w:ascii="Times New Roman" w:eastAsia="Times New Roman" w:hAnsi="Times New Roman" w:cs="Times New Roman"/>
          <w:sz w:val="24"/>
          <w:szCs w:val="24"/>
        </w:rPr>
        <w:t xml:space="preserve">, 2011). </w:t>
      </w:r>
    </w:p>
    <w:p w14:paraId="00000003" w14:textId="77777777" w:rsidR="00073194" w:rsidRDefault="00B037A5">
      <w:pPr>
        <w:pStyle w:val="Heading3"/>
        <w:rPr>
          <w:rFonts w:ascii="Times New Roman" w:eastAsia="Times New Roman" w:hAnsi="Times New Roman" w:cs="Times New Roman"/>
          <w:sz w:val="24"/>
          <w:szCs w:val="24"/>
        </w:rPr>
      </w:pPr>
      <w:r>
        <w:rPr>
          <w:rFonts w:ascii="Times New Roman" w:eastAsia="Times New Roman" w:hAnsi="Times New Roman" w:cs="Times New Roman"/>
          <w:sz w:val="24"/>
          <w:szCs w:val="24"/>
        </w:rPr>
        <w:t>Partnerships with local clubs such as Swansea Harriers Athletics Club and Swansea University Rowing Club bolster grassroots and elite development (Swansea University, 2020). However, dependency on the university and local clubs may limit autonomy in decision making and responsiveness to external opportunities. Research indicates that such partnerships can impose structural constraints, with local agencies sometimes being required to conform to externally defined governance arrangements, potentially limiting their autonomy (</w:t>
      </w:r>
      <w:proofErr w:type="spellStart"/>
      <w:r>
        <w:rPr>
          <w:rFonts w:ascii="Times New Roman" w:eastAsia="Times New Roman" w:hAnsi="Times New Roman" w:cs="Times New Roman"/>
          <w:sz w:val="24"/>
          <w:szCs w:val="24"/>
        </w:rPr>
        <w:t>Phillpots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Grix</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Quarmby</w:t>
      </w:r>
      <w:proofErr w:type="spellEnd"/>
      <w:r>
        <w:rPr>
          <w:rFonts w:ascii="Times New Roman" w:eastAsia="Times New Roman" w:hAnsi="Times New Roman" w:cs="Times New Roman"/>
          <w:sz w:val="24"/>
          <w:szCs w:val="24"/>
        </w:rPr>
        <w:t xml:space="preserve">, 2011). Additionally, the reliance on specific partnerships can create fragility in sports development initiatives, as changes in the partnership dynamics or external environment may disrupt established structures (Mackintosh, 2011). </w:t>
      </w:r>
    </w:p>
    <w:p w14:paraId="00000004" w14:textId="08810013" w:rsidR="00073194" w:rsidRDefault="00B037A5">
      <w:pPr>
        <w:pStyle w:val="Heading3"/>
        <w:rPr>
          <w:rFonts w:ascii="Times New Roman" w:eastAsia="Times New Roman" w:hAnsi="Times New Roman" w:cs="Times New Roman"/>
          <w:sz w:val="24"/>
          <w:szCs w:val="24"/>
        </w:rPr>
      </w:pPr>
      <w:r>
        <w:rPr>
          <w:rFonts w:ascii="Times New Roman" w:eastAsia="Times New Roman" w:hAnsi="Times New Roman" w:cs="Times New Roman"/>
          <w:sz w:val="24"/>
          <w:szCs w:val="24"/>
        </w:rPr>
        <w:t>Integration with Swansea University’s sports science expertise and events such as Welsh Varsity generate</w:t>
      </w:r>
      <w:r w:rsidR="00BB443F">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significant community invol</w:t>
      </w:r>
      <w:r w:rsidR="00BB443F">
        <w:rPr>
          <w:rFonts w:ascii="Times New Roman" w:eastAsia="Times New Roman" w:hAnsi="Times New Roman" w:cs="Times New Roman"/>
          <w:sz w:val="24"/>
          <w:szCs w:val="24"/>
        </w:rPr>
        <w:t>ve</w:t>
      </w:r>
      <w:r>
        <w:rPr>
          <w:rFonts w:ascii="Times New Roman" w:eastAsia="Times New Roman" w:hAnsi="Times New Roman" w:cs="Times New Roman"/>
          <w:sz w:val="24"/>
          <w:szCs w:val="24"/>
        </w:rPr>
        <w:t>ment and reinforce</w:t>
      </w:r>
      <w:r w:rsidR="00BB443F">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a strong university sporting identity</w:t>
      </w:r>
      <w:r w:rsidR="00BB443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enhances the credibility of the team. However, managing to retain a highly talented team can prove challenging if professional development pathways or salaries cannot compete with external organisations. For example, research indicates that inadequate compensation and limited career advancement opportunities are significant factors contributing to high turnover rates in the sports industry. For instance, a study by Gale et al. (2019) found that community sport coaches, often employed under insecure and low-paid conditions, reported withdrawing from the profession due to financial instability and lack of career progression.</w:t>
      </w:r>
    </w:p>
    <w:p w14:paraId="00000005" w14:textId="77777777" w:rsidR="00073194" w:rsidRDefault="00073194">
      <w:pPr>
        <w:pStyle w:val="Heading3"/>
        <w:rPr>
          <w:rFonts w:ascii="Times New Roman" w:eastAsia="Times New Roman" w:hAnsi="Times New Roman" w:cs="Times New Roman"/>
          <w:sz w:val="24"/>
          <w:szCs w:val="24"/>
        </w:rPr>
      </w:pPr>
    </w:p>
    <w:p w14:paraId="00000006" w14:textId="77777777" w:rsidR="00073194" w:rsidRDefault="00073194">
      <w:pPr>
        <w:pStyle w:val="Heading3"/>
        <w:rPr>
          <w:rFonts w:ascii="Times New Roman" w:eastAsia="Times New Roman" w:hAnsi="Times New Roman" w:cs="Times New Roman"/>
          <w:sz w:val="24"/>
          <w:szCs w:val="24"/>
        </w:rPr>
      </w:pPr>
    </w:p>
    <w:p w14:paraId="49515DAB" w14:textId="77777777" w:rsidR="00BB443F" w:rsidRDefault="00BB443F">
      <w:pPr>
        <w:pStyle w:val="Heading3"/>
        <w:rPr>
          <w:rFonts w:ascii="Times New Roman" w:eastAsia="Times New Roman" w:hAnsi="Times New Roman" w:cs="Times New Roman"/>
          <w:b/>
          <w:sz w:val="24"/>
          <w:szCs w:val="24"/>
        </w:rPr>
      </w:pPr>
    </w:p>
    <w:p w14:paraId="323CB998" w14:textId="77777777" w:rsidR="00BB443F" w:rsidRDefault="00BB443F">
      <w:pPr>
        <w:pStyle w:val="Heading3"/>
        <w:rPr>
          <w:rFonts w:ascii="Times New Roman" w:eastAsia="Times New Roman" w:hAnsi="Times New Roman" w:cs="Times New Roman"/>
          <w:b/>
          <w:sz w:val="24"/>
          <w:szCs w:val="24"/>
        </w:rPr>
      </w:pPr>
    </w:p>
    <w:p w14:paraId="0CA7A074" w14:textId="77777777" w:rsidR="00BB443F" w:rsidRDefault="00BB443F">
      <w:pPr>
        <w:pStyle w:val="Heading3"/>
        <w:rPr>
          <w:rFonts w:ascii="Times New Roman" w:eastAsia="Times New Roman" w:hAnsi="Times New Roman" w:cs="Times New Roman"/>
          <w:b/>
          <w:sz w:val="24"/>
          <w:szCs w:val="24"/>
        </w:rPr>
      </w:pPr>
    </w:p>
    <w:p w14:paraId="7F2026B8" w14:textId="77777777" w:rsidR="00BB443F" w:rsidRDefault="00BB443F">
      <w:pPr>
        <w:pStyle w:val="Heading3"/>
        <w:rPr>
          <w:rFonts w:ascii="Times New Roman" w:eastAsia="Times New Roman" w:hAnsi="Times New Roman" w:cs="Times New Roman"/>
          <w:b/>
          <w:sz w:val="24"/>
          <w:szCs w:val="24"/>
        </w:rPr>
      </w:pPr>
    </w:p>
    <w:p w14:paraId="00000007" w14:textId="15C3444E" w:rsidR="00073194" w:rsidRDefault="00B037A5">
      <w:pPr>
        <w:pStyle w:val="Heading3"/>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00000008" w14:textId="695329CC" w:rsidR="00073194" w:rsidRDefault="00B037A5">
      <w:pPr>
        <w:pStyle w:val="Heading3"/>
        <w:rPr>
          <w:rFonts w:ascii="Times New Roman" w:eastAsia="Times New Roman" w:hAnsi="Times New Roman" w:cs="Times New Roman"/>
          <w:b/>
          <w:sz w:val="24"/>
          <w:szCs w:val="24"/>
        </w:rPr>
      </w:pPr>
      <w:r>
        <w:rPr>
          <w:rFonts w:ascii="Times New Roman" w:eastAsia="Times New Roman" w:hAnsi="Times New Roman" w:cs="Times New Roman"/>
          <w:sz w:val="24"/>
          <w:szCs w:val="24"/>
        </w:rPr>
        <w:t>Despite the above strengths, the Swansea Sport and Health Team faces challenges that may undermine its objectives. A major weakness is the limited access to some sport-specific infrastructure. For instance, the Swansea University Rowing Club continues to face restrictions due to redevelopment along the River Tawe, which limits training capacity and hinders club expansion (Swansea University, 2020). To overcome this, the team could develop alternative training sites by collaborating with nearby rowing clubs or universities, ensuring continued athlete access to water-based training. Investment in off-water facilities, such as rowing simulators and strength and conditioning equipment, would further support athlete development during periods of restricted access</w:t>
      </w:r>
      <w:r>
        <w:rPr>
          <w:rFonts w:ascii="Times New Roman" w:eastAsia="Times New Roman" w:hAnsi="Times New Roman" w:cs="Times New Roman"/>
          <w:b/>
          <w:sz w:val="24"/>
          <w:szCs w:val="24"/>
        </w:rPr>
        <w:t>.</w:t>
      </w:r>
    </w:p>
    <w:p w14:paraId="00000009" w14:textId="4DDD7575" w:rsidR="00073194" w:rsidRDefault="00B037A5">
      <w:pPr>
        <w:pStyle w:val="Heading3"/>
        <w:spacing w:line="276" w:lineRule="auto"/>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Another challenge is the underutilisation of some high-quality facilities. For example, competing demands, maintenance, and limited community awareness may restrict its full potential (Swansea Bay Sports Park, </w:t>
      </w:r>
      <w:r w:rsidR="00BB443F">
        <w:rPr>
          <w:rFonts w:ascii="Times New Roman" w:eastAsia="Times New Roman" w:hAnsi="Times New Roman" w:cs="Times New Roman"/>
          <w:bCs/>
          <w:sz w:val="24"/>
          <w:szCs w:val="24"/>
        </w:rPr>
        <w:t>2025</w:t>
      </w:r>
      <w:r>
        <w:rPr>
          <w:rFonts w:ascii="Times New Roman" w:eastAsia="Times New Roman" w:hAnsi="Times New Roman" w:cs="Times New Roman"/>
          <w:sz w:val="24"/>
          <w:szCs w:val="24"/>
        </w:rPr>
        <w:t>). To optimise facility usage and enhance community engagement, several strategies can be implemented such as flexible pricing strategies, income diversification and enhanced community engagement.</w:t>
      </w:r>
    </w:p>
    <w:p w14:paraId="0000000A" w14:textId="43EFDF72" w:rsidR="00073194" w:rsidRDefault="00B037A5">
      <w:pPr>
        <w:pStyle w:val="Heading3"/>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Additionally, integration between community sport initiatives and performance pathways could be improved. There is a risk that talent may be lost due to a lack of progression routes from grassroots to elite performance, particularly for individuals outside the university system (Swansea Council, 2023a). This points to a need for better cross-sectoral coordination with schools, clubs, and national governing bodies.</w:t>
      </w:r>
      <w:r>
        <w:rPr>
          <w:rFonts w:ascii="Times New Roman" w:eastAsia="Times New Roman" w:hAnsi="Times New Roman" w:cs="Times New Roman"/>
          <w:b/>
          <w:sz w:val="24"/>
          <w:szCs w:val="24"/>
        </w:rPr>
        <w:t xml:space="preserve"> </w:t>
      </w:r>
    </w:p>
    <w:p w14:paraId="0000000B" w14:textId="2BC914C5" w:rsidR="00073194" w:rsidRDefault="00B037A5">
      <w:pPr>
        <w:pStyle w:val="Heading3"/>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Moreover, reliance on university structures may limit flexibility, especially in rapidly adapting to trends or community needs. Bureaucracy can hinder decision-making and slow down program innovation compared to independent sport bodies or private academies (Sport Wales, 2022). </w:t>
      </w:r>
      <w:r w:rsidRPr="00BB443F">
        <w:rPr>
          <w:rFonts w:ascii="Times New Roman" w:eastAsia="Times New Roman" w:hAnsi="Times New Roman" w:cs="Times New Roman"/>
          <w:iCs/>
          <w:sz w:val="24"/>
          <w:szCs w:val="24"/>
        </w:rPr>
        <w:t xml:space="preserve">Research by Shattock (2019) indicates that the increasing managerialism and bureaucratisation within universities have led to a centralisation of decision-making, reducing the autonomy of academic and sports departments, resulting in slower response times to community </w:t>
      </w:r>
      <w:r w:rsidR="00BB443F" w:rsidRPr="00BB443F">
        <w:rPr>
          <w:rFonts w:ascii="Times New Roman" w:eastAsia="Times New Roman" w:hAnsi="Times New Roman" w:cs="Times New Roman"/>
          <w:iCs/>
          <w:sz w:val="24"/>
          <w:szCs w:val="24"/>
        </w:rPr>
        <w:t>demands</w:t>
      </w:r>
      <w:r w:rsidRPr="00BB443F">
        <w:rPr>
          <w:rFonts w:ascii="Times New Roman" w:eastAsia="Times New Roman" w:hAnsi="Times New Roman" w:cs="Times New Roman"/>
          <w:i/>
          <w:sz w:val="24"/>
          <w:szCs w:val="24"/>
        </w:rPr>
        <w:t>.</w:t>
      </w:r>
      <w:r w:rsidRPr="00BB443F">
        <w:rPr>
          <w:rFonts w:ascii="Times New Roman" w:eastAsia="Times New Roman" w:hAnsi="Times New Roman" w:cs="Times New Roman"/>
          <w:sz w:val="24"/>
          <w:szCs w:val="24"/>
        </w:rPr>
        <w:t xml:space="preserve"> </w:t>
      </w:r>
    </w:p>
    <w:p w14:paraId="0000000C" w14:textId="77777777" w:rsidR="00073194" w:rsidRDefault="00073194">
      <w:pPr>
        <w:pStyle w:val="Heading3"/>
        <w:rPr>
          <w:rFonts w:ascii="Times New Roman" w:eastAsia="Times New Roman" w:hAnsi="Times New Roman" w:cs="Times New Roman"/>
          <w:sz w:val="24"/>
          <w:szCs w:val="24"/>
        </w:rPr>
      </w:pPr>
    </w:p>
    <w:p w14:paraId="0000000D" w14:textId="77777777" w:rsidR="00073194" w:rsidRDefault="00073194">
      <w:pPr>
        <w:pStyle w:val="Heading3"/>
        <w:rPr>
          <w:rFonts w:ascii="Times New Roman" w:eastAsia="Times New Roman" w:hAnsi="Times New Roman" w:cs="Times New Roman"/>
          <w:sz w:val="24"/>
          <w:szCs w:val="24"/>
        </w:rPr>
      </w:pPr>
    </w:p>
    <w:p w14:paraId="24C7E2E7" w14:textId="77777777" w:rsidR="00BB443F" w:rsidRDefault="00BB443F">
      <w:pPr>
        <w:pStyle w:val="Heading3"/>
        <w:rPr>
          <w:rFonts w:ascii="Times New Roman" w:eastAsia="Times New Roman" w:hAnsi="Times New Roman" w:cs="Times New Roman"/>
          <w:b/>
          <w:sz w:val="24"/>
          <w:szCs w:val="24"/>
        </w:rPr>
      </w:pPr>
    </w:p>
    <w:p w14:paraId="15922B89" w14:textId="77777777" w:rsidR="00BB443F" w:rsidRDefault="00BB443F">
      <w:pPr>
        <w:pStyle w:val="Heading3"/>
        <w:rPr>
          <w:rFonts w:ascii="Times New Roman" w:eastAsia="Times New Roman" w:hAnsi="Times New Roman" w:cs="Times New Roman"/>
          <w:b/>
          <w:sz w:val="24"/>
          <w:szCs w:val="24"/>
        </w:rPr>
      </w:pPr>
    </w:p>
    <w:p w14:paraId="52DDBB06" w14:textId="77777777" w:rsidR="00BB443F" w:rsidRDefault="00BB443F">
      <w:pPr>
        <w:pStyle w:val="Heading3"/>
        <w:rPr>
          <w:rFonts w:ascii="Times New Roman" w:eastAsia="Times New Roman" w:hAnsi="Times New Roman" w:cs="Times New Roman"/>
          <w:b/>
          <w:sz w:val="24"/>
          <w:szCs w:val="24"/>
        </w:rPr>
      </w:pPr>
    </w:p>
    <w:p w14:paraId="43C40CB1" w14:textId="77777777" w:rsidR="00BB443F" w:rsidRDefault="00BB443F">
      <w:pPr>
        <w:pStyle w:val="Heading3"/>
        <w:rPr>
          <w:rFonts w:ascii="Times New Roman" w:eastAsia="Times New Roman" w:hAnsi="Times New Roman" w:cs="Times New Roman"/>
          <w:b/>
          <w:sz w:val="24"/>
          <w:szCs w:val="24"/>
        </w:rPr>
      </w:pPr>
    </w:p>
    <w:p w14:paraId="37B13402" w14:textId="77777777" w:rsidR="00BB443F" w:rsidRDefault="00BB443F">
      <w:pPr>
        <w:pStyle w:val="Heading3"/>
        <w:rPr>
          <w:rFonts w:ascii="Times New Roman" w:eastAsia="Times New Roman" w:hAnsi="Times New Roman" w:cs="Times New Roman"/>
          <w:b/>
          <w:sz w:val="24"/>
          <w:szCs w:val="24"/>
        </w:rPr>
      </w:pPr>
    </w:p>
    <w:p w14:paraId="3A97BF6B" w14:textId="77777777" w:rsidR="00BB443F" w:rsidRDefault="00BB443F">
      <w:pPr>
        <w:pStyle w:val="Heading3"/>
        <w:rPr>
          <w:rFonts w:ascii="Times New Roman" w:eastAsia="Times New Roman" w:hAnsi="Times New Roman" w:cs="Times New Roman"/>
          <w:b/>
          <w:sz w:val="24"/>
          <w:szCs w:val="24"/>
        </w:rPr>
      </w:pPr>
    </w:p>
    <w:p w14:paraId="0000000E" w14:textId="242500AD" w:rsidR="00073194" w:rsidRDefault="00B037A5">
      <w:pPr>
        <w:pStyle w:val="Heading3"/>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0000000F" w14:textId="4D274D34" w:rsidR="00073194" w:rsidRDefault="00B037A5">
      <w:pPr>
        <w:pStyle w:val="Heading3"/>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Swansea Sport and Health Team has strong potential for future development. One major opportunity lies in expanding outreach through local schools, promoting participation in sport and physical activity from an early age, </w:t>
      </w:r>
      <w:r w:rsidRPr="00BB443F">
        <w:rPr>
          <w:rFonts w:ascii="Times New Roman" w:eastAsia="Times New Roman" w:hAnsi="Times New Roman" w:cs="Times New Roman"/>
          <w:iCs/>
          <w:sz w:val="24"/>
          <w:szCs w:val="24"/>
        </w:rPr>
        <w:t>particularly in areas of deprivation (</w:t>
      </w:r>
      <w:r>
        <w:rPr>
          <w:rFonts w:ascii="Times New Roman" w:eastAsia="Times New Roman" w:hAnsi="Times New Roman" w:cs="Times New Roman"/>
          <w:sz w:val="24"/>
          <w:szCs w:val="24"/>
        </w:rPr>
        <w:t>Swansea Council, 2023b)</w:t>
      </w:r>
      <w:r>
        <w:rPr>
          <w:rFonts w:ascii="Times New Roman" w:eastAsia="Times New Roman" w:hAnsi="Times New Roman" w:cs="Times New Roman"/>
          <w:color w:val="FF0000"/>
          <w:sz w:val="24"/>
          <w:szCs w:val="24"/>
        </w:rPr>
        <w:t>.</w:t>
      </w:r>
      <w:r>
        <w:rPr>
          <w:rFonts w:ascii="Times New Roman" w:eastAsia="Times New Roman" w:hAnsi="Times New Roman" w:cs="Times New Roman"/>
          <w:sz w:val="24"/>
          <w:szCs w:val="24"/>
        </w:rPr>
        <w:t xml:space="preserve"> </w:t>
      </w:r>
      <w:r w:rsidR="00BB443F">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study by the Youth Sport Trust and the University of Manchester found that in areas of high deprivation, promoting physical education through schools, while addressing barriers such as peer pressure and gender stereotypes, can significantly enhance engagement. Key recommendations included improving staff confidence, listening to pupil voice, and allocating sufficient resources to PE and school sport (Youth Sport Trust, 2022).</w:t>
      </w:r>
    </w:p>
    <w:p w14:paraId="00000010" w14:textId="77777777" w:rsidR="00073194" w:rsidRDefault="00B037A5">
      <w:pPr>
        <w:pStyle w:val="Heading3"/>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transformation also presents new pathways. The integration of virtual classes, fitness apps, and hybrid event formats could attract wider demographics, including those with access barriers or differing schedules (Swansea Bay University Health Board, 2023). A study by Hossain (2024) highlights that online classes offer students the ability to balance education with personal obligations such as employment and caregiving. This flexibility promotes a harmonious equilibrium in their lives, making education more accessible to a broader demographic.</w:t>
      </w:r>
    </w:p>
    <w:p w14:paraId="00000011" w14:textId="77777777" w:rsidR="00073194" w:rsidRDefault="00B037A5">
      <w:pPr>
        <w:pStyle w:val="Heading3"/>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emerging partnerships with national sports innovation networks, such as The National Network for Innovation in Sport &amp; Health (NNIISH), can enable the adoption of new technologies, sports science research, and data analytics (Swansea University, 2024a). These partnerships not only enhance athlete development but also elevate the team’s role in national sport performance strategies.</w:t>
      </w:r>
    </w:p>
    <w:p w14:paraId="00000012" w14:textId="7496DC76" w:rsidR="00073194" w:rsidRDefault="00B037A5">
      <w:pPr>
        <w:pStyle w:val="Heading3"/>
        <w:spacing w:before="30" w:after="3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also potential to increase engagement with underrepresented groups</w:t>
      </w:r>
      <w:r w:rsidR="00BB443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Tailored programming and inclusive marketing strategies would support Swansea’s contribution to equity in sport as evidenced by research highlighting the importance of inclusive strategies in widening participation across diverse groups (Sport England, 2023).</w:t>
      </w:r>
    </w:p>
    <w:p w14:paraId="00000013" w14:textId="77777777" w:rsidR="00073194" w:rsidRDefault="00073194">
      <w:pPr>
        <w:pStyle w:val="Heading3"/>
        <w:spacing w:line="360" w:lineRule="auto"/>
        <w:rPr>
          <w:rFonts w:ascii="Times New Roman" w:eastAsia="Times New Roman" w:hAnsi="Times New Roman" w:cs="Times New Roman"/>
          <w:sz w:val="24"/>
          <w:szCs w:val="24"/>
        </w:rPr>
      </w:pPr>
    </w:p>
    <w:p w14:paraId="6EE3D115" w14:textId="77777777" w:rsidR="00BB443F" w:rsidRDefault="00BB443F">
      <w:pPr>
        <w:pStyle w:val="Heading3"/>
        <w:spacing w:line="360" w:lineRule="auto"/>
        <w:rPr>
          <w:rFonts w:ascii="Times New Roman" w:eastAsia="Times New Roman" w:hAnsi="Times New Roman" w:cs="Times New Roman"/>
          <w:b/>
          <w:sz w:val="24"/>
          <w:szCs w:val="24"/>
        </w:rPr>
      </w:pPr>
    </w:p>
    <w:p w14:paraId="0441A353" w14:textId="77777777" w:rsidR="00BB443F" w:rsidRDefault="00BB443F">
      <w:pPr>
        <w:pStyle w:val="Heading3"/>
        <w:spacing w:line="360" w:lineRule="auto"/>
        <w:rPr>
          <w:rFonts w:ascii="Times New Roman" w:eastAsia="Times New Roman" w:hAnsi="Times New Roman" w:cs="Times New Roman"/>
          <w:b/>
          <w:sz w:val="24"/>
          <w:szCs w:val="24"/>
        </w:rPr>
      </w:pPr>
    </w:p>
    <w:p w14:paraId="00000014" w14:textId="37954B5B" w:rsidR="00073194" w:rsidRDefault="00B037A5">
      <w:pPr>
        <w:pStyle w:val="Heading3"/>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00000015" w14:textId="10F6FFC2" w:rsidR="00073194" w:rsidRDefault="00B037A5">
      <w:pPr>
        <w:pStyle w:val="Heading3"/>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must navigate several external threats. One significant risk is reduced public funding for sport and health programs due to economic austerity and shifting government priorities (Sport Wales, 2022). Budget reductions can impact facility maintenance, staff levels, and program continuity</w:t>
      </w:r>
      <w:r>
        <w:rPr>
          <w:rFonts w:ascii="Times New Roman" w:eastAsia="Times New Roman" w:hAnsi="Times New Roman" w:cs="Times New Roman"/>
          <w:color w:val="FF0000"/>
          <w:sz w:val="24"/>
          <w:szCs w:val="24"/>
        </w:rPr>
        <w:t>.</w:t>
      </w:r>
      <w:r>
        <w:rPr>
          <w:rFonts w:ascii="Times New Roman" w:eastAsia="Times New Roman" w:hAnsi="Times New Roman" w:cs="Times New Roman"/>
          <w:sz w:val="24"/>
          <w:szCs w:val="24"/>
        </w:rPr>
        <w:t xml:space="preserve"> One approach </w:t>
      </w:r>
      <w:r>
        <w:rPr>
          <w:rFonts w:ascii="Times New Roman" w:eastAsia="Times New Roman" w:hAnsi="Times New Roman" w:cs="Times New Roman"/>
          <w:i/>
          <w:sz w:val="24"/>
          <w:szCs w:val="24"/>
        </w:rPr>
        <w:t>to overcoming this is to implement</w:t>
      </w:r>
      <w:r>
        <w:rPr>
          <w:rFonts w:ascii="Times New Roman" w:eastAsia="Times New Roman" w:hAnsi="Times New Roman" w:cs="Times New Roman"/>
          <w:sz w:val="24"/>
          <w:szCs w:val="24"/>
        </w:rPr>
        <w:t xml:space="preserve"> flexible pricing strategies, such as tiered pricing, which can make services more accessible to diverse income groups while maintaining financial viability. This approach has been identified as effective in sustaining community sport facilities during periods of fiscal constraint (Parnell et al., 2018).</w:t>
      </w:r>
    </w:p>
    <w:p w14:paraId="00000016" w14:textId="77777777" w:rsidR="00073194" w:rsidRDefault="00073194">
      <w:pPr>
        <w:spacing w:line="360" w:lineRule="auto"/>
        <w:rPr>
          <w:rFonts w:ascii="Times New Roman" w:eastAsia="Times New Roman" w:hAnsi="Times New Roman" w:cs="Times New Roman"/>
        </w:rPr>
      </w:pPr>
    </w:p>
    <w:p w14:paraId="00000017" w14:textId="49EEADEB" w:rsidR="00073194" w:rsidRDefault="00B037A5">
      <w:pPr>
        <w:pStyle w:val="Heading3"/>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BB443F">
        <w:rPr>
          <w:rFonts w:ascii="Times New Roman" w:eastAsia="Times New Roman" w:hAnsi="Times New Roman" w:cs="Times New Roman"/>
          <w:sz w:val="24"/>
          <w:szCs w:val="24"/>
        </w:rPr>
        <w:t>Research shows a</w:t>
      </w:r>
      <w:r>
        <w:rPr>
          <w:rFonts w:ascii="Times New Roman" w:eastAsia="Times New Roman" w:hAnsi="Times New Roman" w:cs="Times New Roman"/>
          <w:sz w:val="24"/>
          <w:szCs w:val="24"/>
        </w:rPr>
        <w:t xml:space="preserve">n increase in sedentary lifestyles, digital consumption, and mental health issues among young people may reduce sports engagement unless countered by proactive health promotion strategies (Public Health Wales, 2023; Van </w:t>
      </w:r>
      <w:proofErr w:type="spellStart"/>
      <w:r>
        <w:rPr>
          <w:rFonts w:ascii="Times New Roman" w:eastAsia="Times New Roman" w:hAnsi="Times New Roman" w:cs="Times New Roman"/>
          <w:sz w:val="24"/>
          <w:szCs w:val="24"/>
        </w:rPr>
        <w:t>Sluijs</w:t>
      </w:r>
      <w:proofErr w:type="spellEnd"/>
      <w:r>
        <w:rPr>
          <w:rFonts w:ascii="Times New Roman" w:eastAsia="Times New Roman" w:hAnsi="Times New Roman" w:cs="Times New Roman"/>
          <w:sz w:val="24"/>
          <w:szCs w:val="24"/>
        </w:rPr>
        <w:t xml:space="preserve"> et al, 2022).</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One key approach</w:t>
      </w:r>
      <w:r>
        <w:rPr>
          <w:rFonts w:ascii="Times New Roman" w:eastAsia="Times New Roman" w:hAnsi="Times New Roman" w:cs="Times New Roman"/>
          <w:i/>
          <w:sz w:val="24"/>
          <w:szCs w:val="24"/>
        </w:rPr>
        <w:t xml:space="preserve"> </w:t>
      </w:r>
      <w:r w:rsidRPr="00365709">
        <w:rPr>
          <w:rFonts w:ascii="Times New Roman" w:eastAsia="Times New Roman" w:hAnsi="Times New Roman" w:cs="Times New Roman"/>
          <w:iCs/>
          <w:sz w:val="24"/>
          <w:szCs w:val="24"/>
        </w:rPr>
        <w:t>to address this is to promote physical activity</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For example, a systematic review found that interventions promoting physical activity in children and adolescents were associated with improvements in mental health outcomes (</w:t>
      </w:r>
      <w:r w:rsidR="00BB443F">
        <w:rPr>
          <w:rFonts w:ascii="Times New Roman" w:hAnsi="Times New Roman" w:cs="Times New Roman"/>
          <w:sz w:val="24"/>
          <w:szCs w:val="24"/>
        </w:rPr>
        <w:t>Oh et al, 2025</w:t>
      </w:r>
      <w:r>
        <w:rPr>
          <w:rFonts w:ascii="Times New Roman" w:eastAsia="Times New Roman" w:hAnsi="Times New Roman" w:cs="Times New Roman"/>
          <w:sz w:val="24"/>
          <w:szCs w:val="24"/>
        </w:rPr>
        <w:t>).</w:t>
      </w:r>
    </w:p>
    <w:p w14:paraId="00000018" w14:textId="39B1A7F7" w:rsidR="00073194" w:rsidRDefault="00B037A5">
      <w:pPr>
        <w:pStyle w:val="Heading3"/>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the risk of future disruptions remains. As seen during the pandemic, facility closures and restrictions significantly impacted operations. A lack of contingency planning could expose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similar risks in the future (Swansea Bay University Health Board, 2023). For instance, a study by Hall et al</w:t>
      </w:r>
      <w:r w:rsidR="00BB443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(2016) found that most college athletic departments did not have crisis management plans that included procedures for displaced student-athletes or alternate facilities to perform athletic events.</w:t>
      </w:r>
      <w:r w:rsidR="00BB443F">
        <w:rPr>
          <w:rFonts w:ascii="Times New Roman" w:eastAsia="Times New Roman" w:hAnsi="Times New Roman" w:cs="Times New Roman"/>
          <w:sz w:val="24"/>
          <w:szCs w:val="24"/>
        </w:rPr>
        <w:t xml:space="preserve"> </w:t>
      </w:r>
    </w:p>
    <w:p w14:paraId="00000019" w14:textId="77777777" w:rsidR="00073194" w:rsidRDefault="00073194">
      <w:pPr>
        <w:rPr>
          <w:rFonts w:ascii="Times New Roman" w:eastAsia="Times New Roman" w:hAnsi="Times New Roman" w:cs="Times New Roman"/>
        </w:rPr>
      </w:pPr>
    </w:p>
    <w:p w14:paraId="56BD225A"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Reference List</w:t>
      </w:r>
    </w:p>
    <w:p w14:paraId="30DBC0A5"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Gale, L., Martin, L., &amp; Owen, J., 2019. </w:t>
      </w:r>
      <w:r w:rsidRPr="00BB443F">
        <w:rPr>
          <w:rFonts w:ascii="Times New Roman" w:eastAsia="Times New Roman" w:hAnsi="Times New Roman" w:cs="Times New Roman"/>
          <w:i/>
          <w:iCs/>
          <w:sz w:val="24"/>
          <w:szCs w:val="24"/>
          <w:lang w:val="en-GB"/>
        </w:rPr>
        <w:t>Coaching in the community: Understanding the challenges and retention issues facing community sports coaches</w:t>
      </w:r>
      <w:r w:rsidRPr="00BB443F">
        <w:rPr>
          <w:rFonts w:ascii="Times New Roman" w:eastAsia="Times New Roman" w:hAnsi="Times New Roman" w:cs="Times New Roman"/>
          <w:sz w:val="24"/>
          <w:szCs w:val="24"/>
          <w:lang w:val="en-GB"/>
        </w:rPr>
        <w:t>. Journal of Sports Coaching, 11(2), pp.101–115.</w:t>
      </w:r>
    </w:p>
    <w:p w14:paraId="797A4DA2"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Hall, S.A., Carroll, M.S., &amp; McGee, D., 2016. </w:t>
      </w:r>
      <w:r w:rsidRPr="00BB443F">
        <w:rPr>
          <w:rFonts w:ascii="Times New Roman" w:eastAsia="Times New Roman" w:hAnsi="Times New Roman" w:cs="Times New Roman"/>
          <w:i/>
          <w:iCs/>
          <w:sz w:val="24"/>
          <w:szCs w:val="24"/>
          <w:lang w:val="en-GB"/>
        </w:rPr>
        <w:t>Crisis management preparedness in collegiate athletics departments</w:t>
      </w:r>
      <w:r w:rsidRPr="00BB443F">
        <w:rPr>
          <w:rFonts w:ascii="Times New Roman" w:eastAsia="Times New Roman" w:hAnsi="Times New Roman" w:cs="Times New Roman"/>
          <w:sz w:val="24"/>
          <w:szCs w:val="24"/>
          <w:lang w:val="en-GB"/>
        </w:rPr>
        <w:t>. Journal of Applied Sport Management, 8(2), pp.33–48.</w:t>
      </w:r>
    </w:p>
    <w:p w14:paraId="64013BEE"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Hossain, A., 2024. </w:t>
      </w:r>
      <w:r w:rsidRPr="00BB443F">
        <w:rPr>
          <w:rFonts w:ascii="Times New Roman" w:eastAsia="Times New Roman" w:hAnsi="Times New Roman" w:cs="Times New Roman"/>
          <w:i/>
          <w:iCs/>
          <w:sz w:val="24"/>
          <w:szCs w:val="24"/>
          <w:lang w:val="en-GB"/>
        </w:rPr>
        <w:t>The impact of online learning flexibility on student life balance</w:t>
      </w:r>
      <w:r w:rsidRPr="00BB443F">
        <w:rPr>
          <w:rFonts w:ascii="Times New Roman" w:eastAsia="Times New Roman" w:hAnsi="Times New Roman" w:cs="Times New Roman"/>
          <w:sz w:val="24"/>
          <w:szCs w:val="24"/>
          <w:lang w:val="en-GB"/>
        </w:rPr>
        <w:t>. Journal of Digital Education and Learning, 12(1), pp.22–37.</w:t>
      </w:r>
    </w:p>
    <w:p w14:paraId="1E6511E0"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Mackintosh, C., 2011. </w:t>
      </w:r>
      <w:r w:rsidRPr="00BB443F">
        <w:rPr>
          <w:rFonts w:ascii="Times New Roman" w:eastAsia="Times New Roman" w:hAnsi="Times New Roman" w:cs="Times New Roman"/>
          <w:i/>
          <w:iCs/>
          <w:sz w:val="24"/>
          <w:szCs w:val="24"/>
          <w:lang w:val="en-GB"/>
        </w:rPr>
        <w:t>Partnership and collaboration: Working across boundaries in sport</w:t>
      </w:r>
      <w:r w:rsidRPr="00BB443F">
        <w:rPr>
          <w:rFonts w:ascii="Times New Roman" w:eastAsia="Times New Roman" w:hAnsi="Times New Roman" w:cs="Times New Roman"/>
          <w:sz w:val="24"/>
          <w:szCs w:val="24"/>
          <w:lang w:val="en-GB"/>
        </w:rPr>
        <w:t>. In: B. Houlihan and M. Green, eds. </w:t>
      </w:r>
      <w:r w:rsidRPr="00BB443F">
        <w:rPr>
          <w:rFonts w:ascii="Times New Roman" w:eastAsia="Times New Roman" w:hAnsi="Times New Roman" w:cs="Times New Roman"/>
          <w:i/>
          <w:iCs/>
          <w:sz w:val="24"/>
          <w:szCs w:val="24"/>
          <w:lang w:val="en-GB"/>
        </w:rPr>
        <w:t>Routledge Handbook of Sports Development</w:t>
      </w:r>
      <w:r w:rsidRPr="00BB443F">
        <w:rPr>
          <w:rFonts w:ascii="Times New Roman" w:eastAsia="Times New Roman" w:hAnsi="Times New Roman" w:cs="Times New Roman"/>
          <w:sz w:val="24"/>
          <w:szCs w:val="24"/>
          <w:lang w:val="en-GB"/>
        </w:rPr>
        <w:t>. London: Routledge, pp.131–144.</w:t>
      </w:r>
    </w:p>
    <w:p w14:paraId="266B6DE2"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Misener, K., Doherty, A., &amp; Hamm-Kerwin, S., 2013. </w:t>
      </w:r>
      <w:r w:rsidRPr="00BB443F">
        <w:rPr>
          <w:rFonts w:ascii="Times New Roman" w:eastAsia="Times New Roman" w:hAnsi="Times New Roman" w:cs="Times New Roman"/>
          <w:i/>
          <w:iCs/>
          <w:sz w:val="24"/>
          <w:szCs w:val="24"/>
          <w:lang w:val="en-GB"/>
        </w:rPr>
        <w:t>Learning from the experiences of community sport organisations in capacity building</w:t>
      </w:r>
      <w:r w:rsidRPr="00BB443F">
        <w:rPr>
          <w:rFonts w:ascii="Times New Roman" w:eastAsia="Times New Roman" w:hAnsi="Times New Roman" w:cs="Times New Roman"/>
          <w:sz w:val="24"/>
          <w:szCs w:val="24"/>
          <w:lang w:val="en-GB"/>
        </w:rPr>
        <w:t>. </w:t>
      </w:r>
      <w:r w:rsidRPr="00BB443F">
        <w:rPr>
          <w:rFonts w:ascii="Times New Roman" w:eastAsia="Times New Roman" w:hAnsi="Times New Roman" w:cs="Times New Roman"/>
          <w:i/>
          <w:iCs/>
          <w:sz w:val="24"/>
          <w:szCs w:val="24"/>
          <w:lang w:val="en-GB"/>
        </w:rPr>
        <w:t>Sport Management Review</w:t>
      </w:r>
      <w:r w:rsidRPr="00BB443F">
        <w:rPr>
          <w:rFonts w:ascii="Times New Roman" w:eastAsia="Times New Roman" w:hAnsi="Times New Roman" w:cs="Times New Roman"/>
          <w:sz w:val="24"/>
          <w:szCs w:val="24"/>
          <w:lang w:val="en-GB"/>
        </w:rPr>
        <w:t>, 16(4), pp.514–525.</w:t>
      </w:r>
    </w:p>
    <w:p w14:paraId="026330BA"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Oh, Y., Singh, M., &amp; Tan, L., 2025. </w:t>
      </w:r>
      <w:r w:rsidRPr="00BB443F">
        <w:rPr>
          <w:rFonts w:ascii="Times New Roman" w:eastAsia="Times New Roman" w:hAnsi="Times New Roman" w:cs="Times New Roman"/>
          <w:i/>
          <w:iCs/>
          <w:sz w:val="24"/>
          <w:szCs w:val="24"/>
          <w:lang w:val="en-GB"/>
        </w:rPr>
        <w:t>Physical activity and mental health among children and adolescents: A systematic review</w:t>
      </w:r>
      <w:r w:rsidRPr="00BB443F">
        <w:rPr>
          <w:rFonts w:ascii="Times New Roman" w:eastAsia="Times New Roman" w:hAnsi="Times New Roman" w:cs="Times New Roman"/>
          <w:sz w:val="24"/>
          <w:szCs w:val="24"/>
          <w:lang w:val="en-GB"/>
        </w:rPr>
        <w:t>. </w:t>
      </w:r>
      <w:r w:rsidRPr="00BB443F">
        <w:rPr>
          <w:rFonts w:ascii="Times New Roman" w:eastAsia="Times New Roman" w:hAnsi="Times New Roman" w:cs="Times New Roman"/>
          <w:i/>
          <w:iCs/>
          <w:sz w:val="24"/>
          <w:szCs w:val="24"/>
          <w:lang w:val="en-GB"/>
        </w:rPr>
        <w:t xml:space="preserve">Journal of </w:t>
      </w:r>
      <w:proofErr w:type="spellStart"/>
      <w:r w:rsidRPr="00BB443F">
        <w:rPr>
          <w:rFonts w:ascii="Times New Roman" w:eastAsia="Times New Roman" w:hAnsi="Times New Roman" w:cs="Times New Roman"/>
          <w:i/>
          <w:iCs/>
          <w:sz w:val="24"/>
          <w:szCs w:val="24"/>
          <w:lang w:val="en-GB"/>
        </w:rPr>
        <w:t>Pediatric</w:t>
      </w:r>
      <w:proofErr w:type="spellEnd"/>
      <w:r w:rsidRPr="00BB443F">
        <w:rPr>
          <w:rFonts w:ascii="Times New Roman" w:eastAsia="Times New Roman" w:hAnsi="Times New Roman" w:cs="Times New Roman"/>
          <w:i/>
          <w:iCs/>
          <w:sz w:val="24"/>
          <w:szCs w:val="24"/>
          <w:lang w:val="en-GB"/>
        </w:rPr>
        <w:t xml:space="preserve"> Health and Fitness</w:t>
      </w:r>
      <w:r w:rsidRPr="00BB443F">
        <w:rPr>
          <w:rFonts w:ascii="Times New Roman" w:eastAsia="Times New Roman" w:hAnsi="Times New Roman" w:cs="Times New Roman"/>
          <w:sz w:val="24"/>
          <w:szCs w:val="24"/>
          <w:lang w:val="en-GB"/>
        </w:rPr>
        <w:t>, 18(1), pp.1–15.</w:t>
      </w:r>
    </w:p>
    <w:p w14:paraId="3250F6D5"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 xml:space="preserve">Parnell, D., </w:t>
      </w:r>
      <w:proofErr w:type="spellStart"/>
      <w:r w:rsidRPr="00BB443F">
        <w:rPr>
          <w:rFonts w:ascii="Times New Roman" w:eastAsia="Times New Roman" w:hAnsi="Times New Roman" w:cs="Times New Roman"/>
          <w:sz w:val="24"/>
          <w:szCs w:val="24"/>
          <w:lang w:val="en-GB"/>
        </w:rPr>
        <w:t>Widdop</w:t>
      </w:r>
      <w:proofErr w:type="spellEnd"/>
      <w:r w:rsidRPr="00BB443F">
        <w:rPr>
          <w:rFonts w:ascii="Times New Roman" w:eastAsia="Times New Roman" w:hAnsi="Times New Roman" w:cs="Times New Roman"/>
          <w:sz w:val="24"/>
          <w:szCs w:val="24"/>
          <w:lang w:val="en-GB"/>
        </w:rPr>
        <w:t>, P., Bond, A., &amp; Wilson, R., 2018. </w:t>
      </w:r>
      <w:r w:rsidRPr="00BB443F">
        <w:rPr>
          <w:rFonts w:ascii="Times New Roman" w:eastAsia="Times New Roman" w:hAnsi="Times New Roman" w:cs="Times New Roman"/>
          <w:i/>
          <w:iCs/>
          <w:sz w:val="24"/>
          <w:szCs w:val="24"/>
          <w:lang w:val="en-GB"/>
        </w:rPr>
        <w:t>Economic austerity, sport and community sport organisations: Investigating the long-term consequences</w:t>
      </w:r>
      <w:r w:rsidRPr="00BB443F">
        <w:rPr>
          <w:rFonts w:ascii="Times New Roman" w:eastAsia="Times New Roman" w:hAnsi="Times New Roman" w:cs="Times New Roman"/>
          <w:sz w:val="24"/>
          <w:szCs w:val="24"/>
          <w:lang w:val="en-GB"/>
        </w:rPr>
        <w:t>. </w:t>
      </w:r>
      <w:r w:rsidRPr="00BB443F">
        <w:rPr>
          <w:rFonts w:ascii="Times New Roman" w:eastAsia="Times New Roman" w:hAnsi="Times New Roman" w:cs="Times New Roman"/>
          <w:i/>
          <w:iCs/>
          <w:sz w:val="24"/>
          <w:szCs w:val="24"/>
          <w:lang w:val="en-GB"/>
        </w:rPr>
        <w:t>European Sport Management Quarterly</w:t>
      </w:r>
      <w:r w:rsidRPr="00BB443F">
        <w:rPr>
          <w:rFonts w:ascii="Times New Roman" w:eastAsia="Times New Roman" w:hAnsi="Times New Roman" w:cs="Times New Roman"/>
          <w:sz w:val="24"/>
          <w:szCs w:val="24"/>
          <w:lang w:val="en-GB"/>
        </w:rPr>
        <w:t>, 18(4), pp.377–398.</w:t>
      </w:r>
    </w:p>
    <w:p w14:paraId="671A2A1D"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proofErr w:type="spellStart"/>
      <w:r w:rsidRPr="00BB443F">
        <w:rPr>
          <w:rFonts w:ascii="Times New Roman" w:eastAsia="Times New Roman" w:hAnsi="Times New Roman" w:cs="Times New Roman"/>
          <w:sz w:val="24"/>
          <w:szCs w:val="24"/>
          <w:lang w:val="en-GB"/>
        </w:rPr>
        <w:t>Phillpots</w:t>
      </w:r>
      <w:proofErr w:type="spellEnd"/>
      <w:r w:rsidRPr="00BB443F">
        <w:rPr>
          <w:rFonts w:ascii="Times New Roman" w:eastAsia="Times New Roman" w:hAnsi="Times New Roman" w:cs="Times New Roman"/>
          <w:sz w:val="24"/>
          <w:szCs w:val="24"/>
          <w:lang w:val="en-GB"/>
        </w:rPr>
        <w:t xml:space="preserve">, L., </w:t>
      </w:r>
      <w:proofErr w:type="spellStart"/>
      <w:r w:rsidRPr="00BB443F">
        <w:rPr>
          <w:rFonts w:ascii="Times New Roman" w:eastAsia="Times New Roman" w:hAnsi="Times New Roman" w:cs="Times New Roman"/>
          <w:sz w:val="24"/>
          <w:szCs w:val="24"/>
          <w:lang w:val="en-GB"/>
        </w:rPr>
        <w:t>Grix</w:t>
      </w:r>
      <w:proofErr w:type="spellEnd"/>
      <w:r w:rsidRPr="00BB443F">
        <w:rPr>
          <w:rFonts w:ascii="Times New Roman" w:eastAsia="Times New Roman" w:hAnsi="Times New Roman" w:cs="Times New Roman"/>
          <w:sz w:val="24"/>
          <w:szCs w:val="24"/>
          <w:lang w:val="en-GB"/>
        </w:rPr>
        <w:t>, J., &amp; Quarmby, T., 2011. </w:t>
      </w:r>
      <w:r w:rsidRPr="00BB443F">
        <w:rPr>
          <w:rFonts w:ascii="Times New Roman" w:eastAsia="Times New Roman" w:hAnsi="Times New Roman" w:cs="Times New Roman"/>
          <w:i/>
          <w:iCs/>
          <w:sz w:val="24"/>
          <w:szCs w:val="24"/>
          <w:lang w:val="en-GB"/>
        </w:rPr>
        <w:t>Centralized grassroots sport policy and ‘new governance’: A case study of county sports partnerships in the UK – unpacking the paradox</w:t>
      </w:r>
      <w:r w:rsidRPr="00BB443F">
        <w:rPr>
          <w:rFonts w:ascii="Times New Roman" w:eastAsia="Times New Roman" w:hAnsi="Times New Roman" w:cs="Times New Roman"/>
          <w:sz w:val="24"/>
          <w:szCs w:val="24"/>
          <w:lang w:val="en-GB"/>
        </w:rPr>
        <w:t>. </w:t>
      </w:r>
      <w:r w:rsidRPr="00BB443F">
        <w:rPr>
          <w:rFonts w:ascii="Times New Roman" w:eastAsia="Times New Roman" w:hAnsi="Times New Roman" w:cs="Times New Roman"/>
          <w:i/>
          <w:iCs/>
          <w:sz w:val="24"/>
          <w:szCs w:val="24"/>
          <w:lang w:val="en-GB"/>
        </w:rPr>
        <w:t>International Review for the Sociology of Sport</w:t>
      </w:r>
      <w:r w:rsidRPr="00BB443F">
        <w:rPr>
          <w:rFonts w:ascii="Times New Roman" w:eastAsia="Times New Roman" w:hAnsi="Times New Roman" w:cs="Times New Roman"/>
          <w:sz w:val="24"/>
          <w:szCs w:val="24"/>
          <w:lang w:val="en-GB"/>
        </w:rPr>
        <w:t>, 46(3), pp.265–281.</w:t>
      </w:r>
    </w:p>
    <w:p w14:paraId="71CE781E"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Public Health Wales, 2023. </w:t>
      </w:r>
      <w:r w:rsidRPr="00BB443F">
        <w:rPr>
          <w:rFonts w:ascii="Times New Roman" w:eastAsia="Times New Roman" w:hAnsi="Times New Roman" w:cs="Times New Roman"/>
          <w:i/>
          <w:iCs/>
          <w:sz w:val="24"/>
          <w:szCs w:val="24"/>
          <w:lang w:val="en-GB"/>
        </w:rPr>
        <w:t>Physical activity and mental wellbeing: A public health perspective</w:t>
      </w:r>
      <w:r w:rsidRPr="00BB443F">
        <w:rPr>
          <w:rFonts w:ascii="Times New Roman" w:eastAsia="Times New Roman" w:hAnsi="Times New Roman" w:cs="Times New Roman"/>
          <w:sz w:val="24"/>
          <w:szCs w:val="24"/>
          <w:lang w:val="en-GB"/>
        </w:rPr>
        <w:t>. [online] Available at: https://phw.nhs.wales [Accessed 9 May 2025].</w:t>
      </w:r>
    </w:p>
    <w:p w14:paraId="18E31215"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Shattock, M., 2019. </w:t>
      </w:r>
      <w:r w:rsidRPr="00BB443F">
        <w:rPr>
          <w:rFonts w:ascii="Times New Roman" w:eastAsia="Times New Roman" w:hAnsi="Times New Roman" w:cs="Times New Roman"/>
          <w:i/>
          <w:iCs/>
          <w:sz w:val="24"/>
          <w:szCs w:val="24"/>
          <w:lang w:val="en-GB"/>
        </w:rPr>
        <w:t>Managing successful universities</w:t>
      </w:r>
      <w:r w:rsidRPr="00BB443F">
        <w:rPr>
          <w:rFonts w:ascii="Times New Roman" w:eastAsia="Times New Roman" w:hAnsi="Times New Roman" w:cs="Times New Roman"/>
          <w:sz w:val="24"/>
          <w:szCs w:val="24"/>
          <w:lang w:val="en-GB"/>
        </w:rPr>
        <w:t>. 2nd ed. Maidenhead: Open University Press.</w:t>
      </w:r>
    </w:p>
    <w:p w14:paraId="5A397AC8"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Sport England, 2023. </w:t>
      </w:r>
      <w:r w:rsidRPr="00BB443F">
        <w:rPr>
          <w:rFonts w:ascii="Times New Roman" w:eastAsia="Times New Roman" w:hAnsi="Times New Roman" w:cs="Times New Roman"/>
          <w:i/>
          <w:iCs/>
          <w:sz w:val="24"/>
          <w:szCs w:val="24"/>
          <w:lang w:val="en-GB"/>
        </w:rPr>
        <w:t>Inclusive and equitable sport: Strategies for increasing participation</w:t>
      </w:r>
      <w:r w:rsidRPr="00BB443F">
        <w:rPr>
          <w:rFonts w:ascii="Times New Roman" w:eastAsia="Times New Roman" w:hAnsi="Times New Roman" w:cs="Times New Roman"/>
          <w:sz w:val="24"/>
          <w:szCs w:val="24"/>
          <w:lang w:val="en-GB"/>
        </w:rPr>
        <w:t>. [online] Available at: </w:t>
      </w:r>
      <w:hyperlink r:id="rId4" w:tgtFrame="_new" w:history="1">
        <w:r w:rsidRPr="00BB443F">
          <w:rPr>
            <w:rStyle w:val="Hyperlink"/>
            <w:rFonts w:ascii="Times New Roman" w:eastAsia="Times New Roman" w:hAnsi="Times New Roman" w:cs="Times New Roman"/>
            <w:sz w:val="24"/>
            <w:szCs w:val="24"/>
            <w:lang w:val="en-GB"/>
          </w:rPr>
          <w:t>https://www.sportengland.org</w:t>
        </w:r>
      </w:hyperlink>
      <w:r w:rsidRPr="00BB443F">
        <w:rPr>
          <w:rFonts w:ascii="Times New Roman" w:eastAsia="Times New Roman" w:hAnsi="Times New Roman" w:cs="Times New Roman"/>
          <w:sz w:val="24"/>
          <w:szCs w:val="24"/>
          <w:lang w:val="en-GB"/>
        </w:rPr>
        <w:t> [Accessed 9 May 2025].</w:t>
      </w:r>
    </w:p>
    <w:p w14:paraId="6A282B9C"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Sport Wales, 2022. </w:t>
      </w:r>
      <w:r w:rsidRPr="00BB443F">
        <w:rPr>
          <w:rFonts w:ascii="Times New Roman" w:eastAsia="Times New Roman" w:hAnsi="Times New Roman" w:cs="Times New Roman"/>
          <w:i/>
          <w:iCs/>
          <w:sz w:val="24"/>
          <w:szCs w:val="24"/>
          <w:lang w:val="en-GB"/>
        </w:rPr>
        <w:t>The impact of funding constraints on community sport</w:t>
      </w:r>
      <w:r w:rsidRPr="00BB443F">
        <w:rPr>
          <w:rFonts w:ascii="Times New Roman" w:eastAsia="Times New Roman" w:hAnsi="Times New Roman" w:cs="Times New Roman"/>
          <w:sz w:val="24"/>
          <w:szCs w:val="24"/>
          <w:lang w:val="en-GB"/>
        </w:rPr>
        <w:t>. [online] Available at: </w:t>
      </w:r>
      <w:hyperlink r:id="rId5" w:tgtFrame="_new" w:history="1">
        <w:r w:rsidRPr="00BB443F">
          <w:rPr>
            <w:rStyle w:val="Hyperlink"/>
            <w:rFonts w:ascii="Times New Roman" w:eastAsia="Times New Roman" w:hAnsi="Times New Roman" w:cs="Times New Roman"/>
            <w:sz w:val="24"/>
            <w:szCs w:val="24"/>
            <w:lang w:val="en-GB"/>
          </w:rPr>
          <w:t>https://www.sport.wales</w:t>
        </w:r>
      </w:hyperlink>
      <w:r w:rsidRPr="00BB443F">
        <w:rPr>
          <w:rFonts w:ascii="Times New Roman" w:eastAsia="Times New Roman" w:hAnsi="Times New Roman" w:cs="Times New Roman"/>
          <w:sz w:val="24"/>
          <w:szCs w:val="24"/>
          <w:lang w:val="en-GB"/>
        </w:rPr>
        <w:t>[Accessed 9 May 2025].</w:t>
      </w:r>
    </w:p>
    <w:p w14:paraId="221E0186"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Swansea Bay Sports Park, 2025. </w:t>
      </w:r>
      <w:r w:rsidRPr="00BB443F">
        <w:rPr>
          <w:rFonts w:ascii="Times New Roman" w:eastAsia="Times New Roman" w:hAnsi="Times New Roman" w:cs="Times New Roman"/>
          <w:i/>
          <w:iCs/>
          <w:sz w:val="24"/>
          <w:szCs w:val="24"/>
          <w:lang w:val="en-GB"/>
        </w:rPr>
        <w:t>Annual Usage and Development Report 2024–2025</w:t>
      </w:r>
      <w:r w:rsidRPr="00BB443F">
        <w:rPr>
          <w:rFonts w:ascii="Times New Roman" w:eastAsia="Times New Roman" w:hAnsi="Times New Roman" w:cs="Times New Roman"/>
          <w:sz w:val="24"/>
          <w:szCs w:val="24"/>
          <w:lang w:val="en-GB"/>
        </w:rPr>
        <w:t>. Swansea: Swansea Bay Sports Park.</w:t>
      </w:r>
    </w:p>
    <w:p w14:paraId="742D4333"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Swansea Bay University Health Board, 2023. </w:t>
      </w:r>
      <w:r w:rsidRPr="00BB443F">
        <w:rPr>
          <w:rFonts w:ascii="Times New Roman" w:eastAsia="Times New Roman" w:hAnsi="Times New Roman" w:cs="Times New Roman"/>
          <w:i/>
          <w:iCs/>
          <w:sz w:val="24"/>
          <w:szCs w:val="24"/>
          <w:lang w:val="en-GB"/>
        </w:rPr>
        <w:t>Digital innovation and health promotion strategy</w:t>
      </w:r>
      <w:r w:rsidRPr="00BB443F">
        <w:rPr>
          <w:rFonts w:ascii="Times New Roman" w:eastAsia="Times New Roman" w:hAnsi="Times New Roman" w:cs="Times New Roman"/>
          <w:sz w:val="24"/>
          <w:szCs w:val="24"/>
          <w:lang w:val="en-GB"/>
        </w:rPr>
        <w:t>. [online] Available at: https://sbuhb.nhs.wales [Accessed 9 May 2025].</w:t>
      </w:r>
    </w:p>
    <w:p w14:paraId="0777ED59"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Swansea Council, 2023a. </w:t>
      </w:r>
      <w:r w:rsidRPr="00BB443F">
        <w:rPr>
          <w:rFonts w:ascii="Times New Roman" w:eastAsia="Times New Roman" w:hAnsi="Times New Roman" w:cs="Times New Roman"/>
          <w:i/>
          <w:iCs/>
          <w:sz w:val="24"/>
          <w:szCs w:val="24"/>
          <w:lang w:val="en-GB"/>
        </w:rPr>
        <w:t>Pathways to elite performance: A local strategy for talent development</w:t>
      </w:r>
      <w:r w:rsidRPr="00BB443F">
        <w:rPr>
          <w:rFonts w:ascii="Times New Roman" w:eastAsia="Times New Roman" w:hAnsi="Times New Roman" w:cs="Times New Roman"/>
          <w:sz w:val="24"/>
          <w:szCs w:val="24"/>
          <w:lang w:val="en-GB"/>
        </w:rPr>
        <w:t>. Swansea: Swansea Council.</w:t>
      </w:r>
    </w:p>
    <w:p w14:paraId="1ED91F83"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Swansea Council, 2023b. </w:t>
      </w:r>
      <w:r w:rsidRPr="00BB443F">
        <w:rPr>
          <w:rFonts w:ascii="Times New Roman" w:eastAsia="Times New Roman" w:hAnsi="Times New Roman" w:cs="Times New Roman"/>
          <w:i/>
          <w:iCs/>
          <w:sz w:val="24"/>
          <w:szCs w:val="24"/>
          <w:lang w:val="en-GB"/>
        </w:rPr>
        <w:t>Children’s health and physical activity in Swansea schools</w:t>
      </w:r>
      <w:r w:rsidRPr="00BB443F">
        <w:rPr>
          <w:rFonts w:ascii="Times New Roman" w:eastAsia="Times New Roman" w:hAnsi="Times New Roman" w:cs="Times New Roman"/>
          <w:sz w:val="24"/>
          <w:szCs w:val="24"/>
          <w:lang w:val="en-GB"/>
        </w:rPr>
        <w:t>. Swansea: Swansea Council.</w:t>
      </w:r>
    </w:p>
    <w:p w14:paraId="0A9AB691"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Swansea University, 2020. </w:t>
      </w:r>
      <w:r w:rsidRPr="00BB443F">
        <w:rPr>
          <w:rFonts w:ascii="Times New Roman" w:eastAsia="Times New Roman" w:hAnsi="Times New Roman" w:cs="Times New Roman"/>
          <w:i/>
          <w:iCs/>
          <w:sz w:val="24"/>
          <w:szCs w:val="24"/>
          <w:lang w:val="en-GB"/>
        </w:rPr>
        <w:t>Annual Report: Swansea University Rowing Club and Sport Partnerships</w:t>
      </w:r>
      <w:r w:rsidRPr="00BB443F">
        <w:rPr>
          <w:rFonts w:ascii="Times New Roman" w:eastAsia="Times New Roman" w:hAnsi="Times New Roman" w:cs="Times New Roman"/>
          <w:sz w:val="24"/>
          <w:szCs w:val="24"/>
          <w:lang w:val="en-GB"/>
        </w:rPr>
        <w:t>. Swansea: Swansea University.</w:t>
      </w:r>
    </w:p>
    <w:p w14:paraId="6C5A8136"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Swansea University, 2024a. </w:t>
      </w:r>
      <w:r w:rsidRPr="00BB443F">
        <w:rPr>
          <w:rFonts w:ascii="Times New Roman" w:eastAsia="Times New Roman" w:hAnsi="Times New Roman" w:cs="Times New Roman"/>
          <w:i/>
          <w:iCs/>
          <w:sz w:val="24"/>
          <w:szCs w:val="24"/>
          <w:lang w:val="en-GB"/>
        </w:rPr>
        <w:t>Partnerships in Sport and Health Innovation: NNIISH Collaboration Update</w:t>
      </w:r>
      <w:r w:rsidRPr="00BB443F">
        <w:rPr>
          <w:rFonts w:ascii="Times New Roman" w:eastAsia="Times New Roman" w:hAnsi="Times New Roman" w:cs="Times New Roman"/>
          <w:sz w:val="24"/>
          <w:szCs w:val="24"/>
          <w:lang w:val="en-GB"/>
        </w:rPr>
        <w:t>. Swansea: Swansea University.</w:t>
      </w:r>
    </w:p>
    <w:p w14:paraId="671BD8B8"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 xml:space="preserve">Van </w:t>
      </w:r>
      <w:proofErr w:type="spellStart"/>
      <w:r w:rsidRPr="00BB443F">
        <w:rPr>
          <w:rFonts w:ascii="Times New Roman" w:eastAsia="Times New Roman" w:hAnsi="Times New Roman" w:cs="Times New Roman"/>
          <w:sz w:val="24"/>
          <w:szCs w:val="24"/>
          <w:lang w:val="en-GB"/>
        </w:rPr>
        <w:t>Sluijs</w:t>
      </w:r>
      <w:proofErr w:type="spellEnd"/>
      <w:r w:rsidRPr="00BB443F">
        <w:rPr>
          <w:rFonts w:ascii="Times New Roman" w:eastAsia="Times New Roman" w:hAnsi="Times New Roman" w:cs="Times New Roman"/>
          <w:sz w:val="24"/>
          <w:szCs w:val="24"/>
          <w:lang w:val="en-GB"/>
        </w:rPr>
        <w:t xml:space="preserve">, E.M.F., </w:t>
      </w:r>
      <w:proofErr w:type="spellStart"/>
      <w:r w:rsidRPr="00BB443F">
        <w:rPr>
          <w:rFonts w:ascii="Times New Roman" w:eastAsia="Times New Roman" w:hAnsi="Times New Roman" w:cs="Times New Roman"/>
          <w:sz w:val="24"/>
          <w:szCs w:val="24"/>
          <w:lang w:val="en-GB"/>
        </w:rPr>
        <w:t>Ekelund</w:t>
      </w:r>
      <w:proofErr w:type="spellEnd"/>
      <w:r w:rsidRPr="00BB443F">
        <w:rPr>
          <w:rFonts w:ascii="Times New Roman" w:eastAsia="Times New Roman" w:hAnsi="Times New Roman" w:cs="Times New Roman"/>
          <w:sz w:val="24"/>
          <w:szCs w:val="24"/>
          <w:lang w:val="en-GB"/>
        </w:rPr>
        <w:t xml:space="preserve">, U., &amp; </w:t>
      </w:r>
      <w:proofErr w:type="spellStart"/>
      <w:r w:rsidRPr="00BB443F">
        <w:rPr>
          <w:rFonts w:ascii="Times New Roman" w:eastAsia="Times New Roman" w:hAnsi="Times New Roman" w:cs="Times New Roman"/>
          <w:sz w:val="24"/>
          <w:szCs w:val="24"/>
          <w:lang w:val="en-GB"/>
        </w:rPr>
        <w:t>Crochemore</w:t>
      </w:r>
      <w:proofErr w:type="spellEnd"/>
      <w:r w:rsidRPr="00BB443F">
        <w:rPr>
          <w:rFonts w:ascii="Times New Roman" w:eastAsia="Times New Roman" w:hAnsi="Times New Roman" w:cs="Times New Roman"/>
          <w:sz w:val="24"/>
          <w:szCs w:val="24"/>
          <w:lang w:val="en-GB"/>
        </w:rPr>
        <w:t xml:space="preserve"> da Silva, M., 2022. </w:t>
      </w:r>
      <w:r w:rsidRPr="00BB443F">
        <w:rPr>
          <w:rFonts w:ascii="Times New Roman" w:eastAsia="Times New Roman" w:hAnsi="Times New Roman" w:cs="Times New Roman"/>
          <w:i/>
          <w:iCs/>
          <w:sz w:val="24"/>
          <w:szCs w:val="24"/>
          <w:lang w:val="en-GB"/>
        </w:rPr>
        <w:t>Lifestyle behaviours and their effect on health in young people</w:t>
      </w:r>
      <w:r w:rsidRPr="00BB443F">
        <w:rPr>
          <w:rFonts w:ascii="Times New Roman" w:eastAsia="Times New Roman" w:hAnsi="Times New Roman" w:cs="Times New Roman"/>
          <w:sz w:val="24"/>
          <w:szCs w:val="24"/>
          <w:lang w:val="en-GB"/>
        </w:rPr>
        <w:t>. </w:t>
      </w:r>
      <w:r w:rsidRPr="00BB443F">
        <w:rPr>
          <w:rFonts w:ascii="Times New Roman" w:eastAsia="Times New Roman" w:hAnsi="Times New Roman" w:cs="Times New Roman"/>
          <w:i/>
          <w:iCs/>
          <w:sz w:val="24"/>
          <w:szCs w:val="24"/>
          <w:lang w:val="en-GB"/>
        </w:rPr>
        <w:t>The Lancet Child &amp; Adolescent Health</w:t>
      </w:r>
      <w:r w:rsidRPr="00BB443F">
        <w:rPr>
          <w:rFonts w:ascii="Times New Roman" w:eastAsia="Times New Roman" w:hAnsi="Times New Roman" w:cs="Times New Roman"/>
          <w:sz w:val="24"/>
          <w:szCs w:val="24"/>
          <w:lang w:val="en-GB"/>
        </w:rPr>
        <w:t>, 6(10), pp.721–732.</w:t>
      </w:r>
    </w:p>
    <w:p w14:paraId="3255FE76" w14:textId="77777777" w:rsidR="00BB443F" w:rsidRPr="00BB443F" w:rsidRDefault="00BB443F" w:rsidP="00BB443F">
      <w:pPr>
        <w:pStyle w:val="Heading3"/>
        <w:spacing w:before="281" w:after="281"/>
        <w:rPr>
          <w:rFonts w:ascii="Times New Roman" w:eastAsia="Times New Roman" w:hAnsi="Times New Roman" w:cs="Times New Roman"/>
          <w:sz w:val="24"/>
          <w:szCs w:val="24"/>
          <w:lang w:val="en-GB"/>
        </w:rPr>
      </w:pPr>
      <w:r w:rsidRPr="00BB443F">
        <w:rPr>
          <w:rFonts w:ascii="Times New Roman" w:eastAsia="Times New Roman" w:hAnsi="Times New Roman" w:cs="Times New Roman"/>
          <w:sz w:val="24"/>
          <w:szCs w:val="24"/>
          <w:lang w:val="en-GB"/>
        </w:rPr>
        <w:t>Youth Sport Trust, 2022. </w:t>
      </w:r>
      <w:r w:rsidRPr="00BB443F">
        <w:rPr>
          <w:rFonts w:ascii="Times New Roman" w:eastAsia="Times New Roman" w:hAnsi="Times New Roman" w:cs="Times New Roman"/>
          <w:i/>
          <w:iCs/>
          <w:sz w:val="24"/>
          <w:szCs w:val="24"/>
          <w:lang w:val="en-GB"/>
        </w:rPr>
        <w:t>PE, sport and wellbeing in disadvantaged schools: Research findings and recommendations</w:t>
      </w:r>
      <w:r w:rsidRPr="00BB443F">
        <w:rPr>
          <w:rFonts w:ascii="Times New Roman" w:eastAsia="Times New Roman" w:hAnsi="Times New Roman" w:cs="Times New Roman"/>
          <w:sz w:val="24"/>
          <w:szCs w:val="24"/>
          <w:lang w:val="en-GB"/>
        </w:rPr>
        <w:t>. London: Youth Sport Trust.</w:t>
      </w:r>
    </w:p>
    <w:p w14:paraId="43C9F2CC" w14:textId="77777777" w:rsidR="00BB443F" w:rsidRDefault="00BB443F">
      <w:pPr>
        <w:pStyle w:val="Heading3"/>
        <w:spacing w:before="281" w:after="281"/>
        <w:rPr>
          <w:rFonts w:ascii="Times New Roman" w:eastAsia="Times New Roman" w:hAnsi="Times New Roman" w:cs="Times New Roman"/>
          <w:b/>
          <w:sz w:val="24"/>
          <w:szCs w:val="24"/>
        </w:rPr>
      </w:pPr>
    </w:p>
    <w:p w14:paraId="4A62C4D6" w14:textId="77777777" w:rsidR="00BB443F" w:rsidRDefault="00BB443F">
      <w:pPr>
        <w:pStyle w:val="Heading3"/>
        <w:spacing w:before="281" w:after="281"/>
        <w:rPr>
          <w:rFonts w:ascii="Times New Roman" w:eastAsia="Times New Roman" w:hAnsi="Times New Roman" w:cs="Times New Roman"/>
          <w:b/>
          <w:sz w:val="24"/>
          <w:szCs w:val="24"/>
        </w:rPr>
      </w:pPr>
    </w:p>
    <w:p w14:paraId="26FA09AE" w14:textId="77777777" w:rsidR="00BB443F" w:rsidRDefault="00BB443F">
      <w:pPr>
        <w:pStyle w:val="Heading3"/>
        <w:spacing w:before="281" w:after="281"/>
        <w:rPr>
          <w:rFonts w:ascii="Times New Roman" w:eastAsia="Times New Roman" w:hAnsi="Times New Roman" w:cs="Times New Roman"/>
          <w:b/>
          <w:sz w:val="24"/>
          <w:szCs w:val="24"/>
        </w:rPr>
      </w:pPr>
    </w:p>
    <w:p w14:paraId="0000002C" w14:textId="2B0D37AB" w:rsidR="00073194" w:rsidRDefault="00073194">
      <w:pPr>
        <w:spacing w:before="240" w:after="240"/>
        <w:rPr>
          <w:rFonts w:ascii="Times New Roman" w:eastAsia="Times New Roman" w:hAnsi="Times New Roman" w:cs="Times New Roman"/>
        </w:rPr>
      </w:pPr>
    </w:p>
    <w:p w14:paraId="0000002D" w14:textId="77777777" w:rsidR="00073194" w:rsidRDefault="00073194"/>
    <w:p w14:paraId="0000002E" w14:textId="77777777" w:rsidR="00073194" w:rsidRDefault="00073194"/>
    <w:sectPr w:rsidR="0007319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embedRegular r:id="rId1" w:fontKey="{3D2C1E82-CC5D-6741-85A9-E7D7E60E9F1C}"/>
    <w:embedItalic r:id="rId2" w:fontKey="{71E8443C-8CE0-3045-8A11-1F308133DF85}"/>
  </w:font>
  <w:font w:name="Play">
    <w:charset w:val="00"/>
    <w:family w:val="auto"/>
    <w:pitch w:val="default"/>
    <w:embedRegular r:id="rId3" w:fontKey="{A70A9AD3-2479-194A-B894-52E607E00841}"/>
  </w:font>
  <w:font w:name="Times New Roman">
    <w:panose1 w:val="02020603050405020304"/>
    <w:charset w:val="00"/>
    <w:family w:val="roman"/>
    <w:pitch w:val="variable"/>
    <w:sig w:usb0="E0002EFF" w:usb1="C000785B" w:usb2="00000009" w:usb3="00000000" w:csb0="000001FF" w:csb1="00000000"/>
    <w:embedRegular r:id="rId4" w:fontKey="{56D98F2F-5832-6A44-9A1E-2A400A59ED68}"/>
    <w:embedBold r:id="rId5" w:fontKey="{F0465B12-794A-544E-8598-818526457D81}"/>
    <w:embedItalic r:id="rId6" w:fontKey="{D9755012-D91D-7240-9D8A-990B5A8F1F2B}"/>
  </w:font>
  <w:font w:name="Calibri">
    <w:panose1 w:val="020F0502020204030204"/>
    <w:charset w:val="00"/>
    <w:family w:val="swiss"/>
    <w:pitch w:val="variable"/>
    <w:sig w:usb0="E4002EFF" w:usb1="C000ACFF" w:usb2="00000009" w:usb3="00000000" w:csb0="000001FF" w:csb1="00000000"/>
    <w:embedRegular r:id="rId7" w:fontKey="{245AAC40-EE3C-CA4A-AED4-9FFE6FDAE152}"/>
  </w:font>
  <w:font w:name="Cambria">
    <w:panose1 w:val="02040503050406030204"/>
    <w:charset w:val="00"/>
    <w:family w:val="roman"/>
    <w:pitch w:val="variable"/>
    <w:sig w:usb0="E00006FF" w:usb1="420024FF" w:usb2="02000000" w:usb3="00000000" w:csb0="0000019F" w:csb1="00000000"/>
    <w:embedRegular r:id="rId8" w:fontKey="{80D1E1F2-5CB1-2D40-9451-9631217BEED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3194"/>
    <w:rsid w:val="00073194"/>
    <w:rsid w:val="000D5042"/>
    <w:rsid w:val="00365709"/>
    <w:rsid w:val="00B037A5"/>
    <w:rsid w:val="00BB443F"/>
    <w:rsid w:val="00D51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27C919"/>
  <w15:docId w15:val="{1C7737FA-9BBB-2B4E-99FC-8B6260B40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US" w:eastAsia="en-GB"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BB443F"/>
    <w:rPr>
      <w:color w:val="0000FF" w:themeColor="hyperlink"/>
      <w:u w:val="single"/>
    </w:rPr>
  </w:style>
  <w:style w:type="character" w:styleId="UnresolvedMention">
    <w:name w:val="Unresolved Mention"/>
    <w:basedOn w:val="DefaultParagraphFont"/>
    <w:uiPriority w:val="99"/>
    <w:semiHidden/>
    <w:unhideWhenUsed/>
    <w:rsid w:val="00BB44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9649182">
      <w:bodyDiv w:val="1"/>
      <w:marLeft w:val="0"/>
      <w:marRight w:val="0"/>
      <w:marTop w:val="0"/>
      <w:marBottom w:val="0"/>
      <w:divBdr>
        <w:top w:val="none" w:sz="0" w:space="0" w:color="auto"/>
        <w:left w:val="none" w:sz="0" w:space="0" w:color="auto"/>
        <w:bottom w:val="none" w:sz="0" w:space="0" w:color="auto"/>
        <w:right w:val="none" w:sz="0" w:space="0" w:color="auto"/>
      </w:divBdr>
    </w:div>
    <w:div w:id="10949388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port.wales/" TargetMode="External"/><Relationship Id="rId4" Type="http://schemas.openxmlformats.org/officeDocument/2006/relationships/hyperlink" Target="https://www.sportengland.org/"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1750</Words>
  <Characters>9979</Characters>
  <Application>Microsoft Office Word</Application>
  <DocSecurity>0</DocSecurity>
  <Lines>83</Lines>
  <Paragraphs>23</Paragraphs>
  <ScaleCrop>false</ScaleCrop>
  <Company/>
  <LinksUpToDate>false</LinksUpToDate>
  <CharactersWithSpaces>11706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SINCLAIR M. (2370178)</cp:lastModifiedBy>
  <cp:revision>2</cp:revision>
  <dcterms:created xsi:type="dcterms:W3CDTF">2025-05-09T18:05:00Z</dcterms:created>
  <dcterms:modified xsi:type="dcterms:W3CDTF">2025-05-09T18:05:00Z</dcterms:modified>
</cp:coreProperties>
</file>