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2"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3"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4"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5"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6"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7"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Community Engagement</w:t>
      </w:r>
    </w:p>
    <w:p w:rsidR="00000000" w:rsidDel="00000000" w:rsidRDefault="00000000" w14:paraId="00000008"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Name:</w:t>
      </w:r>
    </w:p>
    <w:p w:rsidR="00000000" w:rsidDel="00000000" w:rsidRDefault="00000000" w14:paraId="00000009"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Student number:</w:t>
      </w:r>
    </w:p>
    <w:p w:rsidR="00000000" w:rsidDel="00000000" w:rsidRDefault="00000000" w14:paraId="0000000A"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Module title and code:</w:t>
      </w:r>
    </w:p>
    <w:p w:rsidR="00000000" w:rsidDel="00000000" w:rsidRDefault="00000000" w14:paraId="0000000B"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Tutor’s name:</w:t>
      </w:r>
    </w:p>
    <w:p w:rsidR="00000000" w:rsidDel="00000000" w:rsidRDefault="00000000" w14:paraId="0000000C"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Date of submission:</w:t>
      </w:r>
    </w:p>
    <w:p w:rsidR="00000000" w:rsidDel="00000000" w:rsidRDefault="00000000" w14:paraId="0000000D"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Word count: 2150</w:t>
      </w:r>
    </w:p>
    <w:p w:rsidR="00000000" w:rsidDel="00000000" w:rsidRDefault="00000000" w14:paraId="0000000E"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F"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0"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1"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2"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3"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4"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5"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6"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7"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259" w:lineRule="auto"/>
        <w:rPr>
          <w:b/>
          <w:i w:val="0"/>
          <w:u w:val="none"/>
          <w:strike w:val="0"/>
          <w:rFonts w:ascii="Times New Roman" w:cs="Times New Roman" w:eastAsia="Times New Roman" w:hAnsi="Times New Roman"/>
          <w:sz w:val="28"/>
          <w:szCs w:val="28"/>
          <w:smallCaps w:val="0"/>
          <w:shd w:fill="auto" w:val="clear"/>
        </w:rPr>
      </w:pPr>
      <w:r w:rsidR="00000000" w:rsidDel="00000000" w:rsidRPr="00000000">
        <w:rPr>
          <w:rtl w:val="0"/>
          <w:b/>
          <w:rFonts w:ascii="Times New Roman" w:cs="Times New Roman" w:eastAsia="Times New Roman" w:hAnsi="Times New Roman"/>
          <w:sz w:val="28"/>
          <w:szCs w:val="28"/>
        </w:rPr>
        <w:t xml:space="preserve">Table of </w:t>
      </w:r>
      <w:r w:rsidR="00000000" w:rsidDel="00000000" w:rsidRPr="00000000">
        <w:rPr>
          <w:rtl w:val="0"/>
          <w:b/>
          <w:i w:val="0"/>
          <w:u w:val="none"/>
          <w:strike w:val="0"/>
          <w:rFonts w:ascii="Times New Roman" w:cs="Times New Roman" w:eastAsia="Times New Roman" w:hAnsi="Times New Roman"/>
          <w:sz w:val="28"/>
          <w:szCs w:val="28"/>
          <w:smallCaps w:val="0"/>
          <w:shd w:fill="auto" w:val="clear"/>
        </w:rPr>
        <w:t>Contents</w:t>
      </w:r>
    </w:p>
    <w:p w:rsidR="00000000" w:rsidDel="00000000" w:rsidRDefault="00000000" w14:paraId="00000018"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259" w:lineRule="auto"/>
        <w:rPr>
          <w:b/>
          <w:rFonts w:ascii="Times New Roman" w:cs="Times New Roman" w:eastAsia="Times New Roman" w:hAnsi="Times New Roman"/>
          <w:sz w:val="24"/>
          <w:szCs w:val="24"/>
        </w:rPr>
      </w:pPr>
      <w:r w:rsidR="00000000" w:rsidDel="00000000" w:rsidRPr="00000000">
        <w:rPr>
          <w:rtl w:val="0"/>
        </w:rPr>
      </w:r>
    </w:p>
    <w:sdt>
      <w:sdtPr>
        <w:docPartObj>
          <w:docPartGallery w:val="Table of Contents"/>
          <w:docPartUnique w:val="1"/>
        </w:docPartObj>
      </w:sdtPr>
      <w:sdtContent>
        <w:p w:rsidR="00000000" w:rsidDel="00000000" w:rsidRDefault="00000000" w14:paraId="00000019" w:rsidP="00000000" w:rsidRPr="00000000">
          <w:pPr>
            <w:ind w:left="0"/>
            <w:ind w:firstLine="0"/>
            <w:spacing w:before="80" w:line="240" w:lineRule="auto"/>
            <w:tabs>
              <w:tab w:val="right" w:pos="9025"/>
            </w:tabs>
            <w:rPr>
              <w:rFonts w:ascii="Times New Roman" w:cs="Times New Roman" w:eastAsia="Times New Roman" w:hAnsi="Times New Roman"/>
            </w:rPr>
          </w:pPr>
          <w:r w:rsidR="00000000" w:rsidDel="00000000" w:rsidRPr="00000000">
            <w:fldChar w:fldCharType="begin"/>
            <w:instrText xml:space="preserve"> TOC \h \u \z </w:instrText>
            <w:fldChar w:fldCharType="separate"/>
          </w:r>
          <w:hyperlink w:anchor="_p9crc2a7n3uf">
            <w:r w:rsidR="00000000" w:rsidDel="00000000" w:rsidRPr="00000000">
              <w:rPr>
                <w:rtl w:val="0"/>
                <w:rFonts w:ascii="Times New Roman" w:cs="Times New Roman" w:eastAsia="Times New Roman" w:hAnsi="Times New Roman"/>
              </w:rPr>
              <w:t>Introduction</w:t>
            </w:r>
          </w:hyperlink>
          <w:r w:rsidR="00000000" w:rsidDel="00000000" w:rsidRPr="00000000">
            <w:rPr>
              <w:rtl w:val="0"/>
              <w:rFonts w:ascii="Times New Roman" w:cs="Times New Roman" w:eastAsia="Times New Roman" w:hAnsi="Times New Roman"/>
            </w:rPr>
            <w:tab/>
          </w:r>
          <w:r w:rsidR="00000000" w:rsidDel="00000000" w:rsidRPr="00000000">
            <w:fldChar w:fldCharType="begin"/>
            <w:instrText xml:space="preserve"> PAGEREF _p9crc2a7n3uf \h </w:instrText>
            <w:fldChar w:fldCharType="separate"/>
          </w:r>
          <w:r w:rsidR="00000000" w:rsidDel="00000000" w:rsidRPr="00000000">
            <w:rPr>
              <w:rtl w:val="0"/>
              <w:rFonts w:ascii="Times New Roman" w:cs="Times New Roman" w:eastAsia="Times New Roman" w:hAnsi="Times New Roman"/>
            </w:rPr>
            <w:t>3</w:t>
          </w:r>
          <w:r w:rsidR="00000000" w:rsidDel="00000000" w:rsidRPr="00000000">
            <w:fldChar w:fldCharType="end"/>
          </w:r>
          <w:r w:rsidR="00000000" w:rsidDel="00000000" w:rsidRPr="00000000">
            <w:rPr>
              <w:rtl w:val="0"/>
            </w:rPr>
          </w:r>
        </w:p>
        <w:p w:rsidR="00000000" w:rsidDel="00000000" w:rsidRDefault="00000000" w14:paraId="0000001A"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2"/>
              <w:szCs w:val="22"/>
              <w:smallCaps w:val="0"/>
              <w:shd w:fill="auto" w:val="clear"/>
            </w:rPr>
          </w:pPr>
          <w:hyperlink w:anchor="_30j0zll">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Best Practices to effectively coordinate community engagement</w:t>
            </w:r>
          </w:hyperlink>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ab/>
          </w:r>
          <w:r w:rsidR="00000000" w:rsidDel="00000000" w:rsidRPr="00000000">
            <w:fldChar w:fldCharType="begin"/>
            <w:instrText xml:space="preserve"> PAGEREF _30j0zll \h </w:instrText>
            <w:fldChar w:fldCharType="separate"/>
          </w:r>
          <w:r w:rsidR="00000000" w:rsidDel="00000000" w:rsidRPr="00000000">
            <w:rPr>
              <w:rtl w:val="0"/>
              <w:b/>
              <w:i w:val="0"/>
              <w:u w:val="none"/>
              <w:strike w:val="0"/>
              <w:color w:val="000000"/>
              <w:rFonts w:ascii="Times New Roman" w:cs="Times New Roman" w:eastAsia="Times New Roman" w:hAnsi="Times New Roman"/>
              <w:sz w:val="22"/>
              <w:szCs w:val="22"/>
              <w:smallCaps w:val="0"/>
              <w:shd w:fill="auto" w:val="clear"/>
            </w:rPr>
            <w:t>3</w:t>
          </w:r>
          <w:r w:rsidR="00000000" w:rsidDel="00000000" w:rsidRPr="00000000">
            <w:fldChar w:fldCharType="end"/>
          </w:r>
          <w:r w:rsidR="00000000" w:rsidDel="00000000" w:rsidRPr="00000000">
            <w:rPr>
              <w:rtl w:val="0"/>
            </w:rPr>
          </w:r>
        </w:p>
        <w:p w:rsidR="00000000" w:rsidDel="00000000" w:rsidRDefault="00000000" w14:paraId="0000001B"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2"/>
              <w:szCs w:val="22"/>
              <w:smallCaps w:val="0"/>
              <w:shd w:fill="auto" w:val="clear"/>
            </w:rPr>
          </w:pPr>
          <w:hyperlink w:anchor="_1fob9te">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Approaches to effectively coordinate community engagement</w:t>
            </w:r>
          </w:hyperlink>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ab/>
          </w:r>
          <w:r w:rsidR="00000000" w:rsidDel="00000000" w:rsidRPr="00000000">
            <w:fldChar w:fldCharType="begin"/>
            <w:instrText xml:space="preserve"> PAGEREF _1fob9te \h </w:instrText>
            <w:fldChar w:fldCharType="separate"/>
          </w:r>
          <w:r w:rsidR="00000000" w:rsidDel="00000000" w:rsidRPr="00000000">
            <w:rPr>
              <w:rtl w:val="0"/>
              <w:b/>
              <w:i w:val="0"/>
              <w:u w:val="none"/>
              <w:strike w:val="0"/>
              <w:color w:val="000000"/>
              <w:rFonts w:ascii="Times New Roman" w:cs="Times New Roman" w:eastAsia="Times New Roman" w:hAnsi="Times New Roman"/>
              <w:sz w:val="22"/>
              <w:szCs w:val="22"/>
              <w:smallCaps w:val="0"/>
              <w:shd w:fill="auto" w:val="clear"/>
            </w:rPr>
            <w:t>5</w:t>
          </w:r>
          <w:r w:rsidR="00000000" w:rsidDel="00000000" w:rsidRPr="00000000">
            <w:fldChar w:fldCharType="end"/>
          </w:r>
          <w:r w:rsidR="00000000" w:rsidDel="00000000" w:rsidRPr="00000000">
            <w:rPr>
              <w:rtl w:val="0"/>
            </w:rPr>
          </w:r>
        </w:p>
        <w:p w:rsidR="00000000" w:rsidDel="00000000" w:rsidRDefault="00000000" w14:paraId="0000001C"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2"/>
              <w:szCs w:val="22"/>
              <w:smallCaps w:val="0"/>
              <w:shd w:fill="auto" w:val="clear"/>
            </w:rPr>
          </w:pPr>
          <w:hyperlink w:anchor="_2et92p0">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Approaches to Coordinating Community Engagement between Partners</w:t>
            </w:r>
          </w:hyperlink>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ab/>
          </w:r>
          <w:r w:rsidR="00000000" w:rsidDel="00000000" w:rsidRPr="00000000">
            <w:fldChar w:fldCharType="begin"/>
            <w:instrText xml:space="preserve"> PAGEREF _2et92p0 \h </w:instrText>
            <w:fldChar w:fldCharType="separate"/>
          </w:r>
          <w:r w:rsidR="00000000" w:rsidDel="00000000" w:rsidRPr="00000000">
            <w:rPr>
              <w:rtl w:val="0"/>
              <w:b/>
              <w:i w:val="0"/>
              <w:u w:val="none"/>
              <w:strike w:val="0"/>
              <w:color w:val="000000"/>
              <w:rFonts w:ascii="Times New Roman" w:cs="Times New Roman" w:eastAsia="Times New Roman" w:hAnsi="Times New Roman"/>
              <w:sz w:val="22"/>
              <w:szCs w:val="22"/>
              <w:smallCaps w:val="0"/>
              <w:shd w:fill="auto" w:val="clear"/>
            </w:rPr>
            <w:t>6</w:t>
          </w:r>
          <w:r w:rsidR="00000000" w:rsidDel="00000000" w:rsidRPr="00000000">
            <w:fldChar w:fldCharType="end"/>
          </w:r>
          <w:r w:rsidR="00000000" w:rsidDel="00000000" w:rsidRPr="00000000">
            <w:rPr>
              <w:rtl w:val="0"/>
            </w:rPr>
          </w:r>
        </w:p>
        <w:p w:rsidR="00000000" w:rsidDel="00000000" w:rsidRDefault="00000000" w14:paraId="0000001D"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2"/>
              <w:szCs w:val="22"/>
              <w:smallCaps w:val="0"/>
              <w:shd w:fill="auto" w:val="clear"/>
            </w:rPr>
          </w:pPr>
          <w:hyperlink w:anchor="_tyjcwt">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Conduct community mapping</w:t>
            </w:r>
          </w:hyperlink>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ab/>
          </w:r>
          <w:r w:rsidR="00000000" w:rsidDel="00000000" w:rsidRPr="00000000">
            <w:fldChar w:fldCharType="begin"/>
            <w:instrText xml:space="preserve"> PAGEREF _tyjcwt \h </w:instrText>
            <w:fldChar w:fldCharType="separate"/>
          </w:r>
          <w:r w:rsidR="00000000" w:rsidDel="00000000" w:rsidRPr="00000000">
            <w:rPr>
              <w:rtl w:val="0"/>
              <w:b/>
              <w:i w:val="0"/>
              <w:u w:val="none"/>
              <w:strike w:val="0"/>
              <w:color w:val="000000"/>
              <w:rFonts w:ascii="Times New Roman" w:cs="Times New Roman" w:eastAsia="Times New Roman" w:hAnsi="Times New Roman"/>
              <w:sz w:val="22"/>
              <w:szCs w:val="22"/>
              <w:smallCaps w:val="0"/>
              <w:shd w:fill="auto" w:val="clear"/>
            </w:rPr>
            <w:t>7</w:t>
          </w:r>
          <w:r w:rsidR="00000000" w:rsidDel="00000000" w:rsidRPr="00000000">
            <w:fldChar w:fldCharType="end"/>
          </w:r>
          <w:r w:rsidR="00000000" w:rsidDel="00000000" w:rsidRPr="00000000">
            <w:rPr>
              <w:rtl w:val="0"/>
            </w:rPr>
          </w:r>
        </w:p>
        <w:p w:rsidR="00000000" w:rsidDel="00000000" w:rsidRDefault="00000000" w14:paraId="0000001E"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2"/>
              <w:szCs w:val="22"/>
              <w:smallCaps w:val="0"/>
              <w:shd w:fill="auto" w:val="clear"/>
            </w:rPr>
          </w:pPr>
          <w:hyperlink w:anchor="_3dy6vkm">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Social engagement through social media platforms</w:t>
            </w:r>
          </w:hyperlink>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ab/>
          </w:r>
          <w:r w:rsidR="00000000" w:rsidDel="00000000" w:rsidRPr="00000000">
            <w:fldChar w:fldCharType="begin"/>
            <w:instrText xml:space="preserve"> PAGEREF _3dy6vkm \h </w:instrText>
            <w:fldChar w:fldCharType="separate"/>
          </w:r>
          <w:r w:rsidR="00000000" w:rsidDel="00000000" w:rsidRPr="00000000">
            <w:rPr>
              <w:rtl w:val="0"/>
              <w:b/>
              <w:i w:val="0"/>
              <w:u w:val="none"/>
              <w:strike w:val="0"/>
              <w:color w:val="000000"/>
              <w:rFonts w:ascii="Times New Roman" w:cs="Times New Roman" w:eastAsia="Times New Roman" w:hAnsi="Times New Roman"/>
              <w:sz w:val="22"/>
              <w:szCs w:val="22"/>
              <w:smallCaps w:val="0"/>
              <w:shd w:fill="auto" w:val="clear"/>
            </w:rPr>
            <w:t>9</w:t>
          </w:r>
          <w:r w:rsidR="00000000" w:rsidDel="00000000" w:rsidRPr="00000000">
            <w:fldChar w:fldCharType="end"/>
          </w:r>
          <w:r w:rsidR="00000000" w:rsidDel="00000000" w:rsidRPr="00000000">
            <w:rPr>
              <w:rtl w:val="0"/>
            </w:rPr>
          </w:r>
        </w:p>
        <w:p w:rsidR="00000000" w:rsidDel="00000000" w:rsidRDefault="00000000" w14:paraId="0000001F"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2"/>
              <w:szCs w:val="22"/>
              <w:smallCaps w:val="0"/>
              <w:shd w:fill="auto" w:val="clear"/>
            </w:rPr>
          </w:pPr>
          <w:hyperlink w:anchor="_1t3h5sf">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Conclusion</w:t>
            </w:r>
          </w:hyperlink>
          <w:r w:rsidR="00000000" w:rsidDel="00000000" w:rsidRPr="00000000">
            <w:rPr>
              <w:rtl w:val="0"/>
              <w:b w:val="0"/>
              <w:i w:val="0"/>
              <w:u w:val="none"/>
              <w:strike w:val="0"/>
              <w:color w:val="000000"/>
              <w:rFonts w:ascii="Times New Roman" w:cs="Times New Roman" w:eastAsia="Times New Roman" w:hAnsi="Times New Roman"/>
              <w:sz w:val="22"/>
              <w:szCs w:val="22"/>
              <w:smallCaps w:val="0"/>
              <w:shd w:fill="auto" w:val="clear"/>
            </w:rPr>
            <w:tab/>
          </w:r>
          <w:r w:rsidR="00000000" w:rsidDel="00000000" w:rsidRPr="00000000">
            <w:fldChar w:fldCharType="begin"/>
            <w:instrText xml:space="preserve"> PAGEREF _1t3h5sf \h </w:instrText>
            <w:fldChar w:fldCharType="separate"/>
          </w:r>
          <w:r w:rsidR="00000000" w:rsidDel="00000000" w:rsidRPr="00000000">
            <w:rPr>
              <w:rtl w:val="0"/>
              <w:b/>
              <w:i w:val="0"/>
              <w:u w:val="none"/>
              <w:strike w:val="0"/>
              <w:color w:val="000000"/>
              <w:rFonts w:ascii="Times New Roman" w:cs="Times New Roman" w:eastAsia="Times New Roman" w:hAnsi="Times New Roman"/>
              <w:sz w:val="22"/>
              <w:szCs w:val="22"/>
              <w:smallCaps w:val="0"/>
              <w:shd w:fill="auto" w:val="clear"/>
            </w:rPr>
            <w:t>9</w:t>
          </w:r>
          <w:r w:rsidR="00000000" w:rsidDel="00000000" w:rsidRPr="00000000">
            <w:fldChar w:fldCharType="end"/>
          </w:r>
          <w:r w:rsidR="00000000" w:rsidDel="00000000" w:rsidRPr="00000000">
            <w:rPr>
              <w:rtl w:val="0"/>
            </w:rPr>
          </w:r>
        </w:p>
        <w:p w:rsidR="00000000" w:rsidDel="00000000" w:rsidRDefault="00000000" w14:paraId="00000020" w:rsidP="00000000" w:rsidRPr="00000000">
          <w:pPr>
            <w:ind w:left="0"/>
            <w:ind w:firstLine="0"/>
            <w:spacing w:before="200" w:after="80" w:line="240" w:lineRule="auto"/>
            <w:tabs>
              <w:tab w:val="right" w:pos="9025"/>
            </w:tabs>
            <w:rPr>
              <w:rFonts w:ascii="Times New Roman" w:cs="Times New Roman" w:eastAsia="Times New Roman" w:hAnsi="Times New Roman"/>
            </w:rPr>
          </w:pPr>
          <w:hyperlink w:anchor="_a66hucbf3044">
            <w:r w:rsidR="00000000" w:rsidDel="00000000" w:rsidRPr="00000000">
              <w:rPr>
                <w:rtl w:val="0"/>
                <w:rFonts w:ascii="Times New Roman" w:cs="Times New Roman" w:eastAsia="Times New Roman" w:hAnsi="Times New Roman"/>
              </w:rPr>
              <w:t>References</w:t>
            </w:r>
          </w:hyperlink>
          <w:r w:rsidR="00000000" w:rsidDel="00000000" w:rsidRPr="00000000">
            <w:rPr>
              <w:rtl w:val="0"/>
              <w:rFonts w:ascii="Times New Roman" w:cs="Times New Roman" w:eastAsia="Times New Roman" w:hAnsi="Times New Roman"/>
            </w:rPr>
            <w:tab/>
          </w:r>
          <w:r w:rsidR="00000000" w:rsidDel="00000000" w:rsidRPr="00000000">
            <w:fldChar w:fldCharType="begin"/>
            <w:instrText xml:space="preserve"> PAGEREF _a66hucbf3044 \h </w:instrText>
            <w:fldChar w:fldCharType="separate"/>
          </w:r>
          <w:r w:rsidR="00000000" w:rsidDel="00000000" w:rsidRPr="00000000">
            <w:rPr>
              <w:rtl w:val="0"/>
              <w:rFonts w:ascii="Times New Roman" w:cs="Times New Roman" w:eastAsia="Times New Roman" w:hAnsi="Times New Roman"/>
            </w:rPr>
            <w:t>11</w:t>
          </w:r>
          <w:r w:rsidR="00000000" w:rsidDel="00000000" w:rsidRPr="00000000">
            <w:fldChar w:fldCharType="end"/>
          </w:r>
          <w:r w:rsidR="00000000" w:rsidDel="00000000" w:rsidRPr="00000000">
            <w:rPr>
              <w:rtl w:val="0"/>
            </w:rPr>
          </w:r>
          <w:r w:rsidR="00000000" w:rsidDel="00000000" w:rsidRPr="00000000">
            <w:fldChar w:fldCharType="end"/>
          </w:r>
        </w:p>
      </w:sdtContent>
    </w:sdt>
    <w:p w:rsidR="00000000" w:rsidDel="00000000" w:rsidRDefault="00000000" w14:paraId="00000021"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2"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3"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4"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5"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6"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7"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8"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9"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A"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B" w:rsidP="00000000" w:rsidRPr="00000000">
      <w:pPr>
        <w:pStyle w:val="Heading1"/>
        <w:spacing w:line="480" w:lineRule="auto"/>
        <w:rPr>
          <w:color w:val="000000"/>
          <w:rFonts w:ascii="Times New Roman" w:cs="Times New Roman" w:eastAsia="Times New Roman" w:hAnsi="Times New Roman"/>
          <w:sz w:val="24"/>
          <w:szCs w:val="24"/>
        </w:rPr>
      </w:pPr>
      <w:r>
        <w:rPr>
          <w:color w:val="000000"/>
          <w:rFonts w:ascii="Times New Roman"/>
          <w:sz w:val="24"/>
        </w:rPr>
      </w:r>
      <w:bookmarkStart w:colFirst="0" w:colLast="0" w:name="_gjdgxs" w:id="0"/>
      <w:bookmarkEnd w:id="0"/>
    </w:p>
    <w:p w:rsidR="00000000" w:rsidDel="00000000" w:rsidRDefault="00000000" w14:paraId="0000002E" w:rsidP="00000000" w:rsidRPr="00000000">
      <w:pPr>
        <w:pStyle w:val="Heading1"/>
        <w:spacing w:line="480" w:lineRule="auto"/>
        <w:rPr>
          <w:b/>
          <w:color w:val="000000"/>
          <w:rFonts w:ascii="Times New Roman" w:cs="Times New Roman" w:eastAsia="Times New Roman" w:hAnsi="Times New Roman"/>
          <w:sz w:val="28"/>
          <w:szCs w:val="28"/>
        </w:rPr>
      </w:pPr>
      <w:bookmarkStart w:colFirst="0" w:colLast="0" w:name="_p9crc2a7n3uf" w:id="1"/>
      <w:bookmarkEnd w:id="1"/>
      <w:r w:rsidR="00000000" w:rsidDel="00000000" w:rsidRPr="00000000">
        <w:rPr>
          <w:rtl w:val="0"/>
          <w:b/>
          <w:color w:val="000000"/>
          <w:rFonts w:ascii="Times New Roman" w:cs="Times New Roman" w:eastAsia="Times New Roman" w:hAnsi="Times New Roman"/>
          <w:sz w:val="28"/>
          <w:szCs w:val="28"/>
        </w:rPr>
        <w:t>Introduction</w:t>
      </w:r>
    </w:p>
    <w:p w:rsidR="00000000" w:rsidDel="00000000" w:rsidRDefault="00000000" w14:paraId="0000002F"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Community engagement is effective where it is a continuous cumulative process allowing relationships and trust to build and strengthen with time. Communities have the capacity to be keen observers and interpreters of social justice and development processes, often with a more nuanced understanding than outsiders, and they need to be approached in a way that is non-threatening and non-judgmental (Community Planning toolkit Community Engagement, n.d.). Community engagement requires creativity, appreciation for cultural difference, as well as clarity about the goals of the project (De Weger et al., 2018). </w:t>
      </w:r>
    </w:p>
    <w:p w:rsidR="00000000" w:rsidDel="00000000" w:rsidRDefault="00000000" w14:paraId="00000030"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This report will explore how community engagement can be made practical by drawing on lessons learned from other projects in the UK. The report will cover: 1) The principles underlying effective community engagement; 2) Methods of working with communities; 3) Engaging vulnerable communities. The paper will share concrete approaches that work through illustrative cases which have been developed over years of experience.</w:t>
      </w:r>
    </w:p>
    <w:p w:rsidR="00000000" w:rsidDel="00000000" w:rsidRDefault="00000000" w14:paraId="00000031"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2" w:rsidP="00000000" w:rsidRPr="00000000">
      <w:pPr>
        <w:pStyle w:val="Heading1"/>
        <w:spacing w:line="480" w:lineRule="auto"/>
        <w:rPr>
          <w:b/>
          <w:color w:val="000000"/>
          <w:rFonts w:ascii="Times New Roman" w:cs="Times New Roman" w:eastAsia="Times New Roman" w:hAnsi="Times New Roman"/>
          <w:sz w:val="28"/>
          <w:szCs w:val="28"/>
        </w:rPr>
      </w:pPr>
      <w:bookmarkStart w:colFirst="0" w:colLast="0" w:name="_30j0zll" w:id="2"/>
      <w:bookmarkEnd w:id="2"/>
      <w:r w:rsidR="00000000" w:rsidDel="00000000" w:rsidRPr="00000000">
        <w:rPr>
          <w:rtl w:val="0"/>
          <w:b/>
          <w:color w:val="000000"/>
          <w:rFonts w:ascii="Times New Roman" w:cs="Times New Roman" w:eastAsia="Times New Roman" w:hAnsi="Times New Roman"/>
          <w:sz w:val="28"/>
          <w:szCs w:val="28"/>
        </w:rPr>
        <w:t>Best Practices to effectively coordinate community engagement</w:t>
      </w:r>
    </w:p>
    <w:p w:rsidR="00000000" w:rsidDel="00000000" w:rsidRDefault="00000000" w14:paraId="00000033"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Coordinating community engagement is not a simple task. It is important that the persons responsible for coordinating community engagement have a clear understanding of the principles underlying effective community engagement (De Weger et al., 2018). It helps in applying those principles to their own project context. Community engagement requires commitment from all levels of the project team, from the individual employee or volunteer through to senior management </w:t>
      </w:r>
      <w:r w:rsidR="00000000" w:rsidDel="00000000" w:rsidRPr="00000000">
        <w:rPr>
          <w:rtl w:val="0"/>
          <w:highlight w:val="white"/>
          <w:rFonts w:ascii="Times New Roman" w:cs="Times New Roman" w:eastAsia="Times New Roman" w:hAnsi="Times New Roman"/>
          <w:sz w:val="24"/>
          <w:szCs w:val="24"/>
        </w:rPr>
        <w:t>(Natarajarathinam, Qiu and Lu, 2021)</w:t>
      </w:r>
      <w:r w:rsidR="00000000" w:rsidDel="00000000" w:rsidRPr="00000000">
        <w:rPr>
          <w:rtl w:val="0"/>
          <w:rFonts w:ascii="Times New Roman" w:cs="Times New Roman" w:eastAsia="Times New Roman" w:hAnsi="Times New Roman"/>
          <w:sz w:val="24"/>
          <w:szCs w:val="24"/>
        </w:rPr>
        <w:t>. The coordinator needs to be able to see and report on progress towards effective community engagement throughout the project cycle: planning and development, implementation and evaluation. Rethink Glasgow is a Community Interest Company that uses arts, design and technology to transform communities in Glasgow. Rethink has worked on community engagement for over a decade. During this time they have produced useful resources for practitioners involved in community engagement. They have also developed ways of working that can be applied to different situations and types of organisations.</w:t>
      </w:r>
    </w:p>
    <w:p w:rsidR="00000000" w:rsidDel="00000000" w:rsidRDefault="00000000" w14:paraId="00000034"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first aspect of coordination is the involvement of a coordinator whose job it is to ensure that the principles underlying effective community engagement are applied throughout the project cycle and to report on progress based on them, including planning, development, implementation and evaluation (Gilmore et al., 2020). Involvement of a coordinator is important for two main reasons. First, because the coordinator is responsible for communicating and implementing the principles (Rosenberg, 2016). Second, because without a system of accountability for progress, it would be difficult to assess whether and how the principles are being implemented. Without accountability it is difficult to keep track of progress or make adjustments if needed.</w:t>
      </w:r>
    </w:p>
    <w:p w:rsidR="00000000" w:rsidDel="00000000" w:rsidRDefault="00000000" w14:paraId="00000035"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A clear way to ensure that a community engagement programme will be implemented and followed through by all departments involved is to work with each of them in advance to draft a ‘project charter’ detailing the values, goals and vision that the project will pursue throughout its lifetime (CDC, 2018). The charter should include clear statements on how these vision statements will be achieved (for example: through documentation). A launch event – held at the beginning of the project – is a useful way to bring together all the key stakeholders and to ask them to sign the charter.</w:t>
      </w:r>
    </w:p>
    <w:p w:rsidR="00000000" w:rsidDel="00000000" w:rsidRDefault="00000000" w14:paraId="00000036"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To develop community engagement there is an essential need to involve people in meaningful collaboration with those in power (CDC, 2018). There are many ways to involve people, they may be formal and documented through meetings, or informal and better managed via email or phone calls. It is also important that users of the project participate in development processes, such as feasibility studies, user surveys and evaluations.</w:t>
      </w:r>
    </w:p>
    <w:p w:rsidR="00000000" w:rsidDel="00000000" w:rsidRDefault="00000000" w14:paraId="00000037"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community engagement coordinator should make sure that these methods of involving the people affected by the project are in line with the principles underlying effective community engagement, such as: 1) Working with community members as equal partners; 2) Sharing information and expertise; 3) Giving participants a real opportunity to influence decisions affecting them; 4) Including issues of power (structural and cultural) in the analysis. Involving users in a meaningful way is mutually beneficial (Natarajarathinam, Qiu and Lu, 2021). The process helps to build mutual trust and respect between stakeholders, develops better project outcomes and offers an opportunity for users to be involved in building their own solutions to social problems.</w:t>
      </w:r>
    </w:p>
    <w:p w:rsidR="00000000" w:rsidDel="00000000" w:rsidRDefault="00000000" w14:paraId="00000038"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9" w:rsidP="00000000" w:rsidRPr="00000000">
      <w:pPr>
        <w:pStyle w:val="Heading1"/>
        <w:spacing w:line="480" w:lineRule="auto"/>
        <w:rPr>
          <w:b/>
          <w:color w:val="000000"/>
          <w:rFonts w:ascii="Times New Roman" w:cs="Times New Roman" w:eastAsia="Times New Roman" w:hAnsi="Times New Roman"/>
          <w:sz w:val="28"/>
          <w:szCs w:val="28"/>
        </w:rPr>
      </w:pPr>
      <w:bookmarkStart w:colFirst="0" w:colLast="0" w:name="_1fob9te" w:id="3"/>
      <w:bookmarkEnd w:id="3"/>
      <w:r w:rsidR="00000000" w:rsidDel="00000000" w:rsidRPr="00000000">
        <w:rPr>
          <w:rtl w:val="0"/>
          <w:b/>
          <w:color w:val="000000"/>
          <w:rFonts w:ascii="Times New Roman" w:cs="Times New Roman" w:eastAsia="Times New Roman" w:hAnsi="Times New Roman"/>
          <w:sz w:val="28"/>
          <w:szCs w:val="28"/>
        </w:rPr>
        <w:t>Approaches to effectively coordinate community engagement</w:t>
      </w:r>
    </w:p>
    <w:p w:rsidR="00000000" w:rsidDel="00000000" w:rsidRDefault="00000000" w14:paraId="0000003A" w:rsidP="00000000" w:rsidRPr="00000000">
      <w:pPr>
        <w:ind w:firstLine="720"/>
        <w:spacing w:line="480" w:lineRule="auto"/>
        <w:rPr>
          <w:rFonts w:ascii="Times New Roman" w:cs="Times New Roman" w:eastAsia="Times New Roman" w:hAnsi="Times New Roman"/>
          <w:sz w:val="24"/>
          <w:szCs w:val="24"/>
        </w:rPr>
      </w:pPr>
      <w:bookmarkStart w:colFirst="0" w:colLast="0" w:name="_3znysh7" w:id="4"/>
      <w:bookmarkEnd w:id="4"/>
      <w:r w:rsidR="00000000" w:rsidDel="00000000" w:rsidRPr="00000000">
        <w:rPr>
          <w:rtl w:val="0"/>
          <w:rFonts w:ascii="Times New Roman" w:cs="Times New Roman" w:eastAsia="Times New Roman" w:hAnsi="Times New Roman"/>
          <w:sz w:val="24"/>
          <w:szCs w:val="24"/>
        </w:rPr>
        <w:t>ReThink Glasgow focuses on coordinating community engagement using different approaches. These approaches can be divided into three broad categories: Formal meetings, facilitated by community partner organisations (ReThink Glasgow, 2022). Group work and workshops, facilitated by ReThink Glasgow staff. E-mail or phone tool (for example, Actionbase). In each category the concept of decentralised coordination is used to ensure that community partners are involved in different aspects of project planning. There are also features of each method aimed at fostering communication between community partners and with ReThink Glasgow staff.</w:t>
      </w:r>
    </w:p>
    <w:p w:rsidR="00000000" w:rsidDel="00000000" w:rsidRDefault="00000000" w14:paraId="0000003B"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b/>
          <w:rFonts w:ascii="Times New Roman" w:cs="Times New Roman" w:eastAsia="Times New Roman" w:hAnsi="Times New Roman"/>
          <w:sz w:val="24"/>
          <w:szCs w:val="24"/>
        </w:rPr>
        <w:t>Formal meetings:</w:t>
      </w:r>
      <w:r w:rsidR="00000000" w:rsidDel="00000000" w:rsidRPr="00000000">
        <w:rPr>
          <w:rtl w:val="0"/>
          <w:rFonts w:ascii="Times New Roman" w:cs="Times New Roman" w:eastAsia="Times New Roman" w:hAnsi="Times New Roman"/>
          <w:sz w:val="24"/>
          <w:szCs w:val="24"/>
        </w:rPr>
        <w:t xml:space="preserve"> ReThink Glasgow has a formal set of monthly meetings to discuss project plan development and monitoring. These include planning for the future, finance reports for potential grant funding, follow up on reports from stakeholders and documentation relating to different project outputs (ReThink Glasgow, 2022). In most cases community projects use different approaches to coordinate community engagement. Recognising the difference between the different methods and being able to evaluate each one based on the guiding principles is important (ReThink Glasgow, 2022). The following elements are essential: Regular meetings to discuss progress (at least every month); Negotiating of consensus between community partners and ReThink Glasgow staff; Communication between community partner organisations (e.g., via email) and with ReThink Glasgow staff; Development of separate reports for funding applications, so as to demonstrate how project planning is an ongoing process with clear results in mind. Hence, it is evident that an evaluation of the project is required.</w:t>
      </w:r>
    </w:p>
    <w:p w:rsidR="00000000" w:rsidDel="00000000" w:rsidRDefault="00000000" w14:paraId="0000003C" w:rsidP="00000000" w:rsidRPr="00000000">
      <w:pPr>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One of the first steps in community engagement is for ReThink Glasgow to work with a community partner organisation in advance of the start date for the project. This involves: Identifying who the Community Partner Organisation is going to be; Identifying what their role in the project will be and making sure that they have been involved in all relevant meetings and consultations (ReThink Glasgow, 2022). Ensuring that there are key people at the organisation who are able to act as a point of contact; and Ensuring that a timetable has been set out for them to participate in planning meetings, any workshops or other activities.</w:t>
      </w:r>
    </w:p>
    <w:p w:rsidR="00000000" w:rsidDel="00000000" w:rsidRDefault="00000000" w14:paraId="0000003D"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E" w:rsidP="00000000" w:rsidRPr="00000000">
      <w:pPr>
        <w:pStyle w:val="Heading1"/>
        <w:spacing w:line="480" w:lineRule="auto"/>
        <w:rPr>
          <w:b/>
          <w:color w:val="000000"/>
          <w:rFonts w:ascii="Times New Roman" w:cs="Times New Roman" w:eastAsia="Times New Roman" w:hAnsi="Times New Roman"/>
          <w:sz w:val="28"/>
          <w:szCs w:val="28"/>
        </w:rPr>
      </w:pPr>
      <w:bookmarkStart w:colFirst="0" w:colLast="0" w:name="_2et92p0" w:id="5"/>
      <w:bookmarkEnd w:id="5"/>
      <w:r w:rsidR="00000000" w:rsidDel="00000000" w:rsidRPr="00000000">
        <w:rPr>
          <w:rtl w:val="0"/>
          <w:b/>
          <w:color w:val="000000"/>
          <w:rFonts w:ascii="Times New Roman" w:cs="Times New Roman" w:eastAsia="Times New Roman" w:hAnsi="Times New Roman"/>
          <w:sz w:val="28"/>
          <w:szCs w:val="28"/>
        </w:rPr>
        <w:t>Approaches to Coordinating Community Engagement between Partners</w:t>
      </w:r>
    </w:p>
    <w:p w:rsidR="00000000" w:rsidDel="00000000" w:rsidRDefault="00000000" w14:paraId="0000003F"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In the case of project planning, a structured approach is used to coordinate community engagement. Planning for the future is a key aspect of community engagement projects and it involves developing a Project Charter that will be used to prepare a draft action plan and documents, such as feasibility study or development plan reports and evaluation reports (Rosenberg, 2016). The right kind of coordination can be essential in building coordination between partners and can lead to more successful outcomes, such as: Establishing clear communication channels; Sharing resources (e.g. office space); and Fostering a sense of solidarity.</w:t>
      </w:r>
    </w:p>
    <w:p w:rsidR="00000000" w:rsidDel="00000000" w:rsidRDefault="00000000" w14:paraId="00000040" w:rsidP="00000000" w:rsidRPr="00000000">
      <w:pPr>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challenge for community engagement is to make sure that the project is conceived in a holistic way, so as to ensure that all stakeholders become involved in the process at a suitable stage (CDC, 2018). It can be difficult to strike a balance between engagement of different groups, ensuring that some are not left out of the project. A number of approaches have been developed by ReThink Glasgow, which implement these concepts. This section will attempt to explain these approaches and how they are used by ReThink Glasgow staff. The current community development project in climate change focuses on engaging people affected by climate change and helping to support citizens' groups working to implement community-based solutions.</w:t>
      </w:r>
    </w:p>
    <w:p w:rsidR="00000000" w:rsidDel="00000000" w:rsidRDefault="00000000" w14:paraId="00000041"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This is a participatory project that works with different stakeholders in Glasgow. The project aims to increase awareness of climate change issues and to empower people in terms of the choices that they can make about the climate change mitigation options available to them (CDC, 2018). The project will contribute to the achievement of Glasgow's Climate Change Action Plan by: Identifying community resources for supporting citizen's groups; Building partnerships between citizen's groups and other city bodies; Developing guidance for citizen's groups; and Supporting communication activities between citizens' groups (ReThink Glasgow, 2022).</w:t>
      </w:r>
    </w:p>
    <w:p w:rsidR="00000000" w:rsidDel="00000000" w:rsidRDefault="00000000" w14:paraId="00000042"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43" w:rsidP="00000000" w:rsidRPr="00000000">
      <w:pPr>
        <w:pStyle w:val="Heading1"/>
        <w:spacing w:line="480" w:lineRule="auto"/>
        <w:rPr>
          <w:b/>
          <w:color w:val="000000"/>
          <w:rFonts w:ascii="Times New Roman" w:cs="Times New Roman" w:eastAsia="Times New Roman" w:hAnsi="Times New Roman"/>
          <w:sz w:val="28"/>
          <w:szCs w:val="28"/>
        </w:rPr>
      </w:pPr>
      <w:bookmarkStart w:colFirst="0" w:colLast="0" w:name="_tyjcwt" w:id="6"/>
      <w:bookmarkEnd w:id="6"/>
      <w:r w:rsidR="00000000" w:rsidDel="00000000" w:rsidRPr="00000000">
        <w:rPr>
          <w:rtl w:val="0"/>
          <w:b/>
          <w:color w:val="000000"/>
          <w:rFonts w:ascii="Times New Roman" w:cs="Times New Roman" w:eastAsia="Times New Roman" w:hAnsi="Times New Roman"/>
          <w:sz w:val="28"/>
          <w:szCs w:val="28"/>
        </w:rPr>
        <w:t>Conduct community mapping</w:t>
      </w:r>
    </w:p>
    <w:p w:rsidR="00000000" w:rsidDel="00000000" w:rsidRDefault="00000000" w14:paraId="00000044"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Using the concept of mapping in terms of community engagement aims to involve users in identifying what needs to be done and who is doing this (Panek and Vlok, 2013). This will help to break down communication barriers and make those unable to communicate know about what is being done. It will also develop a clearer idea of the reach and influence of different groups, allowing for effective targeting of help or assistance. Mapping can be conducted using a variety of methods. This aspect will be explained using the Glasgow Climate Change Action Plan as an example of how mapping can be used to support collaboration with community organisations.</w:t>
      </w:r>
    </w:p>
    <w:p w:rsidR="00000000" w:rsidDel="00000000" w:rsidRDefault="00000000" w14:paraId="00000045"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participants in the mapping exercise are asked to indicate their areas of interest, which are typically group-specific (e.g., 'schools', 'community groups', etc.). All participants identify the things that they would like to see happening in order to develop climate change adaptation strategies and projects in their areas (Murphy, 2013). This includes: Groups currently working on climate change issues; Groups that are interested in developing strategies or projects; and Groups that are interested but not sure what they should be doing exactly.</w:t>
      </w:r>
    </w:p>
    <w:p w:rsidR="00000000" w:rsidDel="00000000" w:rsidRDefault="00000000" w14:paraId="00000046" w:rsidP="00000000" w:rsidRPr="00000000">
      <w:pPr>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result of the exercise is a report that includes: A list of interested groups; and A description of the climate change adaptation strategies and projects currently being developed (Murphy, 2013). Using this report as a template, ReThink Glasgow will contact groups that are not involved in climate change work at present to get feedback on how this report can be used to improve community engagement strategies. This will also give ReThink Glasgow staff the chance to offer help with project planning or funding applications for projects (ReThink Glasgow, 2022). In conclusion, it is vital for organisations that are developing community engagement strategies to engage with individuals from different communities and groups in order to understand their needs and wants. This understanding will result in better collaboration when it comes to building community engagement projects.</w:t>
      </w:r>
    </w:p>
    <w:p w:rsidR="00000000" w:rsidDel="00000000" w:rsidRDefault="00000000" w14:paraId="00000047"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48" w:rsidP="00000000" w:rsidRPr="00000000">
      <w:pPr>
        <w:pStyle w:val="Heading1"/>
        <w:spacing w:line="480" w:lineRule="auto"/>
        <w:rPr>
          <w:b/>
          <w:color w:val="000000"/>
          <w:rFonts w:ascii="Times New Roman" w:cs="Times New Roman" w:eastAsia="Times New Roman" w:hAnsi="Times New Roman"/>
          <w:sz w:val="28"/>
          <w:szCs w:val="28"/>
        </w:rPr>
      </w:pPr>
      <w:bookmarkStart w:colFirst="0" w:colLast="0" w:name="_3dy6vkm" w:id="7"/>
      <w:bookmarkEnd w:id="7"/>
      <w:r w:rsidR="00000000" w:rsidDel="00000000" w:rsidRPr="00000000">
        <w:rPr>
          <w:rtl w:val="0"/>
          <w:b/>
          <w:color w:val="000000"/>
          <w:rFonts w:ascii="Times New Roman" w:cs="Times New Roman" w:eastAsia="Times New Roman" w:hAnsi="Times New Roman"/>
          <w:sz w:val="28"/>
          <w:szCs w:val="28"/>
        </w:rPr>
        <w:t>Social engagement through social media platforms</w:t>
      </w:r>
    </w:p>
    <w:p w:rsidR="00000000" w:rsidDel="00000000" w:rsidRDefault="00000000" w14:paraId="00000049"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use of social media platforms has grown exponentially over the last few years, with Facebook being the most popular platform (Walsh et al., 2021). Considerable numbers of people are using social media platforms to connect with others who share their interests or to promote themselves and their causes (Waters et al., 2009). Social engagement through social media can be classified under two main headings: Regular engagement – this involves interested parties sending messages on Facebook or Twitter asking for an opinion or support for a specific cause; Event-based engagement – this involves interested parties sending messages on such platforms prior to a specific event (e.g. in relation to a sporting match or conference, etc.).</w:t>
      </w:r>
    </w:p>
    <w:p w:rsidR="00000000" w:rsidDel="00000000" w:rsidRDefault="00000000" w14:paraId="0000004A" w:rsidP="00000000" w:rsidRPr="00000000">
      <w:pPr>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strategies outlined below focus on regular engagement through social media platforms. ReThink Glasgow staff have worked with the Yes for Glasgow campaign to promote events through Twitter and Facebook. This campaign is based in North Kelvinside and aims to promote recreation opportunities from the local area (ReThink Glasgow, 2022). This has resulted in more people taking an interest in this type of event. The most popular events promoted through social media were the annual Highland Games and the various street festivals held by a community group called 'Concrete Concrete'.</w:t>
      </w:r>
    </w:p>
    <w:p w:rsidR="00000000" w:rsidDel="00000000" w:rsidRDefault="00000000" w14:paraId="0000004B"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4C" w:rsidP="00000000" w:rsidRPr="00000000">
      <w:pPr>
        <w:pStyle w:val="Heading1"/>
        <w:spacing w:line="480" w:lineRule="auto"/>
        <w:rPr>
          <w:b/>
          <w:color w:val="000000"/>
          <w:rFonts w:ascii="Times New Roman" w:cs="Times New Roman" w:eastAsia="Times New Roman" w:hAnsi="Times New Roman"/>
          <w:sz w:val="28"/>
          <w:szCs w:val="28"/>
        </w:rPr>
      </w:pPr>
      <w:bookmarkStart w:colFirst="0" w:colLast="0" w:name="_1t3h5sf" w:id="8"/>
      <w:bookmarkEnd w:id="8"/>
      <w:r w:rsidR="00000000" w:rsidDel="00000000" w:rsidRPr="00000000">
        <w:rPr>
          <w:rtl w:val="0"/>
          <w:b/>
          <w:color w:val="000000"/>
          <w:rFonts w:ascii="Times New Roman" w:cs="Times New Roman" w:eastAsia="Times New Roman" w:hAnsi="Times New Roman"/>
          <w:sz w:val="28"/>
          <w:szCs w:val="28"/>
        </w:rPr>
        <w:t>Conclusion</w:t>
      </w:r>
    </w:p>
    <w:p w:rsidR="00000000" w:rsidDel="00000000" w:rsidRDefault="00000000" w14:paraId="0000004D"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In conclusion, a wide range of tools can be used to engage with individuals and groups in the community. These include community mapping, regular engagement through social media platforms, and event-based engagement. These strategies are useful in engaging interested parties and attracting them to specific events organised by ReThink Glasgow or other partners. Mainly, however, these strategies have the capacity to promote collaborations and make communities aware of the impact climate change is having on them.</w:t>
      </w:r>
    </w:p>
    <w:p w:rsidR="00000000" w:rsidDel="00000000" w:rsidRDefault="00000000" w14:paraId="0000004E"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ReThink Glasgow has a number of partners who develop projects and methods in relation to community engagement. ReThink Glasgow will promote these projects, share their experience and help those involved to improve their work. ReThink Glasgow staff will also be involved in the planning of projects, including funding applications for projects. This will help to ensure that funds are used as effectively as possible and in accordance with policy guidelines. The website is being developed as a place where members of the community can find up-to-date information about what ReThink Glasgow does and about how climate change impacts on the city. In addition, this website will act as a tool for promoting our work and keeping interested parties up to date with ReThink Glasgow's activities. </w:t>
      </w:r>
    </w:p>
    <w:p w:rsidR="00000000" w:rsidDel="00000000" w:rsidRDefault="00000000" w14:paraId="0000004F"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ReThink Glasgow staff are eager to be involved in community engagement strategies. We are keen to share what we know with individuals and groups in communities across Glasgow. We feel that this is an effective way of contributing to climate change actions in the city. Information sharing will be promoted through social media platforms, events, seminars and workshops available during ReThink Week (a week dedicated to community engagement).</w:t>
      </w:r>
    </w:p>
    <w:p w:rsidR="00000000" w:rsidDel="00000000" w:rsidRDefault="00000000" w14:paraId="00000050"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1"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2"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3"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4"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rsidR="00000000" w:rsidDel="00000000" w:rsidRDefault="00000000" w14:paraId="00000055"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6" w:rsidP="00000000" w:rsidRPr="00000000">
      <w:pPr>
        <w:pStyle w:val="Heading1"/>
        <w:spacing w:line="480" w:lineRule="auto"/>
        <w:rPr>
          <w:b/>
          <w:color w:val="000000"/>
          <w:rFonts w:ascii="Times New Roman" w:cs="Times New Roman" w:eastAsia="Times New Roman" w:hAnsi="Times New Roman"/>
          <w:sz w:val="28"/>
          <w:szCs w:val="28"/>
        </w:rPr>
      </w:pPr>
      <w:bookmarkStart w:colFirst="0" w:colLast="0" w:name="_a66hucbf3044" w:id="9"/>
      <w:bookmarkEnd w:id="9"/>
      <w:r w:rsidR="00000000" w:rsidDel="00000000" w:rsidRPr="00000000">
        <w:rPr>
          <w:rtl w:val="0"/>
          <w:b/>
          <w:color w:val="000000"/>
          <w:rFonts w:ascii="Times New Roman" w:cs="Times New Roman" w:eastAsia="Times New Roman" w:hAnsi="Times New Roman"/>
          <w:sz w:val="28"/>
          <w:szCs w:val="28"/>
        </w:rPr>
        <w:t>References</w:t>
      </w:r>
    </w:p>
    <w:p w:rsidR="00000000" w:rsidDel="00000000" w:rsidRDefault="00000000" w14:paraId="0000005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u w:val="none"/>
          <w:strike w:val="0"/>
          <w:rFonts w:ascii="Times New Roman" w:cs="Times New Roman" w:eastAsia="Times New Roman" w:hAnsi="Times New Roman"/>
          <w:sz w:val="24"/>
          <w:szCs w:val="24"/>
          <w:smallCaps w:val="0"/>
          <w:shd w:fill="auto" w:val="clear"/>
        </w:rPr>
      </w:pPr>
      <w:bookmarkStart w:colFirst="0" w:colLast="0" w:name="_4d34og8" w:id="10"/>
      <w:bookmarkEnd w:id="10"/>
      <w:r w:rsidR="00000000" w:rsidDel="00000000" w:rsidRPr="00000000">
        <w:rPr>
          <w:rtl w:val="0"/>
          <w:i w:val="0"/>
          <w:u w:val="none"/>
          <w:strike w:val="0"/>
          <w:rFonts w:ascii="Times New Roman" w:cs="Times New Roman" w:eastAsia="Times New Roman" w:hAnsi="Times New Roman"/>
          <w:sz w:val="24"/>
          <w:szCs w:val="24"/>
          <w:smallCaps w:val="0"/>
          <w:shd w:fill="auto" w:val="clear"/>
        </w:rPr>
        <w:t>Cdc. (2018). </w:t>
      </w:r>
      <w:r w:rsidR="00000000" w:rsidDel="00000000" w:rsidRPr="00000000">
        <w:rPr>
          <w:rtl w:val="0"/>
          <w:i/>
          <w:u w:val="none"/>
          <w:strike w:val="0"/>
          <w:rFonts w:ascii="Times New Roman" w:cs="Times New Roman" w:eastAsia="Times New Roman" w:hAnsi="Times New Roman"/>
          <w:sz w:val="24"/>
          <w:szCs w:val="24"/>
          <w:smallCaps w:val="0"/>
          <w:shd w:fill="auto" w:val="clear"/>
        </w:rPr>
        <w:t>Chapter 1: What Is Community Engagement? | Principles of Community</w:t>
      </w:r>
    </w:p>
    <w:p w:rsidR="00000000" w:rsidDel="00000000" w:rsidRDefault="00000000" w14:paraId="0000005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u w:val="none"/>
          <w:strike w:val="0"/>
          <w:rFonts w:ascii="Times New Roman" w:cs="Times New Roman" w:eastAsia="Times New Roman" w:hAnsi="Times New Roman"/>
          <w:sz w:val="24"/>
          <w:szCs w:val="24"/>
          <w:smallCaps w:val="0"/>
          <w:shd w:fill="auto" w:val="clear"/>
        </w:rPr>
        <w:t>Engagement | ATSDR</w:t>
      </w: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 [online] Available at: https://www.atsdr.cdc.gov/communityengagement/pce_what.html [Accessed </w:t>
      </w:r>
      <w:r w:rsidR="00000000" w:rsidDel="00000000" w:rsidRPr="00000000">
        <w:rPr>
          <w:rtl w:val="0"/>
          <w:rFonts w:ascii="Times New Roman" w:cs="Times New Roman" w:eastAsia="Times New Roman" w:hAnsi="Times New Roman"/>
          <w:sz w:val="24"/>
          <w:szCs w:val="24"/>
        </w:rPr>
        <w:t>6</w:t>
      </w: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 Apr. 2022].</w:t>
      </w:r>
    </w:p>
    <w:p w:rsidR="00000000" w:rsidDel="00000000" w:rsidRDefault="00000000" w14:paraId="0000005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‌Community Planning toolkit Community Engagement. (n.d.). [online] Available at:</w:t>
      </w:r>
    </w:p>
    <w:p w:rsidR="00000000" w:rsidDel="00000000" w:rsidRDefault="00000000" w14:paraId="0000005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72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hyperlink r:id="rId6">
        <w:r w:rsidR="00000000" w:rsidDel="00000000" w:rsidRPr="00000000">
          <w:rPr>
            <w:rtl w:val="0"/>
            <w:i w:val="0"/>
            <w:u w:val="single"/>
            <w:strike w:val="0"/>
            <w:rFonts w:ascii="Times New Roman" w:cs="Times New Roman" w:eastAsia="Times New Roman" w:hAnsi="Times New Roman"/>
            <w:sz w:val="24"/>
            <w:szCs w:val="24"/>
            <w:smallCaps w:val="0"/>
            <w:shd w:fill="auto" w:val="clear"/>
          </w:rPr>
          <w:t>https://www.communityplanningtoolkit.org/sites/default/files/Engagement.pdf</w:t>
        </w:r>
      </w:hyperlink>
      <w:r w:rsidR="00000000" w:rsidDel="00000000" w:rsidRPr="00000000">
        <w:rPr>
          <w:rtl w:val="0"/>
          <w:i w:val="0"/>
          <w:u w:val="none"/>
          <w:strike w:val="0"/>
          <w:rFonts w:ascii="Times New Roman" w:cs="Times New Roman" w:eastAsia="Times New Roman" w:hAnsi="Times New Roman"/>
          <w:sz w:val="24"/>
          <w:szCs w:val="24"/>
          <w:smallCaps w:val="0"/>
          <w:shd w:fill="auto" w:val="clear"/>
        </w:rPr>
        <w:t>.</w:t>
      </w:r>
    </w:p>
    <w:p w:rsidR="00000000" w:rsidDel="00000000" w:rsidRDefault="00000000" w14:paraId="0000005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Cdc. (2018). </w:t>
      </w:r>
      <w:r w:rsidR="00000000" w:rsidDel="00000000" w:rsidRPr="00000000">
        <w:rPr>
          <w:rtl w:val="0"/>
          <w:i/>
          <w:u w:val="none"/>
          <w:strike w:val="0"/>
          <w:rFonts w:ascii="Times New Roman" w:cs="Times New Roman" w:eastAsia="Times New Roman" w:hAnsi="Times New Roman"/>
          <w:sz w:val="24"/>
          <w:szCs w:val="24"/>
          <w:smallCaps w:val="0"/>
          <w:shd w:fill="auto" w:val="clear"/>
        </w:rPr>
        <w:t>Chapter 2: Before Starting a Community Engagement Effort | Principles of</w:t>
      </w:r>
    </w:p>
    <w:p w:rsidR="00000000" w:rsidDel="00000000" w:rsidRDefault="00000000" w14:paraId="0000005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u w:val="none"/>
          <w:strike w:val="0"/>
          <w:rFonts w:ascii="Times New Roman" w:cs="Times New Roman" w:eastAsia="Times New Roman" w:hAnsi="Times New Roman"/>
          <w:sz w:val="24"/>
          <w:szCs w:val="24"/>
          <w:smallCaps w:val="0"/>
          <w:shd w:fill="auto" w:val="clear"/>
        </w:rPr>
        <w:t>Community Engagement | ATSDR</w:t>
      </w: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 [online] Available at: https://www.atsdr.cdc.gov/communityengagement/pce_principles_starting.html [Accessed </w:t>
      </w:r>
      <w:r w:rsidR="00000000" w:rsidDel="00000000" w:rsidRPr="00000000">
        <w:rPr>
          <w:rtl w:val="0"/>
          <w:rFonts w:ascii="Times New Roman" w:cs="Times New Roman" w:eastAsia="Times New Roman" w:hAnsi="Times New Roman"/>
          <w:sz w:val="24"/>
          <w:szCs w:val="24"/>
        </w:rPr>
        <w:t>8</w:t>
      </w: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 Apr. 2022].</w:t>
      </w:r>
    </w:p>
    <w:p w:rsidR="00000000" w:rsidDel="00000000" w:rsidRDefault="00000000" w14:paraId="0000005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‌De Weger, E., Van Vooren, N., Luijkx, K.G., Baan, C.A. and Drewes, H.W. (2018).</w:t>
      </w:r>
    </w:p>
    <w:p w:rsidR="00000000" w:rsidDel="00000000" w:rsidRDefault="00000000" w14:paraId="0000005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Achieving successful community engagement: a rapid realist review. </w:t>
      </w:r>
      <w:r w:rsidR="00000000" w:rsidDel="00000000" w:rsidRPr="00000000">
        <w:rPr>
          <w:rtl w:val="0"/>
          <w:i/>
          <w:u w:val="none"/>
          <w:strike w:val="0"/>
          <w:rFonts w:ascii="Times New Roman" w:cs="Times New Roman" w:eastAsia="Times New Roman" w:hAnsi="Times New Roman"/>
          <w:sz w:val="24"/>
          <w:szCs w:val="24"/>
          <w:smallCaps w:val="0"/>
          <w:shd w:fill="auto" w:val="clear"/>
        </w:rPr>
        <w:t>BMC Health Services Research</w:t>
      </w:r>
      <w:r w:rsidR="00000000" w:rsidDel="00000000" w:rsidRPr="00000000">
        <w:rPr>
          <w:rtl w:val="0"/>
          <w:i w:val="0"/>
          <w:u w:val="none"/>
          <w:strike w:val="0"/>
          <w:rFonts w:ascii="Times New Roman" w:cs="Times New Roman" w:eastAsia="Times New Roman" w:hAnsi="Times New Roman"/>
          <w:sz w:val="24"/>
          <w:szCs w:val="24"/>
          <w:smallCaps w:val="0"/>
          <w:shd w:fill="auto" w:val="clear"/>
        </w:rPr>
        <w:t>, [online] 18(1). Available at: https://bmchealthservres.biomedcentral.com/articles/10.1186/s12913-018-3090-1 [Accessed 9 Apr. 2022].</w:t>
      </w:r>
    </w:p>
    <w:p w:rsidR="00000000" w:rsidDel="00000000" w:rsidRDefault="00000000" w14:paraId="0000005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Gilmore, B., Ndejjo, R., Tchetchia, A., de Claro, V., Mago, E., Diallo, A.A., Lopes, C. And</w:t>
      </w:r>
    </w:p>
    <w:p w:rsidR="00000000" w:rsidDel="00000000" w:rsidRDefault="00000000" w14:paraId="0000006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Bhattacharyya, S. (2020). Community engagement for COVID-19 prevention and control: a rapid evidence synthesis. </w:t>
      </w:r>
      <w:r w:rsidR="00000000" w:rsidDel="00000000" w:rsidRPr="00000000">
        <w:rPr>
          <w:rtl w:val="0"/>
          <w:i/>
          <w:u w:val="none"/>
          <w:strike w:val="0"/>
          <w:rFonts w:ascii="Times New Roman" w:cs="Times New Roman" w:eastAsia="Times New Roman" w:hAnsi="Times New Roman"/>
          <w:sz w:val="24"/>
          <w:szCs w:val="24"/>
          <w:smallCaps w:val="0"/>
          <w:shd w:fill="auto" w:val="clear"/>
        </w:rPr>
        <w:t>BMJ Global Health</w:t>
      </w:r>
      <w:r w:rsidR="00000000" w:rsidDel="00000000" w:rsidRPr="00000000">
        <w:rPr>
          <w:rtl w:val="0"/>
          <w:i w:val="0"/>
          <w:u w:val="none"/>
          <w:strike w:val="0"/>
          <w:rFonts w:ascii="Times New Roman" w:cs="Times New Roman" w:eastAsia="Times New Roman" w:hAnsi="Times New Roman"/>
          <w:sz w:val="24"/>
          <w:szCs w:val="24"/>
          <w:smallCaps w:val="0"/>
          <w:shd w:fill="auto" w:val="clear"/>
        </w:rPr>
        <w:t>, [online] 5(10), p.e003188. Available at: https://gh.bmj.com/content/5/10/e003188.abstract [Accessed 9 Apr. 2022].</w:t>
      </w:r>
    </w:p>
    <w:p w:rsidR="00000000" w:rsidDel="00000000" w:rsidRDefault="00000000" w14:paraId="0000006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bookmarkStart w:colFirst="0" w:colLast="0" w:name="_2s8eyo1" w:id="11"/>
      <w:bookmarkEnd w:id="11"/>
      <w:r w:rsidR="00000000" w:rsidDel="00000000" w:rsidRPr="00000000">
        <w:rPr>
          <w:rtl w:val="0"/>
          <w:i w:val="0"/>
          <w:u w:val="none"/>
          <w:strike w:val="0"/>
          <w:rFonts w:ascii="Times New Roman" w:cs="Times New Roman" w:eastAsia="Times New Roman" w:hAnsi="Times New Roman"/>
          <w:sz w:val="24"/>
          <w:szCs w:val="24"/>
          <w:smallCaps w:val="0"/>
          <w:shd w:fill="auto" w:val="clear"/>
        </w:rPr>
        <w:t>‌ Murphy, F. G. (2013). Community engagement, organization, and development for public</w:t>
      </w:r>
    </w:p>
    <w:p w:rsidR="00000000" w:rsidDel="00000000" w:rsidRDefault="00000000" w14:paraId="0000006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health practice. New York: Springer. Natarajarathinam, M., Qiu, S. and Lu, W. (2021). Community engagement in engineering education: A systematic literature review. </w:t>
      </w:r>
      <w:r w:rsidR="00000000" w:rsidDel="00000000" w:rsidRPr="00000000">
        <w:rPr>
          <w:rtl w:val="0"/>
          <w:i/>
          <w:u w:val="none"/>
          <w:strike w:val="0"/>
          <w:rFonts w:ascii="Times New Roman" w:cs="Times New Roman" w:eastAsia="Times New Roman" w:hAnsi="Times New Roman"/>
          <w:sz w:val="24"/>
          <w:szCs w:val="24"/>
          <w:smallCaps w:val="0"/>
          <w:shd w:fill="auto" w:val="clear"/>
        </w:rPr>
        <w:t>Journal of Engineering Education</w:t>
      </w: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 [online] 110(4), pp.1049–1077. Available at: https://onlinelibrary.wiley.com/doi/full/10.1002/jee.20424 [Accessed </w:t>
      </w:r>
      <w:r w:rsidR="00000000" w:rsidDel="00000000" w:rsidRPr="00000000">
        <w:rPr>
          <w:rtl w:val="0"/>
          <w:rFonts w:ascii="Times New Roman" w:cs="Times New Roman" w:eastAsia="Times New Roman" w:hAnsi="Times New Roman"/>
          <w:sz w:val="24"/>
          <w:szCs w:val="24"/>
        </w:rPr>
        <w:t xml:space="preserve">7 </w:t>
      </w:r>
      <w:r w:rsidR="00000000" w:rsidDel="00000000" w:rsidRPr="00000000">
        <w:rPr>
          <w:rtl w:val="0"/>
          <w:i w:val="0"/>
          <w:u w:val="none"/>
          <w:strike w:val="0"/>
          <w:rFonts w:ascii="Times New Roman" w:cs="Times New Roman" w:eastAsia="Times New Roman" w:hAnsi="Times New Roman"/>
          <w:sz w:val="24"/>
          <w:szCs w:val="24"/>
          <w:smallCaps w:val="0"/>
          <w:shd w:fill="auto" w:val="clear"/>
        </w:rPr>
        <w:t>Apr. 2022].</w:t>
      </w:r>
    </w:p>
    <w:p w:rsidR="00000000" w:rsidDel="00000000" w:rsidRDefault="00000000" w14:paraId="0000006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u w:val="none"/>
          <w:strike w:val="0"/>
          <w:rFonts w:ascii="Times New Roman" w:cs="Times New Roman" w:eastAsia="Times New Roman" w:hAnsi="Times New Roman"/>
          <w:sz w:val="24"/>
          <w:szCs w:val="24"/>
          <w:smallCaps w:val="0"/>
          <w:shd w:fill="auto" w:val="clear"/>
        </w:rPr>
      </w:pPr>
      <w:bookmarkStart w:colFirst="0" w:colLast="0" w:name="_17dp8vu" w:id="12"/>
      <w:bookmarkEnd w:id="12"/>
      <w:r w:rsidR="00000000" w:rsidDel="00000000" w:rsidRPr="00000000">
        <w:rPr>
          <w:rtl w:val="0"/>
          <w:i w:val="0"/>
          <w:u w:val="none"/>
          <w:strike w:val="0"/>
          <w:rFonts w:ascii="Times New Roman" w:cs="Times New Roman" w:eastAsia="Times New Roman" w:hAnsi="Times New Roman"/>
          <w:sz w:val="24"/>
          <w:szCs w:val="24"/>
          <w:smallCaps w:val="0"/>
          <w:shd w:fill="auto" w:val="clear"/>
        </w:rPr>
        <w:t>Panek, J. and Vlok, A.C. (2013). </w:t>
      </w:r>
      <w:r w:rsidR="00000000" w:rsidDel="00000000" w:rsidRPr="00000000">
        <w:rPr>
          <w:rtl w:val="0"/>
          <w:i/>
          <w:u w:val="none"/>
          <w:strike w:val="0"/>
          <w:rFonts w:ascii="Times New Roman" w:cs="Times New Roman" w:eastAsia="Times New Roman" w:hAnsi="Times New Roman"/>
          <w:sz w:val="24"/>
          <w:szCs w:val="24"/>
          <w:smallCaps w:val="0"/>
          <w:shd w:fill="auto" w:val="clear"/>
        </w:rPr>
        <w:t>Participatory mapping as a tool for community empow-</w:t>
      </w:r>
    </w:p>
    <w:p w:rsidR="00000000" w:rsidDel="00000000" w:rsidRDefault="00000000" w14:paraId="0000006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u w:val="none"/>
          <w:strike w:val="0"/>
          <w:rFonts w:ascii="Times New Roman" w:cs="Times New Roman" w:eastAsia="Times New Roman" w:hAnsi="Times New Roman"/>
          <w:sz w:val="24"/>
          <w:szCs w:val="24"/>
          <w:smallCaps w:val="0"/>
          <w:shd w:fill="auto" w:val="clear"/>
        </w:rPr>
        <w:t>erment – a case study of community engagement in Kof-...</w:t>
      </w: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 [online] ResearchGate. Available at: https://www.researchgate.net/publication/269393469_Participatory_mapping_as_a_tool_for_community_empow-_erment_-_a_case_study_of_community_engagement_in_Kof-_fiekraal_South_Africa [Accessed </w:t>
      </w:r>
      <w:r w:rsidR="00000000" w:rsidDel="00000000" w:rsidRPr="00000000">
        <w:rPr>
          <w:rtl w:val="0"/>
          <w:rFonts w:ascii="Times New Roman" w:cs="Times New Roman" w:eastAsia="Times New Roman" w:hAnsi="Times New Roman"/>
          <w:sz w:val="24"/>
          <w:szCs w:val="24"/>
        </w:rPr>
        <w:t>7</w:t>
      </w: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 Apr. 2022].</w:t>
      </w:r>
    </w:p>
    <w:p w:rsidR="00000000" w:rsidDel="00000000" w:rsidRDefault="00000000" w14:paraId="0000006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‌Rosenberg, J. (2016). </w:t>
      </w:r>
      <w:r w:rsidR="00000000" w:rsidDel="00000000" w:rsidRPr="00000000">
        <w:rPr>
          <w:rtl w:val="0"/>
          <w:i/>
          <w:u w:val="none"/>
          <w:strike w:val="0"/>
          <w:rFonts w:ascii="Times New Roman" w:cs="Times New Roman" w:eastAsia="Times New Roman" w:hAnsi="Times New Roman"/>
          <w:sz w:val="24"/>
          <w:szCs w:val="24"/>
          <w:smallCaps w:val="0"/>
          <w:shd w:fill="auto" w:val="clear"/>
        </w:rPr>
        <w:t>Linkage strategies for successful and sustainable partnerships: a</w:t>
      </w:r>
    </w:p>
    <w:p w:rsidR="00000000" w:rsidDel="00000000" w:rsidRDefault="00000000" w14:paraId="0000006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u w:val="none"/>
          <w:strike w:val="0"/>
          <w:rFonts w:ascii="Times New Roman" w:cs="Times New Roman" w:eastAsia="Times New Roman" w:hAnsi="Times New Roman"/>
          <w:sz w:val="24"/>
          <w:szCs w:val="24"/>
          <w:smallCaps w:val="0"/>
          <w:shd w:fill="auto" w:val="clear"/>
        </w:rPr>
        <w:t>practical framework for community engagement by palliative care services</w:t>
      </w:r>
      <w:r w:rsidR="00000000" w:rsidDel="00000000" w:rsidRPr="00000000">
        <w:rPr>
          <w:rtl w:val="0"/>
          <w:i w:val="0"/>
          <w:u w:val="none"/>
          <w:strike w:val="0"/>
          <w:rFonts w:ascii="Times New Roman" w:cs="Times New Roman" w:eastAsia="Times New Roman" w:hAnsi="Times New Roman"/>
          <w:sz w:val="24"/>
          <w:szCs w:val="24"/>
          <w:smallCaps w:val="0"/>
          <w:shd w:fill="auto" w:val="clear"/>
        </w:rPr>
        <w:t>. [online] Europepmc.org. Available at: https://europepmc.org/article/med/29402105 [Accessed 9 Apr. 2022].</w:t>
      </w:r>
    </w:p>
    <w:p w:rsidR="00000000" w:rsidDel="00000000" w:rsidRDefault="00000000" w14:paraId="0000006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bookmarkStart w:colFirst="0" w:colLast="0" w:name="_3rdcrjn" w:id="13"/>
      <w:bookmarkEnd w:id="13"/>
      <w:r w:rsidR="00000000" w:rsidDel="00000000" w:rsidRPr="00000000">
        <w:rPr>
          <w:rtl w:val="0"/>
          <w:i w:val="0"/>
          <w:u w:val="none"/>
          <w:strike w:val="0"/>
          <w:rFonts w:ascii="Times New Roman" w:cs="Times New Roman" w:eastAsia="Times New Roman" w:hAnsi="Times New Roman"/>
          <w:sz w:val="24"/>
          <w:szCs w:val="24"/>
          <w:smallCaps w:val="0"/>
          <w:shd w:fill="auto" w:val="clear"/>
        </w:rPr>
        <w:t>ReThink Glasgow (2022). </w:t>
      </w:r>
      <w:r w:rsidR="00000000" w:rsidDel="00000000" w:rsidRPr="00000000">
        <w:rPr>
          <w:rtl w:val="0"/>
          <w:i/>
          <w:u w:val="none"/>
          <w:strike w:val="0"/>
          <w:rFonts w:ascii="Times New Roman" w:cs="Times New Roman" w:eastAsia="Times New Roman" w:hAnsi="Times New Roman"/>
          <w:sz w:val="24"/>
          <w:szCs w:val="24"/>
          <w:smallCaps w:val="0"/>
          <w:shd w:fill="auto" w:val="clear"/>
        </w:rPr>
        <w:t>About Rethink Glasgow</w:t>
      </w:r>
      <w:r w:rsidR="00000000" w:rsidDel="00000000" w:rsidRPr="00000000">
        <w:rPr>
          <w:rtl w:val="0"/>
          <w:i w:val="0"/>
          <w:u w:val="none"/>
          <w:strike w:val="0"/>
          <w:rFonts w:ascii="Times New Roman" w:cs="Times New Roman" w:eastAsia="Times New Roman" w:hAnsi="Times New Roman"/>
          <w:sz w:val="24"/>
          <w:szCs w:val="24"/>
          <w:smallCaps w:val="0"/>
          <w:shd w:fill="auto" w:val="clear"/>
        </w:rPr>
        <w:t>. [online] Commonplace.is. Available at:</w:t>
      </w:r>
    </w:p>
    <w:p w:rsidR="00000000" w:rsidDel="00000000" w:rsidRDefault="00000000" w14:paraId="0000006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https://rethinkglasgow.commonplace.is/about#:~:text=The%20initiative%20develops%20ideas%20and,more%20resilient%20and%20more%20vibrant. [Accessed </w:t>
      </w:r>
      <w:r w:rsidR="00000000" w:rsidDel="00000000" w:rsidRPr="00000000">
        <w:rPr>
          <w:rtl w:val="0"/>
          <w:rFonts w:ascii="Times New Roman" w:cs="Times New Roman" w:eastAsia="Times New Roman" w:hAnsi="Times New Roman"/>
          <w:sz w:val="24"/>
          <w:szCs w:val="24"/>
        </w:rPr>
        <w:t>6</w:t>
      </w: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 Apr. 2022].</w:t>
      </w:r>
    </w:p>
    <w:p w:rsidR="00000000" w:rsidDel="00000000" w:rsidRDefault="00000000" w14:paraId="0000006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ReThink Glasgow (2022). </w:t>
      </w:r>
      <w:r w:rsidR="00000000" w:rsidDel="00000000" w:rsidRPr="00000000">
        <w:rPr>
          <w:rtl w:val="0"/>
          <w:i/>
          <w:u w:val="none"/>
          <w:strike w:val="0"/>
          <w:rFonts w:ascii="Times New Roman" w:cs="Times New Roman" w:eastAsia="Times New Roman" w:hAnsi="Times New Roman"/>
          <w:sz w:val="24"/>
          <w:szCs w:val="24"/>
          <w:smallCaps w:val="0"/>
          <w:shd w:fill="auto" w:val="clear"/>
        </w:rPr>
        <w:t>How can we make Glasgow a better place to live in the face of the</w:t>
      </w:r>
    </w:p>
    <w:p w:rsidR="00000000" w:rsidDel="00000000" w:rsidRDefault="00000000" w14:paraId="0000006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u w:val="none"/>
          <w:strike w:val="0"/>
          <w:rFonts w:ascii="Times New Roman" w:cs="Times New Roman" w:eastAsia="Times New Roman" w:hAnsi="Times New Roman"/>
          <w:sz w:val="24"/>
          <w:szCs w:val="24"/>
          <w:smallCaps w:val="0"/>
          <w:shd w:fill="auto" w:val="clear"/>
        </w:rPr>
        <w:t>climate emergency?</w:t>
      </w:r>
      <w:r w:rsidR="00000000" w:rsidDel="00000000" w:rsidRPr="00000000">
        <w:rPr>
          <w:rtl w:val="0"/>
          <w:i w:val="0"/>
          <w:u w:val="none"/>
          <w:strike w:val="0"/>
          <w:rFonts w:ascii="Times New Roman" w:cs="Times New Roman" w:eastAsia="Times New Roman" w:hAnsi="Times New Roman"/>
          <w:sz w:val="24"/>
          <w:szCs w:val="24"/>
          <w:smallCaps w:val="0"/>
          <w:shd w:fill="auto" w:val="clear"/>
        </w:rPr>
        <w:t> [online] Commonplace.is. Available at: https://rethinkglasgow.commonplace.is/project-team [Accessed 8 Apr. 2022].</w:t>
      </w:r>
    </w:p>
    <w:p w:rsidR="00000000" w:rsidDel="00000000" w:rsidRDefault="00000000" w14:paraId="0000006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bookmarkStart w:colFirst="0" w:colLast="0" w:name="_26in1rg" w:id="14"/>
      <w:bookmarkEnd w:id="14"/>
      <w:r w:rsidR="00000000" w:rsidDel="00000000" w:rsidRPr="00000000">
        <w:rPr>
          <w:rtl w:val="0"/>
          <w:i w:val="0"/>
          <w:u w:val="none"/>
          <w:strike w:val="0"/>
          <w:rFonts w:ascii="Times New Roman" w:cs="Times New Roman" w:eastAsia="Times New Roman" w:hAnsi="Times New Roman"/>
          <w:sz w:val="24"/>
          <w:szCs w:val="24"/>
          <w:smallCaps w:val="0"/>
          <w:shd w:fill="auto" w:val="clear"/>
        </w:rPr>
        <w:t>Walsh, L., Hyett, N., Juniper, N., Li, C., Rodier, S. and Hill, S. (2021). The use of social</w:t>
      </w:r>
    </w:p>
    <w:p w:rsidR="00000000" w:rsidDel="00000000" w:rsidRDefault="00000000" w14:paraId="0000006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media as a tool for stakeholder engagement in health service design and quality improvement: A scoping review. </w:t>
      </w:r>
      <w:r w:rsidR="00000000" w:rsidDel="00000000" w:rsidRPr="00000000">
        <w:rPr>
          <w:rtl w:val="0"/>
          <w:i/>
          <w:u w:val="none"/>
          <w:strike w:val="0"/>
          <w:rFonts w:ascii="Times New Roman" w:cs="Times New Roman" w:eastAsia="Times New Roman" w:hAnsi="Times New Roman"/>
          <w:sz w:val="24"/>
          <w:szCs w:val="24"/>
          <w:smallCaps w:val="0"/>
          <w:shd w:fill="auto" w:val="clear"/>
        </w:rPr>
        <w:t>DIGITAL HEALTH</w:t>
      </w: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 [online] 7, p.205520762199687. Available at: https://journals.sagepub.com/doi/full/10.1177/2055207621996870 [Accessed </w:t>
      </w:r>
      <w:r w:rsidR="00000000" w:rsidDel="00000000" w:rsidRPr="00000000">
        <w:rPr>
          <w:rtl w:val="0"/>
          <w:rFonts w:ascii="Times New Roman" w:cs="Times New Roman" w:eastAsia="Times New Roman" w:hAnsi="Times New Roman"/>
          <w:sz w:val="24"/>
          <w:szCs w:val="24"/>
        </w:rPr>
        <w:t>10</w:t>
      </w:r>
      <w:r w:rsidR="00000000" w:rsidDel="00000000" w:rsidRPr="00000000">
        <w:rPr>
          <w:rtl w:val="0"/>
          <w:i w:val="0"/>
          <w:u w:val="none"/>
          <w:strike w:val="0"/>
          <w:rFonts w:ascii="Times New Roman" w:cs="Times New Roman" w:eastAsia="Times New Roman" w:hAnsi="Times New Roman"/>
          <w:sz w:val="24"/>
          <w:szCs w:val="24"/>
          <w:smallCaps w:val="0"/>
          <w:shd w:fill="auto" w:val="clear"/>
        </w:rPr>
        <w:t xml:space="preserve"> Apr. 2022].</w:t>
      </w:r>
    </w:p>
    <w:p w:rsidR="00000000" w:rsidDel="00000000" w:rsidRDefault="00000000" w14:paraId="0000006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i/>
          <w:u w:val="none"/>
          <w:strike w:val="0"/>
          <w:rFonts w:ascii="Times New Roman" w:cs="Times New Roman" w:eastAsia="Times New Roman" w:hAnsi="Times New Roman"/>
          <w:sz w:val="24"/>
          <w:szCs w:val="24"/>
          <w:smallCaps w:val="0"/>
          <w:shd w:fill="auto" w:val="clear"/>
        </w:rPr>
      </w:pPr>
      <w:bookmarkStart w:colFirst="0" w:colLast="0" w:name="_lnxbz9" w:id="15"/>
      <w:bookmarkEnd w:id="15"/>
      <w:r w:rsidR="00000000" w:rsidDel="00000000" w:rsidRPr="00000000">
        <w:rPr>
          <w:rtl w:val="0"/>
          <w:i w:val="0"/>
          <w:u w:val="none"/>
          <w:strike w:val="0"/>
          <w:rFonts w:ascii="Times New Roman" w:cs="Times New Roman" w:eastAsia="Times New Roman" w:hAnsi="Times New Roman"/>
          <w:sz w:val="24"/>
          <w:szCs w:val="24"/>
          <w:smallCaps w:val="0"/>
          <w:shd w:fill="auto" w:val="clear"/>
        </w:rPr>
        <w:t>‌Waters, R.D., Burnett, E., Lamm, A. and Lucas, J. (2009). </w:t>
      </w:r>
      <w:r w:rsidR="00000000" w:rsidDel="00000000" w:rsidRPr="00000000">
        <w:rPr>
          <w:rtl w:val="0"/>
          <w:i/>
          <w:u w:val="none"/>
          <w:strike w:val="0"/>
          <w:rFonts w:ascii="Times New Roman" w:cs="Times New Roman" w:eastAsia="Times New Roman" w:hAnsi="Times New Roman"/>
          <w:sz w:val="24"/>
          <w:szCs w:val="24"/>
          <w:smallCaps w:val="0"/>
          <w:shd w:fill="auto" w:val="clear"/>
        </w:rPr>
        <w:t>Engaging Stakeholders through</w:t>
      </w:r>
    </w:p>
    <w:p w:rsidR="00000000" w:rsidDel="00000000" w:rsidRDefault="00000000" w14:paraId="0000006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u w:val="none"/>
          <w:strike w:val="0"/>
          <w:rFonts w:ascii="Times New Roman" w:cs="Times New Roman" w:eastAsia="Times New Roman" w:hAnsi="Times New Roman"/>
          <w:sz w:val="24"/>
          <w:szCs w:val="24"/>
          <w:smallCaps w:val="0"/>
          <w:shd w:fill="auto" w:val="clear"/>
        </w:rPr>
        <w:t>Social Networking: How Nonprofit Organizations Are Using Facebook</w:t>
      </w:r>
      <w:r w:rsidR="00000000" w:rsidDel="00000000" w:rsidRPr="00000000">
        <w:rPr>
          <w:rtl w:val="0"/>
          <w:i w:val="0"/>
          <w:u w:val="none"/>
          <w:strike w:val="0"/>
          <w:rFonts w:ascii="Times New Roman" w:cs="Times New Roman" w:eastAsia="Times New Roman" w:hAnsi="Times New Roman"/>
          <w:sz w:val="24"/>
          <w:szCs w:val="24"/>
          <w:smallCaps w:val="0"/>
          <w:shd w:fill="auto" w:val="clear"/>
        </w:rPr>
        <w:t>. [online] ResearchGate. Available at: https://www.researchgate.net/publication/222649552_Engaging_Stakeholders_through_Social_Networking_How_Nonprofit_Organizations_Are_Using_Facebook [Accessed 9 Apr. 2022].</w:t>
      </w:r>
    </w:p>
    <w:p w:rsidR="00000000" w:rsidDel="00000000" w:rsidRDefault="00000000" w14:paraId="0000006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40" w:line="480"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7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40" w:line="480"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7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80" w:after="280" w:line="480"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w:t>
      </w:r>
    </w:p>
    <w:p w:rsidR="00000000" w:rsidDel="00000000" w:rsidRDefault="00000000" w14:paraId="0000007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80" w:after="280" w:line="480"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7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80" w:after="280" w:line="480"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i w:val="0"/>
          <w:u w:val="none"/>
          <w:strike w:val="0"/>
          <w:rFonts w:ascii="Times New Roman" w:cs="Times New Roman" w:eastAsia="Times New Roman" w:hAnsi="Times New Roman"/>
          <w:sz w:val="24"/>
          <w:szCs w:val="24"/>
          <w:smallCaps w:val="0"/>
          <w:shd w:fill="auto" w:val="clear"/>
        </w:rPr>
        <w:t>‌</w:t>
      </w:r>
    </w:p>
    <w:p w:rsidR="00000000" w:rsidDel="00000000" w:rsidRDefault="00000000" w14:paraId="0000007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80" w:after="160" w:line="480" w:lineRule="auto"/>
        <w:rPr>
          <w:i w:val="0"/>
          <w:u w:val="none"/>
          <w:strike w:val="0"/>
          <w:rFonts w:ascii="Times New Roman" w:cs="Times New Roman" w:eastAsia="Times New Roman" w:hAnsi="Times New Roman"/>
          <w:sz w:val="24"/>
          <w:szCs w:val="24"/>
          <w:smallCaps w:val="0"/>
          <w:shd w:fill="auto" w:val="clear"/>
        </w:rPr>
      </w:pPr>
      <w:r w:rsidR="00000000" w:rsidDel="00000000" w:rsidRPr="00000000">
        <w:rPr>
          <w:rtl w:val="0"/>
        </w:rPr>
      </w:r>
    </w:p>
    <w:sectPr>
      <w:headerReference r:id="rId7" w:type="default"/>
      <w:pgNumType w:start="1"/>
      <w:pgSz w:w="11906" w:h="16838"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Times New Roman"/>
  <w:font w:name="Cambria"/>
  <w:font w:name="Symbol"/>
  <w:font w:name="Courier New"/>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Community Engagement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communityplanningtoolkit.org/sites/default/files/Engagement.pdf" TargetMode="Externa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