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994285" w14:textId="7B1D6424" w:rsidR="00AC2132" w:rsidRDefault="00AC2132" w:rsidP="00AC2132">
      <w:pPr>
        <w:rPr>
          <w:lang w:val="bg-BG"/>
        </w:rPr>
      </w:pPr>
      <w:r>
        <w:rPr>
          <w:noProof/>
          <w:lang w:eastAsia="en-GB"/>
        </w:rPr>
        <w:drawing>
          <wp:inline distT="0" distB="0" distL="0" distR="0" wp14:anchorId="6C12FFDE" wp14:editId="2FEEE695">
            <wp:extent cx="3252324" cy="1346200"/>
            <wp:effectExtent l="0" t="0" r="571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57331" cy="1348272"/>
                    </a:xfrm>
                    <a:prstGeom prst="rect">
                      <a:avLst/>
                    </a:prstGeom>
                  </pic:spPr>
                </pic:pic>
              </a:graphicData>
            </a:graphic>
          </wp:inline>
        </w:drawing>
      </w:r>
    </w:p>
    <w:p w14:paraId="0F139763" w14:textId="77777777" w:rsidR="009158D5" w:rsidRDefault="009158D5" w:rsidP="00AC2132">
      <w:pPr>
        <w:rPr>
          <w:lang w:val="bg-BG"/>
        </w:rPr>
      </w:pPr>
    </w:p>
    <w:p w14:paraId="0217404B" w14:textId="77777777" w:rsidR="009158D5" w:rsidRPr="009158D5" w:rsidRDefault="009158D5" w:rsidP="00AC2132">
      <w:pPr>
        <w:rPr>
          <w:lang w:val="bg-BG"/>
        </w:rPr>
      </w:pPr>
    </w:p>
    <w:p w14:paraId="0B99C023" w14:textId="77777777" w:rsidR="00AC2132" w:rsidRPr="00AC2132" w:rsidRDefault="00AC2132" w:rsidP="00AC2132">
      <w:pPr>
        <w:jc w:val="center"/>
        <w:rPr>
          <w:b/>
          <w:sz w:val="32"/>
        </w:rPr>
      </w:pPr>
      <w:r w:rsidRPr="00AC2132">
        <w:rPr>
          <w:b/>
          <w:sz w:val="32"/>
        </w:rPr>
        <w:t>BA International Hotel Management</w:t>
      </w:r>
    </w:p>
    <w:p w14:paraId="246CADB2" w14:textId="77777777" w:rsidR="00AC2132" w:rsidRPr="00AC2132" w:rsidRDefault="00AC2132" w:rsidP="00AC2132">
      <w:pPr>
        <w:jc w:val="center"/>
        <w:rPr>
          <w:b/>
          <w:sz w:val="32"/>
        </w:rPr>
      </w:pPr>
      <w:r w:rsidRPr="00AC2132">
        <w:rPr>
          <w:b/>
          <w:sz w:val="32"/>
        </w:rPr>
        <w:t>BMIH5007</w:t>
      </w:r>
    </w:p>
    <w:p w14:paraId="78505B3B" w14:textId="77777777" w:rsidR="007A2DAD" w:rsidRDefault="00AC2132" w:rsidP="00AC2132">
      <w:pPr>
        <w:jc w:val="center"/>
        <w:rPr>
          <w:b/>
          <w:sz w:val="32"/>
        </w:rPr>
      </w:pPr>
      <w:r w:rsidRPr="00AC2132">
        <w:rPr>
          <w:b/>
          <w:sz w:val="32"/>
        </w:rPr>
        <w:t>Financial Management for the Hotel Industry</w:t>
      </w:r>
    </w:p>
    <w:p w14:paraId="3DC8D0E8" w14:textId="77777777" w:rsidR="00E11247" w:rsidRDefault="00E11247" w:rsidP="00AC2132">
      <w:pPr>
        <w:jc w:val="center"/>
        <w:rPr>
          <w:b/>
          <w:sz w:val="32"/>
          <w:lang w:val="bg-BG"/>
        </w:rPr>
      </w:pPr>
      <w:r>
        <w:rPr>
          <w:b/>
          <w:sz w:val="32"/>
        </w:rPr>
        <w:t>Assignment 2</w:t>
      </w:r>
    </w:p>
    <w:p w14:paraId="6A98F6B8" w14:textId="77777777" w:rsidR="009158D5" w:rsidRDefault="009158D5" w:rsidP="00AC2132">
      <w:pPr>
        <w:jc w:val="center"/>
        <w:rPr>
          <w:b/>
          <w:sz w:val="32"/>
          <w:lang w:val="bg-BG"/>
        </w:rPr>
      </w:pPr>
    </w:p>
    <w:p w14:paraId="1D67C502" w14:textId="77777777" w:rsidR="009158D5" w:rsidRPr="009158D5" w:rsidRDefault="009158D5" w:rsidP="00AC2132">
      <w:pPr>
        <w:jc w:val="center"/>
        <w:rPr>
          <w:b/>
          <w:sz w:val="32"/>
          <w:lang w:val="bg-BG"/>
        </w:rPr>
      </w:pPr>
    </w:p>
    <w:p w14:paraId="245874BB" w14:textId="4ABB6C14" w:rsidR="009158D5" w:rsidRDefault="009158D5" w:rsidP="00AC2132">
      <w:pPr>
        <w:jc w:val="center"/>
        <w:rPr>
          <w:b/>
          <w:sz w:val="32"/>
          <w:lang w:val="bg-BG"/>
        </w:rPr>
      </w:pPr>
      <w:r>
        <w:rPr>
          <w:b/>
          <w:sz w:val="32"/>
          <w:lang w:val="bg-BG"/>
        </w:rPr>
        <w:t>Report Case Study: Urban Height Hotel</w:t>
      </w:r>
    </w:p>
    <w:p w14:paraId="5D6AB411" w14:textId="77777777" w:rsidR="009158D5" w:rsidRPr="001405BF" w:rsidRDefault="009158D5" w:rsidP="001405BF">
      <w:pPr>
        <w:spacing w:line="276" w:lineRule="auto"/>
        <w:jc w:val="center"/>
        <w:rPr>
          <w:b/>
          <w:sz w:val="32"/>
          <w:lang w:val="bg-BG"/>
        </w:rPr>
      </w:pPr>
      <w:r w:rsidRPr="001405BF">
        <w:rPr>
          <w:b/>
          <w:sz w:val="32"/>
          <w:lang w:val="bg-BG"/>
        </w:rPr>
        <w:t>Student name: Katerina Hristova</w:t>
      </w:r>
    </w:p>
    <w:p w14:paraId="618AD434" w14:textId="77777777" w:rsidR="009158D5" w:rsidRPr="001405BF" w:rsidRDefault="009158D5" w:rsidP="001405BF">
      <w:pPr>
        <w:spacing w:line="276" w:lineRule="auto"/>
        <w:jc w:val="center"/>
        <w:rPr>
          <w:b/>
          <w:sz w:val="32"/>
          <w:lang w:val="bg-BG"/>
        </w:rPr>
      </w:pPr>
      <w:r w:rsidRPr="001405BF">
        <w:rPr>
          <w:b/>
          <w:sz w:val="32"/>
          <w:lang w:val="bg-BG"/>
        </w:rPr>
        <w:t>Student ID: 2232205</w:t>
      </w:r>
    </w:p>
    <w:p w14:paraId="0F12F9DA" w14:textId="25FBBB8A" w:rsidR="009158D5" w:rsidRPr="009158D5" w:rsidRDefault="009158D5" w:rsidP="001405BF">
      <w:pPr>
        <w:jc w:val="center"/>
        <w:rPr>
          <w:b/>
          <w:sz w:val="32"/>
          <w:lang w:val="bg-BG"/>
        </w:rPr>
      </w:pPr>
      <w:r w:rsidRPr="001405BF">
        <w:rPr>
          <w:b/>
          <w:sz w:val="32"/>
          <w:lang w:val="bg-BG"/>
        </w:rPr>
        <w:t>Lecture name: Tristan Hawkins</w:t>
      </w:r>
    </w:p>
    <w:p w14:paraId="5C033277" w14:textId="0CE2FD55" w:rsidR="0007041A" w:rsidRPr="009158D5" w:rsidRDefault="0007041A">
      <w:pPr>
        <w:spacing w:line="259" w:lineRule="auto"/>
        <w:jc w:val="left"/>
        <w:rPr>
          <w:b/>
          <w:sz w:val="32"/>
          <w:lang w:val="bg-BG"/>
        </w:rPr>
      </w:pPr>
      <w:r>
        <w:rPr>
          <w:b/>
          <w:sz w:val="32"/>
        </w:rPr>
        <w:br w:type="page"/>
      </w:r>
    </w:p>
    <w:sdt>
      <w:sdtPr>
        <w:rPr>
          <w:rFonts w:ascii="Times New Roman" w:eastAsiaTheme="minorHAnsi" w:hAnsi="Times New Roman" w:cstheme="minorBidi"/>
          <w:color w:val="auto"/>
          <w:sz w:val="24"/>
          <w:szCs w:val="22"/>
          <w:lang w:val="en-GB"/>
        </w:rPr>
        <w:id w:val="1881195407"/>
        <w:docPartObj>
          <w:docPartGallery w:val="Table of Contents"/>
          <w:docPartUnique/>
        </w:docPartObj>
      </w:sdtPr>
      <w:sdtEndPr>
        <w:rPr>
          <w:b/>
          <w:bCs/>
          <w:noProof/>
        </w:rPr>
      </w:sdtEndPr>
      <w:sdtContent>
        <w:p w14:paraId="01B3E570" w14:textId="77777777" w:rsidR="006A068B" w:rsidRDefault="006A068B">
          <w:pPr>
            <w:pStyle w:val="TOCHeading"/>
          </w:pPr>
          <w:r>
            <w:t>Table of Contents</w:t>
          </w:r>
        </w:p>
        <w:p w14:paraId="6D75A3DF" w14:textId="77777777" w:rsidR="00567713" w:rsidRDefault="006A068B">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68447014" w:history="1">
            <w:r w:rsidR="00567713" w:rsidRPr="006F06BE">
              <w:rPr>
                <w:rStyle w:val="Hyperlink"/>
                <w:noProof/>
              </w:rPr>
              <w:t>1. Introduction</w:t>
            </w:r>
            <w:r w:rsidR="00567713">
              <w:rPr>
                <w:noProof/>
                <w:webHidden/>
              </w:rPr>
              <w:tab/>
            </w:r>
            <w:r w:rsidR="00567713">
              <w:rPr>
                <w:noProof/>
                <w:webHidden/>
              </w:rPr>
              <w:fldChar w:fldCharType="begin"/>
            </w:r>
            <w:r w:rsidR="00567713">
              <w:rPr>
                <w:noProof/>
                <w:webHidden/>
              </w:rPr>
              <w:instrText xml:space="preserve"> PAGEREF _Toc168447014 \h </w:instrText>
            </w:r>
            <w:r w:rsidR="00567713">
              <w:rPr>
                <w:noProof/>
                <w:webHidden/>
              </w:rPr>
            </w:r>
            <w:r w:rsidR="00567713">
              <w:rPr>
                <w:noProof/>
                <w:webHidden/>
              </w:rPr>
              <w:fldChar w:fldCharType="separate"/>
            </w:r>
            <w:r w:rsidR="00567713">
              <w:rPr>
                <w:noProof/>
                <w:webHidden/>
              </w:rPr>
              <w:t>3</w:t>
            </w:r>
            <w:r w:rsidR="00567713">
              <w:rPr>
                <w:noProof/>
                <w:webHidden/>
              </w:rPr>
              <w:fldChar w:fldCharType="end"/>
            </w:r>
          </w:hyperlink>
        </w:p>
        <w:p w14:paraId="551C85F8" w14:textId="77777777" w:rsidR="00567713" w:rsidRDefault="001405BF">
          <w:pPr>
            <w:pStyle w:val="TOC1"/>
            <w:tabs>
              <w:tab w:val="right" w:leader="dot" w:pos="9350"/>
            </w:tabs>
            <w:rPr>
              <w:rFonts w:asciiTheme="minorHAnsi" w:eastAsiaTheme="minorEastAsia" w:hAnsiTheme="minorHAnsi"/>
              <w:noProof/>
              <w:sz w:val="22"/>
              <w:lang w:eastAsia="en-GB"/>
            </w:rPr>
          </w:pPr>
          <w:hyperlink w:anchor="_Toc168447015" w:history="1">
            <w:r w:rsidR="00567713" w:rsidRPr="006F06BE">
              <w:rPr>
                <w:rStyle w:val="Hyperlink"/>
                <w:noProof/>
              </w:rPr>
              <w:t>2. Analysis of Urban Heights Hotel's financial performance</w:t>
            </w:r>
            <w:r w:rsidR="00567713">
              <w:rPr>
                <w:noProof/>
                <w:webHidden/>
              </w:rPr>
              <w:tab/>
            </w:r>
            <w:r w:rsidR="00567713">
              <w:rPr>
                <w:noProof/>
                <w:webHidden/>
              </w:rPr>
              <w:fldChar w:fldCharType="begin"/>
            </w:r>
            <w:r w:rsidR="00567713">
              <w:rPr>
                <w:noProof/>
                <w:webHidden/>
              </w:rPr>
              <w:instrText xml:space="preserve"> PAGEREF _Toc168447015 \h </w:instrText>
            </w:r>
            <w:r w:rsidR="00567713">
              <w:rPr>
                <w:noProof/>
                <w:webHidden/>
              </w:rPr>
            </w:r>
            <w:r w:rsidR="00567713">
              <w:rPr>
                <w:noProof/>
                <w:webHidden/>
              </w:rPr>
              <w:fldChar w:fldCharType="separate"/>
            </w:r>
            <w:r w:rsidR="00567713">
              <w:rPr>
                <w:noProof/>
                <w:webHidden/>
              </w:rPr>
              <w:t>4</w:t>
            </w:r>
            <w:r w:rsidR="00567713">
              <w:rPr>
                <w:noProof/>
                <w:webHidden/>
              </w:rPr>
              <w:fldChar w:fldCharType="end"/>
            </w:r>
          </w:hyperlink>
        </w:p>
        <w:p w14:paraId="424C517C" w14:textId="77777777" w:rsidR="00567713" w:rsidRDefault="001405BF">
          <w:pPr>
            <w:pStyle w:val="TOC1"/>
            <w:tabs>
              <w:tab w:val="right" w:leader="dot" w:pos="9350"/>
            </w:tabs>
            <w:rPr>
              <w:rFonts w:asciiTheme="minorHAnsi" w:eastAsiaTheme="minorEastAsia" w:hAnsiTheme="minorHAnsi"/>
              <w:noProof/>
              <w:sz w:val="22"/>
              <w:lang w:eastAsia="en-GB"/>
            </w:rPr>
          </w:pPr>
          <w:hyperlink w:anchor="_Toc168447016" w:history="1">
            <w:r w:rsidR="00567713" w:rsidRPr="006F06BE">
              <w:rPr>
                <w:rStyle w:val="Hyperlink"/>
                <w:noProof/>
              </w:rPr>
              <w:t>3. Identification of the key reasons behind decline in profitability</w:t>
            </w:r>
            <w:r w:rsidR="00567713">
              <w:rPr>
                <w:noProof/>
                <w:webHidden/>
              </w:rPr>
              <w:tab/>
            </w:r>
            <w:r w:rsidR="00567713">
              <w:rPr>
                <w:noProof/>
                <w:webHidden/>
              </w:rPr>
              <w:fldChar w:fldCharType="begin"/>
            </w:r>
            <w:r w:rsidR="00567713">
              <w:rPr>
                <w:noProof/>
                <w:webHidden/>
              </w:rPr>
              <w:instrText xml:space="preserve"> PAGEREF _Toc168447016 \h </w:instrText>
            </w:r>
            <w:r w:rsidR="00567713">
              <w:rPr>
                <w:noProof/>
                <w:webHidden/>
              </w:rPr>
            </w:r>
            <w:r w:rsidR="00567713">
              <w:rPr>
                <w:noProof/>
                <w:webHidden/>
              </w:rPr>
              <w:fldChar w:fldCharType="separate"/>
            </w:r>
            <w:r w:rsidR="00567713">
              <w:rPr>
                <w:noProof/>
                <w:webHidden/>
              </w:rPr>
              <w:t>6</w:t>
            </w:r>
            <w:r w:rsidR="00567713">
              <w:rPr>
                <w:noProof/>
                <w:webHidden/>
              </w:rPr>
              <w:fldChar w:fldCharType="end"/>
            </w:r>
          </w:hyperlink>
        </w:p>
        <w:p w14:paraId="04DEEC73" w14:textId="77777777" w:rsidR="00567713" w:rsidRDefault="001405BF">
          <w:pPr>
            <w:pStyle w:val="TOC1"/>
            <w:tabs>
              <w:tab w:val="right" w:leader="dot" w:pos="9350"/>
            </w:tabs>
            <w:rPr>
              <w:rFonts w:asciiTheme="minorHAnsi" w:eastAsiaTheme="minorEastAsia" w:hAnsiTheme="minorHAnsi"/>
              <w:noProof/>
              <w:sz w:val="22"/>
              <w:lang w:eastAsia="en-GB"/>
            </w:rPr>
          </w:pPr>
          <w:hyperlink w:anchor="_Toc168447017" w:history="1">
            <w:r w:rsidR="00567713" w:rsidRPr="006F06BE">
              <w:rPr>
                <w:rStyle w:val="Hyperlink"/>
                <w:noProof/>
              </w:rPr>
              <w:t>4. Comprehensive turnaround strategy</w:t>
            </w:r>
            <w:r w:rsidR="00567713">
              <w:rPr>
                <w:noProof/>
                <w:webHidden/>
              </w:rPr>
              <w:tab/>
            </w:r>
            <w:r w:rsidR="00567713">
              <w:rPr>
                <w:noProof/>
                <w:webHidden/>
              </w:rPr>
              <w:fldChar w:fldCharType="begin"/>
            </w:r>
            <w:r w:rsidR="00567713">
              <w:rPr>
                <w:noProof/>
                <w:webHidden/>
              </w:rPr>
              <w:instrText xml:space="preserve"> PAGEREF _Toc168447017 \h </w:instrText>
            </w:r>
            <w:r w:rsidR="00567713">
              <w:rPr>
                <w:noProof/>
                <w:webHidden/>
              </w:rPr>
            </w:r>
            <w:r w:rsidR="00567713">
              <w:rPr>
                <w:noProof/>
                <w:webHidden/>
              </w:rPr>
              <w:fldChar w:fldCharType="separate"/>
            </w:r>
            <w:r w:rsidR="00567713">
              <w:rPr>
                <w:noProof/>
                <w:webHidden/>
              </w:rPr>
              <w:t>7</w:t>
            </w:r>
            <w:r w:rsidR="00567713">
              <w:rPr>
                <w:noProof/>
                <w:webHidden/>
              </w:rPr>
              <w:fldChar w:fldCharType="end"/>
            </w:r>
          </w:hyperlink>
        </w:p>
        <w:p w14:paraId="7721A88D" w14:textId="77777777" w:rsidR="00567713" w:rsidRDefault="001405BF">
          <w:pPr>
            <w:pStyle w:val="TOC1"/>
            <w:tabs>
              <w:tab w:val="right" w:leader="dot" w:pos="9350"/>
            </w:tabs>
            <w:rPr>
              <w:rFonts w:asciiTheme="minorHAnsi" w:eastAsiaTheme="minorEastAsia" w:hAnsiTheme="minorHAnsi"/>
              <w:noProof/>
              <w:sz w:val="22"/>
              <w:lang w:eastAsia="en-GB"/>
            </w:rPr>
          </w:pPr>
          <w:hyperlink w:anchor="_Toc168447018" w:history="1">
            <w:r w:rsidR="00567713" w:rsidRPr="006F06BE">
              <w:rPr>
                <w:rStyle w:val="Hyperlink"/>
                <w:noProof/>
              </w:rPr>
              <w:t>5. Conclusion</w:t>
            </w:r>
            <w:r w:rsidR="00567713">
              <w:rPr>
                <w:noProof/>
                <w:webHidden/>
              </w:rPr>
              <w:tab/>
            </w:r>
            <w:r w:rsidR="00567713">
              <w:rPr>
                <w:noProof/>
                <w:webHidden/>
              </w:rPr>
              <w:fldChar w:fldCharType="begin"/>
            </w:r>
            <w:r w:rsidR="00567713">
              <w:rPr>
                <w:noProof/>
                <w:webHidden/>
              </w:rPr>
              <w:instrText xml:space="preserve"> PAGEREF _Toc168447018 \h </w:instrText>
            </w:r>
            <w:r w:rsidR="00567713">
              <w:rPr>
                <w:noProof/>
                <w:webHidden/>
              </w:rPr>
            </w:r>
            <w:r w:rsidR="00567713">
              <w:rPr>
                <w:noProof/>
                <w:webHidden/>
              </w:rPr>
              <w:fldChar w:fldCharType="separate"/>
            </w:r>
            <w:r w:rsidR="00567713">
              <w:rPr>
                <w:noProof/>
                <w:webHidden/>
              </w:rPr>
              <w:t>10</w:t>
            </w:r>
            <w:r w:rsidR="00567713">
              <w:rPr>
                <w:noProof/>
                <w:webHidden/>
              </w:rPr>
              <w:fldChar w:fldCharType="end"/>
            </w:r>
          </w:hyperlink>
        </w:p>
        <w:p w14:paraId="614C32F0" w14:textId="77777777" w:rsidR="00567713" w:rsidRDefault="001405BF">
          <w:pPr>
            <w:pStyle w:val="TOC1"/>
            <w:tabs>
              <w:tab w:val="right" w:leader="dot" w:pos="9350"/>
            </w:tabs>
            <w:rPr>
              <w:rFonts w:asciiTheme="minorHAnsi" w:eastAsiaTheme="minorEastAsia" w:hAnsiTheme="minorHAnsi"/>
              <w:noProof/>
              <w:sz w:val="22"/>
              <w:lang w:eastAsia="en-GB"/>
            </w:rPr>
          </w:pPr>
          <w:hyperlink w:anchor="_Toc168447019" w:history="1">
            <w:r w:rsidR="00567713" w:rsidRPr="006F06BE">
              <w:rPr>
                <w:rStyle w:val="Hyperlink"/>
                <w:noProof/>
              </w:rPr>
              <w:t>References</w:t>
            </w:r>
            <w:r w:rsidR="00567713">
              <w:rPr>
                <w:noProof/>
                <w:webHidden/>
              </w:rPr>
              <w:tab/>
            </w:r>
            <w:r w:rsidR="00567713">
              <w:rPr>
                <w:noProof/>
                <w:webHidden/>
              </w:rPr>
              <w:fldChar w:fldCharType="begin"/>
            </w:r>
            <w:r w:rsidR="00567713">
              <w:rPr>
                <w:noProof/>
                <w:webHidden/>
              </w:rPr>
              <w:instrText xml:space="preserve"> PAGEREF _Toc168447019 \h </w:instrText>
            </w:r>
            <w:r w:rsidR="00567713">
              <w:rPr>
                <w:noProof/>
                <w:webHidden/>
              </w:rPr>
            </w:r>
            <w:r w:rsidR="00567713">
              <w:rPr>
                <w:noProof/>
                <w:webHidden/>
              </w:rPr>
              <w:fldChar w:fldCharType="separate"/>
            </w:r>
            <w:r w:rsidR="00567713">
              <w:rPr>
                <w:noProof/>
                <w:webHidden/>
              </w:rPr>
              <w:t>11</w:t>
            </w:r>
            <w:r w:rsidR="00567713">
              <w:rPr>
                <w:noProof/>
                <w:webHidden/>
              </w:rPr>
              <w:fldChar w:fldCharType="end"/>
            </w:r>
          </w:hyperlink>
        </w:p>
        <w:p w14:paraId="434B1BFF" w14:textId="77777777" w:rsidR="006A068B" w:rsidRDefault="006A068B">
          <w:r>
            <w:rPr>
              <w:b/>
              <w:bCs/>
              <w:noProof/>
            </w:rPr>
            <w:fldChar w:fldCharType="end"/>
          </w:r>
        </w:p>
      </w:sdtContent>
    </w:sdt>
    <w:p w14:paraId="337DD450" w14:textId="77777777" w:rsidR="0007041A" w:rsidRDefault="0007041A" w:rsidP="006A068B">
      <w:r>
        <w:br w:type="page"/>
      </w:r>
    </w:p>
    <w:p w14:paraId="7D46D042" w14:textId="77777777" w:rsidR="001218CC" w:rsidRDefault="004779BA" w:rsidP="00DA2EE7">
      <w:pPr>
        <w:pStyle w:val="Heading1"/>
      </w:pPr>
      <w:bookmarkStart w:id="0" w:name="_Toc168447014"/>
      <w:r>
        <w:lastRenderedPageBreak/>
        <w:t xml:space="preserve">1. </w:t>
      </w:r>
      <w:r w:rsidR="001218CC">
        <w:t>Introduction</w:t>
      </w:r>
      <w:bookmarkEnd w:id="0"/>
    </w:p>
    <w:p w14:paraId="20B073F5" w14:textId="77777777" w:rsidR="00013DBE" w:rsidRDefault="00013DBE" w:rsidP="00013DBE">
      <w:r>
        <w:t xml:space="preserve">The uneven sales performance of the Urban Height Hotel over the last three years, as suggested in the above trends analysis, is a source of concern as to whether the business can post profits and therefore sustain itself in the long run. The hotel’s gross profit margin remained constant, while its net profit margin, return on assets, and return on equity, on the other hand, faced certain fluctuations in the given year. In conclusion, </w:t>
      </w:r>
      <w:r w:rsidR="002B0D98">
        <w:t>Urban Heights Hotel</w:t>
      </w:r>
      <w:r>
        <w:t xml:space="preserve"> faces a severe challenge that an appropriate system solution can address. This solution should not only counter the primary scenario, which is a crisis for the company, but also cover other factors of relevance, including pricing and costs, debt issues, marketing and promotion, flexibility, and growth plans.</w:t>
      </w:r>
    </w:p>
    <w:p w14:paraId="2C5D3AC6" w14:textId="77777777" w:rsidR="005049C3" w:rsidRDefault="005049C3" w:rsidP="005049C3"/>
    <w:p w14:paraId="0FA47D53" w14:textId="77777777" w:rsidR="005049C3" w:rsidRDefault="005049C3" w:rsidP="005049C3"/>
    <w:p w14:paraId="34687FE4" w14:textId="77777777" w:rsidR="005049C3" w:rsidRDefault="005049C3" w:rsidP="005049C3"/>
    <w:p w14:paraId="27FF2426" w14:textId="77777777" w:rsidR="005049C3" w:rsidRDefault="005049C3" w:rsidP="005049C3"/>
    <w:p w14:paraId="021A82E0" w14:textId="77777777" w:rsidR="005049C3" w:rsidRDefault="005049C3" w:rsidP="005049C3"/>
    <w:p w14:paraId="4E1B8046" w14:textId="77777777" w:rsidR="00DC1062" w:rsidRDefault="00DC1062" w:rsidP="005049C3">
      <w:pPr>
        <w:rPr>
          <w:rFonts w:eastAsiaTheme="majorEastAsia" w:cstheme="majorBidi"/>
          <w:color w:val="2F5496" w:themeColor="accent1" w:themeShade="BF"/>
          <w:sz w:val="32"/>
          <w:szCs w:val="32"/>
        </w:rPr>
      </w:pPr>
      <w:r>
        <w:br w:type="page"/>
      </w:r>
    </w:p>
    <w:p w14:paraId="1014E06A" w14:textId="77777777" w:rsidR="00AC2132" w:rsidRDefault="00F27E5A" w:rsidP="00DA2EE7">
      <w:pPr>
        <w:pStyle w:val="Heading1"/>
      </w:pPr>
      <w:bookmarkStart w:id="1" w:name="_Toc168447015"/>
      <w:r>
        <w:lastRenderedPageBreak/>
        <w:t xml:space="preserve">2. </w:t>
      </w:r>
      <w:r w:rsidR="00260D4B">
        <w:t xml:space="preserve">Analysis of </w:t>
      </w:r>
      <w:r w:rsidR="0070591F">
        <w:t>Urban Heights Hotel</w:t>
      </w:r>
      <w:r w:rsidR="004B6A71" w:rsidRPr="004B6A71">
        <w:t>'s financial perfor</w:t>
      </w:r>
      <w:r w:rsidR="00DA2EE7">
        <w:t>mance</w:t>
      </w:r>
      <w:bookmarkEnd w:id="1"/>
      <w:r w:rsidR="00DA2EE7">
        <w:t xml:space="preserve"> </w:t>
      </w:r>
    </w:p>
    <w:p w14:paraId="0BF20AF8" w14:textId="77777777" w:rsidR="004B7280" w:rsidRPr="00E176D7" w:rsidRDefault="004B7280" w:rsidP="004B7280">
      <w:pPr>
        <w:rPr>
          <w:b/>
        </w:rPr>
      </w:pPr>
      <w:r w:rsidRPr="00E176D7">
        <w:rPr>
          <w:b/>
        </w:rPr>
        <w:t>Ratio calculation</w:t>
      </w:r>
    </w:p>
    <w:tbl>
      <w:tblPr>
        <w:tblStyle w:val="PlainTable2"/>
        <w:tblW w:w="8321" w:type="dxa"/>
        <w:tblLook w:val="04A0" w:firstRow="1" w:lastRow="0" w:firstColumn="1" w:lastColumn="0" w:noHBand="0" w:noVBand="1"/>
      </w:tblPr>
      <w:tblGrid>
        <w:gridCol w:w="1842"/>
        <w:gridCol w:w="2249"/>
        <w:gridCol w:w="1410"/>
        <w:gridCol w:w="1410"/>
        <w:gridCol w:w="1410"/>
      </w:tblGrid>
      <w:tr w:rsidR="00915F02" w:rsidRPr="00915F02" w14:paraId="28EEF91B" w14:textId="77777777" w:rsidTr="00915F02">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5F9B7202" w14:textId="77777777" w:rsidR="00915F02" w:rsidRPr="00915F02" w:rsidRDefault="00915F02" w:rsidP="00915F02">
            <w:pPr>
              <w:spacing w:line="240" w:lineRule="auto"/>
              <w:jc w:val="center"/>
              <w:rPr>
                <w:rFonts w:eastAsia="Times New Roman" w:cs="Times New Roman"/>
                <w:szCs w:val="24"/>
                <w:lang w:eastAsia="en-GB"/>
              </w:rPr>
            </w:pPr>
            <w:r w:rsidRPr="00915F02">
              <w:rPr>
                <w:rFonts w:eastAsia="Times New Roman" w:cs="Times New Roman"/>
                <w:szCs w:val="24"/>
                <w:lang w:eastAsia="en-GB"/>
              </w:rPr>
              <w:t>Metric</w:t>
            </w:r>
          </w:p>
        </w:tc>
        <w:tc>
          <w:tcPr>
            <w:tcW w:w="0" w:type="auto"/>
            <w:hideMark/>
          </w:tcPr>
          <w:p w14:paraId="69718D1E" w14:textId="77777777" w:rsidR="00915F02" w:rsidRPr="00915F02" w:rsidRDefault="00915F02" w:rsidP="00915F02">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Formula</w:t>
            </w:r>
          </w:p>
        </w:tc>
        <w:tc>
          <w:tcPr>
            <w:tcW w:w="0" w:type="auto"/>
            <w:hideMark/>
          </w:tcPr>
          <w:p w14:paraId="443FA24C" w14:textId="77777777" w:rsidR="00915F02" w:rsidRPr="00915F02" w:rsidRDefault="00915F02" w:rsidP="00915F02">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2021</w:t>
            </w:r>
          </w:p>
        </w:tc>
        <w:tc>
          <w:tcPr>
            <w:tcW w:w="0" w:type="auto"/>
            <w:hideMark/>
          </w:tcPr>
          <w:p w14:paraId="584214C0" w14:textId="77777777" w:rsidR="00915F02" w:rsidRPr="00915F02" w:rsidRDefault="00915F02" w:rsidP="00915F02">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2022</w:t>
            </w:r>
          </w:p>
        </w:tc>
        <w:tc>
          <w:tcPr>
            <w:tcW w:w="0" w:type="auto"/>
            <w:hideMark/>
          </w:tcPr>
          <w:p w14:paraId="7A22ED1A" w14:textId="77777777" w:rsidR="00915F02" w:rsidRPr="00915F02" w:rsidRDefault="00915F02" w:rsidP="00915F02">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2023</w:t>
            </w:r>
          </w:p>
        </w:tc>
      </w:tr>
    </w:tbl>
    <w:p w14:paraId="72D7419E" w14:textId="77777777" w:rsidR="00915F02" w:rsidRPr="00915F02" w:rsidRDefault="00915F02" w:rsidP="00915F02">
      <w:pPr>
        <w:spacing w:after="0" w:line="240" w:lineRule="auto"/>
        <w:jc w:val="left"/>
        <w:rPr>
          <w:rFonts w:eastAsia="Times New Roman" w:cs="Times New Roman"/>
          <w:vanish/>
          <w:szCs w:val="24"/>
          <w:lang w:eastAsia="en-GB"/>
        </w:rPr>
      </w:pPr>
    </w:p>
    <w:tbl>
      <w:tblPr>
        <w:tblStyle w:val="PlainTable2"/>
        <w:tblW w:w="0" w:type="auto"/>
        <w:tblLook w:val="04A0" w:firstRow="1" w:lastRow="0" w:firstColumn="1" w:lastColumn="0" w:noHBand="0" w:noVBand="1"/>
      </w:tblPr>
      <w:tblGrid>
        <w:gridCol w:w="1341"/>
        <w:gridCol w:w="1540"/>
        <w:gridCol w:w="2138"/>
        <w:gridCol w:w="2099"/>
        <w:gridCol w:w="2242"/>
      </w:tblGrid>
      <w:tr w:rsidR="00915F02" w:rsidRPr="00915F02" w14:paraId="0439E2A7" w14:textId="77777777" w:rsidTr="00915F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FD4F2C" w14:textId="77777777" w:rsidR="00915F02" w:rsidRPr="00915F02" w:rsidRDefault="00915F02" w:rsidP="00915F02">
            <w:pPr>
              <w:spacing w:line="240" w:lineRule="auto"/>
              <w:jc w:val="left"/>
              <w:rPr>
                <w:rFonts w:eastAsia="Times New Roman" w:cs="Times New Roman"/>
                <w:szCs w:val="24"/>
                <w:lang w:eastAsia="en-GB"/>
              </w:rPr>
            </w:pPr>
            <w:r w:rsidRPr="00915F02">
              <w:rPr>
                <w:rFonts w:eastAsia="Times New Roman" w:cs="Times New Roman"/>
                <w:szCs w:val="24"/>
                <w:lang w:eastAsia="en-GB"/>
              </w:rPr>
              <w:t>Net Profit Margin</w:t>
            </w:r>
          </w:p>
        </w:tc>
        <w:tc>
          <w:tcPr>
            <w:tcW w:w="0" w:type="auto"/>
            <w:hideMark/>
          </w:tcPr>
          <w:p w14:paraId="7ED31FBA"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Net Income / Revenue</w:t>
            </w:r>
          </w:p>
        </w:tc>
        <w:tc>
          <w:tcPr>
            <w:tcW w:w="0" w:type="auto"/>
            <w:hideMark/>
          </w:tcPr>
          <w:p w14:paraId="04750D1F"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£700,000 / £2,500,000 = 0.28 or 28%</w:t>
            </w:r>
          </w:p>
        </w:tc>
        <w:tc>
          <w:tcPr>
            <w:tcW w:w="0" w:type="auto"/>
            <w:hideMark/>
          </w:tcPr>
          <w:p w14:paraId="19851D21"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£200,000 / £2,200,000 = 0.09 or 9%</w:t>
            </w:r>
          </w:p>
        </w:tc>
        <w:tc>
          <w:tcPr>
            <w:tcW w:w="0" w:type="auto"/>
            <w:hideMark/>
          </w:tcPr>
          <w:p w14:paraId="22BB3DAD"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(£500,000) / £1,800,000 = -0.28 or -28%</w:t>
            </w:r>
          </w:p>
        </w:tc>
      </w:tr>
    </w:tbl>
    <w:p w14:paraId="3BB8DB1D" w14:textId="77777777" w:rsidR="00915F02" w:rsidRPr="00915F02" w:rsidRDefault="00915F02" w:rsidP="00915F02">
      <w:pPr>
        <w:spacing w:after="0" w:line="240" w:lineRule="auto"/>
        <w:jc w:val="left"/>
        <w:rPr>
          <w:rFonts w:eastAsia="Times New Roman" w:cs="Times New Roman"/>
          <w:vanish/>
          <w:szCs w:val="24"/>
          <w:lang w:eastAsia="en-GB"/>
        </w:rPr>
      </w:pPr>
    </w:p>
    <w:tbl>
      <w:tblPr>
        <w:tblStyle w:val="PlainTable2"/>
        <w:tblW w:w="0" w:type="auto"/>
        <w:tblLook w:val="04A0" w:firstRow="1" w:lastRow="0" w:firstColumn="1" w:lastColumn="0" w:noHBand="0" w:noVBand="1"/>
      </w:tblPr>
      <w:tblGrid>
        <w:gridCol w:w="1228"/>
        <w:gridCol w:w="1769"/>
        <w:gridCol w:w="2119"/>
        <w:gridCol w:w="2097"/>
        <w:gridCol w:w="2147"/>
      </w:tblGrid>
      <w:tr w:rsidR="00915F02" w:rsidRPr="00915F02" w14:paraId="17009E3A" w14:textId="77777777" w:rsidTr="00915F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BAB516" w14:textId="77777777" w:rsidR="00915F02" w:rsidRPr="00915F02" w:rsidRDefault="00915F02" w:rsidP="00915F02">
            <w:pPr>
              <w:spacing w:line="240" w:lineRule="auto"/>
              <w:jc w:val="left"/>
              <w:rPr>
                <w:rFonts w:eastAsia="Times New Roman" w:cs="Times New Roman"/>
                <w:szCs w:val="24"/>
                <w:lang w:eastAsia="en-GB"/>
              </w:rPr>
            </w:pPr>
            <w:r w:rsidRPr="00915F02">
              <w:rPr>
                <w:rFonts w:eastAsia="Times New Roman" w:cs="Times New Roman"/>
                <w:szCs w:val="24"/>
                <w:lang w:eastAsia="en-GB"/>
              </w:rPr>
              <w:t>Gross Profit Margin</w:t>
            </w:r>
          </w:p>
        </w:tc>
        <w:tc>
          <w:tcPr>
            <w:tcW w:w="0" w:type="auto"/>
            <w:hideMark/>
          </w:tcPr>
          <w:p w14:paraId="3EC1E6C2"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(Revenue - Cost of Goods Sold) / Revenue</w:t>
            </w:r>
          </w:p>
        </w:tc>
        <w:tc>
          <w:tcPr>
            <w:tcW w:w="0" w:type="auto"/>
            <w:hideMark/>
          </w:tcPr>
          <w:p w14:paraId="2FBE6B2E"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(£2,500,000 - £1,800,000) / £2,500,000 = 0.28 or 28%</w:t>
            </w:r>
          </w:p>
        </w:tc>
        <w:tc>
          <w:tcPr>
            <w:tcW w:w="0" w:type="auto"/>
            <w:hideMark/>
          </w:tcPr>
          <w:p w14:paraId="3722A139"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(£2,200,000 - £2,000,000) / £2,200,000 = 0.09 or 9%</w:t>
            </w:r>
          </w:p>
        </w:tc>
        <w:tc>
          <w:tcPr>
            <w:tcW w:w="0" w:type="auto"/>
            <w:hideMark/>
          </w:tcPr>
          <w:p w14:paraId="468FD58F"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(£1,800,000 - £2,300,000) / £1,800,000 = -0.28 or -28%</w:t>
            </w:r>
          </w:p>
        </w:tc>
      </w:tr>
    </w:tbl>
    <w:p w14:paraId="0DC2D14B" w14:textId="77777777" w:rsidR="00915F02" w:rsidRPr="00915F02" w:rsidRDefault="00915F02" w:rsidP="00915F02">
      <w:pPr>
        <w:spacing w:after="0" w:line="240" w:lineRule="auto"/>
        <w:jc w:val="left"/>
        <w:rPr>
          <w:rFonts w:eastAsia="Times New Roman" w:cs="Times New Roman"/>
          <w:vanish/>
          <w:szCs w:val="24"/>
          <w:lang w:eastAsia="en-GB"/>
        </w:rPr>
      </w:pPr>
    </w:p>
    <w:tbl>
      <w:tblPr>
        <w:tblStyle w:val="PlainTable2"/>
        <w:tblW w:w="0" w:type="auto"/>
        <w:tblLook w:val="04A0" w:firstRow="1" w:lastRow="0" w:firstColumn="1" w:lastColumn="0" w:noHBand="0" w:noVBand="1"/>
      </w:tblPr>
      <w:tblGrid>
        <w:gridCol w:w="1452"/>
        <w:gridCol w:w="1502"/>
        <w:gridCol w:w="2117"/>
        <w:gridCol w:w="2082"/>
        <w:gridCol w:w="2207"/>
      </w:tblGrid>
      <w:tr w:rsidR="00915F02" w:rsidRPr="00915F02" w14:paraId="5874FDB0" w14:textId="77777777" w:rsidTr="00915F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E3E2E5" w14:textId="77777777" w:rsidR="00915F02" w:rsidRPr="00915F02" w:rsidRDefault="00915F02" w:rsidP="00915F02">
            <w:pPr>
              <w:spacing w:line="240" w:lineRule="auto"/>
              <w:jc w:val="left"/>
              <w:rPr>
                <w:rFonts w:eastAsia="Times New Roman" w:cs="Times New Roman"/>
                <w:szCs w:val="24"/>
                <w:lang w:eastAsia="en-GB"/>
              </w:rPr>
            </w:pPr>
            <w:r w:rsidRPr="00915F02">
              <w:rPr>
                <w:rFonts w:eastAsia="Times New Roman" w:cs="Times New Roman"/>
                <w:szCs w:val="24"/>
                <w:lang w:eastAsia="en-GB"/>
              </w:rPr>
              <w:t>Return on Assets (ROA)</w:t>
            </w:r>
          </w:p>
        </w:tc>
        <w:tc>
          <w:tcPr>
            <w:tcW w:w="0" w:type="auto"/>
            <w:hideMark/>
          </w:tcPr>
          <w:p w14:paraId="12842AF5"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Net Income / Total Assets</w:t>
            </w:r>
          </w:p>
        </w:tc>
        <w:tc>
          <w:tcPr>
            <w:tcW w:w="0" w:type="auto"/>
            <w:hideMark/>
          </w:tcPr>
          <w:p w14:paraId="7370C295"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£700,000 / £5,450,000 = 0.128 or 12.8%</w:t>
            </w:r>
          </w:p>
        </w:tc>
        <w:tc>
          <w:tcPr>
            <w:tcW w:w="0" w:type="auto"/>
            <w:hideMark/>
          </w:tcPr>
          <w:p w14:paraId="47E5B634"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£200,000 / £5,100,000 = 0.039 or 3.9%</w:t>
            </w:r>
          </w:p>
        </w:tc>
        <w:tc>
          <w:tcPr>
            <w:tcW w:w="0" w:type="auto"/>
            <w:hideMark/>
          </w:tcPr>
          <w:p w14:paraId="528BCE45"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(£500,000) / £4,680,000 = -0.107 or -10.7%</w:t>
            </w:r>
          </w:p>
        </w:tc>
      </w:tr>
    </w:tbl>
    <w:p w14:paraId="1B3533DD" w14:textId="77777777" w:rsidR="00915F02" w:rsidRPr="00915F02" w:rsidRDefault="00915F02" w:rsidP="00915F02">
      <w:pPr>
        <w:spacing w:after="0" w:line="240" w:lineRule="auto"/>
        <w:jc w:val="left"/>
        <w:rPr>
          <w:rFonts w:eastAsia="Times New Roman" w:cs="Times New Roman"/>
          <w:vanish/>
          <w:szCs w:val="24"/>
          <w:lang w:eastAsia="en-GB"/>
        </w:rPr>
      </w:pPr>
    </w:p>
    <w:tbl>
      <w:tblPr>
        <w:tblStyle w:val="PlainTable2"/>
        <w:tblW w:w="0" w:type="auto"/>
        <w:tblLook w:val="04A0" w:firstRow="1" w:lastRow="0" w:firstColumn="1" w:lastColumn="0" w:noHBand="0" w:noVBand="1"/>
      </w:tblPr>
      <w:tblGrid>
        <w:gridCol w:w="1480"/>
        <w:gridCol w:w="1357"/>
        <w:gridCol w:w="2143"/>
        <w:gridCol w:w="2143"/>
        <w:gridCol w:w="2237"/>
      </w:tblGrid>
      <w:tr w:rsidR="00915F02" w:rsidRPr="00915F02" w14:paraId="442340E6" w14:textId="77777777" w:rsidTr="00915F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13607A" w14:textId="77777777" w:rsidR="00915F02" w:rsidRPr="00915F02" w:rsidRDefault="00915F02" w:rsidP="00915F02">
            <w:pPr>
              <w:spacing w:line="240" w:lineRule="auto"/>
              <w:jc w:val="left"/>
              <w:rPr>
                <w:rFonts w:eastAsia="Times New Roman" w:cs="Times New Roman"/>
                <w:szCs w:val="24"/>
                <w:lang w:eastAsia="en-GB"/>
              </w:rPr>
            </w:pPr>
            <w:r w:rsidRPr="00915F02">
              <w:rPr>
                <w:rFonts w:eastAsia="Times New Roman" w:cs="Times New Roman"/>
                <w:szCs w:val="24"/>
                <w:lang w:eastAsia="en-GB"/>
              </w:rPr>
              <w:t>Return on Equity (ROE)</w:t>
            </w:r>
          </w:p>
        </w:tc>
        <w:tc>
          <w:tcPr>
            <w:tcW w:w="0" w:type="auto"/>
            <w:hideMark/>
          </w:tcPr>
          <w:p w14:paraId="79691530"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Net Income / Equity</w:t>
            </w:r>
          </w:p>
        </w:tc>
        <w:tc>
          <w:tcPr>
            <w:tcW w:w="0" w:type="auto"/>
            <w:hideMark/>
          </w:tcPr>
          <w:p w14:paraId="4F5ECFB8"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£700,000 / £2,200,000 = 0.318 or 31.8%</w:t>
            </w:r>
          </w:p>
        </w:tc>
        <w:tc>
          <w:tcPr>
            <w:tcW w:w="0" w:type="auto"/>
            <w:hideMark/>
          </w:tcPr>
          <w:p w14:paraId="0353944C"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£200,000 / £1,830,000 = 0.109 or 10.9%</w:t>
            </w:r>
          </w:p>
        </w:tc>
        <w:tc>
          <w:tcPr>
            <w:tcW w:w="0" w:type="auto"/>
            <w:hideMark/>
          </w:tcPr>
          <w:p w14:paraId="386CE1E8"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(£500,000) / £1,380,000 = -0.362 or -36.2%</w:t>
            </w:r>
          </w:p>
        </w:tc>
      </w:tr>
    </w:tbl>
    <w:p w14:paraId="177D8A34" w14:textId="77777777" w:rsidR="00915F02" w:rsidRPr="00915F02" w:rsidRDefault="00915F02" w:rsidP="00915F02">
      <w:pPr>
        <w:spacing w:after="0" w:line="240" w:lineRule="auto"/>
        <w:jc w:val="left"/>
        <w:rPr>
          <w:rFonts w:eastAsia="Times New Roman" w:cs="Times New Roman"/>
          <w:vanish/>
          <w:szCs w:val="24"/>
          <w:lang w:eastAsia="en-GB"/>
        </w:rPr>
      </w:pPr>
    </w:p>
    <w:tbl>
      <w:tblPr>
        <w:tblStyle w:val="PlainTable2"/>
        <w:tblW w:w="0" w:type="auto"/>
        <w:tblLook w:val="04A0" w:firstRow="1" w:lastRow="0" w:firstColumn="1" w:lastColumn="0" w:noHBand="0" w:noVBand="1"/>
      </w:tblPr>
      <w:tblGrid>
        <w:gridCol w:w="1229"/>
        <w:gridCol w:w="1973"/>
        <w:gridCol w:w="2053"/>
        <w:gridCol w:w="2086"/>
        <w:gridCol w:w="2019"/>
      </w:tblGrid>
      <w:tr w:rsidR="00915F02" w:rsidRPr="00915F02" w14:paraId="5AE93C48" w14:textId="77777777" w:rsidTr="00915F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2BADC7" w14:textId="77777777" w:rsidR="00915F02" w:rsidRPr="00915F02" w:rsidRDefault="00915F02" w:rsidP="00915F02">
            <w:pPr>
              <w:spacing w:line="240" w:lineRule="auto"/>
              <w:jc w:val="left"/>
              <w:rPr>
                <w:rFonts w:eastAsia="Times New Roman" w:cs="Times New Roman"/>
                <w:szCs w:val="24"/>
                <w:lang w:eastAsia="en-GB"/>
              </w:rPr>
            </w:pPr>
            <w:r w:rsidRPr="00915F02">
              <w:rPr>
                <w:rFonts w:eastAsia="Times New Roman" w:cs="Times New Roman"/>
                <w:szCs w:val="24"/>
                <w:lang w:eastAsia="en-GB"/>
              </w:rPr>
              <w:t>Current Ratio</w:t>
            </w:r>
          </w:p>
        </w:tc>
        <w:tc>
          <w:tcPr>
            <w:tcW w:w="0" w:type="auto"/>
            <w:hideMark/>
          </w:tcPr>
          <w:p w14:paraId="14B690AD"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Current Assets / Current Liabilities</w:t>
            </w:r>
          </w:p>
        </w:tc>
        <w:tc>
          <w:tcPr>
            <w:tcW w:w="0" w:type="auto"/>
            <w:hideMark/>
          </w:tcPr>
          <w:p w14:paraId="3AD8E71C"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(£300,000 + £150,000) / £250,000 = 1.8:1</w:t>
            </w:r>
          </w:p>
        </w:tc>
        <w:tc>
          <w:tcPr>
            <w:tcW w:w="0" w:type="auto"/>
            <w:hideMark/>
          </w:tcPr>
          <w:p w14:paraId="2E26E1BC"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(£200,000 + £100,000) / £270,000 = 0.74:1</w:t>
            </w:r>
          </w:p>
        </w:tc>
        <w:tc>
          <w:tcPr>
            <w:tcW w:w="0" w:type="auto"/>
            <w:hideMark/>
          </w:tcPr>
          <w:p w14:paraId="24AEA47E"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(£100,000 + £80,000) / £300,000 = 0.6:1</w:t>
            </w:r>
          </w:p>
        </w:tc>
      </w:tr>
    </w:tbl>
    <w:p w14:paraId="40BA6D13" w14:textId="77777777" w:rsidR="00915F02" w:rsidRPr="00915F02" w:rsidRDefault="00915F02" w:rsidP="00915F02">
      <w:pPr>
        <w:spacing w:after="0" w:line="240" w:lineRule="auto"/>
        <w:jc w:val="left"/>
        <w:rPr>
          <w:rFonts w:eastAsia="Times New Roman" w:cs="Times New Roman"/>
          <w:vanish/>
          <w:szCs w:val="24"/>
          <w:lang w:eastAsia="en-GB"/>
        </w:rPr>
      </w:pPr>
    </w:p>
    <w:tbl>
      <w:tblPr>
        <w:tblStyle w:val="PlainTable2"/>
        <w:tblW w:w="0" w:type="auto"/>
        <w:tblLook w:val="04A0" w:firstRow="1" w:lastRow="0" w:firstColumn="1" w:lastColumn="0" w:noHBand="0" w:noVBand="1"/>
      </w:tblPr>
      <w:tblGrid>
        <w:gridCol w:w="1447"/>
        <w:gridCol w:w="1619"/>
        <w:gridCol w:w="2098"/>
        <w:gridCol w:w="2098"/>
        <w:gridCol w:w="2098"/>
      </w:tblGrid>
      <w:tr w:rsidR="00915F02" w:rsidRPr="00915F02" w14:paraId="1C58E220" w14:textId="77777777" w:rsidTr="00915F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F7405A" w14:textId="77777777" w:rsidR="00915F02" w:rsidRPr="00915F02" w:rsidRDefault="00915F02" w:rsidP="00915F02">
            <w:pPr>
              <w:spacing w:line="240" w:lineRule="auto"/>
              <w:jc w:val="left"/>
              <w:rPr>
                <w:rFonts w:eastAsia="Times New Roman" w:cs="Times New Roman"/>
                <w:szCs w:val="24"/>
                <w:lang w:eastAsia="en-GB"/>
              </w:rPr>
            </w:pPr>
            <w:r w:rsidRPr="00915F02">
              <w:rPr>
                <w:rFonts w:eastAsia="Times New Roman" w:cs="Times New Roman"/>
                <w:szCs w:val="24"/>
                <w:lang w:eastAsia="en-GB"/>
              </w:rPr>
              <w:t>Debt to Equity Ratio</w:t>
            </w:r>
          </w:p>
        </w:tc>
        <w:tc>
          <w:tcPr>
            <w:tcW w:w="0" w:type="auto"/>
            <w:hideMark/>
          </w:tcPr>
          <w:p w14:paraId="0A6C9D5B"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Total Debt / Total Equity</w:t>
            </w:r>
          </w:p>
        </w:tc>
        <w:tc>
          <w:tcPr>
            <w:tcW w:w="0" w:type="auto"/>
            <w:hideMark/>
          </w:tcPr>
          <w:p w14:paraId="03DD6BAD"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£3,000,000 / £2,200,000 = 1.36:1</w:t>
            </w:r>
          </w:p>
        </w:tc>
        <w:tc>
          <w:tcPr>
            <w:tcW w:w="0" w:type="auto"/>
            <w:hideMark/>
          </w:tcPr>
          <w:p w14:paraId="6078877D"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£3,000,000 / £1,830,000 = 1.64:1</w:t>
            </w:r>
          </w:p>
        </w:tc>
        <w:tc>
          <w:tcPr>
            <w:tcW w:w="0" w:type="auto"/>
            <w:hideMark/>
          </w:tcPr>
          <w:p w14:paraId="0AF2B6BB" w14:textId="77777777" w:rsidR="00915F02" w:rsidRPr="00915F02" w:rsidRDefault="00915F02" w:rsidP="00915F02">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15F02">
              <w:rPr>
                <w:rFonts w:eastAsia="Times New Roman" w:cs="Times New Roman"/>
                <w:szCs w:val="24"/>
                <w:lang w:eastAsia="en-GB"/>
              </w:rPr>
              <w:t>£3,000,000 / £1,380,000 = 2.17:1</w:t>
            </w:r>
          </w:p>
        </w:tc>
      </w:tr>
    </w:tbl>
    <w:p w14:paraId="18E7B653" w14:textId="77777777" w:rsidR="00E44F47" w:rsidRPr="00E44F47" w:rsidRDefault="00E44F47" w:rsidP="00E44F47"/>
    <w:p w14:paraId="0C4A59AF" w14:textId="77777777" w:rsidR="009150E3" w:rsidRDefault="009150E3" w:rsidP="00B15B71">
      <w:pPr>
        <w:rPr>
          <w:b/>
          <w:lang w:eastAsia="en-GB"/>
        </w:rPr>
      </w:pPr>
      <w:r w:rsidRPr="00734985">
        <w:rPr>
          <w:b/>
          <w:lang w:eastAsia="en-GB"/>
        </w:rPr>
        <w:t>Summary of the performance</w:t>
      </w:r>
    </w:p>
    <w:p w14:paraId="1B5F45A6" w14:textId="77777777" w:rsidR="005A4051" w:rsidRDefault="00A438AB" w:rsidP="00B15B71">
      <w:r>
        <w:t>N</w:t>
      </w:r>
      <w:r w:rsidR="00F65CC9">
        <w:t>et profit margin is a performance measure demonstrating the number of sales that remain after the company has deducted all of its costs. The net profit margin shows how profitable it is; if the value is positive, it shows profit, while if the value is negative, it shows loss. For example, in the annual report for the financial year that the company closed in 2021, the overall net balance sheet profit margin stood at 0.28, implying that the company retained 0.28 pounds per pound of sales. However, in 2022, the company drastically reduced this figure to a net profit margin of only 9%. This had a negative impact on the firm's profitability because it chose to raise expenses in relation to revenues</w:t>
      </w:r>
      <w:r w:rsidR="002A130F">
        <w:t xml:space="preserve"> (</w:t>
      </w:r>
      <w:r w:rsidR="00264146">
        <w:t>Lin</w:t>
      </w:r>
      <w:r w:rsidR="002A130F" w:rsidRPr="007C0C81">
        <w:t xml:space="preserve"> </w:t>
      </w:r>
      <w:r w:rsidR="002A130F">
        <w:t>and</w:t>
      </w:r>
      <w:r w:rsidR="00C86394">
        <w:t xml:space="preserve"> Yu,</w:t>
      </w:r>
      <w:r w:rsidR="00966FBB">
        <w:t xml:space="preserve"> </w:t>
      </w:r>
      <w:r w:rsidR="003E4897">
        <w:t>2020)</w:t>
      </w:r>
      <w:r w:rsidR="00F65CC9">
        <w:t xml:space="preserve">. It was even lower in 2023, when the firm registered a negative net profit margin of -28 percent, indicating that it sold money instead of products. </w:t>
      </w:r>
    </w:p>
    <w:p w14:paraId="30FFB830" w14:textId="77777777" w:rsidR="002349D6" w:rsidRDefault="00F65CC9" w:rsidP="00B15B71">
      <w:r>
        <w:t xml:space="preserve">For example, in 2021, the firm had a gross profit margin of 28%, indicating that it retains 28% of its total revenues after providing direct materials. According to the figures, the above margin </w:t>
      </w:r>
      <w:r>
        <w:lastRenderedPageBreak/>
        <w:t>declined to 9% by 2022 and turned into a negative value of (-) 28% in 2023. A decreasing gross profit margin may lead the company to infer that it has issues managing production expenses or setting the right price points for its goods</w:t>
      </w:r>
      <w:r w:rsidR="00C03D90">
        <w:t xml:space="preserve"> (</w:t>
      </w:r>
      <w:r w:rsidR="00C03D90" w:rsidRPr="007C0C81">
        <w:t>Ts</w:t>
      </w:r>
      <w:r w:rsidR="00620DF1">
        <w:t>ai, 2</w:t>
      </w:r>
      <w:r w:rsidR="00782FA6">
        <w:t>018)</w:t>
      </w:r>
      <w:r>
        <w:t xml:space="preserve">. This implies that the gross profit margin in 2023 will be 0%, meaning that the company probably had operating costs, including the cost of </w:t>
      </w:r>
      <w:r w:rsidR="00D65B69">
        <w:t>sales that</w:t>
      </w:r>
      <w:r>
        <w:t xml:space="preserve"> were higher than the amount of revenue it received. The abbreviation for a company's ability to manage its assets profitably is ROA, or return on assets. It provides an indicator of how well the firm's assets are generating profits. </w:t>
      </w:r>
    </w:p>
    <w:p w14:paraId="5D49DCD5" w14:textId="77777777" w:rsidR="001177BC" w:rsidRDefault="00F65CC9" w:rsidP="00B15B71">
      <w:r>
        <w:t>For the year ended 2021, it achieved a rather reasonable ROA of 12.8%, which means that for each pound of assets used, the company generates £0.128 worth of profit. However, this ratio declined to 3.9% in 2022 and turned into a negative balance in 2023, -10.7%. On this basis, the value of ROA has been declining, which suggests that during the analysed period, the company has deteriorated its asset management and profitability</w:t>
      </w:r>
      <w:r w:rsidR="00B46955">
        <w:t xml:space="preserve"> (</w:t>
      </w:r>
      <w:r w:rsidR="0028581F">
        <w:t>Plank</w:t>
      </w:r>
      <w:r w:rsidR="00B46955" w:rsidRPr="0013243B">
        <w:t xml:space="preserve"> </w:t>
      </w:r>
      <w:r w:rsidR="00B46955">
        <w:t>and</w:t>
      </w:r>
      <w:r w:rsidR="005436F1">
        <w:t xml:space="preserve"> Rushmore, </w:t>
      </w:r>
      <w:r w:rsidR="002609F0">
        <w:t>2019)</w:t>
      </w:r>
      <w:r>
        <w:t xml:space="preserve">. In 2021, the company will have a relatively high ROE of 31.8 percent, indicating that it will generate £0.318 in profit for every £ of shareholders' funds. It peaked at 10.9 percent in 2022 and significantly declined to -36.2 percent in 2023. A lower level of ROE means that the organisation might have had a lower operating profit for the shareholder funds within the three years under analysis. In 2021, the company had a purpose of the current study is to enhance the understanding of the potential and challenges of e-learning as an approach to education. </w:t>
      </w:r>
    </w:p>
    <w:p w14:paraId="75A9B795" w14:textId="77777777" w:rsidR="00F65CC9" w:rsidRPr="00F65CC9" w:rsidRDefault="00F65CC9" w:rsidP="00B15B71">
      <w:r>
        <w:t xml:space="preserve">The study aims to deepen the comprehension of the potential and challenges associated with e-learning as an approach to education. The current assets were 1.80 pounds for each pound of current liabilities, and the company had cleared all of its current obligations. However, this ratio decreased to 0.74, implying that the firm had a lower level of efficiency in acquiring automobiles. The ratio decreases to 0.6:1 in 2022 and further decreases in 2023. The current ratio has decreased over the past three years, which suggests that the liquidity position of </w:t>
      </w:r>
      <w:r w:rsidR="00050991">
        <w:t>organisation which</w:t>
      </w:r>
      <w:r>
        <w:t xml:space="preserve"> has deteriorated</w:t>
      </w:r>
      <w:r w:rsidR="00992B45">
        <w:t xml:space="preserve"> (</w:t>
      </w:r>
      <w:r w:rsidR="004336B3">
        <w:t>Ruthe</w:t>
      </w:r>
      <w:r w:rsidR="00AB13CA">
        <w:t xml:space="preserve">rford, </w:t>
      </w:r>
      <w:r w:rsidR="00992B45">
        <w:t>2020)</w:t>
      </w:r>
      <w:r>
        <w:t xml:space="preserve">. Debt to equity is the relative measure of companies’ assets financed through debt and assets financed through equity. This indicates the company's level of capital structure efficiency and financial risk, as discussed in the previous sections. The debt-to-equity ratio for 2021 stood at 1.36, implying that the company's total debts were 1.36 times its equity. This meant that for every £1.00 of equity, there was £1.36 of debt, or referred to as ‘1’ on </w:t>
      </w:r>
      <w:r>
        <w:lastRenderedPageBreak/>
        <w:t>the chart. The ratio dropped to 0.76 before rising to 1.64. The ratio was 1 in 2022 and increased to 2.17:1 in 2023.</w:t>
      </w:r>
    </w:p>
    <w:p w14:paraId="0AF4D807" w14:textId="77777777" w:rsidR="00DA2EE7" w:rsidRDefault="00527B80" w:rsidP="00790861">
      <w:pPr>
        <w:pStyle w:val="Heading1"/>
      </w:pPr>
      <w:bookmarkStart w:id="2" w:name="_Toc168447016"/>
      <w:r>
        <w:t xml:space="preserve">3. </w:t>
      </w:r>
      <w:r w:rsidR="00424B46">
        <w:t>Identification of</w:t>
      </w:r>
      <w:r w:rsidR="001C4204" w:rsidRPr="001C4204">
        <w:t xml:space="preserve"> the key reasons behi</w:t>
      </w:r>
      <w:r w:rsidR="00790861">
        <w:t>nd decline in profitability</w:t>
      </w:r>
      <w:bookmarkEnd w:id="2"/>
    </w:p>
    <w:p w14:paraId="6E10329F" w14:textId="77777777" w:rsidR="00DD284F" w:rsidRDefault="00E14BB6" w:rsidP="00E65DE1">
      <w:r>
        <w:t>O</w:t>
      </w:r>
      <w:r w:rsidR="00E65DE1">
        <w:t>ne of the metrics used to assess a company's performance is its ability to generate a steady stream of revenue throughout its operational life. This may be due to certain factors, such as reduced consumption, key customers dumping the product, or market forces. As a result, the firm incurs lower sales revenue to meet its many needs, as well as the ever-increasing cost of achieving profitability</w:t>
      </w:r>
      <w:r w:rsidR="00330675">
        <w:t xml:space="preserve"> (</w:t>
      </w:r>
      <w:r w:rsidR="005624E6">
        <w:t>Wolfe, 2</w:t>
      </w:r>
      <w:r w:rsidR="00257CC2">
        <w:t>020)</w:t>
      </w:r>
      <w:r w:rsidR="00E65DE1">
        <w:t xml:space="preserve">. It could also be high operating costs that have made the business less profitable, resulting in a negative growth rate. This includes employee reimbursement, accommodation, fares, and other expenses, such as advertising. Hence, when such costs rise at a rate that exceeds the rate of increase in revenues, it may have an impact on the operating profit margin. </w:t>
      </w:r>
    </w:p>
    <w:p w14:paraId="7E72F2CC" w14:textId="77777777" w:rsidR="000E2399" w:rsidRDefault="00E65DE1" w:rsidP="00E65DE1">
      <w:r>
        <w:t>Businesses measure their cost of goods sold (COGS) by the expenses they incur to produce their products or services, and any changes in these expenses can significantly affect their profits, particularly in production or sales departments</w:t>
      </w:r>
      <w:r w:rsidR="00F12562">
        <w:t xml:space="preserve"> (</w:t>
      </w:r>
      <w:proofErr w:type="spellStart"/>
      <w:r w:rsidR="00F12562">
        <w:t>Kasavana</w:t>
      </w:r>
      <w:proofErr w:type="spellEnd"/>
      <w:r w:rsidR="00F12562">
        <w:t xml:space="preserve"> and Brooks, 2019)</w:t>
      </w:r>
      <w:r>
        <w:t xml:space="preserve">. If there is a leakage in one segment of manufacturing costs, for instance, raw material, labour, or production, it has a direct effect on the gross profit margin and, hence, the overall profit of the business. The category of COGS may also encompass other changes such as fluctuations in the supply chain, shifts in raw material prices, or increased variability in labour costs. Ineptness makes the company employ more resources than required, making the business less profitable. This could be in the form of operational inefficiencies or unproductive resources. </w:t>
      </w:r>
    </w:p>
    <w:p w14:paraId="1AD971D3" w14:textId="77777777" w:rsidR="00E65DE1" w:rsidRPr="00E65DE1" w:rsidRDefault="00E65DE1" w:rsidP="00E65DE1">
      <w:r>
        <w:t>The third factor to consider is the limitation on asset effectiveness, which can lead to a decrease in the company's profits. For instance, idle or obsolete assets, such as property and equipment, will significantly exhibit higher depreciation, despite generating little or no revenue. Accounts receivable management is also an unacceptable aspect, since any delay or incidence of bad debts affects cash flow and, hence, profit</w:t>
      </w:r>
      <w:r w:rsidR="00496E5B">
        <w:t xml:space="preserve"> (</w:t>
      </w:r>
      <w:r w:rsidR="003C7550">
        <w:t>Enz, 2</w:t>
      </w:r>
      <w:r w:rsidR="00496E5B">
        <w:t>019)</w:t>
      </w:r>
      <w:r>
        <w:t xml:space="preserve">. External factors that affect manufacturing profitability can arise from events outside the business, including changes in markets and industries and high competition. High levels of competition can lead competitors to differentiate themselves by offering lower prices to customers. </w:t>
      </w:r>
    </w:p>
    <w:p w14:paraId="22F06CEB" w14:textId="77777777" w:rsidR="00A17A5E" w:rsidRDefault="00107550" w:rsidP="00B0442D">
      <w:pPr>
        <w:pStyle w:val="Heading1"/>
        <w:rPr>
          <w:rStyle w:val="Strong"/>
          <w:b/>
          <w:bCs w:val="0"/>
        </w:rPr>
      </w:pPr>
      <w:bookmarkStart w:id="3" w:name="_Toc168447017"/>
      <w:r>
        <w:rPr>
          <w:rStyle w:val="Strong"/>
          <w:b/>
          <w:bCs w:val="0"/>
        </w:rPr>
        <w:lastRenderedPageBreak/>
        <w:t xml:space="preserve">4. </w:t>
      </w:r>
      <w:r w:rsidR="00B0442D" w:rsidRPr="00B0442D">
        <w:rPr>
          <w:rStyle w:val="Strong"/>
          <w:b/>
          <w:bCs w:val="0"/>
        </w:rPr>
        <w:t>Comprehensive turnaround strategy</w:t>
      </w:r>
      <w:bookmarkEnd w:id="3"/>
    </w:p>
    <w:p w14:paraId="7C8F2EDC" w14:textId="77777777" w:rsidR="00526AA8" w:rsidRDefault="00526AA8" w:rsidP="00FB312A">
      <w:pPr>
        <w:rPr>
          <w:rStyle w:val="Strong"/>
        </w:rPr>
      </w:pPr>
      <w:r>
        <w:rPr>
          <w:rStyle w:val="Strong"/>
        </w:rPr>
        <w:t>Revenue Enhancement</w:t>
      </w:r>
    </w:p>
    <w:p w14:paraId="1C05B6AB" w14:textId="77777777" w:rsidR="00B92D96" w:rsidRDefault="00B92D96" w:rsidP="00B92D96">
      <w:r>
        <w:t xml:space="preserve">Consequently, the organisation will assess how this pricing strategy impacts </w:t>
      </w:r>
      <w:r w:rsidR="002B0D98">
        <w:t>Urban Heights Hotel</w:t>
      </w:r>
      <w:r>
        <w:t>. The objective is to pick the option that brings in more money to the firm but does not sacrifice some clients as it sets the price level. Several hotels suggest certain tactical measures, such as dynamic pricing, seasonal and promotional prices, and various service combinations, to enhance not only ARR but overall revenue as well</w:t>
      </w:r>
      <w:r w:rsidR="00A12384">
        <w:t xml:space="preserve"> (</w:t>
      </w:r>
      <w:r w:rsidR="00863E67">
        <w:t xml:space="preserve">DeFranco et al., </w:t>
      </w:r>
      <w:r w:rsidR="005F2E94">
        <w:t>2018)</w:t>
      </w:r>
      <w:r>
        <w:t xml:space="preserve">. Given Urban Heights Hotel's focus on the digital market and the internet, it will incur significant costs and expenses. Organisation can leverage search engine optimisation, social media optimisation, and online travel agent branding to enhance awareness and reservations. </w:t>
      </w:r>
    </w:p>
    <w:p w14:paraId="223D84A1" w14:textId="77777777" w:rsidR="00526AA8" w:rsidRDefault="00526AA8" w:rsidP="00FB312A">
      <w:pPr>
        <w:rPr>
          <w:rStyle w:val="Strong"/>
        </w:rPr>
      </w:pPr>
      <w:r>
        <w:rPr>
          <w:rStyle w:val="Strong"/>
        </w:rPr>
        <w:t>Cost Management and Efficiency</w:t>
      </w:r>
    </w:p>
    <w:p w14:paraId="2D15EB68" w14:textId="77777777" w:rsidR="00585018" w:rsidRPr="00585018" w:rsidRDefault="00585018" w:rsidP="00FB312A">
      <w:pPr>
        <w:rPr>
          <w:rStyle w:val="Strong"/>
          <w:b w:val="0"/>
          <w:bCs w:val="0"/>
        </w:rPr>
      </w:pPr>
      <w:r>
        <w:t>Urban Heights Hotel will first employ process improvement, which involves assessing all processes within the facility. Applying this method could enable Urban Heights Hotel to identify cost-cutting strategies without compromising client needs. Here, the organisation has followed strategies such as process rationalisation, low energy usage, and an appropriate number of employees</w:t>
      </w:r>
      <w:r w:rsidR="00822E9B">
        <w:t xml:space="preserve"> (</w:t>
      </w:r>
      <w:r w:rsidR="009D2357">
        <w:t>Stutts</w:t>
      </w:r>
      <w:r w:rsidR="00822E9B" w:rsidRPr="0013243B">
        <w:t xml:space="preserve"> </w:t>
      </w:r>
      <w:r w:rsidR="00822E9B">
        <w:t>and</w:t>
      </w:r>
      <w:r w:rsidR="0059237D">
        <w:t xml:space="preserve"> Wortman, </w:t>
      </w:r>
      <w:r w:rsidR="006E6C86">
        <w:t>2019)</w:t>
      </w:r>
      <w:r>
        <w:t xml:space="preserve">. Organisation will also implement sustainable and energy-efficient management strategies. To minimise costs, Urban Heights Hotel will implement smart utility consumption and management strategies in </w:t>
      </w:r>
      <w:r w:rsidR="002D4C4E">
        <w:t>the</w:t>
      </w:r>
      <w:r>
        <w:t xml:space="preserve"> business model. By engaging in preventive maintenance, organisation can reduce long-term costs for machinery and buildings, thereby extending their lifespan. </w:t>
      </w:r>
    </w:p>
    <w:p w14:paraId="3CF4C33B" w14:textId="77777777" w:rsidR="00526AA8" w:rsidRDefault="00526AA8" w:rsidP="00FB312A">
      <w:pPr>
        <w:rPr>
          <w:rStyle w:val="Strong"/>
        </w:rPr>
      </w:pPr>
      <w:r>
        <w:rPr>
          <w:rStyle w:val="Strong"/>
        </w:rPr>
        <w:t>Debt Restructuring and Financial Stability</w:t>
      </w:r>
    </w:p>
    <w:p w14:paraId="14F28F18" w14:textId="77777777" w:rsidR="00FE4A97" w:rsidRPr="00FE4A97" w:rsidRDefault="00FE4A97" w:rsidP="00FB312A">
      <w:pPr>
        <w:rPr>
          <w:rStyle w:val="Strong"/>
          <w:b w:val="0"/>
          <w:bCs w:val="0"/>
        </w:rPr>
      </w:pPr>
      <w:r>
        <w:t>In order to achieve this task, the hotel will explore debt refinancing and restructuring opportunities. Hence, the hotel always seeks to keep interest costs low so as to keep the debt load down and help improve the equity for proper security</w:t>
      </w:r>
      <w:r w:rsidR="000B6CA4">
        <w:t xml:space="preserve"> (Harris</w:t>
      </w:r>
      <w:r w:rsidR="000B6CA4" w:rsidRPr="007C0C81">
        <w:t xml:space="preserve"> </w:t>
      </w:r>
      <w:r w:rsidR="000B6CA4">
        <w:t>and Mongiello, 2019)</w:t>
      </w:r>
      <w:r>
        <w:t xml:space="preserve">. </w:t>
      </w:r>
      <w:r w:rsidR="002B0D98">
        <w:t>Urban Heights Hotel</w:t>
      </w:r>
      <w:r>
        <w:t xml:space="preserve"> will critique and evaluate various purchase selections in relation to the overall business. As a result, the organisation's project selection will focus on goals that demonstrate the potential to provide a return on investment and offer the potential for higher earnings. In order to optimise spending, organisations will either reduce or eliminate discretionary expenses. </w:t>
      </w:r>
    </w:p>
    <w:p w14:paraId="38684B55" w14:textId="77777777" w:rsidR="00526AA8" w:rsidRDefault="00526AA8" w:rsidP="00FB312A">
      <w:pPr>
        <w:rPr>
          <w:rStyle w:val="Strong"/>
        </w:rPr>
      </w:pPr>
      <w:r>
        <w:rPr>
          <w:rStyle w:val="Strong"/>
        </w:rPr>
        <w:lastRenderedPageBreak/>
        <w:t>Marketing and Branding</w:t>
      </w:r>
    </w:p>
    <w:p w14:paraId="141EDDE3" w14:textId="77777777" w:rsidR="00274D6A" w:rsidRDefault="00614932" w:rsidP="00FB312A">
      <w:r>
        <w:t xml:space="preserve">Therefore, the ongoing rebranding process at Urban Heights Hotel aims to concentrate on different goals. The hotel anticipates attracting new customers and persuading former patrons who departed due to the previous brand's negative perception to come back. The hotel is actively developing partnerships with local organisations and sites in order to provide tourists with more diverse and attractive forms of what they would like to experience. By partnering with advertising, Urban Heights Hotel sees the opportunity to attract more people's attention and become more popular as a destination. With increased client visits, the restaurant intends to implement a new loyalty program in the near future. </w:t>
      </w:r>
    </w:p>
    <w:p w14:paraId="7F33176A" w14:textId="77777777" w:rsidR="00526AA8" w:rsidRDefault="00526AA8" w:rsidP="00FB312A">
      <w:pPr>
        <w:rPr>
          <w:rStyle w:val="Strong"/>
        </w:rPr>
      </w:pPr>
      <w:r>
        <w:rPr>
          <w:rStyle w:val="Strong"/>
        </w:rPr>
        <w:t>Adaptation to External Factors</w:t>
      </w:r>
    </w:p>
    <w:p w14:paraId="6616486C" w14:textId="77777777" w:rsidR="00DE2995" w:rsidRPr="00DE2995" w:rsidRDefault="00DE2995" w:rsidP="00FB312A">
      <w:pPr>
        <w:rPr>
          <w:rStyle w:val="Strong"/>
          <w:b w:val="0"/>
          <w:bCs w:val="0"/>
        </w:rPr>
      </w:pPr>
      <w:r>
        <w:t xml:space="preserve">Urban Heights Hotel is currently formulating its anti-fragility plan to prepare for potential economic shocks and future mishaps, including various types of calamities, potential epidemics, and pandemics. The strategy entails diversification to make money from various avenues, leaving no single avenue as a major source. Therefore, the hotel’s consistent ability to be relevant and to meet the current and potentially upcoming demands of its clients will outweigh its counterparts in the subsequent years. This approach means that the hotel's management must formulate a dynamic pricing policy that will involve constant changes in room prices in order to maximise the competitive opportunities presented by the opportunity. The safety and welfare of any visitor or worker have been of the utmost priority throughout the execution of the plan. </w:t>
      </w:r>
    </w:p>
    <w:p w14:paraId="7FE54E71" w14:textId="77777777" w:rsidR="00526AA8" w:rsidRDefault="00526AA8" w:rsidP="00FB312A">
      <w:pPr>
        <w:rPr>
          <w:rStyle w:val="Strong"/>
        </w:rPr>
      </w:pPr>
      <w:r>
        <w:rPr>
          <w:rStyle w:val="Strong"/>
        </w:rPr>
        <w:t>Long-term Growth</w:t>
      </w:r>
    </w:p>
    <w:p w14:paraId="1AFF44E2" w14:textId="77777777" w:rsidR="0027061F" w:rsidRDefault="004D085B" w:rsidP="00FB312A">
      <w:r>
        <w:t>Growth</w:t>
      </w:r>
      <w:r w:rsidR="0027061F">
        <w:t xml:space="preserve"> plans to invest in major assets to acquire new features that will set it apart from competitors and attract more clients. The organisation also noticed and enumerated other services, such as spas, games, and other related facilities, as well as relationships with local tourist facilities that can improve guests' experiences</w:t>
      </w:r>
      <w:r w:rsidR="0046308F">
        <w:t xml:space="preserve"> (Hales an</w:t>
      </w:r>
      <w:r w:rsidR="00AC277B">
        <w:t>d</w:t>
      </w:r>
      <w:r w:rsidR="00D20A82">
        <w:t xml:space="preserve"> Brahms, </w:t>
      </w:r>
      <w:r w:rsidR="004B20AE">
        <w:t>2019)</w:t>
      </w:r>
      <w:r w:rsidR="0027061F">
        <w:t>. Additionally, the organization will regularly monitor alterations, settlements, and trends among both guests and the market. Urban Heights Hotel is knowledgeable of market trends within the hotel industry, and as such, it has the capacity for crisis management. Therefore, in managing the organisation, Urban Heights Hotel takes into account the needs of its employees, acknowledging their desire for longer tenure in the workplace.</w:t>
      </w:r>
    </w:p>
    <w:p w14:paraId="4E024115" w14:textId="77777777" w:rsidR="00AC2132" w:rsidRDefault="00AC2132" w:rsidP="00526AA8">
      <w:r>
        <w:lastRenderedPageBreak/>
        <w:br w:type="page"/>
      </w:r>
    </w:p>
    <w:p w14:paraId="47879832" w14:textId="77777777" w:rsidR="00AC2132" w:rsidRDefault="008668B6" w:rsidP="00BB32A0">
      <w:pPr>
        <w:pStyle w:val="Heading1"/>
      </w:pPr>
      <w:bookmarkStart w:id="4" w:name="_Toc168447018"/>
      <w:r>
        <w:lastRenderedPageBreak/>
        <w:t xml:space="preserve">5. </w:t>
      </w:r>
      <w:r w:rsidR="00640764" w:rsidRPr="00BB32A0">
        <w:t>Conclusion</w:t>
      </w:r>
      <w:bookmarkEnd w:id="4"/>
    </w:p>
    <w:p w14:paraId="37E6A0A3" w14:textId="77777777" w:rsidR="00AC4D41" w:rsidRDefault="00480F6F" w:rsidP="00AC4D41">
      <w:r>
        <w:t>H</w:t>
      </w:r>
      <w:r w:rsidR="00AC4D41">
        <w:t xml:space="preserve">aving identified </w:t>
      </w:r>
      <w:r w:rsidR="002B0D98">
        <w:t>Urban Heights Hotel</w:t>
      </w:r>
      <w:r w:rsidR="00AC4D41">
        <w:t xml:space="preserve"> as losing its profit-making ability, the strategy contains a comprehensive plan for the company’s further development. The hotel should prioritise the following aspects: increasing sales, reducing expenses, reviewing liabilities, improving visibility and branding, responding to trends, and sustainable market penetration into new territories. Hence, in an effort to meet its vision and mission of being one of the top-ranked hotels around and increase hotel sales, Urban Heights Hotel needs to look for ways to cut costs while maintaining a high standard of service.</w:t>
      </w:r>
    </w:p>
    <w:p w14:paraId="25AD6B54" w14:textId="77777777" w:rsidR="006C2D80" w:rsidRDefault="006C2D80" w:rsidP="00AC4D41">
      <w:r>
        <w:br w:type="page"/>
      </w:r>
    </w:p>
    <w:p w14:paraId="08FB2E64" w14:textId="77777777" w:rsidR="006C2D80" w:rsidRDefault="0033716C" w:rsidP="00613F6F">
      <w:pPr>
        <w:pStyle w:val="Heading1"/>
      </w:pPr>
      <w:bookmarkStart w:id="5" w:name="_Toc168447019"/>
      <w:r>
        <w:lastRenderedPageBreak/>
        <w:t>References</w:t>
      </w:r>
      <w:bookmarkEnd w:id="5"/>
    </w:p>
    <w:p w14:paraId="272F60A3" w14:textId="77777777" w:rsidR="00DF6D17" w:rsidRPr="0013243B" w:rsidRDefault="00DF6D17" w:rsidP="00A7388E">
      <w:r w:rsidRPr="0013243B">
        <w:t xml:space="preserve">Andrew, W. P., </w:t>
      </w:r>
      <w:r>
        <w:t>and</w:t>
      </w:r>
      <w:r w:rsidRPr="0013243B">
        <w:t xml:space="preserve"> Damitio, J. W. (2019). </w:t>
      </w:r>
      <w:r w:rsidRPr="00A7388E">
        <w:t>Financial Management for the Hospitality Industry</w:t>
      </w:r>
      <w:r w:rsidRPr="0013243B">
        <w:t>. Pearson.</w:t>
      </w:r>
    </w:p>
    <w:p w14:paraId="5F9B0A6E" w14:textId="77777777" w:rsidR="00DF6D17" w:rsidRPr="0013243B" w:rsidRDefault="00DF6D17" w:rsidP="00A7388E">
      <w:r w:rsidRPr="0013243B">
        <w:t xml:space="preserve">Brayfield, A. H. (2017). </w:t>
      </w:r>
      <w:r w:rsidRPr="00A7388E">
        <w:t>Principles of Hospitality Law</w:t>
      </w:r>
      <w:r w:rsidRPr="0013243B">
        <w:t>. Cengage Learning.</w:t>
      </w:r>
    </w:p>
    <w:p w14:paraId="59EC0729" w14:textId="77777777" w:rsidR="00DF6D17" w:rsidRPr="0013243B" w:rsidRDefault="00DF6D17" w:rsidP="00A7388E">
      <w:r w:rsidRPr="0013243B">
        <w:t xml:space="preserve">Coltman, M. M. (2021). </w:t>
      </w:r>
      <w:r w:rsidRPr="00A7388E">
        <w:t>Financial Management in the Hospitality Industry: Theory and Practice</w:t>
      </w:r>
      <w:r w:rsidRPr="0013243B">
        <w:t>. CRC Press.</w:t>
      </w:r>
    </w:p>
    <w:p w14:paraId="4EDB8AA2" w14:textId="77777777" w:rsidR="00DF6D17" w:rsidRPr="0013243B" w:rsidRDefault="00DF6D17" w:rsidP="00A7388E">
      <w:r w:rsidRPr="0013243B">
        <w:t xml:space="preserve">DeFranco, A., Lattin, T. W., </w:t>
      </w:r>
      <w:r>
        <w:t>and</w:t>
      </w:r>
      <w:r w:rsidRPr="0013243B">
        <w:t xml:space="preserve"> Damitio, J. W. (2018). </w:t>
      </w:r>
      <w:r w:rsidRPr="00A7388E">
        <w:t>Hospitality Financial Management</w:t>
      </w:r>
      <w:r w:rsidRPr="0013243B">
        <w:t>. Pearson.</w:t>
      </w:r>
    </w:p>
    <w:p w14:paraId="5762416A" w14:textId="77777777" w:rsidR="00DF6D17" w:rsidRPr="0013243B" w:rsidRDefault="00DF6D17" w:rsidP="00A7388E">
      <w:r w:rsidRPr="0013243B">
        <w:t xml:space="preserve">Enz, C. A. (2019). </w:t>
      </w:r>
      <w:r w:rsidRPr="00A7388E">
        <w:t>Hospitality Strategic Management: Concepts and Cases</w:t>
      </w:r>
      <w:r w:rsidRPr="0013243B">
        <w:t>. Wiley.</w:t>
      </w:r>
    </w:p>
    <w:p w14:paraId="6F74742B" w14:textId="77777777" w:rsidR="00DF6D17" w:rsidRPr="0013243B" w:rsidRDefault="00DF6D17" w:rsidP="00DF6D17">
      <w:r w:rsidRPr="0013243B">
        <w:t xml:space="preserve">Hales, J., </w:t>
      </w:r>
      <w:r>
        <w:t>and</w:t>
      </w:r>
      <w:r w:rsidRPr="0013243B">
        <w:t xml:space="preserve"> Brahms, M. A. (2019). </w:t>
      </w:r>
      <w:r w:rsidRPr="00A7388E">
        <w:t>Accounting and Financial Analysis in the Hospitality Industry</w:t>
      </w:r>
      <w:r w:rsidRPr="0013243B">
        <w:t>. Routledge.</w:t>
      </w:r>
    </w:p>
    <w:p w14:paraId="61998EB4" w14:textId="77777777" w:rsidR="00DF6D17" w:rsidRPr="007C0C81" w:rsidRDefault="00DF6D17" w:rsidP="00DF6D17">
      <w:r w:rsidRPr="007C0C81">
        <w:t xml:space="preserve">Harris, P., </w:t>
      </w:r>
      <w:r>
        <w:t>and</w:t>
      </w:r>
      <w:r w:rsidRPr="007C0C81">
        <w:t xml:space="preserve"> Mongiello, M. (2019). </w:t>
      </w:r>
      <w:r w:rsidRPr="00DF6D17">
        <w:rPr>
          <w:i/>
          <w:iCs/>
        </w:rPr>
        <w:t>Accounting and Financial Management: Developments in the International Hospitality Industry</w:t>
      </w:r>
      <w:r w:rsidRPr="007C0C81">
        <w:t>. Cengage Learning EMEA.</w:t>
      </w:r>
    </w:p>
    <w:p w14:paraId="5B047D9C" w14:textId="77777777" w:rsidR="00DF6D17" w:rsidRPr="007C0C81" w:rsidRDefault="00DF6D17" w:rsidP="00DF6D17">
      <w:proofErr w:type="spellStart"/>
      <w:r w:rsidRPr="007C0C81">
        <w:t>Kasavana</w:t>
      </w:r>
      <w:proofErr w:type="spellEnd"/>
      <w:r w:rsidRPr="007C0C81">
        <w:t xml:space="preserve">, M. L., </w:t>
      </w:r>
      <w:r>
        <w:t>and</w:t>
      </w:r>
      <w:r w:rsidRPr="007C0C81">
        <w:t xml:space="preserve"> Brooks, R. M. (2019). </w:t>
      </w:r>
      <w:r w:rsidRPr="00DF6D17">
        <w:rPr>
          <w:i/>
          <w:iCs/>
        </w:rPr>
        <w:t>Managing Front Office Operations</w:t>
      </w:r>
      <w:r w:rsidRPr="007C0C81">
        <w:t xml:space="preserve">. American Hotel </w:t>
      </w:r>
      <w:r>
        <w:t>and</w:t>
      </w:r>
      <w:r w:rsidRPr="007C0C81">
        <w:t xml:space="preserve"> Lodging Educational Institute.</w:t>
      </w:r>
    </w:p>
    <w:p w14:paraId="5653AAEE" w14:textId="77777777" w:rsidR="00DF6D17" w:rsidRPr="0013243B" w:rsidRDefault="00DF6D17" w:rsidP="00A7388E">
      <w:r w:rsidRPr="0013243B">
        <w:t xml:space="preserve">Kotas, R. (2017). </w:t>
      </w:r>
      <w:r w:rsidRPr="00A7388E">
        <w:t>Financial Management for Hospitality Decision Makers</w:t>
      </w:r>
      <w:r w:rsidRPr="0013243B">
        <w:t>. Wiley.</w:t>
      </w:r>
    </w:p>
    <w:p w14:paraId="62D13D75" w14:textId="77777777" w:rsidR="00DF6D17" w:rsidRPr="007C0C81" w:rsidRDefault="00DF6D17" w:rsidP="00DF6D17">
      <w:r w:rsidRPr="007C0C81">
        <w:t xml:space="preserve">Lin, C. V., </w:t>
      </w:r>
      <w:r>
        <w:t>and</w:t>
      </w:r>
      <w:r w:rsidRPr="007C0C81">
        <w:t xml:space="preserve"> Yu, K. C. (2020). </w:t>
      </w:r>
      <w:r w:rsidRPr="00DF6D17">
        <w:rPr>
          <w:i/>
          <w:iCs/>
        </w:rPr>
        <w:t>Hotel Financial Management and Analysis</w:t>
      </w:r>
      <w:r w:rsidRPr="007C0C81">
        <w:t>. Routledge.</w:t>
      </w:r>
    </w:p>
    <w:p w14:paraId="102F98E8" w14:textId="77777777" w:rsidR="00DF6D17" w:rsidRPr="0013243B" w:rsidRDefault="00DF6D17" w:rsidP="00A7388E">
      <w:r w:rsidRPr="0013243B">
        <w:t xml:space="preserve">Plank, G. J., </w:t>
      </w:r>
      <w:r>
        <w:t>and</w:t>
      </w:r>
      <w:r w:rsidRPr="0013243B">
        <w:t xml:space="preserve"> Rushmore, S. (2019). </w:t>
      </w:r>
      <w:r w:rsidRPr="00A7388E">
        <w:t xml:space="preserve">Hotel Asset Management: Principles </w:t>
      </w:r>
      <w:r>
        <w:t>and</w:t>
      </w:r>
      <w:r w:rsidRPr="00A7388E">
        <w:t xml:space="preserve"> Practices</w:t>
      </w:r>
      <w:r w:rsidRPr="0013243B">
        <w:t>. Routledge.</w:t>
      </w:r>
    </w:p>
    <w:p w14:paraId="0D09C93C" w14:textId="77777777" w:rsidR="00DF6D17" w:rsidRPr="007C0C81" w:rsidRDefault="00DF6D17" w:rsidP="00DF6D17">
      <w:r w:rsidRPr="007C0C81">
        <w:t xml:space="preserve">Rutherford, D. G. (2020). </w:t>
      </w:r>
      <w:r w:rsidRPr="00DF6D17">
        <w:rPr>
          <w:i/>
          <w:iCs/>
        </w:rPr>
        <w:t>Hotel Management and Operations</w:t>
      </w:r>
      <w:r w:rsidRPr="007C0C81">
        <w:t>. Wiley.</w:t>
      </w:r>
    </w:p>
    <w:p w14:paraId="4B79CB2D" w14:textId="77777777" w:rsidR="00DF6D17" w:rsidRDefault="00DF6D17" w:rsidP="00DF6D17">
      <w:r w:rsidRPr="0013243B">
        <w:t xml:space="preserve">Stutts, A. T., </w:t>
      </w:r>
      <w:r>
        <w:t>and</w:t>
      </w:r>
      <w:r w:rsidRPr="0013243B">
        <w:t xml:space="preserve"> Wortman, J. F. (2019). </w:t>
      </w:r>
      <w:r w:rsidRPr="00A7388E">
        <w:t>Managing Hotels Effectively: Lessons from Outstanding General Managers</w:t>
      </w:r>
      <w:r w:rsidRPr="0013243B">
        <w:t>. Wiley.</w:t>
      </w:r>
    </w:p>
    <w:p w14:paraId="1A746906" w14:textId="77777777" w:rsidR="00DF6D17" w:rsidRPr="007C0C81" w:rsidRDefault="00DF6D17" w:rsidP="00DF6D17">
      <w:r w:rsidRPr="007C0C81">
        <w:t xml:space="preserve">Tsai, H. T. (2018). </w:t>
      </w:r>
      <w:r w:rsidRPr="00DF6D17">
        <w:rPr>
          <w:i/>
          <w:iCs/>
        </w:rPr>
        <w:t>Hotel Asset Management: Principles and Practices</w:t>
      </w:r>
      <w:r w:rsidRPr="007C0C81">
        <w:t>. Goodfellow Publishers Limited.</w:t>
      </w:r>
    </w:p>
    <w:p w14:paraId="7EEDBF54" w14:textId="77777777" w:rsidR="00DF6D17" w:rsidRPr="0013243B" w:rsidRDefault="00DF6D17" w:rsidP="00A7388E">
      <w:r w:rsidRPr="0013243B">
        <w:t xml:space="preserve">Wolfe, F. M. (2020). </w:t>
      </w:r>
      <w:r w:rsidRPr="00A7388E">
        <w:t>Hotel Finance</w:t>
      </w:r>
      <w:r w:rsidRPr="0013243B">
        <w:t xml:space="preserve">. John Wiley </w:t>
      </w:r>
      <w:r>
        <w:t>and</w:t>
      </w:r>
      <w:r w:rsidRPr="0013243B">
        <w:t xml:space="preserve"> Sons.</w:t>
      </w:r>
    </w:p>
    <w:p w14:paraId="01D1E38B" w14:textId="77777777" w:rsidR="00704D45" w:rsidRPr="006F4DEA" w:rsidRDefault="00704D45" w:rsidP="006C79C4"/>
    <w:sectPr w:rsidR="00704D45" w:rsidRPr="006F4DE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728919" w14:textId="77777777" w:rsidR="005A6E35" w:rsidRDefault="005A6E35" w:rsidP="00F11112">
      <w:pPr>
        <w:spacing w:after="0" w:line="240" w:lineRule="auto"/>
      </w:pPr>
      <w:r>
        <w:separator/>
      </w:r>
    </w:p>
  </w:endnote>
  <w:endnote w:type="continuationSeparator" w:id="0">
    <w:p w14:paraId="58654E47" w14:textId="77777777" w:rsidR="005A6E35" w:rsidRDefault="005A6E35" w:rsidP="00F11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41B6A4" w14:textId="77777777" w:rsidR="005C1118" w:rsidRDefault="005C11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34F15" w14:textId="77777777" w:rsidR="00F11112" w:rsidRPr="005C1118" w:rsidRDefault="00F11112" w:rsidP="005C11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167CD" w14:textId="77777777" w:rsidR="005C1118" w:rsidRDefault="005C1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02D910" w14:textId="77777777" w:rsidR="005A6E35" w:rsidRDefault="005A6E35" w:rsidP="00F11112">
      <w:pPr>
        <w:spacing w:after="0" w:line="240" w:lineRule="auto"/>
      </w:pPr>
      <w:r>
        <w:separator/>
      </w:r>
    </w:p>
  </w:footnote>
  <w:footnote w:type="continuationSeparator" w:id="0">
    <w:p w14:paraId="410A7EDB" w14:textId="77777777" w:rsidR="005A6E35" w:rsidRDefault="005A6E35" w:rsidP="00F111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332A50" w14:textId="77777777" w:rsidR="005C1118" w:rsidRDefault="005C11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94F05" w14:textId="77777777" w:rsidR="005C1118" w:rsidRDefault="005C11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0AD8BF" w14:textId="77777777" w:rsidR="005C1118" w:rsidRDefault="005C11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23C8C"/>
    <w:multiLevelType w:val="multilevel"/>
    <w:tmpl w:val="00CE4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65ED5"/>
    <w:multiLevelType w:val="multilevel"/>
    <w:tmpl w:val="97B20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DF04A0"/>
    <w:multiLevelType w:val="multilevel"/>
    <w:tmpl w:val="544A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0A2B06"/>
    <w:multiLevelType w:val="multilevel"/>
    <w:tmpl w:val="6ADAB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410077"/>
    <w:multiLevelType w:val="hybridMultilevel"/>
    <w:tmpl w:val="E138BF1E"/>
    <w:lvl w:ilvl="0" w:tplc="6A00E60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A0623"/>
    <w:multiLevelType w:val="multilevel"/>
    <w:tmpl w:val="1C0072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00249C"/>
    <w:multiLevelType w:val="multilevel"/>
    <w:tmpl w:val="3DB6E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1F055E"/>
    <w:multiLevelType w:val="multilevel"/>
    <w:tmpl w:val="4BC4E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E31B95"/>
    <w:multiLevelType w:val="multilevel"/>
    <w:tmpl w:val="98242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0F7CC0"/>
    <w:multiLevelType w:val="hybridMultilevel"/>
    <w:tmpl w:val="31D4DEAA"/>
    <w:lvl w:ilvl="0" w:tplc="0809000F">
      <w:start w:val="1"/>
      <w:numFmt w:val="decimal"/>
      <w:lvlText w:val="%1."/>
      <w:lvlJc w:val="left"/>
      <w:pPr>
        <w:ind w:left="720" w:hanging="360"/>
      </w:pPr>
    </w:lvl>
    <w:lvl w:ilvl="1" w:tplc="B8F4016A">
      <w:numFmt w:val="bullet"/>
      <w:lvlText w:val=""/>
      <w:lvlJc w:val="left"/>
      <w:pPr>
        <w:ind w:left="1460" w:hanging="380"/>
      </w:pPr>
      <w:rPr>
        <w:rFonts w:ascii="Times New Roman" w:eastAsiaTheme="minorHAnsi"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C119A9"/>
    <w:multiLevelType w:val="hybridMultilevel"/>
    <w:tmpl w:val="33022382"/>
    <w:lvl w:ilvl="0" w:tplc="1222114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53672A"/>
    <w:multiLevelType w:val="hybridMultilevel"/>
    <w:tmpl w:val="F392D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B652C4"/>
    <w:multiLevelType w:val="hybridMultilevel"/>
    <w:tmpl w:val="F48EA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461301">
    <w:abstractNumId w:val="5"/>
  </w:num>
  <w:num w:numId="2" w16cid:durableId="1780640716">
    <w:abstractNumId w:val="2"/>
  </w:num>
  <w:num w:numId="3" w16cid:durableId="1770925546">
    <w:abstractNumId w:val="3"/>
  </w:num>
  <w:num w:numId="4" w16cid:durableId="1258369825">
    <w:abstractNumId w:val="1"/>
  </w:num>
  <w:num w:numId="5" w16cid:durableId="771974749">
    <w:abstractNumId w:val="7"/>
  </w:num>
  <w:num w:numId="6" w16cid:durableId="2099253636">
    <w:abstractNumId w:val="8"/>
  </w:num>
  <w:num w:numId="7" w16cid:durableId="950011436">
    <w:abstractNumId w:val="0"/>
  </w:num>
  <w:num w:numId="8" w16cid:durableId="1450469280">
    <w:abstractNumId w:val="6"/>
  </w:num>
  <w:num w:numId="9" w16cid:durableId="2006861215">
    <w:abstractNumId w:val="12"/>
  </w:num>
  <w:num w:numId="10" w16cid:durableId="293217244">
    <w:abstractNumId w:val="4"/>
  </w:num>
  <w:num w:numId="11" w16cid:durableId="2136168700">
    <w:abstractNumId w:val="11"/>
  </w:num>
  <w:num w:numId="12" w16cid:durableId="1216700027">
    <w:abstractNumId w:val="10"/>
  </w:num>
  <w:num w:numId="13" w16cid:durableId="19078383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132"/>
    <w:rsid w:val="00007BCA"/>
    <w:rsid w:val="00007D45"/>
    <w:rsid w:val="00010D26"/>
    <w:rsid w:val="00013DBE"/>
    <w:rsid w:val="000349DF"/>
    <w:rsid w:val="0004580C"/>
    <w:rsid w:val="00050991"/>
    <w:rsid w:val="00052126"/>
    <w:rsid w:val="0005253E"/>
    <w:rsid w:val="000564CA"/>
    <w:rsid w:val="00065D70"/>
    <w:rsid w:val="0007041A"/>
    <w:rsid w:val="00075F9B"/>
    <w:rsid w:val="000820F3"/>
    <w:rsid w:val="00085C76"/>
    <w:rsid w:val="00093248"/>
    <w:rsid w:val="00095817"/>
    <w:rsid w:val="00095DF3"/>
    <w:rsid w:val="000A6F40"/>
    <w:rsid w:val="000B23A4"/>
    <w:rsid w:val="000B4D00"/>
    <w:rsid w:val="000B69E7"/>
    <w:rsid w:val="000B6CA4"/>
    <w:rsid w:val="000D296C"/>
    <w:rsid w:val="000E2399"/>
    <w:rsid w:val="000E2A3E"/>
    <w:rsid w:val="000E370F"/>
    <w:rsid w:val="000E5B25"/>
    <w:rsid w:val="000F20F1"/>
    <w:rsid w:val="001006D5"/>
    <w:rsid w:val="00107461"/>
    <w:rsid w:val="00107550"/>
    <w:rsid w:val="001075AB"/>
    <w:rsid w:val="00107EF2"/>
    <w:rsid w:val="001100AB"/>
    <w:rsid w:val="00115CD0"/>
    <w:rsid w:val="001177BC"/>
    <w:rsid w:val="001218CC"/>
    <w:rsid w:val="00124E79"/>
    <w:rsid w:val="00131284"/>
    <w:rsid w:val="0013243B"/>
    <w:rsid w:val="001362BE"/>
    <w:rsid w:val="00136DF3"/>
    <w:rsid w:val="001405BF"/>
    <w:rsid w:val="00141234"/>
    <w:rsid w:val="00146092"/>
    <w:rsid w:val="001505EF"/>
    <w:rsid w:val="0015265D"/>
    <w:rsid w:val="00156F92"/>
    <w:rsid w:val="00160E26"/>
    <w:rsid w:val="001634E3"/>
    <w:rsid w:val="001635B9"/>
    <w:rsid w:val="001704F4"/>
    <w:rsid w:val="0017137A"/>
    <w:rsid w:val="0017405F"/>
    <w:rsid w:val="00175697"/>
    <w:rsid w:val="00187378"/>
    <w:rsid w:val="0019142D"/>
    <w:rsid w:val="00195C9C"/>
    <w:rsid w:val="001B0EC3"/>
    <w:rsid w:val="001B1B90"/>
    <w:rsid w:val="001C2C2B"/>
    <w:rsid w:val="001C4204"/>
    <w:rsid w:val="001D21E0"/>
    <w:rsid w:val="001E3B76"/>
    <w:rsid w:val="001E4F2E"/>
    <w:rsid w:val="001F4EE9"/>
    <w:rsid w:val="0020243F"/>
    <w:rsid w:val="00207E39"/>
    <w:rsid w:val="00217050"/>
    <w:rsid w:val="00222DC6"/>
    <w:rsid w:val="00233476"/>
    <w:rsid w:val="002349D6"/>
    <w:rsid w:val="002368F9"/>
    <w:rsid w:val="002429E6"/>
    <w:rsid w:val="00243EE9"/>
    <w:rsid w:val="00250AA4"/>
    <w:rsid w:val="00251A95"/>
    <w:rsid w:val="002538BF"/>
    <w:rsid w:val="00255A11"/>
    <w:rsid w:val="00257CC2"/>
    <w:rsid w:val="002609F0"/>
    <w:rsid w:val="00260D4B"/>
    <w:rsid w:val="00264146"/>
    <w:rsid w:val="0027061F"/>
    <w:rsid w:val="0027070F"/>
    <w:rsid w:val="0027102D"/>
    <w:rsid w:val="00274D6A"/>
    <w:rsid w:val="0028201E"/>
    <w:rsid w:val="0028581F"/>
    <w:rsid w:val="002900B4"/>
    <w:rsid w:val="00291634"/>
    <w:rsid w:val="00294CF2"/>
    <w:rsid w:val="00297283"/>
    <w:rsid w:val="002A130F"/>
    <w:rsid w:val="002B0D98"/>
    <w:rsid w:val="002B576C"/>
    <w:rsid w:val="002B66E5"/>
    <w:rsid w:val="002B7BDA"/>
    <w:rsid w:val="002B7D08"/>
    <w:rsid w:val="002C357F"/>
    <w:rsid w:val="002C4ECE"/>
    <w:rsid w:val="002D437B"/>
    <w:rsid w:val="002D4C4E"/>
    <w:rsid w:val="002D70EE"/>
    <w:rsid w:val="002E2A81"/>
    <w:rsid w:val="002E66D4"/>
    <w:rsid w:val="002E7245"/>
    <w:rsid w:val="002F0DFE"/>
    <w:rsid w:val="002F30F0"/>
    <w:rsid w:val="003106D4"/>
    <w:rsid w:val="00320936"/>
    <w:rsid w:val="00323420"/>
    <w:rsid w:val="00330675"/>
    <w:rsid w:val="00335430"/>
    <w:rsid w:val="0033716C"/>
    <w:rsid w:val="00350304"/>
    <w:rsid w:val="00350ECF"/>
    <w:rsid w:val="003626F0"/>
    <w:rsid w:val="003733EE"/>
    <w:rsid w:val="003827B7"/>
    <w:rsid w:val="0039019A"/>
    <w:rsid w:val="003A7A99"/>
    <w:rsid w:val="003B097C"/>
    <w:rsid w:val="003B5DC2"/>
    <w:rsid w:val="003C17AE"/>
    <w:rsid w:val="003C7550"/>
    <w:rsid w:val="003D1B70"/>
    <w:rsid w:val="003D1F67"/>
    <w:rsid w:val="003E4897"/>
    <w:rsid w:val="003E5A99"/>
    <w:rsid w:val="003F0596"/>
    <w:rsid w:val="003F3073"/>
    <w:rsid w:val="003F40D5"/>
    <w:rsid w:val="00400774"/>
    <w:rsid w:val="00400EA1"/>
    <w:rsid w:val="00406517"/>
    <w:rsid w:val="0041472F"/>
    <w:rsid w:val="00414849"/>
    <w:rsid w:val="00415CD5"/>
    <w:rsid w:val="00420E4B"/>
    <w:rsid w:val="00424B46"/>
    <w:rsid w:val="004253DE"/>
    <w:rsid w:val="004275B1"/>
    <w:rsid w:val="004276D2"/>
    <w:rsid w:val="004332A4"/>
    <w:rsid w:val="004336B3"/>
    <w:rsid w:val="00446064"/>
    <w:rsid w:val="004467F8"/>
    <w:rsid w:val="004528CD"/>
    <w:rsid w:val="00452FA1"/>
    <w:rsid w:val="0046308F"/>
    <w:rsid w:val="004655BC"/>
    <w:rsid w:val="00472D55"/>
    <w:rsid w:val="00476638"/>
    <w:rsid w:val="004779BA"/>
    <w:rsid w:val="00480F2A"/>
    <w:rsid w:val="00480F6F"/>
    <w:rsid w:val="004818D2"/>
    <w:rsid w:val="00486BC7"/>
    <w:rsid w:val="00492D81"/>
    <w:rsid w:val="004953A9"/>
    <w:rsid w:val="004954E5"/>
    <w:rsid w:val="00496D92"/>
    <w:rsid w:val="00496E5B"/>
    <w:rsid w:val="004A0986"/>
    <w:rsid w:val="004A0E29"/>
    <w:rsid w:val="004A38E9"/>
    <w:rsid w:val="004A42C9"/>
    <w:rsid w:val="004A6BA6"/>
    <w:rsid w:val="004B20AE"/>
    <w:rsid w:val="004B5161"/>
    <w:rsid w:val="004B6A71"/>
    <w:rsid w:val="004B7280"/>
    <w:rsid w:val="004C187B"/>
    <w:rsid w:val="004C27B8"/>
    <w:rsid w:val="004C31B8"/>
    <w:rsid w:val="004D085B"/>
    <w:rsid w:val="004D137F"/>
    <w:rsid w:val="004D3060"/>
    <w:rsid w:val="004D4416"/>
    <w:rsid w:val="004D729D"/>
    <w:rsid w:val="004D78E0"/>
    <w:rsid w:val="004E19FE"/>
    <w:rsid w:val="004E5FCC"/>
    <w:rsid w:val="004E66A2"/>
    <w:rsid w:val="004E68B4"/>
    <w:rsid w:val="004F51E6"/>
    <w:rsid w:val="005049C3"/>
    <w:rsid w:val="00505056"/>
    <w:rsid w:val="005052EF"/>
    <w:rsid w:val="00505672"/>
    <w:rsid w:val="005072B0"/>
    <w:rsid w:val="00514F45"/>
    <w:rsid w:val="00517C49"/>
    <w:rsid w:val="00522967"/>
    <w:rsid w:val="00526AA8"/>
    <w:rsid w:val="005275E5"/>
    <w:rsid w:val="00527B80"/>
    <w:rsid w:val="00532DF9"/>
    <w:rsid w:val="00534A67"/>
    <w:rsid w:val="00535694"/>
    <w:rsid w:val="00542013"/>
    <w:rsid w:val="005436F1"/>
    <w:rsid w:val="005446C3"/>
    <w:rsid w:val="00545F6B"/>
    <w:rsid w:val="0054668B"/>
    <w:rsid w:val="0055012F"/>
    <w:rsid w:val="00552BCD"/>
    <w:rsid w:val="00552EA6"/>
    <w:rsid w:val="005624E6"/>
    <w:rsid w:val="00567713"/>
    <w:rsid w:val="005719EE"/>
    <w:rsid w:val="005822FC"/>
    <w:rsid w:val="00582525"/>
    <w:rsid w:val="00585018"/>
    <w:rsid w:val="0059237D"/>
    <w:rsid w:val="00593618"/>
    <w:rsid w:val="005A281F"/>
    <w:rsid w:val="005A4051"/>
    <w:rsid w:val="005A44EA"/>
    <w:rsid w:val="005A5CA6"/>
    <w:rsid w:val="005A6E35"/>
    <w:rsid w:val="005B3B01"/>
    <w:rsid w:val="005B6D92"/>
    <w:rsid w:val="005B770A"/>
    <w:rsid w:val="005C1118"/>
    <w:rsid w:val="005C11BB"/>
    <w:rsid w:val="005C4206"/>
    <w:rsid w:val="005C4BBE"/>
    <w:rsid w:val="005D0963"/>
    <w:rsid w:val="005D16C4"/>
    <w:rsid w:val="005E0374"/>
    <w:rsid w:val="005E1CF5"/>
    <w:rsid w:val="005E3535"/>
    <w:rsid w:val="005F2E94"/>
    <w:rsid w:val="005F7845"/>
    <w:rsid w:val="0060089C"/>
    <w:rsid w:val="0060098C"/>
    <w:rsid w:val="00612EB8"/>
    <w:rsid w:val="00613F6F"/>
    <w:rsid w:val="00614932"/>
    <w:rsid w:val="00620DF1"/>
    <w:rsid w:val="00625172"/>
    <w:rsid w:val="00625AC9"/>
    <w:rsid w:val="0063265D"/>
    <w:rsid w:val="00635DE3"/>
    <w:rsid w:val="00640680"/>
    <w:rsid w:val="00640764"/>
    <w:rsid w:val="00640EEB"/>
    <w:rsid w:val="0064253C"/>
    <w:rsid w:val="00642582"/>
    <w:rsid w:val="006435F3"/>
    <w:rsid w:val="006437B3"/>
    <w:rsid w:val="00650255"/>
    <w:rsid w:val="0065129D"/>
    <w:rsid w:val="00657EAF"/>
    <w:rsid w:val="006636D5"/>
    <w:rsid w:val="00663A33"/>
    <w:rsid w:val="0067014E"/>
    <w:rsid w:val="00673A98"/>
    <w:rsid w:val="00677C99"/>
    <w:rsid w:val="0068224F"/>
    <w:rsid w:val="0068748E"/>
    <w:rsid w:val="00692EE6"/>
    <w:rsid w:val="00695C04"/>
    <w:rsid w:val="00696CE7"/>
    <w:rsid w:val="006A068B"/>
    <w:rsid w:val="006A1BEE"/>
    <w:rsid w:val="006A3FCC"/>
    <w:rsid w:val="006B00B5"/>
    <w:rsid w:val="006B0A45"/>
    <w:rsid w:val="006C0AEE"/>
    <w:rsid w:val="006C2D80"/>
    <w:rsid w:val="006C4992"/>
    <w:rsid w:val="006C56C9"/>
    <w:rsid w:val="006C67F8"/>
    <w:rsid w:val="006C79C4"/>
    <w:rsid w:val="006D05E6"/>
    <w:rsid w:val="006D5BDB"/>
    <w:rsid w:val="006D6498"/>
    <w:rsid w:val="006E0094"/>
    <w:rsid w:val="006E1705"/>
    <w:rsid w:val="006E6C86"/>
    <w:rsid w:val="006F4DEA"/>
    <w:rsid w:val="006F6941"/>
    <w:rsid w:val="00702C56"/>
    <w:rsid w:val="00703F88"/>
    <w:rsid w:val="00704D45"/>
    <w:rsid w:val="0070591F"/>
    <w:rsid w:val="007117A7"/>
    <w:rsid w:val="00717F72"/>
    <w:rsid w:val="00721BF2"/>
    <w:rsid w:val="007232BA"/>
    <w:rsid w:val="00724BDA"/>
    <w:rsid w:val="00730AB3"/>
    <w:rsid w:val="007327A3"/>
    <w:rsid w:val="00734713"/>
    <w:rsid w:val="00734985"/>
    <w:rsid w:val="0073626B"/>
    <w:rsid w:val="00740916"/>
    <w:rsid w:val="0074290D"/>
    <w:rsid w:val="007432F8"/>
    <w:rsid w:val="007460C4"/>
    <w:rsid w:val="00756E37"/>
    <w:rsid w:val="00762474"/>
    <w:rsid w:val="00764694"/>
    <w:rsid w:val="007676A6"/>
    <w:rsid w:val="007719F9"/>
    <w:rsid w:val="00782FA6"/>
    <w:rsid w:val="00787D79"/>
    <w:rsid w:val="007904CB"/>
    <w:rsid w:val="00790861"/>
    <w:rsid w:val="007962A2"/>
    <w:rsid w:val="007A2DAD"/>
    <w:rsid w:val="007A31F6"/>
    <w:rsid w:val="007A6855"/>
    <w:rsid w:val="007B2441"/>
    <w:rsid w:val="007B326C"/>
    <w:rsid w:val="007C0C81"/>
    <w:rsid w:val="007D2E8A"/>
    <w:rsid w:val="007D549F"/>
    <w:rsid w:val="007E3752"/>
    <w:rsid w:val="007E4D42"/>
    <w:rsid w:val="007F1590"/>
    <w:rsid w:val="00805BB6"/>
    <w:rsid w:val="0082088A"/>
    <w:rsid w:val="008225B2"/>
    <w:rsid w:val="00822E9B"/>
    <w:rsid w:val="008231DA"/>
    <w:rsid w:val="00825583"/>
    <w:rsid w:val="00834D98"/>
    <w:rsid w:val="008438B6"/>
    <w:rsid w:val="00850815"/>
    <w:rsid w:val="008563AA"/>
    <w:rsid w:val="00857608"/>
    <w:rsid w:val="00863E67"/>
    <w:rsid w:val="008668B6"/>
    <w:rsid w:val="00875D50"/>
    <w:rsid w:val="00875E58"/>
    <w:rsid w:val="00877081"/>
    <w:rsid w:val="008808A7"/>
    <w:rsid w:val="008A1524"/>
    <w:rsid w:val="008A3DC9"/>
    <w:rsid w:val="008A59F1"/>
    <w:rsid w:val="008A694C"/>
    <w:rsid w:val="008A6EE3"/>
    <w:rsid w:val="008B2521"/>
    <w:rsid w:val="008B4438"/>
    <w:rsid w:val="008C279C"/>
    <w:rsid w:val="008C70FC"/>
    <w:rsid w:val="008C71FD"/>
    <w:rsid w:val="008D4720"/>
    <w:rsid w:val="008E5C6D"/>
    <w:rsid w:val="008F038C"/>
    <w:rsid w:val="00903F3C"/>
    <w:rsid w:val="0090494F"/>
    <w:rsid w:val="00904FF6"/>
    <w:rsid w:val="00905BB6"/>
    <w:rsid w:val="00911A00"/>
    <w:rsid w:val="00913310"/>
    <w:rsid w:val="00914F70"/>
    <w:rsid w:val="009150E3"/>
    <w:rsid w:val="009158D5"/>
    <w:rsid w:val="00915F02"/>
    <w:rsid w:val="00920185"/>
    <w:rsid w:val="00924D84"/>
    <w:rsid w:val="0094248F"/>
    <w:rsid w:val="00943042"/>
    <w:rsid w:val="00945086"/>
    <w:rsid w:val="00954113"/>
    <w:rsid w:val="00956631"/>
    <w:rsid w:val="00961A70"/>
    <w:rsid w:val="00963F85"/>
    <w:rsid w:val="00966FBB"/>
    <w:rsid w:val="0097138B"/>
    <w:rsid w:val="0097294F"/>
    <w:rsid w:val="00973C04"/>
    <w:rsid w:val="00973CB7"/>
    <w:rsid w:val="00983874"/>
    <w:rsid w:val="009852D9"/>
    <w:rsid w:val="0098717C"/>
    <w:rsid w:val="00992B45"/>
    <w:rsid w:val="009A0F05"/>
    <w:rsid w:val="009A422E"/>
    <w:rsid w:val="009A5AF1"/>
    <w:rsid w:val="009A619D"/>
    <w:rsid w:val="009A62A8"/>
    <w:rsid w:val="009B3570"/>
    <w:rsid w:val="009C270C"/>
    <w:rsid w:val="009C5844"/>
    <w:rsid w:val="009D2357"/>
    <w:rsid w:val="009D4C91"/>
    <w:rsid w:val="009D4D49"/>
    <w:rsid w:val="009D718A"/>
    <w:rsid w:val="009D756D"/>
    <w:rsid w:val="009E2DF3"/>
    <w:rsid w:val="009E78BD"/>
    <w:rsid w:val="009F07C7"/>
    <w:rsid w:val="009F0E33"/>
    <w:rsid w:val="009F33B8"/>
    <w:rsid w:val="009F6F81"/>
    <w:rsid w:val="00A01990"/>
    <w:rsid w:val="00A036C4"/>
    <w:rsid w:val="00A1122D"/>
    <w:rsid w:val="00A12384"/>
    <w:rsid w:val="00A17A5E"/>
    <w:rsid w:val="00A2110D"/>
    <w:rsid w:val="00A26538"/>
    <w:rsid w:val="00A27AD0"/>
    <w:rsid w:val="00A30913"/>
    <w:rsid w:val="00A32094"/>
    <w:rsid w:val="00A3238E"/>
    <w:rsid w:val="00A325C8"/>
    <w:rsid w:val="00A36D37"/>
    <w:rsid w:val="00A438AB"/>
    <w:rsid w:val="00A440B5"/>
    <w:rsid w:val="00A45D26"/>
    <w:rsid w:val="00A52E6E"/>
    <w:rsid w:val="00A53222"/>
    <w:rsid w:val="00A62162"/>
    <w:rsid w:val="00A65F76"/>
    <w:rsid w:val="00A7388E"/>
    <w:rsid w:val="00A853CE"/>
    <w:rsid w:val="00A91606"/>
    <w:rsid w:val="00A930F6"/>
    <w:rsid w:val="00A9614B"/>
    <w:rsid w:val="00A96757"/>
    <w:rsid w:val="00A9697B"/>
    <w:rsid w:val="00AA31DE"/>
    <w:rsid w:val="00AB13CA"/>
    <w:rsid w:val="00AB3C7E"/>
    <w:rsid w:val="00AB605D"/>
    <w:rsid w:val="00AB6D7E"/>
    <w:rsid w:val="00AC0918"/>
    <w:rsid w:val="00AC2132"/>
    <w:rsid w:val="00AC277B"/>
    <w:rsid w:val="00AC4D41"/>
    <w:rsid w:val="00AD42B8"/>
    <w:rsid w:val="00AD5B3C"/>
    <w:rsid w:val="00AE01F4"/>
    <w:rsid w:val="00AE27D9"/>
    <w:rsid w:val="00AE5A5D"/>
    <w:rsid w:val="00AE5E10"/>
    <w:rsid w:val="00AF493B"/>
    <w:rsid w:val="00B02E0A"/>
    <w:rsid w:val="00B0442D"/>
    <w:rsid w:val="00B07B44"/>
    <w:rsid w:val="00B12D0E"/>
    <w:rsid w:val="00B15B71"/>
    <w:rsid w:val="00B25482"/>
    <w:rsid w:val="00B2728A"/>
    <w:rsid w:val="00B272C7"/>
    <w:rsid w:val="00B305EB"/>
    <w:rsid w:val="00B312BF"/>
    <w:rsid w:val="00B323CB"/>
    <w:rsid w:val="00B3443A"/>
    <w:rsid w:val="00B34E80"/>
    <w:rsid w:val="00B36D13"/>
    <w:rsid w:val="00B37532"/>
    <w:rsid w:val="00B46955"/>
    <w:rsid w:val="00B53D33"/>
    <w:rsid w:val="00B54F5C"/>
    <w:rsid w:val="00B60332"/>
    <w:rsid w:val="00B61950"/>
    <w:rsid w:val="00B76252"/>
    <w:rsid w:val="00B770BD"/>
    <w:rsid w:val="00B77933"/>
    <w:rsid w:val="00B8032F"/>
    <w:rsid w:val="00B84C86"/>
    <w:rsid w:val="00B85D15"/>
    <w:rsid w:val="00B87B40"/>
    <w:rsid w:val="00B92AFA"/>
    <w:rsid w:val="00B92D96"/>
    <w:rsid w:val="00BA351F"/>
    <w:rsid w:val="00BA5BAB"/>
    <w:rsid w:val="00BA5F87"/>
    <w:rsid w:val="00BA7B49"/>
    <w:rsid w:val="00BB1852"/>
    <w:rsid w:val="00BB32A0"/>
    <w:rsid w:val="00BB5B3F"/>
    <w:rsid w:val="00BB7086"/>
    <w:rsid w:val="00BC0524"/>
    <w:rsid w:val="00BC06F1"/>
    <w:rsid w:val="00BC1ADE"/>
    <w:rsid w:val="00BD2DAB"/>
    <w:rsid w:val="00BE6C2C"/>
    <w:rsid w:val="00BF01DA"/>
    <w:rsid w:val="00BF280C"/>
    <w:rsid w:val="00C03D90"/>
    <w:rsid w:val="00C061FA"/>
    <w:rsid w:val="00C14D2E"/>
    <w:rsid w:val="00C2200B"/>
    <w:rsid w:val="00C24C2F"/>
    <w:rsid w:val="00C27804"/>
    <w:rsid w:val="00C30810"/>
    <w:rsid w:val="00C30EE7"/>
    <w:rsid w:val="00C32088"/>
    <w:rsid w:val="00C41F12"/>
    <w:rsid w:val="00C5172F"/>
    <w:rsid w:val="00C55202"/>
    <w:rsid w:val="00C5738E"/>
    <w:rsid w:val="00C604A8"/>
    <w:rsid w:val="00C6224F"/>
    <w:rsid w:val="00C65E53"/>
    <w:rsid w:val="00C718DE"/>
    <w:rsid w:val="00C83DF4"/>
    <w:rsid w:val="00C85D46"/>
    <w:rsid w:val="00C86394"/>
    <w:rsid w:val="00C86A91"/>
    <w:rsid w:val="00C86C59"/>
    <w:rsid w:val="00C873D1"/>
    <w:rsid w:val="00C9520B"/>
    <w:rsid w:val="00C9585E"/>
    <w:rsid w:val="00C969ED"/>
    <w:rsid w:val="00CA5212"/>
    <w:rsid w:val="00CC7CA0"/>
    <w:rsid w:val="00CD1E2A"/>
    <w:rsid w:val="00CD3E69"/>
    <w:rsid w:val="00CD51FF"/>
    <w:rsid w:val="00CD5650"/>
    <w:rsid w:val="00CE50EF"/>
    <w:rsid w:val="00CF294C"/>
    <w:rsid w:val="00CF4132"/>
    <w:rsid w:val="00CF4F2A"/>
    <w:rsid w:val="00CF658F"/>
    <w:rsid w:val="00D10E4A"/>
    <w:rsid w:val="00D20A21"/>
    <w:rsid w:val="00D20A82"/>
    <w:rsid w:val="00D220D8"/>
    <w:rsid w:val="00D25ABA"/>
    <w:rsid w:val="00D26710"/>
    <w:rsid w:val="00D30D2F"/>
    <w:rsid w:val="00D32C51"/>
    <w:rsid w:val="00D3785A"/>
    <w:rsid w:val="00D43F28"/>
    <w:rsid w:val="00D476C1"/>
    <w:rsid w:val="00D505FB"/>
    <w:rsid w:val="00D509F1"/>
    <w:rsid w:val="00D53D5B"/>
    <w:rsid w:val="00D55C4A"/>
    <w:rsid w:val="00D62326"/>
    <w:rsid w:val="00D65B69"/>
    <w:rsid w:val="00D65C84"/>
    <w:rsid w:val="00D66BF6"/>
    <w:rsid w:val="00D670E0"/>
    <w:rsid w:val="00D704BC"/>
    <w:rsid w:val="00D746B8"/>
    <w:rsid w:val="00D754AF"/>
    <w:rsid w:val="00D84839"/>
    <w:rsid w:val="00D93CC1"/>
    <w:rsid w:val="00DA2B07"/>
    <w:rsid w:val="00DA2EE7"/>
    <w:rsid w:val="00DA59A9"/>
    <w:rsid w:val="00DA6040"/>
    <w:rsid w:val="00DB1E28"/>
    <w:rsid w:val="00DB71AC"/>
    <w:rsid w:val="00DC1062"/>
    <w:rsid w:val="00DC3659"/>
    <w:rsid w:val="00DC4789"/>
    <w:rsid w:val="00DC5AAE"/>
    <w:rsid w:val="00DD1196"/>
    <w:rsid w:val="00DD284F"/>
    <w:rsid w:val="00DD7AFE"/>
    <w:rsid w:val="00DE2995"/>
    <w:rsid w:val="00DE374C"/>
    <w:rsid w:val="00DF188E"/>
    <w:rsid w:val="00DF31D2"/>
    <w:rsid w:val="00DF48DB"/>
    <w:rsid w:val="00DF4C5A"/>
    <w:rsid w:val="00DF6D17"/>
    <w:rsid w:val="00DF7767"/>
    <w:rsid w:val="00E0218F"/>
    <w:rsid w:val="00E10109"/>
    <w:rsid w:val="00E11247"/>
    <w:rsid w:val="00E126BF"/>
    <w:rsid w:val="00E136BB"/>
    <w:rsid w:val="00E1390D"/>
    <w:rsid w:val="00E14BB6"/>
    <w:rsid w:val="00E16823"/>
    <w:rsid w:val="00E176D7"/>
    <w:rsid w:val="00E21ADA"/>
    <w:rsid w:val="00E33EDC"/>
    <w:rsid w:val="00E35433"/>
    <w:rsid w:val="00E3610C"/>
    <w:rsid w:val="00E4002F"/>
    <w:rsid w:val="00E43EB1"/>
    <w:rsid w:val="00E44F47"/>
    <w:rsid w:val="00E4515E"/>
    <w:rsid w:val="00E52D51"/>
    <w:rsid w:val="00E61851"/>
    <w:rsid w:val="00E620A7"/>
    <w:rsid w:val="00E6292B"/>
    <w:rsid w:val="00E6596B"/>
    <w:rsid w:val="00E65BA3"/>
    <w:rsid w:val="00E65C1D"/>
    <w:rsid w:val="00E65DE1"/>
    <w:rsid w:val="00E67188"/>
    <w:rsid w:val="00E75F99"/>
    <w:rsid w:val="00E7664D"/>
    <w:rsid w:val="00E81A24"/>
    <w:rsid w:val="00E8517E"/>
    <w:rsid w:val="00E856BE"/>
    <w:rsid w:val="00E85734"/>
    <w:rsid w:val="00E86592"/>
    <w:rsid w:val="00E87278"/>
    <w:rsid w:val="00E95118"/>
    <w:rsid w:val="00E978EC"/>
    <w:rsid w:val="00EA06CF"/>
    <w:rsid w:val="00EA4299"/>
    <w:rsid w:val="00EA6227"/>
    <w:rsid w:val="00EC3906"/>
    <w:rsid w:val="00EC4577"/>
    <w:rsid w:val="00EC612A"/>
    <w:rsid w:val="00ED51AA"/>
    <w:rsid w:val="00EE0D0D"/>
    <w:rsid w:val="00EE1172"/>
    <w:rsid w:val="00EE70CB"/>
    <w:rsid w:val="00EF19FA"/>
    <w:rsid w:val="00EF421D"/>
    <w:rsid w:val="00F00346"/>
    <w:rsid w:val="00F019C2"/>
    <w:rsid w:val="00F05AF7"/>
    <w:rsid w:val="00F07E0F"/>
    <w:rsid w:val="00F11112"/>
    <w:rsid w:val="00F12562"/>
    <w:rsid w:val="00F1596E"/>
    <w:rsid w:val="00F21B45"/>
    <w:rsid w:val="00F27E5A"/>
    <w:rsid w:val="00F31A6F"/>
    <w:rsid w:val="00F358A6"/>
    <w:rsid w:val="00F378D1"/>
    <w:rsid w:val="00F443CA"/>
    <w:rsid w:val="00F4771B"/>
    <w:rsid w:val="00F502F7"/>
    <w:rsid w:val="00F53D85"/>
    <w:rsid w:val="00F54261"/>
    <w:rsid w:val="00F56ED1"/>
    <w:rsid w:val="00F608FA"/>
    <w:rsid w:val="00F61BAE"/>
    <w:rsid w:val="00F6573E"/>
    <w:rsid w:val="00F65CC9"/>
    <w:rsid w:val="00F65D07"/>
    <w:rsid w:val="00F71B62"/>
    <w:rsid w:val="00F77969"/>
    <w:rsid w:val="00F808EE"/>
    <w:rsid w:val="00F80D67"/>
    <w:rsid w:val="00F8168A"/>
    <w:rsid w:val="00F84EC4"/>
    <w:rsid w:val="00F86183"/>
    <w:rsid w:val="00F90960"/>
    <w:rsid w:val="00F91D8D"/>
    <w:rsid w:val="00F96C20"/>
    <w:rsid w:val="00FA22C8"/>
    <w:rsid w:val="00FA4180"/>
    <w:rsid w:val="00FB146D"/>
    <w:rsid w:val="00FB2425"/>
    <w:rsid w:val="00FB312A"/>
    <w:rsid w:val="00FB664A"/>
    <w:rsid w:val="00FD16A6"/>
    <w:rsid w:val="00FD22A1"/>
    <w:rsid w:val="00FD4AC1"/>
    <w:rsid w:val="00FE4A97"/>
    <w:rsid w:val="00FE7A75"/>
    <w:rsid w:val="00FF436B"/>
    <w:rsid w:val="00FF6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7C02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D2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C2132"/>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AC2132"/>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5F784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132"/>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semiHidden/>
    <w:rsid w:val="00AC2132"/>
    <w:rPr>
      <w:rFonts w:ascii="Times New Roman" w:eastAsiaTheme="majorEastAsia" w:hAnsi="Times New Roman" w:cstheme="majorBidi"/>
      <w:b/>
      <w:color w:val="2F5496" w:themeColor="accent1" w:themeShade="BF"/>
      <w:sz w:val="28"/>
      <w:szCs w:val="26"/>
      <w:lang w:val="en-GB"/>
    </w:rPr>
  </w:style>
  <w:style w:type="paragraph" w:styleId="NormalWeb">
    <w:name w:val="Normal (Web)"/>
    <w:basedOn w:val="Normal"/>
    <w:uiPriority w:val="99"/>
    <w:semiHidden/>
    <w:unhideWhenUsed/>
    <w:rsid w:val="00A930F6"/>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A930F6"/>
    <w:rPr>
      <w:b/>
      <w:bCs/>
    </w:rPr>
  </w:style>
  <w:style w:type="paragraph" w:styleId="ListParagraph">
    <w:name w:val="List Paragraph"/>
    <w:basedOn w:val="Normal"/>
    <w:uiPriority w:val="34"/>
    <w:qFormat/>
    <w:rsid w:val="00B305EB"/>
    <w:pPr>
      <w:ind w:left="720"/>
      <w:contextualSpacing/>
    </w:pPr>
  </w:style>
  <w:style w:type="paragraph" w:styleId="Header">
    <w:name w:val="header"/>
    <w:basedOn w:val="Normal"/>
    <w:link w:val="HeaderChar"/>
    <w:uiPriority w:val="99"/>
    <w:unhideWhenUsed/>
    <w:rsid w:val="00F111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1112"/>
    <w:rPr>
      <w:rFonts w:ascii="Times New Roman" w:hAnsi="Times New Roman"/>
      <w:sz w:val="24"/>
      <w:lang w:val="en-GB"/>
    </w:rPr>
  </w:style>
  <w:style w:type="paragraph" w:styleId="Footer">
    <w:name w:val="footer"/>
    <w:basedOn w:val="Normal"/>
    <w:link w:val="FooterChar"/>
    <w:uiPriority w:val="99"/>
    <w:unhideWhenUsed/>
    <w:rsid w:val="00F111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1112"/>
    <w:rPr>
      <w:rFonts w:ascii="Times New Roman" w:hAnsi="Times New Roman"/>
      <w:sz w:val="24"/>
      <w:lang w:val="en-GB"/>
    </w:rPr>
  </w:style>
  <w:style w:type="paragraph" w:styleId="TOCHeading">
    <w:name w:val="TOC Heading"/>
    <w:basedOn w:val="Heading1"/>
    <w:next w:val="Normal"/>
    <w:uiPriority w:val="39"/>
    <w:unhideWhenUsed/>
    <w:qFormat/>
    <w:rsid w:val="006A068B"/>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A068B"/>
    <w:pPr>
      <w:spacing w:after="100"/>
    </w:pPr>
  </w:style>
  <w:style w:type="character" w:styleId="Hyperlink">
    <w:name w:val="Hyperlink"/>
    <w:basedOn w:val="DefaultParagraphFont"/>
    <w:uiPriority w:val="99"/>
    <w:unhideWhenUsed/>
    <w:rsid w:val="006A068B"/>
    <w:rPr>
      <w:color w:val="0563C1" w:themeColor="hyperlink"/>
      <w:u w:val="single"/>
    </w:rPr>
  </w:style>
  <w:style w:type="table" w:styleId="PlainTable2">
    <w:name w:val="Plain Table 2"/>
    <w:basedOn w:val="TableNormal"/>
    <w:uiPriority w:val="42"/>
    <w:rsid w:val="00915F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3Char">
    <w:name w:val="Heading 3 Char"/>
    <w:basedOn w:val="DefaultParagraphFont"/>
    <w:link w:val="Heading3"/>
    <w:uiPriority w:val="9"/>
    <w:semiHidden/>
    <w:rsid w:val="005F7845"/>
    <w:rPr>
      <w:rFonts w:asciiTheme="majorHAnsi" w:eastAsiaTheme="majorEastAsia" w:hAnsiTheme="majorHAnsi" w:cstheme="majorBidi"/>
      <w:color w:val="1F3763"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48667">
      <w:bodyDiv w:val="1"/>
      <w:marLeft w:val="0"/>
      <w:marRight w:val="0"/>
      <w:marTop w:val="0"/>
      <w:marBottom w:val="0"/>
      <w:divBdr>
        <w:top w:val="none" w:sz="0" w:space="0" w:color="auto"/>
        <w:left w:val="none" w:sz="0" w:space="0" w:color="auto"/>
        <w:bottom w:val="none" w:sz="0" w:space="0" w:color="auto"/>
        <w:right w:val="none" w:sz="0" w:space="0" w:color="auto"/>
      </w:divBdr>
      <w:divsChild>
        <w:div w:id="2117209923">
          <w:marLeft w:val="0"/>
          <w:marRight w:val="0"/>
          <w:marTop w:val="0"/>
          <w:marBottom w:val="0"/>
          <w:divBdr>
            <w:top w:val="none" w:sz="0" w:space="0" w:color="auto"/>
            <w:left w:val="none" w:sz="0" w:space="0" w:color="auto"/>
            <w:bottom w:val="none" w:sz="0" w:space="0" w:color="auto"/>
            <w:right w:val="none" w:sz="0" w:space="0" w:color="auto"/>
          </w:divBdr>
        </w:div>
      </w:divsChild>
    </w:div>
    <w:div w:id="54738282">
      <w:bodyDiv w:val="1"/>
      <w:marLeft w:val="0"/>
      <w:marRight w:val="0"/>
      <w:marTop w:val="0"/>
      <w:marBottom w:val="0"/>
      <w:divBdr>
        <w:top w:val="none" w:sz="0" w:space="0" w:color="auto"/>
        <w:left w:val="none" w:sz="0" w:space="0" w:color="auto"/>
        <w:bottom w:val="none" w:sz="0" w:space="0" w:color="auto"/>
        <w:right w:val="none" w:sz="0" w:space="0" w:color="auto"/>
      </w:divBdr>
      <w:divsChild>
        <w:div w:id="1158230380">
          <w:marLeft w:val="0"/>
          <w:marRight w:val="0"/>
          <w:marTop w:val="0"/>
          <w:marBottom w:val="0"/>
          <w:divBdr>
            <w:top w:val="none" w:sz="0" w:space="0" w:color="auto"/>
            <w:left w:val="none" w:sz="0" w:space="0" w:color="auto"/>
            <w:bottom w:val="none" w:sz="0" w:space="0" w:color="auto"/>
            <w:right w:val="none" w:sz="0" w:space="0" w:color="auto"/>
          </w:divBdr>
        </w:div>
      </w:divsChild>
    </w:div>
    <w:div w:id="206725687">
      <w:bodyDiv w:val="1"/>
      <w:marLeft w:val="0"/>
      <w:marRight w:val="0"/>
      <w:marTop w:val="0"/>
      <w:marBottom w:val="0"/>
      <w:divBdr>
        <w:top w:val="none" w:sz="0" w:space="0" w:color="auto"/>
        <w:left w:val="none" w:sz="0" w:space="0" w:color="auto"/>
        <w:bottom w:val="none" w:sz="0" w:space="0" w:color="auto"/>
        <w:right w:val="none" w:sz="0" w:space="0" w:color="auto"/>
      </w:divBdr>
    </w:div>
    <w:div w:id="270207649">
      <w:bodyDiv w:val="1"/>
      <w:marLeft w:val="0"/>
      <w:marRight w:val="0"/>
      <w:marTop w:val="0"/>
      <w:marBottom w:val="0"/>
      <w:divBdr>
        <w:top w:val="none" w:sz="0" w:space="0" w:color="auto"/>
        <w:left w:val="none" w:sz="0" w:space="0" w:color="auto"/>
        <w:bottom w:val="none" w:sz="0" w:space="0" w:color="auto"/>
        <w:right w:val="none" w:sz="0" w:space="0" w:color="auto"/>
      </w:divBdr>
      <w:divsChild>
        <w:div w:id="1603417646">
          <w:marLeft w:val="0"/>
          <w:marRight w:val="0"/>
          <w:marTop w:val="0"/>
          <w:marBottom w:val="0"/>
          <w:divBdr>
            <w:top w:val="none" w:sz="0" w:space="0" w:color="auto"/>
            <w:left w:val="none" w:sz="0" w:space="0" w:color="auto"/>
            <w:bottom w:val="none" w:sz="0" w:space="0" w:color="auto"/>
            <w:right w:val="none" w:sz="0" w:space="0" w:color="auto"/>
          </w:divBdr>
        </w:div>
      </w:divsChild>
    </w:div>
    <w:div w:id="362748106">
      <w:bodyDiv w:val="1"/>
      <w:marLeft w:val="0"/>
      <w:marRight w:val="0"/>
      <w:marTop w:val="0"/>
      <w:marBottom w:val="0"/>
      <w:divBdr>
        <w:top w:val="none" w:sz="0" w:space="0" w:color="auto"/>
        <w:left w:val="none" w:sz="0" w:space="0" w:color="auto"/>
        <w:bottom w:val="none" w:sz="0" w:space="0" w:color="auto"/>
        <w:right w:val="none" w:sz="0" w:space="0" w:color="auto"/>
      </w:divBdr>
    </w:div>
    <w:div w:id="393429227">
      <w:bodyDiv w:val="1"/>
      <w:marLeft w:val="0"/>
      <w:marRight w:val="0"/>
      <w:marTop w:val="0"/>
      <w:marBottom w:val="0"/>
      <w:divBdr>
        <w:top w:val="none" w:sz="0" w:space="0" w:color="auto"/>
        <w:left w:val="none" w:sz="0" w:space="0" w:color="auto"/>
        <w:bottom w:val="none" w:sz="0" w:space="0" w:color="auto"/>
        <w:right w:val="none" w:sz="0" w:space="0" w:color="auto"/>
      </w:divBdr>
      <w:divsChild>
        <w:div w:id="1408067211">
          <w:marLeft w:val="0"/>
          <w:marRight w:val="0"/>
          <w:marTop w:val="0"/>
          <w:marBottom w:val="0"/>
          <w:divBdr>
            <w:top w:val="none" w:sz="0" w:space="0" w:color="auto"/>
            <w:left w:val="none" w:sz="0" w:space="0" w:color="auto"/>
            <w:bottom w:val="none" w:sz="0" w:space="0" w:color="auto"/>
            <w:right w:val="none" w:sz="0" w:space="0" w:color="auto"/>
          </w:divBdr>
        </w:div>
      </w:divsChild>
    </w:div>
    <w:div w:id="444540441">
      <w:bodyDiv w:val="1"/>
      <w:marLeft w:val="0"/>
      <w:marRight w:val="0"/>
      <w:marTop w:val="0"/>
      <w:marBottom w:val="0"/>
      <w:divBdr>
        <w:top w:val="none" w:sz="0" w:space="0" w:color="auto"/>
        <w:left w:val="none" w:sz="0" w:space="0" w:color="auto"/>
        <w:bottom w:val="none" w:sz="0" w:space="0" w:color="auto"/>
        <w:right w:val="none" w:sz="0" w:space="0" w:color="auto"/>
      </w:divBdr>
    </w:div>
    <w:div w:id="457726954">
      <w:bodyDiv w:val="1"/>
      <w:marLeft w:val="0"/>
      <w:marRight w:val="0"/>
      <w:marTop w:val="0"/>
      <w:marBottom w:val="0"/>
      <w:divBdr>
        <w:top w:val="none" w:sz="0" w:space="0" w:color="auto"/>
        <w:left w:val="none" w:sz="0" w:space="0" w:color="auto"/>
        <w:bottom w:val="none" w:sz="0" w:space="0" w:color="auto"/>
        <w:right w:val="none" w:sz="0" w:space="0" w:color="auto"/>
      </w:divBdr>
      <w:divsChild>
        <w:div w:id="1565985336">
          <w:marLeft w:val="0"/>
          <w:marRight w:val="0"/>
          <w:marTop w:val="0"/>
          <w:marBottom w:val="0"/>
          <w:divBdr>
            <w:top w:val="none" w:sz="0" w:space="0" w:color="auto"/>
            <w:left w:val="none" w:sz="0" w:space="0" w:color="auto"/>
            <w:bottom w:val="none" w:sz="0" w:space="0" w:color="auto"/>
            <w:right w:val="none" w:sz="0" w:space="0" w:color="auto"/>
          </w:divBdr>
        </w:div>
      </w:divsChild>
    </w:div>
    <w:div w:id="467360755">
      <w:bodyDiv w:val="1"/>
      <w:marLeft w:val="0"/>
      <w:marRight w:val="0"/>
      <w:marTop w:val="0"/>
      <w:marBottom w:val="0"/>
      <w:divBdr>
        <w:top w:val="none" w:sz="0" w:space="0" w:color="auto"/>
        <w:left w:val="none" w:sz="0" w:space="0" w:color="auto"/>
        <w:bottom w:val="none" w:sz="0" w:space="0" w:color="auto"/>
        <w:right w:val="none" w:sz="0" w:space="0" w:color="auto"/>
      </w:divBdr>
      <w:divsChild>
        <w:div w:id="2064476672">
          <w:marLeft w:val="0"/>
          <w:marRight w:val="0"/>
          <w:marTop w:val="0"/>
          <w:marBottom w:val="0"/>
          <w:divBdr>
            <w:top w:val="none" w:sz="0" w:space="0" w:color="auto"/>
            <w:left w:val="none" w:sz="0" w:space="0" w:color="auto"/>
            <w:bottom w:val="none" w:sz="0" w:space="0" w:color="auto"/>
            <w:right w:val="none" w:sz="0" w:space="0" w:color="auto"/>
          </w:divBdr>
        </w:div>
      </w:divsChild>
    </w:div>
    <w:div w:id="522286906">
      <w:bodyDiv w:val="1"/>
      <w:marLeft w:val="0"/>
      <w:marRight w:val="0"/>
      <w:marTop w:val="0"/>
      <w:marBottom w:val="0"/>
      <w:divBdr>
        <w:top w:val="none" w:sz="0" w:space="0" w:color="auto"/>
        <w:left w:val="none" w:sz="0" w:space="0" w:color="auto"/>
        <w:bottom w:val="none" w:sz="0" w:space="0" w:color="auto"/>
        <w:right w:val="none" w:sz="0" w:space="0" w:color="auto"/>
      </w:divBdr>
      <w:divsChild>
        <w:div w:id="301430299">
          <w:marLeft w:val="0"/>
          <w:marRight w:val="0"/>
          <w:marTop w:val="0"/>
          <w:marBottom w:val="0"/>
          <w:divBdr>
            <w:top w:val="none" w:sz="0" w:space="0" w:color="auto"/>
            <w:left w:val="none" w:sz="0" w:space="0" w:color="auto"/>
            <w:bottom w:val="none" w:sz="0" w:space="0" w:color="auto"/>
            <w:right w:val="none" w:sz="0" w:space="0" w:color="auto"/>
          </w:divBdr>
        </w:div>
      </w:divsChild>
    </w:div>
    <w:div w:id="523783285">
      <w:bodyDiv w:val="1"/>
      <w:marLeft w:val="0"/>
      <w:marRight w:val="0"/>
      <w:marTop w:val="0"/>
      <w:marBottom w:val="0"/>
      <w:divBdr>
        <w:top w:val="none" w:sz="0" w:space="0" w:color="auto"/>
        <w:left w:val="none" w:sz="0" w:space="0" w:color="auto"/>
        <w:bottom w:val="none" w:sz="0" w:space="0" w:color="auto"/>
        <w:right w:val="none" w:sz="0" w:space="0" w:color="auto"/>
      </w:divBdr>
      <w:divsChild>
        <w:div w:id="1490829748">
          <w:marLeft w:val="0"/>
          <w:marRight w:val="0"/>
          <w:marTop w:val="0"/>
          <w:marBottom w:val="0"/>
          <w:divBdr>
            <w:top w:val="none" w:sz="0" w:space="0" w:color="auto"/>
            <w:left w:val="none" w:sz="0" w:space="0" w:color="auto"/>
            <w:bottom w:val="none" w:sz="0" w:space="0" w:color="auto"/>
            <w:right w:val="none" w:sz="0" w:space="0" w:color="auto"/>
          </w:divBdr>
        </w:div>
      </w:divsChild>
    </w:div>
    <w:div w:id="610750295">
      <w:bodyDiv w:val="1"/>
      <w:marLeft w:val="0"/>
      <w:marRight w:val="0"/>
      <w:marTop w:val="0"/>
      <w:marBottom w:val="0"/>
      <w:divBdr>
        <w:top w:val="none" w:sz="0" w:space="0" w:color="auto"/>
        <w:left w:val="none" w:sz="0" w:space="0" w:color="auto"/>
        <w:bottom w:val="none" w:sz="0" w:space="0" w:color="auto"/>
        <w:right w:val="none" w:sz="0" w:space="0" w:color="auto"/>
      </w:divBdr>
      <w:divsChild>
        <w:div w:id="1200973532">
          <w:marLeft w:val="0"/>
          <w:marRight w:val="0"/>
          <w:marTop w:val="0"/>
          <w:marBottom w:val="0"/>
          <w:divBdr>
            <w:top w:val="none" w:sz="0" w:space="0" w:color="auto"/>
            <w:left w:val="none" w:sz="0" w:space="0" w:color="auto"/>
            <w:bottom w:val="none" w:sz="0" w:space="0" w:color="auto"/>
            <w:right w:val="none" w:sz="0" w:space="0" w:color="auto"/>
          </w:divBdr>
        </w:div>
      </w:divsChild>
    </w:div>
    <w:div w:id="741483932">
      <w:bodyDiv w:val="1"/>
      <w:marLeft w:val="0"/>
      <w:marRight w:val="0"/>
      <w:marTop w:val="0"/>
      <w:marBottom w:val="0"/>
      <w:divBdr>
        <w:top w:val="none" w:sz="0" w:space="0" w:color="auto"/>
        <w:left w:val="none" w:sz="0" w:space="0" w:color="auto"/>
        <w:bottom w:val="none" w:sz="0" w:space="0" w:color="auto"/>
        <w:right w:val="none" w:sz="0" w:space="0" w:color="auto"/>
      </w:divBdr>
      <w:divsChild>
        <w:div w:id="658387819">
          <w:marLeft w:val="0"/>
          <w:marRight w:val="0"/>
          <w:marTop w:val="0"/>
          <w:marBottom w:val="0"/>
          <w:divBdr>
            <w:top w:val="none" w:sz="0" w:space="0" w:color="auto"/>
            <w:left w:val="none" w:sz="0" w:space="0" w:color="auto"/>
            <w:bottom w:val="none" w:sz="0" w:space="0" w:color="auto"/>
            <w:right w:val="none" w:sz="0" w:space="0" w:color="auto"/>
          </w:divBdr>
        </w:div>
      </w:divsChild>
    </w:div>
    <w:div w:id="809982089">
      <w:bodyDiv w:val="1"/>
      <w:marLeft w:val="0"/>
      <w:marRight w:val="0"/>
      <w:marTop w:val="0"/>
      <w:marBottom w:val="0"/>
      <w:divBdr>
        <w:top w:val="none" w:sz="0" w:space="0" w:color="auto"/>
        <w:left w:val="none" w:sz="0" w:space="0" w:color="auto"/>
        <w:bottom w:val="none" w:sz="0" w:space="0" w:color="auto"/>
        <w:right w:val="none" w:sz="0" w:space="0" w:color="auto"/>
      </w:divBdr>
      <w:divsChild>
        <w:div w:id="298269341">
          <w:marLeft w:val="0"/>
          <w:marRight w:val="0"/>
          <w:marTop w:val="0"/>
          <w:marBottom w:val="0"/>
          <w:divBdr>
            <w:top w:val="none" w:sz="0" w:space="0" w:color="auto"/>
            <w:left w:val="none" w:sz="0" w:space="0" w:color="auto"/>
            <w:bottom w:val="none" w:sz="0" w:space="0" w:color="auto"/>
            <w:right w:val="none" w:sz="0" w:space="0" w:color="auto"/>
          </w:divBdr>
        </w:div>
      </w:divsChild>
    </w:div>
    <w:div w:id="881870003">
      <w:bodyDiv w:val="1"/>
      <w:marLeft w:val="0"/>
      <w:marRight w:val="0"/>
      <w:marTop w:val="0"/>
      <w:marBottom w:val="0"/>
      <w:divBdr>
        <w:top w:val="none" w:sz="0" w:space="0" w:color="auto"/>
        <w:left w:val="none" w:sz="0" w:space="0" w:color="auto"/>
        <w:bottom w:val="none" w:sz="0" w:space="0" w:color="auto"/>
        <w:right w:val="none" w:sz="0" w:space="0" w:color="auto"/>
      </w:divBdr>
      <w:divsChild>
        <w:div w:id="1359576601">
          <w:marLeft w:val="0"/>
          <w:marRight w:val="0"/>
          <w:marTop w:val="0"/>
          <w:marBottom w:val="0"/>
          <w:divBdr>
            <w:top w:val="none" w:sz="0" w:space="0" w:color="auto"/>
            <w:left w:val="none" w:sz="0" w:space="0" w:color="auto"/>
            <w:bottom w:val="none" w:sz="0" w:space="0" w:color="auto"/>
            <w:right w:val="none" w:sz="0" w:space="0" w:color="auto"/>
          </w:divBdr>
        </w:div>
      </w:divsChild>
    </w:div>
    <w:div w:id="887642570">
      <w:bodyDiv w:val="1"/>
      <w:marLeft w:val="0"/>
      <w:marRight w:val="0"/>
      <w:marTop w:val="0"/>
      <w:marBottom w:val="0"/>
      <w:divBdr>
        <w:top w:val="none" w:sz="0" w:space="0" w:color="auto"/>
        <w:left w:val="none" w:sz="0" w:space="0" w:color="auto"/>
        <w:bottom w:val="none" w:sz="0" w:space="0" w:color="auto"/>
        <w:right w:val="none" w:sz="0" w:space="0" w:color="auto"/>
      </w:divBdr>
      <w:divsChild>
        <w:div w:id="2112627492">
          <w:marLeft w:val="0"/>
          <w:marRight w:val="0"/>
          <w:marTop w:val="0"/>
          <w:marBottom w:val="0"/>
          <w:divBdr>
            <w:top w:val="none" w:sz="0" w:space="0" w:color="auto"/>
            <w:left w:val="none" w:sz="0" w:space="0" w:color="auto"/>
            <w:bottom w:val="none" w:sz="0" w:space="0" w:color="auto"/>
            <w:right w:val="none" w:sz="0" w:space="0" w:color="auto"/>
          </w:divBdr>
        </w:div>
      </w:divsChild>
    </w:div>
    <w:div w:id="907345953">
      <w:bodyDiv w:val="1"/>
      <w:marLeft w:val="0"/>
      <w:marRight w:val="0"/>
      <w:marTop w:val="0"/>
      <w:marBottom w:val="0"/>
      <w:divBdr>
        <w:top w:val="none" w:sz="0" w:space="0" w:color="auto"/>
        <w:left w:val="none" w:sz="0" w:space="0" w:color="auto"/>
        <w:bottom w:val="none" w:sz="0" w:space="0" w:color="auto"/>
        <w:right w:val="none" w:sz="0" w:space="0" w:color="auto"/>
      </w:divBdr>
      <w:divsChild>
        <w:div w:id="533733389">
          <w:marLeft w:val="0"/>
          <w:marRight w:val="0"/>
          <w:marTop w:val="0"/>
          <w:marBottom w:val="0"/>
          <w:divBdr>
            <w:top w:val="none" w:sz="0" w:space="0" w:color="auto"/>
            <w:left w:val="none" w:sz="0" w:space="0" w:color="auto"/>
            <w:bottom w:val="none" w:sz="0" w:space="0" w:color="auto"/>
            <w:right w:val="none" w:sz="0" w:space="0" w:color="auto"/>
          </w:divBdr>
        </w:div>
      </w:divsChild>
    </w:div>
    <w:div w:id="1101534758">
      <w:bodyDiv w:val="1"/>
      <w:marLeft w:val="0"/>
      <w:marRight w:val="0"/>
      <w:marTop w:val="0"/>
      <w:marBottom w:val="0"/>
      <w:divBdr>
        <w:top w:val="none" w:sz="0" w:space="0" w:color="auto"/>
        <w:left w:val="none" w:sz="0" w:space="0" w:color="auto"/>
        <w:bottom w:val="none" w:sz="0" w:space="0" w:color="auto"/>
        <w:right w:val="none" w:sz="0" w:space="0" w:color="auto"/>
      </w:divBdr>
    </w:div>
    <w:div w:id="1220284271">
      <w:bodyDiv w:val="1"/>
      <w:marLeft w:val="0"/>
      <w:marRight w:val="0"/>
      <w:marTop w:val="0"/>
      <w:marBottom w:val="0"/>
      <w:divBdr>
        <w:top w:val="none" w:sz="0" w:space="0" w:color="auto"/>
        <w:left w:val="none" w:sz="0" w:space="0" w:color="auto"/>
        <w:bottom w:val="none" w:sz="0" w:space="0" w:color="auto"/>
        <w:right w:val="none" w:sz="0" w:space="0" w:color="auto"/>
      </w:divBdr>
    </w:div>
    <w:div w:id="1226843438">
      <w:bodyDiv w:val="1"/>
      <w:marLeft w:val="0"/>
      <w:marRight w:val="0"/>
      <w:marTop w:val="0"/>
      <w:marBottom w:val="0"/>
      <w:divBdr>
        <w:top w:val="none" w:sz="0" w:space="0" w:color="auto"/>
        <w:left w:val="none" w:sz="0" w:space="0" w:color="auto"/>
        <w:bottom w:val="none" w:sz="0" w:space="0" w:color="auto"/>
        <w:right w:val="none" w:sz="0" w:space="0" w:color="auto"/>
      </w:divBdr>
      <w:divsChild>
        <w:div w:id="796220134">
          <w:marLeft w:val="0"/>
          <w:marRight w:val="0"/>
          <w:marTop w:val="0"/>
          <w:marBottom w:val="0"/>
          <w:divBdr>
            <w:top w:val="none" w:sz="0" w:space="0" w:color="auto"/>
            <w:left w:val="none" w:sz="0" w:space="0" w:color="auto"/>
            <w:bottom w:val="none" w:sz="0" w:space="0" w:color="auto"/>
            <w:right w:val="none" w:sz="0" w:space="0" w:color="auto"/>
          </w:divBdr>
        </w:div>
      </w:divsChild>
    </w:div>
    <w:div w:id="1233931769">
      <w:bodyDiv w:val="1"/>
      <w:marLeft w:val="0"/>
      <w:marRight w:val="0"/>
      <w:marTop w:val="0"/>
      <w:marBottom w:val="0"/>
      <w:divBdr>
        <w:top w:val="none" w:sz="0" w:space="0" w:color="auto"/>
        <w:left w:val="none" w:sz="0" w:space="0" w:color="auto"/>
        <w:bottom w:val="none" w:sz="0" w:space="0" w:color="auto"/>
        <w:right w:val="none" w:sz="0" w:space="0" w:color="auto"/>
      </w:divBdr>
      <w:divsChild>
        <w:div w:id="249393275">
          <w:marLeft w:val="0"/>
          <w:marRight w:val="0"/>
          <w:marTop w:val="0"/>
          <w:marBottom w:val="0"/>
          <w:divBdr>
            <w:top w:val="none" w:sz="0" w:space="0" w:color="auto"/>
            <w:left w:val="none" w:sz="0" w:space="0" w:color="auto"/>
            <w:bottom w:val="none" w:sz="0" w:space="0" w:color="auto"/>
            <w:right w:val="none" w:sz="0" w:space="0" w:color="auto"/>
          </w:divBdr>
          <w:divsChild>
            <w:div w:id="2058971998">
              <w:marLeft w:val="0"/>
              <w:marRight w:val="0"/>
              <w:marTop w:val="0"/>
              <w:marBottom w:val="0"/>
              <w:divBdr>
                <w:top w:val="none" w:sz="0" w:space="0" w:color="auto"/>
                <w:left w:val="none" w:sz="0" w:space="0" w:color="auto"/>
                <w:bottom w:val="none" w:sz="0" w:space="0" w:color="auto"/>
                <w:right w:val="none" w:sz="0" w:space="0" w:color="auto"/>
              </w:divBdr>
              <w:divsChild>
                <w:div w:id="87026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992875">
      <w:bodyDiv w:val="1"/>
      <w:marLeft w:val="0"/>
      <w:marRight w:val="0"/>
      <w:marTop w:val="0"/>
      <w:marBottom w:val="0"/>
      <w:divBdr>
        <w:top w:val="none" w:sz="0" w:space="0" w:color="auto"/>
        <w:left w:val="none" w:sz="0" w:space="0" w:color="auto"/>
        <w:bottom w:val="none" w:sz="0" w:space="0" w:color="auto"/>
        <w:right w:val="none" w:sz="0" w:space="0" w:color="auto"/>
      </w:divBdr>
      <w:divsChild>
        <w:div w:id="835537146">
          <w:marLeft w:val="0"/>
          <w:marRight w:val="0"/>
          <w:marTop w:val="0"/>
          <w:marBottom w:val="0"/>
          <w:divBdr>
            <w:top w:val="none" w:sz="0" w:space="0" w:color="auto"/>
            <w:left w:val="none" w:sz="0" w:space="0" w:color="auto"/>
            <w:bottom w:val="none" w:sz="0" w:space="0" w:color="auto"/>
            <w:right w:val="none" w:sz="0" w:space="0" w:color="auto"/>
          </w:divBdr>
        </w:div>
      </w:divsChild>
    </w:div>
    <w:div w:id="1480803843">
      <w:bodyDiv w:val="1"/>
      <w:marLeft w:val="0"/>
      <w:marRight w:val="0"/>
      <w:marTop w:val="0"/>
      <w:marBottom w:val="0"/>
      <w:divBdr>
        <w:top w:val="none" w:sz="0" w:space="0" w:color="auto"/>
        <w:left w:val="none" w:sz="0" w:space="0" w:color="auto"/>
        <w:bottom w:val="none" w:sz="0" w:space="0" w:color="auto"/>
        <w:right w:val="none" w:sz="0" w:space="0" w:color="auto"/>
      </w:divBdr>
    </w:div>
    <w:div w:id="1497302620">
      <w:bodyDiv w:val="1"/>
      <w:marLeft w:val="0"/>
      <w:marRight w:val="0"/>
      <w:marTop w:val="0"/>
      <w:marBottom w:val="0"/>
      <w:divBdr>
        <w:top w:val="none" w:sz="0" w:space="0" w:color="auto"/>
        <w:left w:val="none" w:sz="0" w:space="0" w:color="auto"/>
        <w:bottom w:val="none" w:sz="0" w:space="0" w:color="auto"/>
        <w:right w:val="none" w:sz="0" w:space="0" w:color="auto"/>
      </w:divBdr>
    </w:div>
    <w:div w:id="1524902043">
      <w:bodyDiv w:val="1"/>
      <w:marLeft w:val="0"/>
      <w:marRight w:val="0"/>
      <w:marTop w:val="0"/>
      <w:marBottom w:val="0"/>
      <w:divBdr>
        <w:top w:val="none" w:sz="0" w:space="0" w:color="auto"/>
        <w:left w:val="none" w:sz="0" w:space="0" w:color="auto"/>
        <w:bottom w:val="none" w:sz="0" w:space="0" w:color="auto"/>
        <w:right w:val="none" w:sz="0" w:space="0" w:color="auto"/>
      </w:divBdr>
    </w:div>
    <w:div w:id="1778863699">
      <w:bodyDiv w:val="1"/>
      <w:marLeft w:val="0"/>
      <w:marRight w:val="0"/>
      <w:marTop w:val="0"/>
      <w:marBottom w:val="0"/>
      <w:divBdr>
        <w:top w:val="none" w:sz="0" w:space="0" w:color="auto"/>
        <w:left w:val="none" w:sz="0" w:space="0" w:color="auto"/>
        <w:bottom w:val="none" w:sz="0" w:space="0" w:color="auto"/>
        <w:right w:val="none" w:sz="0" w:space="0" w:color="auto"/>
      </w:divBdr>
      <w:divsChild>
        <w:div w:id="1727531892">
          <w:marLeft w:val="0"/>
          <w:marRight w:val="0"/>
          <w:marTop w:val="0"/>
          <w:marBottom w:val="0"/>
          <w:divBdr>
            <w:top w:val="none" w:sz="0" w:space="0" w:color="auto"/>
            <w:left w:val="none" w:sz="0" w:space="0" w:color="auto"/>
            <w:bottom w:val="none" w:sz="0" w:space="0" w:color="auto"/>
            <w:right w:val="none" w:sz="0" w:space="0" w:color="auto"/>
          </w:divBdr>
        </w:div>
      </w:divsChild>
    </w:div>
    <w:div w:id="1783500815">
      <w:bodyDiv w:val="1"/>
      <w:marLeft w:val="0"/>
      <w:marRight w:val="0"/>
      <w:marTop w:val="0"/>
      <w:marBottom w:val="0"/>
      <w:divBdr>
        <w:top w:val="none" w:sz="0" w:space="0" w:color="auto"/>
        <w:left w:val="none" w:sz="0" w:space="0" w:color="auto"/>
        <w:bottom w:val="none" w:sz="0" w:space="0" w:color="auto"/>
        <w:right w:val="none" w:sz="0" w:space="0" w:color="auto"/>
      </w:divBdr>
      <w:divsChild>
        <w:div w:id="921715746">
          <w:marLeft w:val="0"/>
          <w:marRight w:val="0"/>
          <w:marTop w:val="0"/>
          <w:marBottom w:val="0"/>
          <w:divBdr>
            <w:top w:val="none" w:sz="0" w:space="0" w:color="auto"/>
            <w:left w:val="none" w:sz="0" w:space="0" w:color="auto"/>
            <w:bottom w:val="none" w:sz="0" w:space="0" w:color="auto"/>
            <w:right w:val="none" w:sz="0" w:space="0" w:color="auto"/>
          </w:divBdr>
        </w:div>
      </w:divsChild>
    </w:div>
    <w:div w:id="1910459469">
      <w:bodyDiv w:val="1"/>
      <w:marLeft w:val="0"/>
      <w:marRight w:val="0"/>
      <w:marTop w:val="0"/>
      <w:marBottom w:val="0"/>
      <w:divBdr>
        <w:top w:val="none" w:sz="0" w:space="0" w:color="auto"/>
        <w:left w:val="none" w:sz="0" w:space="0" w:color="auto"/>
        <w:bottom w:val="none" w:sz="0" w:space="0" w:color="auto"/>
        <w:right w:val="none" w:sz="0" w:space="0" w:color="auto"/>
      </w:divBdr>
    </w:div>
    <w:div w:id="1960065565">
      <w:bodyDiv w:val="1"/>
      <w:marLeft w:val="0"/>
      <w:marRight w:val="0"/>
      <w:marTop w:val="0"/>
      <w:marBottom w:val="0"/>
      <w:divBdr>
        <w:top w:val="none" w:sz="0" w:space="0" w:color="auto"/>
        <w:left w:val="none" w:sz="0" w:space="0" w:color="auto"/>
        <w:bottom w:val="none" w:sz="0" w:space="0" w:color="auto"/>
        <w:right w:val="none" w:sz="0" w:space="0" w:color="auto"/>
      </w:divBdr>
    </w:div>
    <w:div w:id="2106346074">
      <w:bodyDiv w:val="1"/>
      <w:marLeft w:val="0"/>
      <w:marRight w:val="0"/>
      <w:marTop w:val="0"/>
      <w:marBottom w:val="0"/>
      <w:divBdr>
        <w:top w:val="none" w:sz="0" w:space="0" w:color="auto"/>
        <w:left w:val="none" w:sz="0" w:space="0" w:color="auto"/>
        <w:bottom w:val="none" w:sz="0" w:space="0" w:color="auto"/>
        <w:right w:val="none" w:sz="0" w:space="0" w:color="auto"/>
      </w:divBdr>
      <w:divsChild>
        <w:div w:id="1272396951">
          <w:marLeft w:val="0"/>
          <w:marRight w:val="0"/>
          <w:marTop w:val="0"/>
          <w:marBottom w:val="0"/>
          <w:divBdr>
            <w:top w:val="none" w:sz="0" w:space="0" w:color="auto"/>
            <w:left w:val="none" w:sz="0" w:space="0" w:color="auto"/>
            <w:bottom w:val="none" w:sz="0" w:space="0" w:color="auto"/>
            <w:right w:val="none" w:sz="0" w:space="0" w:color="auto"/>
          </w:divBdr>
        </w:div>
      </w:divsChild>
    </w:div>
    <w:div w:id="2130322356">
      <w:bodyDiv w:val="1"/>
      <w:marLeft w:val="0"/>
      <w:marRight w:val="0"/>
      <w:marTop w:val="0"/>
      <w:marBottom w:val="0"/>
      <w:divBdr>
        <w:top w:val="none" w:sz="0" w:space="0" w:color="auto"/>
        <w:left w:val="none" w:sz="0" w:space="0" w:color="auto"/>
        <w:bottom w:val="none" w:sz="0" w:space="0" w:color="auto"/>
        <w:right w:val="none" w:sz="0" w:space="0" w:color="auto"/>
      </w:divBdr>
      <w:divsChild>
        <w:div w:id="1720129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9C62-FF73-4A7E-A08E-8CC20FBE5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2380</Words>
  <Characters>13568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2024-06-06T18:32:00Z</dcterms:created>
  <dcterms:modified xsi:type="dcterms:W3CDTF">2024-06-06T18:32:00Z</dcterms:modified>
</cp:coreProperties>
</file>