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0166210"/>
        <w:docPartObj>
          <w:docPartGallery w:val="Cover Pages"/>
          <w:docPartUnique/>
        </w:docPartObj>
      </w:sdtPr>
      <w:sdtEndPr>
        <w:rPr>
          <w:rFonts w:ascii="Arial" w:hAnsi="Arial" w:cs="Arial"/>
        </w:rPr>
      </w:sdtEndPr>
      <w:sdtContent>
        <w:p w14:paraId="59DA6F6D" w14:textId="78234D11" w:rsidR="004324EF" w:rsidRDefault="004324EF">
          <w:r>
            <w:rPr>
              <w:noProof/>
            </w:rPr>
            <mc:AlternateContent>
              <mc:Choice Requires="wps">
                <w:drawing>
                  <wp:anchor distT="0" distB="0" distL="114300" distR="114300" simplePos="0" relativeHeight="251661312" behindDoc="0" locked="0" layoutInCell="1" allowOverlap="1" wp14:anchorId="2BF195FF" wp14:editId="6E14299B">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535D1C7" w14:textId="3496D499" w:rsidR="004324EF" w:rsidRDefault="004324EF">
                                    <w:pPr>
                                      <w:pStyle w:val="NoSpacing"/>
                                      <w:spacing w:after="480"/>
                                      <w:rPr>
                                        <w:i/>
                                        <w:color w:val="262626" w:themeColor="text1" w:themeTint="D9"/>
                                        <w:sz w:val="32"/>
                                        <w:szCs w:val="32"/>
                                      </w:rPr>
                                    </w:pPr>
                                    <w:r>
                                      <w:rPr>
                                        <w:i/>
                                        <w:color w:val="262626" w:themeColor="text1" w:themeTint="D9"/>
                                        <w:sz w:val="32"/>
                                        <w:szCs w:val="32"/>
                                      </w:rPr>
                                      <w:t>Leah Thomas</w:t>
                                    </w:r>
                                  </w:p>
                                </w:sdtContent>
                              </w:sdt>
                              <w:p w14:paraId="5CBDAEF0" w14:textId="4058C33B" w:rsidR="004324EF" w:rsidRDefault="004324EF">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886038">
                                      <w:rPr>
                                        <w:i/>
                                        <w:color w:val="262626" w:themeColor="text1" w:themeTint="D9"/>
                                        <w:sz w:val="26"/>
                                        <w:szCs w:val="26"/>
                                      </w:rPr>
                                      <w:t>2309644</w:t>
                                    </w:r>
                                  </w:sdtContent>
                                </w:sdt>
                                <w:r>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sidR="00886038">
                                      <w:rPr>
                                        <w:i/>
                                        <w:color w:val="262626" w:themeColor="text1" w:themeTint="D9"/>
                                        <w:sz w:val="26"/>
                                        <w:szCs w:val="26"/>
                                      </w:rPr>
                                      <w:t>word count:</w:t>
                                    </w:r>
                                  </w:sdtContent>
                                </w:sdt>
                                <w:r w:rsidR="00886038">
                                  <w:rPr>
                                    <w:i/>
                                    <w:color w:val="262626" w:themeColor="text1" w:themeTint="D9"/>
                                    <w:sz w:val="26"/>
                                    <w:szCs w:val="26"/>
                                  </w:rPr>
                                  <w:t>1942</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2BF195FF"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535D1C7" w14:textId="3496D499" w:rsidR="004324EF" w:rsidRDefault="004324EF">
                              <w:pPr>
                                <w:pStyle w:val="NoSpacing"/>
                                <w:spacing w:after="480"/>
                                <w:rPr>
                                  <w:i/>
                                  <w:color w:val="262626" w:themeColor="text1" w:themeTint="D9"/>
                                  <w:sz w:val="32"/>
                                  <w:szCs w:val="32"/>
                                </w:rPr>
                              </w:pPr>
                              <w:r>
                                <w:rPr>
                                  <w:i/>
                                  <w:color w:val="262626" w:themeColor="text1" w:themeTint="D9"/>
                                  <w:sz w:val="32"/>
                                  <w:szCs w:val="32"/>
                                </w:rPr>
                                <w:t>Leah Thomas</w:t>
                              </w:r>
                            </w:p>
                          </w:sdtContent>
                        </w:sdt>
                        <w:p w14:paraId="5CBDAEF0" w14:textId="4058C33B" w:rsidR="004324EF" w:rsidRDefault="004324EF">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886038">
                                <w:rPr>
                                  <w:i/>
                                  <w:color w:val="262626" w:themeColor="text1" w:themeTint="D9"/>
                                  <w:sz w:val="26"/>
                                  <w:szCs w:val="26"/>
                                </w:rPr>
                                <w:t>2309644</w:t>
                              </w:r>
                            </w:sdtContent>
                          </w:sdt>
                          <w:r>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sidR="00886038">
                                <w:rPr>
                                  <w:i/>
                                  <w:color w:val="262626" w:themeColor="text1" w:themeTint="D9"/>
                                  <w:sz w:val="26"/>
                                  <w:szCs w:val="26"/>
                                </w:rPr>
                                <w:t>word count:</w:t>
                              </w:r>
                            </w:sdtContent>
                          </w:sdt>
                          <w:r w:rsidR="00886038">
                            <w:rPr>
                              <w:i/>
                              <w:color w:val="262626" w:themeColor="text1" w:themeTint="D9"/>
                              <w:sz w:val="26"/>
                              <w:szCs w:val="26"/>
                            </w:rPr>
                            <w:t>1942</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168D1493" wp14:editId="3D5B0938">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D23C2A7"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687D7D90" wp14:editId="3146DD72">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89AB90C" w14:textId="0BFE90EB" w:rsidR="004324EF" w:rsidRDefault="004324EF">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government control vs policing by consent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2B9F0C8" w14:textId="2180C0A3" w:rsidR="004324EF" w:rsidRDefault="004324EF">
                                    <w:pPr>
                                      <w:pStyle w:val="NoSpacing"/>
                                      <w:rPr>
                                        <w:i/>
                                        <w:color w:val="262626" w:themeColor="text1" w:themeTint="D9"/>
                                        <w:sz w:val="36"/>
                                        <w:szCs w:val="36"/>
                                      </w:rPr>
                                    </w:pPr>
                                    <w:r>
                                      <w:rPr>
                                        <w:color w:val="262626" w:themeColor="text1" w:themeTint="D9"/>
                                        <w:sz w:val="36"/>
                                        <w:szCs w:val="36"/>
                                      </w:rPr>
                                      <w:t>BM</w:t>
                                    </w:r>
                                    <w:r w:rsidR="00886038">
                                      <w:rPr>
                                        <w:color w:val="262626" w:themeColor="text1" w:themeTint="D9"/>
                                        <w:sz w:val="36"/>
                                        <w:szCs w:val="36"/>
                                      </w:rPr>
                                      <w:t>CP5005</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687D7D90"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89AB90C" w14:textId="0BFE90EB" w:rsidR="004324EF" w:rsidRDefault="004324EF">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government control vs policing by consent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2B9F0C8" w14:textId="2180C0A3" w:rsidR="004324EF" w:rsidRDefault="004324EF">
                              <w:pPr>
                                <w:pStyle w:val="NoSpacing"/>
                                <w:rPr>
                                  <w:i/>
                                  <w:color w:val="262626" w:themeColor="text1" w:themeTint="D9"/>
                                  <w:sz w:val="36"/>
                                  <w:szCs w:val="36"/>
                                </w:rPr>
                              </w:pPr>
                              <w:r>
                                <w:rPr>
                                  <w:color w:val="262626" w:themeColor="text1" w:themeTint="D9"/>
                                  <w:sz w:val="36"/>
                                  <w:szCs w:val="36"/>
                                </w:rPr>
                                <w:t>BM</w:t>
                              </w:r>
                              <w:r w:rsidR="00886038">
                                <w:rPr>
                                  <w:color w:val="262626" w:themeColor="text1" w:themeTint="D9"/>
                                  <w:sz w:val="36"/>
                                  <w:szCs w:val="36"/>
                                </w:rPr>
                                <w:t>CP5005</w:t>
                              </w:r>
                            </w:p>
                          </w:sdtContent>
                        </w:sdt>
                      </w:txbxContent>
                    </v:textbox>
                    <w10:wrap anchorx="page" anchory="page"/>
                  </v:shape>
                </w:pict>
              </mc:Fallback>
            </mc:AlternateContent>
          </w:r>
        </w:p>
        <w:p w14:paraId="419810A9" w14:textId="77777777" w:rsidR="00886038" w:rsidRDefault="004324EF" w:rsidP="00886038">
          <w:pPr>
            <w:rPr>
              <w:rFonts w:ascii="Arial" w:hAnsi="Arial" w:cs="Arial"/>
            </w:rPr>
          </w:pPr>
          <w:r>
            <w:rPr>
              <w:rFonts w:ascii="Arial" w:hAnsi="Arial" w:cs="Arial"/>
            </w:rPr>
            <w:br w:type="page"/>
          </w:r>
        </w:p>
        <w:p w14:paraId="20332644" w14:textId="654FCDD3" w:rsidR="00886038" w:rsidRDefault="004324EF" w:rsidP="00886038">
          <w:pPr>
            <w:rPr>
              <w:rFonts w:ascii="Arial" w:hAnsi="Arial" w:cs="Arial"/>
            </w:rPr>
          </w:pPr>
        </w:p>
      </w:sdtContent>
    </w:sdt>
    <w:p w14:paraId="5A806E18" w14:textId="54DC3D93" w:rsidR="00670073" w:rsidRPr="00670073" w:rsidRDefault="00670073" w:rsidP="00886038">
      <w:pPr>
        <w:spacing w:line="360" w:lineRule="auto"/>
        <w:rPr>
          <w:rFonts w:ascii="Arial" w:hAnsi="Arial" w:cs="Arial"/>
        </w:rPr>
      </w:pPr>
      <w:r w:rsidRPr="00670073">
        <w:rPr>
          <w:rFonts w:ascii="Arial" w:hAnsi="Arial" w:cs="Arial"/>
        </w:rPr>
        <w:t xml:space="preserve">The concept of policing has evolved substantially over time, shaped by societal transformations, political frameworks, and economic conditions (Newburn, 2011). This essay critically examines central themes in policing, focusing on the historical foundations established by figures such as Sir Robert Peel, the balance between public consent and government control, and the contemporary challenges concerning race, government authority, and civil rights. By exploring these key areas, this analysis seeks to offer a more comprehensive understanding of the complexities of modern policing and its shifting role within society. </w:t>
      </w:r>
    </w:p>
    <w:p w14:paraId="0C0C82DC" w14:textId="71E3E808" w:rsidR="00670073" w:rsidRDefault="00670073" w:rsidP="00886038">
      <w:pPr>
        <w:spacing w:line="360" w:lineRule="auto"/>
        <w:rPr>
          <w:rFonts w:ascii="Arial" w:hAnsi="Arial" w:cs="Arial"/>
        </w:rPr>
      </w:pPr>
      <w:r w:rsidRPr="00670073">
        <w:rPr>
          <w:rFonts w:ascii="Arial" w:hAnsi="Arial" w:cs="Arial"/>
        </w:rPr>
        <w:t>Sir Robert Peel, often considered the father of modern policing, introduced ideas that still have a significant influence on law enforcement today. His 1829 principles emphasized communication and public cooperation instead of using force, making public consent a key element of effective policing. The College of Policing (2014) notes that Peel’s famous idea that "the police are the public, and the public are the police" highlighted the importance of building trust and working with communities. This approach advocated for resolving conflicts peacefully, focusing on voice and engagement, rather than using force.</w:t>
      </w:r>
    </w:p>
    <w:p w14:paraId="4F496501" w14:textId="77777777" w:rsidR="00670073" w:rsidRPr="00670073" w:rsidRDefault="00670073" w:rsidP="00886038">
      <w:pPr>
        <w:spacing w:line="360" w:lineRule="auto"/>
        <w:rPr>
          <w:rFonts w:ascii="Arial" w:hAnsi="Arial" w:cs="Arial"/>
        </w:rPr>
      </w:pPr>
    </w:p>
    <w:p w14:paraId="5704FA3A" w14:textId="15FC6488" w:rsidR="00670073" w:rsidRDefault="00670073" w:rsidP="00886038">
      <w:pPr>
        <w:spacing w:line="360" w:lineRule="auto"/>
        <w:rPr>
          <w:rFonts w:ascii="Arial" w:hAnsi="Arial" w:cs="Arial"/>
        </w:rPr>
      </w:pPr>
      <w:r w:rsidRPr="00670073">
        <w:rPr>
          <w:rFonts w:ascii="Arial" w:hAnsi="Arial" w:cs="Arial"/>
        </w:rPr>
        <w:t>Peel’s ideas are especially relevant today in the context of UK neighbourhood policing, which prioritises engaging with communities, building trust, and resolving conflicts without force. Longstaff, et al., (2015) point out that public trust in the police is often built through positive everyday interactions, particularly with marginalized groups. This approach of community problem-solving and communication directly reflects Peel’s vision, helping to establish lasting trust.</w:t>
      </w:r>
    </w:p>
    <w:p w14:paraId="0EA9606B" w14:textId="77777777" w:rsidR="00670073" w:rsidRPr="00670073" w:rsidRDefault="00670073" w:rsidP="00886038">
      <w:pPr>
        <w:spacing w:line="360" w:lineRule="auto"/>
        <w:rPr>
          <w:rFonts w:ascii="Arial" w:hAnsi="Arial" w:cs="Arial"/>
        </w:rPr>
      </w:pPr>
    </w:p>
    <w:p w14:paraId="750067C5" w14:textId="03A65997" w:rsidR="00670073" w:rsidRPr="00670073" w:rsidRDefault="00670073" w:rsidP="00886038">
      <w:pPr>
        <w:spacing w:line="360" w:lineRule="auto"/>
        <w:rPr>
          <w:rFonts w:ascii="Arial" w:hAnsi="Arial" w:cs="Arial"/>
        </w:rPr>
      </w:pPr>
      <w:r w:rsidRPr="00670073">
        <w:rPr>
          <w:rFonts w:ascii="Arial" w:hAnsi="Arial" w:cs="Arial"/>
        </w:rPr>
        <w:t xml:space="preserve">With ongoing concerns about police brutality, racial bias, and the militarization of law enforcement, Peel’s principles remain a valuable guide. His emphasis on trust, accountability, and community involvement offers a practical framework for addressing modern policing challenges, especially in finding the right balance between effective policing and protecting civil rights (College </w:t>
      </w:r>
      <w:r w:rsidRPr="00670073">
        <w:rPr>
          <w:rFonts w:ascii="Arial" w:hAnsi="Arial" w:cs="Arial"/>
        </w:rPr>
        <w:t>of</w:t>
      </w:r>
      <w:r w:rsidRPr="00670073">
        <w:rPr>
          <w:rFonts w:ascii="Arial" w:hAnsi="Arial" w:cs="Arial"/>
        </w:rPr>
        <w:t xml:space="preserve"> Policing, 2024)</w:t>
      </w:r>
    </w:p>
    <w:p w14:paraId="2B99F591" w14:textId="77777777" w:rsidR="00670073" w:rsidRPr="00670073" w:rsidRDefault="00670073" w:rsidP="00886038">
      <w:pPr>
        <w:spacing w:line="360" w:lineRule="auto"/>
        <w:rPr>
          <w:rFonts w:ascii="Arial" w:hAnsi="Arial" w:cs="Arial"/>
        </w:rPr>
      </w:pPr>
      <w:r w:rsidRPr="00670073">
        <w:rPr>
          <w:rFonts w:ascii="Arial" w:hAnsi="Arial" w:cs="Arial"/>
        </w:rPr>
        <w:t xml:space="preserve">McCarthy, et al., (2024) highlight the militarization of police in the U.K., through the use of military-grade equipment and tactics, which has led to criticism that it fosters fear and disconnection, especially during peaceful protests. Examples include the police responses to the Mark Duggan protests in the U.K., where heavy-handed </w:t>
      </w:r>
      <w:r w:rsidRPr="00670073">
        <w:rPr>
          <w:rFonts w:ascii="Arial" w:hAnsi="Arial" w:cs="Arial"/>
        </w:rPr>
        <w:lastRenderedPageBreak/>
        <w:t xml:space="preserve">tactics, such as the use of tear gas and riot control, escalated tensions and strained relations between police and communities. </w:t>
      </w:r>
    </w:p>
    <w:p w14:paraId="4C6E7F09" w14:textId="12E4A664" w:rsidR="00670073" w:rsidRDefault="00670073" w:rsidP="00886038">
      <w:pPr>
        <w:spacing w:line="360" w:lineRule="auto"/>
        <w:rPr>
          <w:rFonts w:ascii="Arial" w:hAnsi="Arial" w:cs="Arial"/>
        </w:rPr>
      </w:pPr>
      <w:r w:rsidRPr="00670073">
        <w:rPr>
          <w:rFonts w:ascii="Arial" w:hAnsi="Arial" w:cs="Arial"/>
        </w:rPr>
        <w:t>Research suggests that the militarization of police forces in the UK has detrimental effects on public perception, especially within minority communities, thereby challenging the foundational principle of policing by consent. The House of Commons' Home Affairs Committee has identified notable discrepancies in confidence levels among Black and minority ethnic groups regarding law enforcement agencies with only 54% of black Caribbean adults feeling confident in their local police compared to 77% of white adults (Parliament. House of Commons, 2020). Hanway &amp; Hambly, (2023) emphasise that while overall trust in the police remains relatively stable across the general population, individuals within these communities have reported feelings of anger and frustration, primarily due to experiences of perceived discrimination and a lack of respect from police officers further challenging Peel's model of policing by consent.</w:t>
      </w:r>
    </w:p>
    <w:p w14:paraId="68D002AC" w14:textId="77777777" w:rsidR="00670073" w:rsidRPr="00670073" w:rsidRDefault="00670073" w:rsidP="00886038">
      <w:pPr>
        <w:spacing w:line="360" w:lineRule="auto"/>
        <w:rPr>
          <w:rFonts w:ascii="Arial" w:hAnsi="Arial" w:cs="Arial"/>
        </w:rPr>
      </w:pPr>
    </w:p>
    <w:p w14:paraId="460C616C" w14:textId="77777777" w:rsidR="00670073" w:rsidRPr="00670073" w:rsidRDefault="00670073" w:rsidP="00886038">
      <w:pPr>
        <w:spacing w:line="360" w:lineRule="auto"/>
        <w:rPr>
          <w:rFonts w:ascii="Arial" w:hAnsi="Arial" w:cs="Arial"/>
        </w:rPr>
      </w:pPr>
      <w:r w:rsidRPr="00670073">
        <w:rPr>
          <w:rFonts w:ascii="Arial" w:hAnsi="Arial" w:cs="Arial"/>
        </w:rPr>
        <w:t xml:space="preserve">The question of whether social control is best achieved through consent or coercion is an important topic in modern governance and policing. This issue becomes especially controversial during times of social unrest. During such periods, people often view police actions as attempts to suppress dissent rather than as efforts to maintain public order. For example, during the COVID-19 pandemic, the enforcement of lockdown measures sparked considerable debate about the limits of police authority. </w:t>
      </w:r>
    </w:p>
    <w:p w14:paraId="64024E50" w14:textId="77777777" w:rsidR="00670073" w:rsidRPr="00670073" w:rsidRDefault="00670073" w:rsidP="00886038">
      <w:pPr>
        <w:spacing w:line="360" w:lineRule="auto"/>
        <w:rPr>
          <w:rFonts w:ascii="Arial" w:hAnsi="Arial" w:cs="Arial"/>
        </w:rPr>
      </w:pPr>
      <w:r w:rsidRPr="00670073">
        <w:rPr>
          <w:rFonts w:ascii="Arial" w:hAnsi="Arial" w:cs="Arial"/>
        </w:rPr>
        <w:t>The government introduced new powers under the Coronavirus Act 2020 (c.7), which allowed police to disperse gatherings and issue fines for individuals not complying with the rules. While these measures aimed to protect public health, there were numerous instances where police actions were perceived as excessive, particularly regarding familial gatherings and community events (Boulton, et al., 2024). For example, (Rawlings, et al., 2022) highlight that individuals were not allowed to grieve with family causing distress and upset. Incidents were reported in which police intervened at funerals and family gatherings, leading to widespread criticism that such actions infringed upon civil liberties and personal freedoms. Critics argued that these interventions represented an overreach of police powers, undermining public trust and raising questions about the balance between ensuring safety and respecting individual rights (Vincent, 2023).</w:t>
      </w:r>
    </w:p>
    <w:p w14:paraId="47834A59" w14:textId="77777777" w:rsidR="00670073" w:rsidRPr="00670073" w:rsidRDefault="00670073" w:rsidP="00886038">
      <w:pPr>
        <w:spacing w:line="360" w:lineRule="auto"/>
        <w:rPr>
          <w:rFonts w:ascii="Arial" w:hAnsi="Arial" w:cs="Arial"/>
        </w:rPr>
      </w:pPr>
      <w:r w:rsidRPr="00670073">
        <w:rPr>
          <w:rFonts w:ascii="Arial" w:hAnsi="Arial" w:cs="Arial"/>
        </w:rPr>
        <w:lastRenderedPageBreak/>
        <w:t xml:space="preserve">However, policing by consent increases public trust in the police, research from the College of Policing, (2023) indicates that well-trained police officers who adopt a facilitative approach can effectively maintain order during protests by de-escalating potentially volatile situations. This report emphasizes the importance of clear communication and the judicious use of force, applied only when necessary to ensure public safety. Such a strategy fosters a sense of security, enabling lawful demonstrations to take place without the fear of violence or disorder. </w:t>
      </w:r>
    </w:p>
    <w:p w14:paraId="12C818C5" w14:textId="0F03711B" w:rsidR="00670073" w:rsidRDefault="00670073" w:rsidP="00886038">
      <w:pPr>
        <w:spacing w:line="360" w:lineRule="auto"/>
        <w:rPr>
          <w:rFonts w:ascii="Arial" w:hAnsi="Arial" w:cs="Arial"/>
        </w:rPr>
      </w:pPr>
      <w:r w:rsidRPr="00670073">
        <w:rPr>
          <w:rFonts w:ascii="Arial" w:hAnsi="Arial" w:cs="Arial"/>
        </w:rPr>
        <w:t>Additionally, a study by the Independent Office for Police Conduct (IOPC) underlines the benefits of community engagement and proactive policing methods in reducing tensions during public protests. The IOPC's findings suggest that when officers engage with community leaders and protesters, it can lead to a more peaceful and cooperative atmosphere, further reinforcing the principles of policing by consent (Independent Office for Police Conduct, 2023).</w:t>
      </w:r>
    </w:p>
    <w:p w14:paraId="1216CC83" w14:textId="77777777" w:rsidR="00670073" w:rsidRPr="00670073" w:rsidRDefault="00670073" w:rsidP="00886038">
      <w:pPr>
        <w:spacing w:line="360" w:lineRule="auto"/>
        <w:rPr>
          <w:rFonts w:ascii="Arial" w:hAnsi="Arial" w:cs="Arial"/>
        </w:rPr>
      </w:pPr>
    </w:p>
    <w:p w14:paraId="216AE847" w14:textId="77777777" w:rsidR="00670073" w:rsidRPr="00670073" w:rsidRDefault="00670073" w:rsidP="00886038">
      <w:pPr>
        <w:spacing w:line="360" w:lineRule="auto"/>
        <w:rPr>
          <w:rFonts w:ascii="Arial" w:hAnsi="Arial" w:cs="Arial"/>
        </w:rPr>
      </w:pPr>
      <w:r w:rsidRPr="00670073">
        <w:rPr>
          <w:rFonts w:ascii="Arial" w:hAnsi="Arial" w:cs="Arial"/>
        </w:rPr>
        <w:t>Karl Marx's idea that economically powerful groups control weaker ones is relevant to modern policing. Historically, law enforcement has often worked to maintain the existing power structure, protecting the interests of those in power while marginalizing vulnerable communities (Cohen, 1985). This is especially clear in policing practices that disproportionately affect poor communities and racial minorities, which contributes to ongoing social inequality and exclusion.</w:t>
      </w:r>
    </w:p>
    <w:p w14:paraId="1D5DB3CD" w14:textId="2A74582A" w:rsidR="00670073" w:rsidRDefault="00670073" w:rsidP="00886038">
      <w:pPr>
        <w:spacing w:line="360" w:lineRule="auto"/>
        <w:rPr>
          <w:rFonts w:ascii="Arial" w:hAnsi="Arial" w:cs="Arial"/>
        </w:rPr>
      </w:pPr>
      <w:r w:rsidRPr="00670073">
        <w:rPr>
          <w:rFonts w:ascii="Arial" w:hAnsi="Arial" w:cs="Arial"/>
        </w:rPr>
        <w:t xml:space="preserve">Marx’s theory of conflict explains why poorer communities are often over-policed. He argued that rich and powerful individuals control weaker and poorer communities to protect their interests. This dynamic is highlighted in modern policing as practices such as </w:t>
      </w:r>
      <w:proofErr w:type="gramStart"/>
      <w:r w:rsidRPr="00670073">
        <w:rPr>
          <w:rFonts w:ascii="Arial" w:hAnsi="Arial" w:cs="Arial"/>
        </w:rPr>
        <w:t>stop</w:t>
      </w:r>
      <w:proofErr w:type="gramEnd"/>
      <w:r w:rsidRPr="00670073">
        <w:rPr>
          <w:rFonts w:ascii="Arial" w:hAnsi="Arial" w:cs="Arial"/>
        </w:rPr>
        <w:t xml:space="preserve"> and search and heavier surveillance technologies are used more often in communities with lower income (Marx &amp; Engels, 1848)</w:t>
      </w:r>
      <w:r>
        <w:rPr>
          <w:rFonts w:ascii="Arial" w:hAnsi="Arial" w:cs="Arial"/>
        </w:rPr>
        <w:t>.</w:t>
      </w:r>
    </w:p>
    <w:p w14:paraId="564831A2" w14:textId="77777777" w:rsidR="00670073" w:rsidRPr="00670073" w:rsidRDefault="00670073" w:rsidP="00886038">
      <w:pPr>
        <w:spacing w:line="360" w:lineRule="auto"/>
        <w:rPr>
          <w:rFonts w:ascii="Arial" w:hAnsi="Arial" w:cs="Arial"/>
        </w:rPr>
      </w:pPr>
    </w:p>
    <w:p w14:paraId="2EC7884E" w14:textId="77777777" w:rsidR="00670073" w:rsidRPr="00670073" w:rsidRDefault="00670073" w:rsidP="00886038">
      <w:pPr>
        <w:spacing w:line="360" w:lineRule="auto"/>
        <w:rPr>
          <w:rFonts w:ascii="Arial" w:hAnsi="Arial" w:cs="Arial"/>
        </w:rPr>
      </w:pPr>
      <w:r w:rsidRPr="00670073">
        <w:rPr>
          <w:rFonts w:ascii="Arial" w:hAnsi="Arial" w:cs="Arial"/>
        </w:rPr>
        <w:t xml:space="preserve">The establishment of the Metropolitan Police in 1829 marked a crucial moment in the evolution of policing, proposed by Sir Robert Peel. This model was essentially designed as a system of social control to maintain public order between significantly urban and industrial areas focusing primarily on the working class. Peel’s establishment of a centralised police force was mostly in response to the social disturbance and political pressure of the time, with the working class being seen as a potential danger to societal balance (Lyman, 1964).  </w:t>
      </w:r>
    </w:p>
    <w:p w14:paraId="37C4E118" w14:textId="2AA4FB68" w:rsidR="00670073" w:rsidRDefault="00670073" w:rsidP="00886038">
      <w:pPr>
        <w:spacing w:line="360" w:lineRule="auto"/>
        <w:rPr>
          <w:rFonts w:ascii="Arial" w:hAnsi="Arial" w:cs="Arial"/>
        </w:rPr>
      </w:pPr>
      <w:r w:rsidRPr="00670073">
        <w:rPr>
          <w:rFonts w:ascii="Arial" w:hAnsi="Arial" w:cs="Arial"/>
        </w:rPr>
        <w:lastRenderedPageBreak/>
        <w:t>The intent here was to provide a preventive rather than a reactive force, aimed at decreasing crime and deterring behaviour through visible police presence. While the objectives of the Metropolitan Police were to counteract rising crime, they also inevitably served the ruling class’ interest by governing and retaining the lower-income and working-class communities which are seen as dangerous or politically erratic (Everett, 2014).</w:t>
      </w:r>
    </w:p>
    <w:p w14:paraId="164D84C6" w14:textId="77777777" w:rsidR="00670073" w:rsidRPr="00670073" w:rsidRDefault="00670073" w:rsidP="00886038">
      <w:pPr>
        <w:spacing w:line="360" w:lineRule="auto"/>
        <w:rPr>
          <w:rFonts w:ascii="Arial" w:hAnsi="Arial" w:cs="Arial"/>
        </w:rPr>
      </w:pPr>
    </w:p>
    <w:p w14:paraId="16FC1782" w14:textId="77777777" w:rsidR="00670073" w:rsidRPr="00670073" w:rsidRDefault="00670073" w:rsidP="00886038">
      <w:pPr>
        <w:spacing w:line="360" w:lineRule="auto"/>
        <w:rPr>
          <w:rFonts w:ascii="Arial" w:hAnsi="Arial" w:cs="Arial"/>
        </w:rPr>
      </w:pPr>
      <w:r w:rsidRPr="00670073">
        <w:rPr>
          <w:rFonts w:ascii="Arial" w:hAnsi="Arial" w:cs="Arial"/>
        </w:rPr>
        <w:t>This model focuses more on suppression rather than addressing deep social issues such as poverty or inequality, therefore setting a model for police officers to manage society through a hierarchical perspective.</w:t>
      </w:r>
    </w:p>
    <w:p w14:paraId="601E9C22" w14:textId="464CED3C" w:rsidR="00670073" w:rsidRPr="00670073" w:rsidRDefault="00670073" w:rsidP="00886038">
      <w:pPr>
        <w:spacing w:line="360" w:lineRule="auto"/>
        <w:rPr>
          <w:rFonts w:ascii="Arial" w:hAnsi="Arial" w:cs="Arial"/>
        </w:rPr>
      </w:pPr>
      <w:r w:rsidRPr="00670073">
        <w:rPr>
          <w:rFonts w:ascii="Arial" w:hAnsi="Arial" w:cs="Arial"/>
        </w:rPr>
        <w:t xml:space="preserve">Similarly, in more modern policing this focus on social control in multiple ways has stayed the same. Current practices continue to target poorer communities and groups, with policies such as </w:t>
      </w:r>
      <w:r w:rsidRPr="00670073">
        <w:rPr>
          <w:rFonts w:ascii="Arial" w:hAnsi="Arial" w:cs="Arial"/>
        </w:rPr>
        <w:t>stop</w:t>
      </w:r>
      <w:r>
        <w:rPr>
          <w:rFonts w:ascii="Arial" w:hAnsi="Arial" w:cs="Arial"/>
        </w:rPr>
        <w:t xml:space="preserve"> </w:t>
      </w:r>
      <w:r w:rsidRPr="00670073">
        <w:rPr>
          <w:rFonts w:ascii="Arial" w:hAnsi="Arial" w:cs="Arial"/>
        </w:rPr>
        <w:t>and search more frequently being used in these areas (Equality and Human Rights Commission, 2010). The criminalization of these areas, often through punitive rather than preventive measures, contributes to ongoing cycles of distrust in law enforcement.</w:t>
      </w:r>
    </w:p>
    <w:p w14:paraId="1158B040" w14:textId="36EB580D" w:rsidR="00670073" w:rsidRDefault="00670073" w:rsidP="00886038">
      <w:pPr>
        <w:spacing w:line="360" w:lineRule="auto"/>
        <w:rPr>
          <w:rFonts w:ascii="Arial" w:hAnsi="Arial" w:cs="Arial"/>
        </w:rPr>
      </w:pPr>
      <w:r w:rsidRPr="00670073">
        <w:rPr>
          <w:rFonts w:ascii="Arial" w:hAnsi="Arial" w:cs="Arial"/>
        </w:rPr>
        <w:t>This approach highlights the lasting legacy of class-based policing that emphasizes existing power structures rather than following social equity or community-based solutions, (House of Commons, UK, 2022).</w:t>
      </w:r>
    </w:p>
    <w:p w14:paraId="7D9DC66E" w14:textId="77777777" w:rsidR="00670073" w:rsidRPr="00670073" w:rsidRDefault="00670073" w:rsidP="00886038">
      <w:pPr>
        <w:spacing w:line="360" w:lineRule="auto"/>
        <w:rPr>
          <w:rFonts w:ascii="Arial" w:hAnsi="Arial" w:cs="Arial"/>
        </w:rPr>
      </w:pPr>
    </w:p>
    <w:p w14:paraId="126E504F" w14:textId="28D276C1" w:rsidR="00670073" w:rsidRDefault="00670073" w:rsidP="00886038">
      <w:pPr>
        <w:spacing w:line="360" w:lineRule="auto"/>
        <w:rPr>
          <w:rFonts w:ascii="Arial" w:hAnsi="Arial" w:cs="Arial"/>
        </w:rPr>
      </w:pPr>
      <w:r w:rsidRPr="00670073">
        <w:rPr>
          <w:rFonts w:ascii="Arial" w:hAnsi="Arial" w:cs="Arial"/>
        </w:rPr>
        <w:t>A clear example of this issue can be found in drug enforcement policies. Research shows that these laws are enforced more strictly in low-income neighbourhoods and among racial minorities. A 2018 study by Lipscombe, et al., (2018) revealed that individuals from Black, Asian, and minority ethnic (BAME) backgrounds were significantly more likely to be stopped and searched under the Misuse of Drugs Act than their white counterparts. This finding raises important questions about fairness and reinforces existing systemic inequalities. Additionally, a report by Release, (2024) highlights that these policing practices take place within a larger context of socio-economic disadvantage. Focusing on punishment instead of community-based solutions makes it harder for marginalized groups, which can lead to ongoing cycles of poverty and criminalization.</w:t>
      </w:r>
    </w:p>
    <w:p w14:paraId="2D228948" w14:textId="77777777" w:rsidR="00670073" w:rsidRPr="00670073" w:rsidRDefault="00670073" w:rsidP="00886038">
      <w:pPr>
        <w:spacing w:line="360" w:lineRule="auto"/>
        <w:rPr>
          <w:rFonts w:ascii="Arial" w:hAnsi="Arial" w:cs="Arial"/>
        </w:rPr>
      </w:pPr>
    </w:p>
    <w:p w14:paraId="2D0B9DFF" w14:textId="20F9475B" w:rsidR="00670073" w:rsidRDefault="00670073" w:rsidP="00886038">
      <w:pPr>
        <w:spacing w:line="360" w:lineRule="auto"/>
        <w:rPr>
          <w:rFonts w:ascii="Arial" w:hAnsi="Arial" w:cs="Arial"/>
        </w:rPr>
      </w:pPr>
      <w:r w:rsidRPr="00670073">
        <w:rPr>
          <w:rFonts w:ascii="Arial" w:hAnsi="Arial" w:cs="Arial"/>
        </w:rPr>
        <w:t xml:space="preserve">The complexities of policing in a racially diverse society are heightened by historical injustices and the enduring impacts of systemic racism. Carr, (2017) investigates the </w:t>
      </w:r>
      <w:r w:rsidRPr="00670073">
        <w:rPr>
          <w:rFonts w:ascii="Arial" w:hAnsi="Arial" w:cs="Arial"/>
        </w:rPr>
        <w:lastRenderedPageBreak/>
        <w:t>treatment of Black, Asian, and minority ethnic individuals in the criminal justice system. It highlights the impact of systemic racism and emphasizes the need for police to engage more effectively with diverse communities to foster trust and improve relationships.</w:t>
      </w:r>
    </w:p>
    <w:p w14:paraId="16332A61" w14:textId="77777777" w:rsidR="00670073" w:rsidRPr="00670073" w:rsidRDefault="00670073" w:rsidP="00886038">
      <w:pPr>
        <w:spacing w:line="360" w:lineRule="auto"/>
        <w:rPr>
          <w:rFonts w:ascii="Arial" w:hAnsi="Arial" w:cs="Arial"/>
        </w:rPr>
      </w:pPr>
    </w:p>
    <w:p w14:paraId="31B91B6D" w14:textId="77777777" w:rsidR="00670073" w:rsidRPr="00670073" w:rsidRDefault="00670073" w:rsidP="00886038">
      <w:pPr>
        <w:spacing w:line="360" w:lineRule="auto"/>
        <w:rPr>
          <w:rFonts w:ascii="Arial" w:hAnsi="Arial" w:cs="Arial"/>
        </w:rPr>
      </w:pPr>
      <w:r w:rsidRPr="00670073">
        <w:rPr>
          <w:rFonts w:ascii="Arial" w:hAnsi="Arial" w:cs="Arial"/>
        </w:rPr>
        <w:t>As the government adopts advanced technologies, policing has integrated tools like CCTV, drones, facial recognition, and social media monitoring to support public safety and prevent crime. These tools, while effective in many ways, raise ethical and privacy issues, sparking debates over balancing security with personal freedoms.</w:t>
      </w:r>
    </w:p>
    <w:p w14:paraId="0A67D58B" w14:textId="42E3710A" w:rsidR="00670073" w:rsidRPr="00670073" w:rsidRDefault="00670073" w:rsidP="00886038">
      <w:pPr>
        <w:spacing w:line="360" w:lineRule="auto"/>
        <w:rPr>
          <w:rFonts w:ascii="Arial" w:hAnsi="Arial" w:cs="Arial"/>
        </w:rPr>
      </w:pPr>
      <w:r w:rsidRPr="00670073">
        <w:rPr>
          <w:rFonts w:ascii="Arial" w:hAnsi="Arial" w:cs="Arial"/>
        </w:rPr>
        <w:t xml:space="preserve">For instance, The Office </w:t>
      </w:r>
      <w:r w:rsidRPr="00670073">
        <w:rPr>
          <w:rFonts w:ascii="Arial" w:hAnsi="Arial" w:cs="Arial"/>
        </w:rPr>
        <w:t>of</w:t>
      </w:r>
      <w:r w:rsidRPr="00670073">
        <w:rPr>
          <w:rFonts w:ascii="Arial" w:hAnsi="Arial" w:cs="Arial"/>
        </w:rPr>
        <w:t xml:space="preserve"> Biometrics </w:t>
      </w:r>
      <w:r w:rsidRPr="00670073">
        <w:rPr>
          <w:rFonts w:ascii="Arial" w:hAnsi="Arial" w:cs="Arial"/>
        </w:rPr>
        <w:t>and</w:t>
      </w:r>
      <w:r w:rsidRPr="00670073">
        <w:rPr>
          <w:rFonts w:ascii="Arial" w:hAnsi="Arial" w:cs="Arial"/>
        </w:rPr>
        <w:t xml:space="preserve"> Surveillance Camera Commissioners Office, (2023) acknowledges that CCTV can help deter crime, but it also cautions that it may infringe on personal privacy. Facial recognition technology is particularly controversial due to its tendency to disproportionately impact marginalized communities. Research by Fussey &amp; Murray, (2019) shows that this technology, while marketed as highly accurate, often has higher error rates when identifying non-white faces. This leads to more false positives for people of colour, resulting in unnecessary police interactions and potential legal challenges.</w:t>
      </w:r>
    </w:p>
    <w:p w14:paraId="1F2560D3" w14:textId="2E541417" w:rsidR="00670073" w:rsidRDefault="00670073" w:rsidP="00886038">
      <w:pPr>
        <w:spacing w:line="360" w:lineRule="auto"/>
        <w:rPr>
          <w:rFonts w:ascii="Arial" w:hAnsi="Arial" w:cs="Arial"/>
        </w:rPr>
      </w:pPr>
      <w:r w:rsidRPr="00670073">
        <w:rPr>
          <w:rFonts w:ascii="Arial" w:hAnsi="Arial" w:cs="Arial"/>
        </w:rPr>
        <w:t>The implications of these errors extend beyond individuals, affecting entire communities. Many minority communities, already familiar with the effects of over-policing, face even greater distrust when wrongful identifications reinforce existing tensions with law enforcement. According to Big Brother Watch, (2018) some facial recognition systems used by police have error rates reaching 98%, meaning that innocent people are often flagged by these systems. This contributes to heightened surveillance in communities that are already over-policed.</w:t>
      </w:r>
    </w:p>
    <w:p w14:paraId="6A9373CB" w14:textId="77777777" w:rsidR="00670073" w:rsidRPr="00670073" w:rsidRDefault="00670073" w:rsidP="00886038">
      <w:pPr>
        <w:spacing w:line="360" w:lineRule="auto"/>
        <w:rPr>
          <w:rFonts w:ascii="Arial" w:hAnsi="Arial" w:cs="Arial"/>
        </w:rPr>
      </w:pPr>
    </w:p>
    <w:p w14:paraId="78003040" w14:textId="77777777" w:rsidR="00670073" w:rsidRPr="00670073" w:rsidRDefault="00670073" w:rsidP="00886038">
      <w:pPr>
        <w:spacing w:line="360" w:lineRule="auto"/>
        <w:rPr>
          <w:rFonts w:ascii="Arial" w:hAnsi="Arial" w:cs="Arial"/>
        </w:rPr>
      </w:pPr>
      <w:r w:rsidRPr="00670073">
        <w:rPr>
          <w:rFonts w:ascii="Arial" w:hAnsi="Arial" w:cs="Arial"/>
        </w:rPr>
        <w:t>Critics like Big Brother Watch argue that without strong regulations and accountability, facial recognition could further entrench biases in policing. They recommend policy reforms, including transparency in the design of these systems and independent oversight, to help ensure that these technologies are used fairly and uphold human rights. Such steps would not only reduce misuse but could also help build public trust in modern policing practices.</w:t>
      </w:r>
    </w:p>
    <w:p w14:paraId="3A4810E5" w14:textId="35CE30DA" w:rsidR="00670073" w:rsidRDefault="00670073" w:rsidP="00886038">
      <w:pPr>
        <w:spacing w:line="360" w:lineRule="auto"/>
        <w:rPr>
          <w:rFonts w:ascii="Arial" w:hAnsi="Arial" w:cs="Arial"/>
        </w:rPr>
      </w:pPr>
      <w:r w:rsidRPr="00670073">
        <w:rPr>
          <w:rFonts w:ascii="Arial" w:hAnsi="Arial" w:cs="Arial"/>
        </w:rPr>
        <w:t xml:space="preserve">However, A survey by Synectics (2019) involving 2,000 participants in the U.K. found that 74% of individuals believe CCTV effectively deters crime, which contributes to </w:t>
      </w:r>
      <w:r w:rsidRPr="00670073">
        <w:rPr>
          <w:rFonts w:ascii="Arial" w:hAnsi="Arial" w:cs="Arial"/>
        </w:rPr>
        <w:lastRenderedPageBreak/>
        <w:t>their sense of safety. This statistic highlights the significant role surveillance technology plays in shaping public perceptions of security. CCTV not only functions as a crime deterrent but also helps build trust between the police and the community. When people feel their neighbourhoods are monitored, they are more likely to report suspicious activities, enhancing community vigilance and therefore supporting the theory that the police are the public and the public are the police (Goold, 2004).</w:t>
      </w:r>
    </w:p>
    <w:p w14:paraId="4234E992" w14:textId="77777777" w:rsidR="00670073" w:rsidRPr="00670073" w:rsidRDefault="00670073" w:rsidP="00886038">
      <w:pPr>
        <w:spacing w:line="360" w:lineRule="auto"/>
        <w:rPr>
          <w:rFonts w:ascii="Arial" w:hAnsi="Arial" w:cs="Arial"/>
        </w:rPr>
      </w:pPr>
    </w:p>
    <w:p w14:paraId="79BCEE97" w14:textId="77777777" w:rsidR="00670073" w:rsidRPr="00670073" w:rsidRDefault="00670073" w:rsidP="00886038">
      <w:pPr>
        <w:spacing w:line="360" w:lineRule="auto"/>
        <w:rPr>
          <w:rFonts w:ascii="Arial" w:hAnsi="Arial" w:cs="Arial"/>
        </w:rPr>
      </w:pPr>
      <w:r w:rsidRPr="00670073">
        <w:rPr>
          <w:rFonts w:ascii="Arial" w:hAnsi="Arial" w:cs="Arial"/>
        </w:rPr>
        <w:t>To conclude, since the Metropolitan Police was founded in 1829, UK policing has often struggled to balance government control with policing by consent. Robert Peel's original vision emphasized trust and cooperation with the public, yet, over time, control-oriented approaches have often taken priority, particularly affecting poorer and marginalized communities.</w:t>
      </w:r>
    </w:p>
    <w:p w14:paraId="61D9E44E" w14:textId="77777777" w:rsidR="00670073" w:rsidRPr="00670073" w:rsidRDefault="00670073" w:rsidP="00886038">
      <w:pPr>
        <w:spacing w:line="360" w:lineRule="auto"/>
        <w:rPr>
          <w:rFonts w:ascii="Arial" w:hAnsi="Arial" w:cs="Arial"/>
        </w:rPr>
      </w:pPr>
      <w:r w:rsidRPr="00670073">
        <w:rPr>
          <w:rFonts w:ascii="Arial" w:hAnsi="Arial" w:cs="Arial"/>
        </w:rPr>
        <w:t>Today, factors like racial and class biases and increased police militarization make this balance even harder and weaken public trust. Practices like stop and search, often focused on disadvantaged areas, underscore a shift toward control rather than community cooperation. This tension between ensuring safety and respecting civil rights underscores the need to re-embrace Peel's principles.</w:t>
      </w:r>
    </w:p>
    <w:p w14:paraId="7F186118" w14:textId="77777777" w:rsidR="00670073" w:rsidRPr="00670073" w:rsidRDefault="00670073" w:rsidP="00886038">
      <w:pPr>
        <w:spacing w:line="360" w:lineRule="auto"/>
        <w:rPr>
          <w:rFonts w:ascii="Arial" w:hAnsi="Arial" w:cs="Arial"/>
        </w:rPr>
      </w:pPr>
    </w:p>
    <w:p w14:paraId="2887E7D9" w14:textId="6551D0F9" w:rsidR="002C2B6D" w:rsidRPr="00670073" w:rsidRDefault="00670073" w:rsidP="00886038">
      <w:pPr>
        <w:spacing w:line="360" w:lineRule="auto"/>
        <w:rPr>
          <w:rFonts w:ascii="Arial" w:hAnsi="Arial" w:cs="Arial"/>
        </w:rPr>
      </w:pPr>
      <w:r w:rsidRPr="00670073">
        <w:rPr>
          <w:rFonts w:ascii="Arial" w:hAnsi="Arial" w:cs="Arial"/>
        </w:rPr>
        <w:t>To rebuild trust, a renewed focus on transparency and true community engagement is essential. Prioritizing policing by consent through fair and visible presence in all neighbourhoods could be key to creating a policing model that truly serves the public.</w:t>
      </w:r>
    </w:p>
    <w:p w14:paraId="387708BB" w14:textId="77777777" w:rsidR="00A2399F" w:rsidRDefault="00A2399F">
      <w:pPr>
        <w:rPr>
          <w:b/>
          <w:bCs/>
          <w:u w:val="single"/>
        </w:rPr>
      </w:pPr>
    </w:p>
    <w:p w14:paraId="4EC51F96" w14:textId="77777777" w:rsidR="00EC2C4E" w:rsidRDefault="00EC2C4E">
      <w:pPr>
        <w:rPr>
          <w:b/>
          <w:bCs/>
          <w:u w:val="single"/>
        </w:rPr>
      </w:pPr>
    </w:p>
    <w:p w14:paraId="35493DFC" w14:textId="77777777" w:rsidR="00EC2C4E" w:rsidRDefault="00EC2C4E">
      <w:pPr>
        <w:rPr>
          <w:b/>
          <w:bCs/>
          <w:u w:val="single"/>
        </w:rPr>
      </w:pPr>
    </w:p>
    <w:p w14:paraId="6B1D1839" w14:textId="77777777" w:rsidR="00EC2C4E" w:rsidRDefault="00EC2C4E">
      <w:pPr>
        <w:rPr>
          <w:b/>
          <w:bCs/>
          <w:u w:val="single"/>
        </w:rPr>
      </w:pPr>
    </w:p>
    <w:p w14:paraId="1C182F8E" w14:textId="77777777" w:rsidR="00EC2C4E" w:rsidRDefault="00EC2C4E">
      <w:pPr>
        <w:rPr>
          <w:b/>
          <w:bCs/>
          <w:u w:val="single"/>
        </w:rPr>
      </w:pPr>
    </w:p>
    <w:p w14:paraId="0016826C" w14:textId="77777777" w:rsidR="00EC2C4E" w:rsidRDefault="00EC2C4E">
      <w:pPr>
        <w:rPr>
          <w:b/>
          <w:bCs/>
          <w:u w:val="single"/>
        </w:rPr>
      </w:pPr>
    </w:p>
    <w:p w14:paraId="6D17556F" w14:textId="77777777" w:rsidR="00EC2C4E" w:rsidRDefault="00EC2C4E">
      <w:pPr>
        <w:rPr>
          <w:b/>
          <w:bCs/>
          <w:u w:val="single"/>
        </w:rPr>
      </w:pPr>
    </w:p>
    <w:p w14:paraId="23B0CA12" w14:textId="77777777" w:rsidR="00EC2C4E" w:rsidRDefault="00EC2C4E">
      <w:pPr>
        <w:rPr>
          <w:b/>
          <w:bCs/>
          <w:u w:val="single"/>
        </w:rPr>
      </w:pPr>
    </w:p>
    <w:p w14:paraId="7F48F31B" w14:textId="77777777" w:rsidR="00EC2C4E" w:rsidRDefault="00EC2C4E">
      <w:pPr>
        <w:rPr>
          <w:b/>
          <w:bCs/>
          <w:u w:val="single"/>
        </w:rPr>
      </w:pPr>
    </w:p>
    <w:p w14:paraId="0FA3580D" w14:textId="77777777" w:rsidR="00EC2C4E" w:rsidRDefault="00EC2C4E">
      <w:pPr>
        <w:rPr>
          <w:b/>
          <w:bCs/>
          <w:u w:val="single"/>
        </w:rPr>
      </w:pPr>
    </w:p>
    <w:p w14:paraId="245F6F66" w14:textId="77777777" w:rsidR="00EC2C4E" w:rsidRDefault="00EC2C4E">
      <w:pPr>
        <w:rPr>
          <w:b/>
          <w:bCs/>
          <w:u w:val="single"/>
        </w:rPr>
      </w:pPr>
    </w:p>
    <w:p w14:paraId="729D2EAB" w14:textId="77777777" w:rsidR="00EC2C4E" w:rsidRDefault="00EC2C4E">
      <w:pPr>
        <w:rPr>
          <w:b/>
          <w:bCs/>
          <w:u w:val="single"/>
        </w:rPr>
      </w:pPr>
    </w:p>
    <w:p w14:paraId="0BA59DE8" w14:textId="77777777" w:rsidR="00EC2C4E" w:rsidRDefault="00EC2C4E">
      <w:pPr>
        <w:rPr>
          <w:b/>
          <w:bCs/>
          <w:u w:val="single"/>
        </w:rPr>
      </w:pPr>
    </w:p>
    <w:p w14:paraId="148A7E13" w14:textId="77777777" w:rsidR="00EC2C4E" w:rsidRDefault="00EC2C4E">
      <w:pPr>
        <w:rPr>
          <w:b/>
          <w:bCs/>
          <w:u w:val="single"/>
        </w:rPr>
      </w:pPr>
    </w:p>
    <w:p w14:paraId="1FF5E8CB" w14:textId="77777777" w:rsidR="00EC2C4E" w:rsidRDefault="00EC2C4E">
      <w:pPr>
        <w:rPr>
          <w:b/>
          <w:bCs/>
          <w:u w:val="single"/>
        </w:rPr>
      </w:pPr>
    </w:p>
    <w:p w14:paraId="00F24CAC" w14:textId="77777777" w:rsidR="00670073" w:rsidRDefault="00670073" w:rsidP="00244F4B">
      <w:pPr>
        <w:rPr>
          <w:b/>
          <w:bCs/>
          <w:u w:val="single"/>
        </w:rPr>
      </w:pPr>
    </w:p>
    <w:p w14:paraId="6D02A67B" w14:textId="02F15FBB" w:rsidR="00244F4B" w:rsidRDefault="002C2B6D" w:rsidP="00244F4B">
      <w:pPr>
        <w:rPr>
          <w:b/>
          <w:bCs/>
          <w:u w:val="single"/>
        </w:rPr>
      </w:pPr>
      <w:r w:rsidRPr="002C2B6D">
        <w:rPr>
          <w:b/>
          <w:bCs/>
          <w:u w:val="single"/>
        </w:rPr>
        <w:lastRenderedPageBreak/>
        <w:t>Reference list</w:t>
      </w:r>
    </w:p>
    <w:sdt>
      <w:sdtPr>
        <w:id w:val="-1643344921"/>
        <w:docPartObj>
          <w:docPartGallery w:val="Bibliographies"/>
          <w:docPartUnique/>
        </w:docPartObj>
      </w:sdtPr>
      <w:sdtContent>
        <w:p w14:paraId="4AEDEB24" w14:textId="05281036" w:rsidR="00244F4B" w:rsidRPr="00244F4B" w:rsidRDefault="00244F4B" w:rsidP="00244F4B">
          <w:pPr>
            <w:rPr>
              <w:b/>
              <w:bCs/>
              <w:u w:val="single"/>
            </w:rPr>
          </w:pPr>
        </w:p>
        <w:p w14:paraId="528D8448" w14:textId="4795EC1A" w:rsidR="00244F4B" w:rsidRDefault="00244F4B" w:rsidP="00244F4B">
          <w:pPr>
            <w:pStyle w:val="Bibliography"/>
            <w:rPr>
              <w:noProof/>
              <w:lang w:val="en-US"/>
            </w:rPr>
          </w:pPr>
          <w:r>
            <w:rPr>
              <w:noProof/>
              <w:lang w:val="en-US"/>
            </w:rPr>
            <w:t xml:space="preserve">Big Brother Watch, 2018. </w:t>
          </w:r>
          <w:r>
            <w:rPr>
              <w:i/>
              <w:iCs/>
              <w:noProof/>
              <w:lang w:val="en-US"/>
            </w:rPr>
            <w:t xml:space="preserve">The lawless growth of facial recognition in UK policing. </w:t>
          </w:r>
          <w:r>
            <w:rPr>
              <w:noProof/>
              <w:lang w:val="en-US"/>
            </w:rPr>
            <w:t xml:space="preserve">[Online] </w:t>
          </w:r>
          <w:r>
            <w:rPr>
              <w:noProof/>
              <w:lang w:val="en-US"/>
            </w:rPr>
            <w:br/>
            <w:t xml:space="preserve">Available at: </w:t>
          </w:r>
          <w:r>
            <w:rPr>
              <w:noProof/>
              <w:u w:val="single"/>
              <w:lang w:val="en-US"/>
            </w:rPr>
            <w:t>https://bigbrotherwatch.org.uk/wp-content/uploads/2018/05/Face-Off-final-digital-1.pdf</w:t>
          </w:r>
          <w:r>
            <w:rPr>
              <w:noProof/>
              <w:lang w:val="en-US"/>
            </w:rPr>
            <w:br/>
            <w:t>[Accessed 27 10 2024].</w:t>
          </w:r>
        </w:p>
        <w:p w14:paraId="1A18A4A9" w14:textId="77777777" w:rsidR="00244F4B" w:rsidRDefault="00244F4B" w:rsidP="00244F4B">
          <w:pPr>
            <w:pStyle w:val="Bibliography"/>
            <w:rPr>
              <w:noProof/>
              <w:lang w:val="en-US"/>
            </w:rPr>
          </w:pPr>
          <w:r>
            <w:rPr>
              <w:noProof/>
              <w:lang w:val="en-US"/>
            </w:rPr>
            <w:t xml:space="preserve">Boulton, L., Simanovic, T., Walker, D. &amp; McManus, M., 2024. Policing the pandemic: Exploring public perceptions of the enforcement of COVID-19 restrictions in the United Kingdom. </w:t>
          </w:r>
          <w:r>
            <w:rPr>
              <w:i/>
              <w:iCs/>
              <w:noProof/>
              <w:lang w:val="en-US"/>
            </w:rPr>
            <w:t xml:space="preserve">The Police Journal, </w:t>
          </w:r>
          <w:r>
            <w:rPr>
              <w:noProof/>
              <w:lang w:val="en-US"/>
            </w:rPr>
            <w:t>1(1).</w:t>
          </w:r>
        </w:p>
        <w:p w14:paraId="3E71AD74" w14:textId="77777777" w:rsidR="00244F4B" w:rsidRDefault="00244F4B" w:rsidP="00244F4B">
          <w:pPr>
            <w:pStyle w:val="Bibliography"/>
            <w:rPr>
              <w:noProof/>
              <w:lang w:val="en-US"/>
            </w:rPr>
          </w:pPr>
          <w:r>
            <w:rPr>
              <w:noProof/>
              <w:lang w:val="en-US"/>
            </w:rPr>
            <w:t xml:space="preserve">Carr, N., 2017. The Lammy Review and race and bias in the criminal justice system. </w:t>
          </w:r>
          <w:r>
            <w:rPr>
              <w:i/>
              <w:iCs/>
              <w:noProof/>
              <w:lang w:val="en-US"/>
            </w:rPr>
            <w:t xml:space="preserve">Probation Journal, </w:t>
          </w:r>
          <w:r>
            <w:rPr>
              <w:noProof/>
              <w:lang w:val="en-US"/>
            </w:rPr>
            <w:t>64(4).</w:t>
          </w:r>
        </w:p>
        <w:p w14:paraId="2A180E9D" w14:textId="77777777" w:rsidR="00244F4B" w:rsidRDefault="00244F4B" w:rsidP="00244F4B">
          <w:pPr>
            <w:pStyle w:val="Bibliography"/>
            <w:rPr>
              <w:noProof/>
              <w:lang w:val="en-US"/>
            </w:rPr>
          </w:pPr>
          <w:r>
            <w:rPr>
              <w:noProof/>
              <w:lang w:val="en-US"/>
            </w:rPr>
            <w:t xml:space="preserve">Cohen, S., 1985. </w:t>
          </w:r>
          <w:r>
            <w:rPr>
              <w:i/>
              <w:iCs/>
              <w:noProof/>
              <w:lang w:val="en-US"/>
            </w:rPr>
            <w:t xml:space="preserve">Visions of Social Control: Crime, Punishment and Classification.. </w:t>
          </w:r>
          <w:r>
            <w:rPr>
              <w:noProof/>
              <w:lang w:val="en-US"/>
            </w:rPr>
            <w:t>1 ed. Cambridge: Polity Press.</w:t>
          </w:r>
        </w:p>
        <w:p w14:paraId="77F55DD8" w14:textId="77777777" w:rsidR="00244F4B" w:rsidRDefault="00244F4B" w:rsidP="00244F4B">
          <w:pPr>
            <w:pStyle w:val="Bibliography"/>
            <w:rPr>
              <w:noProof/>
              <w:lang w:val="en-US"/>
            </w:rPr>
          </w:pPr>
          <w:r>
            <w:rPr>
              <w:noProof/>
              <w:lang w:val="en-US"/>
            </w:rPr>
            <w:t xml:space="preserve">College of Policing , 2014. </w:t>
          </w:r>
          <w:r>
            <w:rPr>
              <w:i/>
              <w:iCs/>
              <w:noProof/>
              <w:lang w:val="en-US"/>
            </w:rPr>
            <w:t xml:space="preserve">The Code of Ethics. </w:t>
          </w:r>
          <w:r>
            <w:rPr>
              <w:noProof/>
              <w:lang w:val="en-US"/>
            </w:rPr>
            <w:t xml:space="preserve">[Online] </w:t>
          </w:r>
          <w:r>
            <w:rPr>
              <w:noProof/>
              <w:lang w:val="en-US"/>
            </w:rPr>
            <w:br/>
            <w:t xml:space="preserve">Available at: </w:t>
          </w:r>
          <w:r>
            <w:rPr>
              <w:noProof/>
              <w:u w:val="single"/>
              <w:lang w:val="en-US"/>
            </w:rPr>
            <w:t>https://assets.college.police.uk/s3fs-public/2021-02/code_of_ethics_readinglist.pdf</w:t>
          </w:r>
          <w:r>
            <w:rPr>
              <w:noProof/>
              <w:lang w:val="en-US"/>
            </w:rPr>
            <w:br/>
            <w:t>[Accessed 08 10 2024].</w:t>
          </w:r>
        </w:p>
        <w:p w14:paraId="1B1E2C3F" w14:textId="77777777" w:rsidR="00244F4B" w:rsidRDefault="00244F4B" w:rsidP="00244F4B">
          <w:pPr>
            <w:pStyle w:val="Bibliography"/>
            <w:rPr>
              <w:noProof/>
              <w:lang w:val="en-US"/>
            </w:rPr>
          </w:pPr>
          <w:r>
            <w:rPr>
              <w:noProof/>
              <w:lang w:val="en-US"/>
            </w:rPr>
            <w:t xml:space="preserve">College of Policing, 2023. </w:t>
          </w:r>
          <w:r>
            <w:rPr>
              <w:i/>
              <w:iCs/>
              <w:noProof/>
              <w:lang w:val="en-US"/>
            </w:rPr>
            <w:t xml:space="preserve">National protest operational advice, </w:t>
          </w:r>
          <w:r>
            <w:rPr>
              <w:noProof/>
              <w:lang w:val="en-US"/>
            </w:rPr>
            <w:t>s.l.: National Police Chiefs' Council.</w:t>
          </w:r>
        </w:p>
        <w:p w14:paraId="6F941B44" w14:textId="5D8F7CEE" w:rsidR="00244F4B" w:rsidRDefault="00244F4B" w:rsidP="00244F4B">
          <w:pPr>
            <w:pStyle w:val="Bibliography"/>
            <w:rPr>
              <w:noProof/>
              <w:lang w:val="en-US"/>
            </w:rPr>
          </w:pPr>
          <w:r>
            <w:rPr>
              <w:noProof/>
              <w:lang w:val="en-US"/>
            </w:rPr>
            <w:t xml:space="preserve">College Of Policing, 2024. </w:t>
          </w:r>
          <w:r>
            <w:rPr>
              <w:i/>
              <w:iCs/>
              <w:noProof/>
              <w:lang w:val="en-US"/>
            </w:rPr>
            <w:t xml:space="preserve">Communication. </w:t>
          </w:r>
          <w:r>
            <w:rPr>
              <w:noProof/>
              <w:lang w:val="en-US"/>
            </w:rPr>
            <w:t xml:space="preserve">[Online] </w:t>
          </w:r>
          <w:r>
            <w:rPr>
              <w:noProof/>
              <w:lang w:val="en-US"/>
            </w:rPr>
            <w:br/>
            <w:t xml:space="preserve">Available at: </w:t>
          </w:r>
          <w:r>
            <w:rPr>
              <w:noProof/>
              <w:u w:val="single"/>
              <w:lang w:val="en-US"/>
            </w:rPr>
            <w:t>https://www.college.police.uk/app/engagement-and-communication/communication</w:t>
          </w:r>
          <w:r>
            <w:rPr>
              <w:noProof/>
              <w:lang w:val="en-US"/>
            </w:rPr>
            <w:br/>
            <w:t>[Accessed 22 10 2024].</w:t>
          </w:r>
        </w:p>
        <w:p w14:paraId="1C0557CA" w14:textId="77777777" w:rsidR="00244F4B" w:rsidRDefault="00244F4B" w:rsidP="00244F4B">
          <w:r>
            <w:t>Coronavirus Act 2020, c.7. Available at:</w:t>
          </w:r>
          <w:r w:rsidRPr="002A0C81">
            <w:t xml:space="preserve"> </w:t>
          </w:r>
          <w:hyperlink r:id="rId7" w:history="1">
            <w:r w:rsidRPr="00CF4281">
              <w:rPr>
                <w:rStyle w:val="Hyperlink"/>
              </w:rPr>
              <w:t>https://www.legislation.gov.uk/ukpga/2020/7/co</w:t>
            </w:r>
            <w:r w:rsidRPr="00CF4281">
              <w:rPr>
                <w:rStyle w:val="Hyperlink"/>
              </w:rPr>
              <w:t>n</w:t>
            </w:r>
            <w:r w:rsidRPr="00CF4281">
              <w:rPr>
                <w:rStyle w:val="Hyperlink"/>
              </w:rPr>
              <w:t>tents</w:t>
            </w:r>
          </w:hyperlink>
          <w:r>
            <w:t xml:space="preserve"> (Accessed 8 October 2024).</w:t>
          </w:r>
        </w:p>
        <w:p w14:paraId="1FE6EA41" w14:textId="77777777" w:rsidR="00244F4B" w:rsidRDefault="00244F4B" w:rsidP="00244F4B">
          <w:pPr>
            <w:pStyle w:val="Bibliography"/>
            <w:rPr>
              <w:noProof/>
              <w:lang w:val="en-US"/>
            </w:rPr>
          </w:pPr>
          <w:r>
            <w:rPr>
              <w:noProof/>
              <w:lang w:val="en-US"/>
            </w:rPr>
            <w:t xml:space="preserve">Coser, L. A., 1957. Social Conflict and the Theory of Social Change.. </w:t>
          </w:r>
          <w:r>
            <w:rPr>
              <w:i/>
              <w:iCs/>
              <w:noProof/>
              <w:lang w:val="en-US"/>
            </w:rPr>
            <w:t xml:space="preserve">The British Journal of Sociology, </w:t>
          </w:r>
          <w:r>
            <w:rPr>
              <w:noProof/>
              <w:lang w:val="en-US"/>
            </w:rPr>
            <w:t>8(3), pp. 197-207.</w:t>
          </w:r>
        </w:p>
        <w:p w14:paraId="78B57E7A" w14:textId="77777777" w:rsidR="00244F4B" w:rsidRDefault="00244F4B" w:rsidP="00244F4B">
          <w:pPr>
            <w:pStyle w:val="Bibliography"/>
            <w:rPr>
              <w:noProof/>
              <w:lang w:val="en-US"/>
            </w:rPr>
          </w:pPr>
          <w:r>
            <w:rPr>
              <w:noProof/>
              <w:lang w:val="en-US"/>
            </w:rPr>
            <w:t xml:space="preserve">Coughman, H., 2019. </w:t>
          </w:r>
          <w:r>
            <w:rPr>
              <w:i/>
              <w:iCs/>
              <w:noProof/>
              <w:lang w:val="en-US"/>
            </w:rPr>
            <w:t xml:space="preserve">LIBERTY’S BRIEFING ON POLICE USE OF LIVE FACIAL RECOGNITION TECHNOLOGY. </w:t>
          </w:r>
          <w:r>
            <w:rPr>
              <w:noProof/>
              <w:lang w:val="en-US"/>
            </w:rPr>
            <w:t xml:space="preserve">[Online] </w:t>
          </w:r>
          <w:r>
            <w:rPr>
              <w:noProof/>
              <w:lang w:val="en-US"/>
            </w:rPr>
            <w:br/>
            <w:t xml:space="preserve">Available at: </w:t>
          </w:r>
          <w:r>
            <w:rPr>
              <w:noProof/>
              <w:u w:val="single"/>
              <w:lang w:val="en-US"/>
            </w:rPr>
            <w:t>https://www.libertyhumanrights.org.uk/wp-content/uploads/2020/02/LIBERTYS-BRIEFING-ON-FACIAL-RECOGNITION-November-2019-CURRENT.pdf</w:t>
          </w:r>
          <w:r>
            <w:rPr>
              <w:noProof/>
              <w:lang w:val="en-US"/>
            </w:rPr>
            <w:br/>
            <w:t>[Accessed 08 10 2024].</w:t>
          </w:r>
        </w:p>
        <w:p w14:paraId="65C1F75E" w14:textId="77777777" w:rsidR="00244F4B" w:rsidRDefault="00244F4B" w:rsidP="00244F4B">
          <w:pPr>
            <w:pStyle w:val="Bibliography"/>
            <w:rPr>
              <w:noProof/>
              <w:lang w:val="en-US"/>
            </w:rPr>
          </w:pPr>
          <w:r>
            <w:rPr>
              <w:noProof/>
              <w:lang w:val="en-US"/>
            </w:rPr>
            <w:t xml:space="preserve">Equality and Human Rights Commission, 2010. </w:t>
          </w:r>
          <w:r>
            <w:rPr>
              <w:i/>
              <w:iCs/>
              <w:noProof/>
              <w:lang w:val="en-US"/>
            </w:rPr>
            <w:t xml:space="preserve">A critical review of the use of stop and search powers in England and Wales. </w:t>
          </w:r>
          <w:r>
            <w:rPr>
              <w:noProof/>
              <w:lang w:val="en-US"/>
            </w:rPr>
            <w:t xml:space="preserve">[Online] </w:t>
          </w:r>
          <w:r>
            <w:rPr>
              <w:noProof/>
              <w:lang w:val="en-US"/>
            </w:rPr>
            <w:br/>
            <w:t xml:space="preserve">Available at: </w:t>
          </w:r>
          <w:r>
            <w:rPr>
              <w:noProof/>
              <w:u w:val="single"/>
              <w:lang w:val="en-US"/>
            </w:rPr>
            <w:t>https://www.equalityhumanrights.com/sites/default/files/ehrc_stop_and_search_report.pdf</w:t>
          </w:r>
          <w:r>
            <w:rPr>
              <w:noProof/>
              <w:lang w:val="en-US"/>
            </w:rPr>
            <w:br/>
            <w:t>[Accessed 29 10 2024].</w:t>
          </w:r>
        </w:p>
        <w:p w14:paraId="5D3BC476" w14:textId="77777777" w:rsidR="00244F4B" w:rsidRDefault="00244F4B" w:rsidP="00244F4B">
          <w:pPr>
            <w:pStyle w:val="Bibliography"/>
            <w:rPr>
              <w:noProof/>
              <w:lang w:val="en-US"/>
            </w:rPr>
          </w:pPr>
          <w:r>
            <w:rPr>
              <w:noProof/>
              <w:lang w:val="en-US"/>
            </w:rPr>
            <w:t xml:space="preserve">Everett, P., 2014. </w:t>
          </w:r>
          <w:r>
            <w:rPr>
              <w:i/>
              <w:iCs/>
              <w:noProof/>
              <w:lang w:val="en-US"/>
            </w:rPr>
            <w:t xml:space="preserve">Encyclopedia of Community Policing and Problem Solving. </w:t>
          </w:r>
          <w:r>
            <w:rPr>
              <w:noProof/>
              <w:lang w:val="en-US"/>
            </w:rPr>
            <w:t>Thousand Oaks: SAGE.</w:t>
          </w:r>
        </w:p>
        <w:p w14:paraId="58ECD19C" w14:textId="77777777" w:rsidR="00244F4B" w:rsidRDefault="00244F4B" w:rsidP="00244F4B">
          <w:pPr>
            <w:pStyle w:val="Bibliography"/>
            <w:rPr>
              <w:noProof/>
              <w:lang w:val="en-US"/>
            </w:rPr>
          </w:pPr>
          <w:r>
            <w:rPr>
              <w:noProof/>
              <w:lang w:val="en-US"/>
            </w:rPr>
            <w:t xml:space="preserve">Fussey, P. &amp; Murray, D., 2019. </w:t>
          </w:r>
          <w:r>
            <w:rPr>
              <w:i/>
              <w:iCs/>
              <w:noProof/>
              <w:lang w:val="en-US"/>
            </w:rPr>
            <w:t xml:space="preserve">Independent Report on the London Metropolitan Police Service’s Trial of Live Facial Recognition Technology, </w:t>
          </w:r>
          <w:r>
            <w:rPr>
              <w:noProof/>
              <w:lang w:val="en-US"/>
            </w:rPr>
            <w:t>Essex: Human Rights Centre.</w:t>
          </w:r>
        </w:p>
        <w:p w14:paraId="10323959" w14:textId="77777777" w:rsidR="00244F4B" w:rsidRDefault="00244F4B" w:rsidP="00244F4B">
          <w:pPr>
            <w:pStyle w:val="Bibliography"/>
            <w:rPr>
              <w:noProof/>
              <w:lang w:val="en-US"/>
            </w:rPr>
          </w:pPr>
          <w:r>
            <w:rPr>
              <w:noProof/>
              <w:lang w:val="en-US"/>
            </w:rPr>
            <w:t xml:space="preserve">Goold, B., 2004. </w:t>
          </w:r>
          <w:r>
            <w:rPr>
              <w:i/>
              <w:iCs/>
              <w:noProof/>
              <w:lang w:val="en-US"/>
            </w:rPr>
            <w:t xml:space="preserve">CCTV and Policing: Public Area Surveillance and Police Practices in Britain. </w:t>
          </w:r>
          <w:r>
            <w:rPr>
              <w:noProof/>
              <w:lang w:val="en-US"/>
            </w:rPr>
            <w:t>1 ed. Oxford: Oxford Academic.</w:t>
          </w:r>
        </w:p>
        <w:p w14:paraId="71CEBF7B" w14:textId="77777777" w:rsidR="00244F4B" w:rsidRDefault="00244F4B" w:rsidP="00244F4B">
          <w:pPr>
            <w:pStyle w:val="Bibliography"/>
            <w:rPr>
              <w:noProof/>
              <w:lang w:val="en-US"/>
            </w:rPr>
          </w:pPr>
          <w:r>
            <w:rPr>
              <w:noProof/>
              <w:lang w:val="en-US"/>
            </w:rPr>
            <w:t xml:space="preserve">Hanway, P. &amp; Hambly, O., 2023. </w:t>
          </w:r>
          <w:r>
            <w:rPr>
              <w:i/>
              <w:iCs/>
              <w:noProof/>
              <w:lang w:val="en-US"/>
            </w:rPr>
            <w:t xml:space="preserve">Public Perceptions of policing: a Review of Research and Literature.. </w:t>
          </w:r>
          <w:r>
            <w:rPr>
              <w:noProof/>
              <w:lang w:val="en-US"/>
            </w:rPr>
            <w:t xml:space="preserve">[Online] </w:t>
          </w:r>
          <w:r>
            <w:rPr>
              <w:noProof/>
              <w:lang w:val="en-US"/>
            </w:rPr>
            <w:br/>
          </w:r>
          <w:r>
            <w:rPr>
              <w:noProof/>
              <w:lang w:val="en-US"/>
            </w:rPr>
            <w:lastRenderedPageBreak/>
            <w:t xml:space="preserve">Available at: </w:t>
          </w:r>
          <w:r>
            <w:rPr>
              <w:noProof/>
              <w:u w:val="single"/>
              <w:lang w:val="en-US"/>
            </w:rPr>
            <w:t>https://www.gov.uk/government/publications/public-perceptions-of-policing-a-review-of-research-and-literature/public-perceptions-of-policing-a-review-of-research-and-literature</w:t>
          </w:r>
          <w:r>
            <w:rPr>
              <w:noProof/>
              <w:lang w:val="en-US"/>
            </w:rPr>
            <w:br/>
            <w:t>[Accessed 08 10 2024].</w:t>
          </w:r>
        </w:p>
        <w:p w14:paraId="2394BBB6" w14:textId="77777777" w:rsidR="00244F4B" w:rsidRDefault="00244F4B" w:rsidP="00244F4B">
          <w:pPr>
            <w:pStyle w:val="Bibliography"/>
            <w:rPr>
              <w:noProof/>
              <w:lang w:val="en-US"/>
            </w:rPr>
          </w:pPr>
          <w:r>
            <w:rPr>
              <w:noProof/>
              <w:lang w:val="en-US"/>
            </w:rPr>
            <w:t xml:space="preserve">House Of Commons, UK., 2022. </w:t>
          </w:r>
          <w:r>
            <w:rPr>
              <w:i/>
              <w:iCs/>
              <w:noProof/>
              <w:lang w:val="en-US"/>
            </w:rPr>
            <w:t xml:space="preserve">Police powers: stop and search. </w:t>
          </w:r>
          <w:r>
            <w:rPr>
              <w:noProof/>
              <w:lang w:val="en-US"/>
            </w:rPr>
            <w:t xml:space="preserve">[Online] </w:t>
          </w:r>
          <w:r>
            <w:rPr>
              <w:noProof/>
              <w:lang w:val="en-US"/>
            </w:rPr>
            <w:br/>
            <w:t xml:space="preserve">Available at: </w:t>
          </w:r>
          <w:r>
            <w:rPr>
              <w:noProof/>
              <w:u w:val="single"/>
              <w:lang w:val="en-US"/>
            </w:rPr>
            <w:t>https://commonslibrary.parliament.uk/research-briefings/sn03878/</w:t>
          </w:r>
          <w:r>
            <w:rPr>
              <w:noProof/>
              <w:lang w:val="en-US"/>
            </w:rPr>
            <w:br/>
            <w:t>[Accessed 28 10 2024].</w:t>
          </w:r>
        </w:p>
        <w:p w14:paraId="1BF1E97F" w14:textId="77777777" w:rsidR="00244F4B" w:rsidRDefault="00244F4B" w:rsidP="00244F4B">
          <w:pPr>
            <w:pStyle w:val="Bibliography"/>
            <w:rPr>
              <w:noProof/>
              <w:lang w:val="en-US"/>
            </w:rPr>
          </w:pPr>
          <w:r>
            <w:rPr>
              <w:noProof/>
              <w:lang w:val="en-US"/>
            </w:rPr>
            <w:t xml:space="preserve">Independent Office for Police Conduct, 2023. </w:t>
          </w:r>
          <w:r>
            <w:rPr>
              <w:i/>
              <w:iCs/>
              <w:noProof/>
              <w:lang w:val="en-US"/>
            </w:rPr>
            <w:t xml:space="preserve">Building trust and confidence in policing. </w:t>
          </w:r>
          <w:r>
            <w:rPr>
              <w:noProof/>
              <w:lang w:val="en-US"/>
            </w:rPr>
            <w:t xml:space="preserve">[Online] </w:t>
          </w:r>
          <w:r>
            <w:rPr>
              <w:noProof/>
              <w:lang w:val="en-US"/>
            </w:rPr>
            <w:br/>
            <w:t xml:space="preserve">Available at: </w:t>
          </w:r>
          <w:r>
            <w:rPr>
              <w:noProof/>
              <w:u w:val="single"/>
              <w:lang w:val="en-US"/>
            </w:rPr>
            <w:t>https://www.policeconduct.gov.uk/about-us/our-strategy-and-performance/building-trust-and-confidence-in-policing</w:t>
          </w:r>
          <w:r>
            <w:rPr>
              <w:noProof/>
              <w:lang w:val="en-US"/>
            </w:rPr>
            <w:br/>
            <w:t>[Accessed 08 10 2024].</w:t>
          </w:r>
        </w:p>
        <w:p w14:paraId="2A975F57" w14:textId="77777777" w:rsidR="00244F4B" w:rsidRDefault="00244F4B" w:rsidP="00244F4B">
          <w:pPr>
            <w:pStyle w:val="Bibliography"/>
            <w:rPr>
              <w:noProof/>
              <w:lang w:val="en-US"/>
            </w:rPr>
          </w:pPr>
          <w:r>
            <w:rPr>
              <w:noProof/>
              <w:lang w:val="en-US"/>
            </w:rPr>
            <w:t xml:space="preserve">Lipscombe, S., Allen, G., Zayed, Y. &amp; Pepin, S., 2018. </w:t>
          </w:r>
          <w:r>
            <w:rPr>
              <w:i/>
              <w:iCs/>
              <w:noProof/>
              <w:lang w:val="en-US"/>
            </w:rPr>
            <w:t xml:space="preserve">Effect of police stop and search powers on BAME communities. </w:t>
          </w:r>
          <w:r>
            <w:rPr>
              <w:noProof/>
              <w:lang w:val="en-US"/>
            </w:rPr>
            <w:t xml:space="preserve">[Online] </w:t>
          </w:r>
          <w:r>
            <w:rPr>
              <w:noProof/>
              <w:lang w:val="en-US"/>
            </w:rPr>
            <w:br/>
            <w:t xml:space="preserve">Available at: </w:t>
          </w:r>
          <w:r>
            <w:rPr>
              <w:noProof/>
              <w:u w:val="single"/>
              <w:lang w:val="en-US"/>
            </w:rPr>
            <w:t>https://commonslibrary.parliament.uk/research-briefings/cdp-2018-0125/</w:t>
          </w:r>
          <w:r>
            <w:rPr>
              <w:noProof/>
              <w:lang w:val="en-US"/>
            </w:rPr>
            <w:br/>
            <w:t>[Accessed 08 10 2024].</w:t>
          </w:r>
        </w:p>
        <w:p w14:paraId="0C315AE9" w14:textId="77777777" w:rsidR="00244F4B" w:rsidRDefault="00244F4B" w:rsidP="00244F4B">
          <w:pPr>
            <w:pStyle w:val="Bibliography"/>
            <w:rPr>
              <w:noProof/>
              <w:lang w:val="en-US"/>
            </w:rPr>
          </w:pPr>
          <w:r>
            <w:rPr>
              <w:noProof/>
              <w:lang w:val="en-US"/>
            </w:rPr>
            <w:t xml:space="preserve">Longstaff, A. et al., 2015. </w:t>
          </w:r>
          <w:r>
            <w:rPr>
              <w:i/>
              <w:iCs/>
              <w:noProof/>
              <w:lang w:val="en-US"/>
            </w:rPr>
            <w:t xml:space="preserve">Neighbourhood policing: Past, present and future, </w:t>
          </w:r>
          <w:r>
            <w:rPr>
              <w:noProof/>
              <w:lang w:val="en-US"/>
            </w:rPr>
            <w:t>s.l.: The Policing Society.</w:t>
          </w:r>
        </w:p>
        <w:p w14:paraId="5C794900" w14:textId="77777777" w:rsidR="00244F4B" w:rsidRDefault="00244F4B" w:rsidP="00244F4B">
          <w:pPr>
            <w:pStyle w:val="Bibliography"/>
            <w:rPr>
              <w:noProof/>
              <w:lang w:val="en-US"/>
            </w:rPr>
          </w:pPr>
          <w:r>
            <w:rPr>
              <w:noProof/>
              <w:lang w:val="en-US"/>
            </w:rPr>
            <w:t xml:space="preserve">Lyman, J. L., 1964. The Metropolitan Police Act of 1829: An Analysis of Certain Events Influencing the Passage and Character of the Metropolitan Police Act in England. </w:t>
          </w:r>
          <w:r>
            <w:rPr>
              <w:i/>
              <w:iCs/>
              <w:noProof/>
              <w:lang w:val="en-US"/>
            </w:rPr>
            <w:t xml:space="preserve">The Journal of Criminal Law, Criminology, and Police Science, </w:t>
          </w:r>
          <w:r>
            <w:rPr>
              <w:noProof/>
              <w:lang w:val="en-US"/>
            </w:rPr>
            <w:t>55(1), pp. 141-154.</w:t>
          </w:r>
        </w:p>
        <w:p w14:paraId="33F27338" w14:textId="77777777" w:rsidR="00244F4B" w:rsidRDefault="00244F4B" w:rsidP="00244F4B">
          <w:pPr>
            <w:pStyle w:val="Bibliography"/>
            <w:rPr>
              <w:noProof/>
              <w:lang w:val="en-US"/>
            </w:rPr>
          </w:pPr>
          <w:r>
            <w:rPr>
              <w:noProof/>
              <w:lang w:val="en-US"/>
            </w:rPr>
            <w:t xml:space="preserve">Marx, K. &amp; Engels, F., 1848. </w:t>
          </w:r>
          <w:r>
            <w:rPr>
              <w:i/>
              <w:iCs/>
              <w:noProof/>
              <w:lang w:val="en-US"/>
            </w:rPr>
            <w:t xml:space="preserve">The Communist Manifesto. </w:t>
          </w:r>
          <w:r>
            <w:rPr>
              <w:noProof/>
              <w:lang w:val="en-US"/>
            </w:rPr>
            <w:t>1 ed. London: Penguin Classics.</w:t>
          </w:r>
        </w:p>
        <w:p w14:paraId="773B0C99" w14:textId="77777777" w:rsidR="00244F4B" w:rsidRDefault="00244F4B" w:rsidP="00244F4B">
          <w:pPr>
            <w:pStyle w:val="Bibliography"/>
            <w:rPr>
              <w:noProof/>
              <w:lang w:val="en-US"/>
            </w:rPr>
          </w:pPr>
          <w:r>
            <w:rPr>
              <w:noProof/>
              <w:lang w:val="en-US"/>
            </w:rPr>
            <w:t xml:space="preserve">McCarthy, B., Stokes, A. &amp; Jackson, J., 2024. The Politicization of Militarization:Examining Military Contributions to British Policing.. </w:t>
          </w:r>
          <w:r>
            <w:rPr>
              <w:i/>
              <w:iCs/>
              <w:noProof/>
              <w:lang w:val="en-US"/>
            </w:rPr>
            <w:t xml:space="preserve">Journal of Global Faultlines, </w:t>
          </w:r>
          <w:r>
            <w:rPr>
              <w:noProof/>
              <w:lang w:val="en-US"/>
            </w:rPr>
            <w:t>11(1), pp. 71-80.</w:t>
          </w:r>
        </w:p>
        <w:p w14:paraId="2F5F40F2" w14:textId="77777777" w:rsidR="00244F4B" w:rsidRDefault="00244F4B" w:rsidP="00244F4B">
          <w:pPr>
            <w:pStyle w:val="Bibliography"/>
            <w:rPr>
              <w:noProof/>
              <w:lang w:val="en-US"/>
            </w:rPr>
          </w:pPr>
          <w:r>
            <w:rPr>
              <w:noProof/>
              <w:lang w:val="en-US"/>
            </w:rPr>
            <w:t xml:space="preserve">Newburn, T., 2011. </w:t>
          </w:r>
          <w:r>
            <w:rPr>
              <w:i/>
              <w:iCs/>
              <w:noProof/>
              <w:lang w:val="en-US"/>
            </w:rPr>
            <w:t xml:space="preserve">Handbook of policing. </w:t>
          </w:r>
          <w:r>
            <w:rPr>
              <w:noProof/>
              <w:lang w:val="en-US"/>
            </w:rPr>
            <w:t>2 ed. London: Routledge.</w:t>
          </w:r>
        </w:p>
        <w:p w14:paraId="744B4506" w14:textId="77777777" w:rsidR="00244F4B" w:rsidRDefault="00244F4B" w:rsidP="00244F4B">
          <w:pPr>
            <w:pStyle w:val="Bibliography"/>
            <w:rPr>
              <w:noProof/>
              <w:lang w:val="en-US"/>
            </w:rPr>
          </w:pPr>
          <w:r>
            <w:rPr>
              <w:noProof/>
              <w:lang w:val="en-US"/>
            </w:rPr>
            <w:t xml:space="preserve">Office Of The Biometrics And Surveillance Camera Commissioner, 2023. </w:t>
          </w:r>
          <w:r>
            <w:rPr>
              <w:i/>
              <w:iCs/>
              <w:noProof/>
              <w:lang w:val="en-US"/>
            </w:rPr>
            <w:t xml:space="preserve">Surveillance Camera Commissioner Annual Report , </w:t>
          </w:r>
          <w:r>
            <w:rPr>
              <w:noProof/>
              <w:lang w:val="en-US"/>
            </w:rPr>
            <w:t>London: HH Associates.</w:t>
          </w:r>
        </w:p>
        <w:p w14:paraId="06A3F177" w14:textId="77777777" w:rsidR="00244F4B" w:rsidRDefault="00244F4B" w:rsidP="00244F4B">
          <w:pPr>
            <w:pStyle w:val="Bibliography"/>
            <w:rPr>
              <w:noProof/>
              <w:lang w:val="en-US"/>
            </w:rPr>
          </w:pPr>
          <w:r>
            <w:rPr>
              <w:noProof/>
              <w:lang w:val="en-US"/>
            </w:rPr>
            <w:t xml:space="preserve">Parliment. House of Commons, 2020. </w:t>
          </w:r>
          <w:r>
            <w:rPr>
              <w:i/>
              <w:iCs/>
              <w:noProof/>
              <w:lang w:val="en-US"/>
            </w:rPr>
            <w:t xml:space="preserve">The Macpherson Report: Twenty-two years on. </w:t>
          </w:r>
          <w:r>
            <w:rPr>
              <w:noProof/>
              <w:lang w:val="en-US"/>
            </w:rPr>
            <w:t xml:space="preserve">[Online] </w:t>
          </w:r>
          <w:r>
            <w:rPr>
              <w:noProof/>
              <w:lang w:val="en-US"/>
            </w:rPr>
            <w:br/>
            <w:t xml:space="preserve">Available at: </w:t>
          </w:r>
          <w:r>
            <w:rPr>
              <w:noProof/>
              <w:u w:val="single"/>
              <w:lang w:val="en-US"/>
            </w:rPr>
            <w:t>https://publications.parliament.uk/pa/cm5802/cmselect/cmhaff/139/13905.htm</w:t>
          </w:r>
          <w:r>
            <w:rPr>
              <w:noProof/>
              <w:lang w:val="en-US"/>
            </w:rPr>
            <w:br/>
            <w:t>[Accessed 08 10 2024].</w:t>
          </w:r>
        </w:p>
        <w:p w14:paraId="5A73267D" w14:textId="77777777" w:rsidR="00244F4B" w:rsidRDefault="00244F4B" w:rsidP="00244F4B">
          <w:pPr>
            <w:pStyle w:val="Bibliography"/>
            <w:rPr>
              <w:noProof/>
              <w:lang w:val="en-US"/>
            </w:rPr>
          </w:pPr>
          <w:r>
            <w:rPr>
              <w:noProof/>
              <w:lang w:val="en-US"/>
            </w:rPr>
            <w:t xml:space="preserve">Rawlings, D., Miller-Lewis, L. &amp; Tieman, J., 2022. Impact of the COVID-19 Pandemic on Funerals. </w:t>
          </w:r>
          <w:r>
            <w:rPr>
              <w:i/>
              <w:iCs/>
              <w:noProof/>
              <w:lang w:val="en-US"/>
            </w:rPr>
            <w:t xml:space="preserve">Journal of Death and Dying, </w:t>
          </w:r>
          <w:r>
            <w:rPr>
              <w:noProof/>
              <w:lang w:val="en-US"/>
            </w:rPr>
            <w:t>1(1).</w:t>
          </w:r>
        </w:p>
        <w:p w14:paraId="0E987576" w14:textId="77777777" w:rsidR="00244F4B" w:rsidRDefault="00244F4B" w:rsidP="00244F4B">
          <w:pPr>
            <w:pStyle w:val="Bibliography"/>
            <w:rPr>
              <w:noProof/>
              <w:lang w:val="en-US"/>
            </w:rPr>
          </w:pPr>
          <w:r>
            <w:rPr>
              <w:noProof/>
              <w:lang w:val="en-US"/>
            </w:rPr>
            <w:t xml:space="preserve">Release Legal Emergency &amp; Drugs Service, 2024. </w:t>
          </w:r>
          <w:r>
            <w:rPr>
              <w:i/>
              <w:iCs/>
              <w:noProof/>
              <w:lang w:val="en-US"/>
            </w:rPr>
            <w:t xml:space="preserve">The Numbers in Black And White: Ethnic Disparities In The Policing And Prosecution Of Drug Offences In England And Wales, </w:t>
          </w:r>
          <w:r>
            <w:rPr>
              <w:noProof/>
              <w:lang w:val="en-US"/>
            </w:rPr>
            <w:t>London: Skylark.</w:t>
          </w:r>
        </w:p>
        <w:p w14:paraId="09DEE080" w14:textId="77777777" w:rsidR="00244F4B" w:rsidRDefault="00244F4B" w:rsidP="00244F4B">
          <w:pPr>
            <w:pStyle w:val="Bibliography"/>
            <w:rPr>
              <w:noProof/>
              <w:lang w:val="en-US"/>
            </w:rPr>
          </w:pPr>
          <w:r>
            <w:rPr>
              <w:noProof/>
              <w:lang w:val="en-US"/>
            </w:rPr>
            <w:t xml:space="preserve">Synectics, 2019. </w:t>
          </w:r>
          <w:r>
            <w:rPr>
              <w:i/>
              <w:iCs/>
              <w:noProof/>
              <w:lang w:val="en-US"/>
            </w:rPr>
            <w:t xml:space="preserve">CCTV in the UK-What We Can Learn from Public Attitudes Towards Surveillance. </w:t>
          </w:r>
          <w:r>
            <w:rPr>
              <w:noProof/>
              <w:lang w:val="en-US"/>
            </w:rPr>
            <w:t xml:space="preserve">[Online] </w:t>
          </w:r>
          <w:r>
            <w:rPr>
              <w:noProof/>
              <w:lang w:val="en-US"/>
            </w:rPr>
            <w:br/>
            <w:t xml:space="preserve">Available at: </w:t>
          </w:r>
          <w:r>
            <w:rPr>
              <w:noProof/>
              <w:u w:val="single"/>
              <w:lang w:val="en-US"/>
            </w:rPr>
            <w:t>https://synecticsglobal.com/Content/Downloads/Synectics_PublicSpace-Whitepaper.pdf</w:t>
          </w:r>
          <w:r>
            <w:rPr>
              <w:noProof/>
              <w:lang w:val="en-US"/>
            </w:rPr>
            <w:br/>
            <w:t>[Accessed 27 10 2024].</w:t>
          </w:r>
        </w:p>
        <w:p w14:paraId="46573D8E" w14:textId="77777777" w:rsidR="00244F4B" w:rsidRDefault="00244F4B" w:rsidP="00244F4B">
          <w:pPr>
            <w:pStyle w:val="Bibliography"/>
            <w:rPr>
              <w:noProof/>
              <w:lang w:val="en-US"/>
            </w:rPr>
          </w:pPr>
          <w:r>
            <w:rPr>
              <w:noProof/>
              <w:lang w:val="en-US"/>
            </w:rPr>
            <w:t xml:space="preserve">The Office Of Biometrics And Surveillance Camera Commisioner's Office, 2023. </w:t>
          </w:r>
          <w:r>
            <w:rPr>
              <w:i/>
              <w:iCs/>
              <w:noProof/>
              <w:lang w:val="en-US"/>
            </w:rPr>
            <w:t xml:space="preserve">The Commissioner discusses the new era for live facial recognition after the Coronation. </w:t>
          </w:r>
          <w:r>
            <w:rPr>
              <w:noProof/>
              <w:lang w:val="en-US"/>
            </w:rPr>
            <w:t xml:space="preserve">[Online] </w:t>
          </w:r>
          <w:r>
            <w:rPr>
              <w:noProof/>
              <w:lang w:val="en-US"/>
            </w:rPr>
            <w:br/>
            <w:t xml:space="preserve">Available at: </w:t>
          </w:r>
          <w:r>
            <w:rPr>
              <w:noProof/>
              <w:u w:val="single"/>
              <w:lang w:val="en-US"/>
            </w:rPr>
            <w:t>https://videosurveillance.blog.gov.uk/2023/05/17/the-commissioner-discusses-the-new-era-for-live-facial-recognition-after-the-coronation/</w:t>
          </w:r>
          <w:r>
            <w:rPr>
              <w:noProof/>
              <w:lang w:val="en-US"/>
            </w:rPr>
            <w:br/>
            <w:t>[Accessed 27 10 2024].</w:t>
          </w:r>
        </w:p>
        <w:p w14:paraId="1BE14D20" w14:textId="77777777" w:rsidR="00244F4B" w:rsidRDefault="00244F4B" w:rsidP="00244F4B">
          <w:pPr>
            <w:pStyle w:val="Bibliography"/>
            <w:rPr>
              <w:noProof/>
              <w:lang w:val="en-US"/>
            </w:rPr>
          </w:pPr>
          <w:r>
            <w:rPr>
              <w:noProof/>
              <w:lang w:val="en-US"/>
            </w:rPr>
            <w:lastRenderedPageBreak/>
            <w:t xml:space="preserve">Vincent, D., 2023. </w:t>
          </w:r>
          <w:r>
            <w:rPr>
              <w:i/>
              <w:iCs/>
              <w:noProof/>
              <w:lang w:val="en-US"/>
            </w:rPr>
            <w:t xml:space="preserve">The Fataal Breath: Covid-19 and Society in Britain. </w:t>
          </w:r>
          <w:r>
            <w:rPr>
              <w:noProof/>
              <w:lang w:val="en-US"/>
            </w:rPr>
            <w:t>1 ed. Cambridge: Polity.</w:t>
          </w:r>
        </w:p>
        <w:p w14:paraId="24629E25" w14:textId="384B9B69" w:rsidR="00244F4B" w:rsidRDefault="00244F4B" w:rsidP="00244F4B"/>
      </w:sdtContent>
    </w:sdt>
    <w:p w14:paraId="68F8FAE6" w14:textId="32BE38E6" w:rsidR="005C70F8" w:rsidRDefault="005C70F8"/>
    <w:p w14:paraId="4699A63F" w14:textId="0F8B9ECC" w:rsidR="005C70F8" w:rsidRDefault="005C70F8"/>
    <w:p w14:paraId="7A57BEC3" w14:textId="133E4A0F" w:rsidR="005C70F8" w:rsidRDefault="005C70F8"/>
    <w:p w14:paraId="57ABE7CE" w14:textId="78E8B92D" w:rsidR="005C70F8" w:rsidRDefault="005C70F8"/>
    <w:p w14:paraId="1314F068" w14:textId="25577F67" w:rsidR="005C70F8" w:rsidRDefault="005C70F8"/>
    <w:p w14:paraId="28BF600C" w14:textId="50D466BA" w:rsidR="005C70F8" w:rsidRDefault="005C70F8"/>
    <w:p w14:paraId="7F75DA83" w14:textId="674CD7D6" w:rsidR="005C70F8" w:rsidRDefault="005C70F8"/>
    <w:p w14:paraId="0A011D83" w14:textId="67D5EC3A" w:rsidR="005C70F8" w:rsidRDefault="005C70F8"/>
    <w:p w14:paraId="14D44B68" w14:textId="2F5DA28F" w:rsidR="005C70F8" w:rsidRDefault="005C70F8"/>
    <w:p w14:paraId="36321042" w14:textId="39A67251" w:rsidR="005C70F8" w:rsidRDefault="005C70F8"/>
    <w:p w14:paraId="417C6C0F" w14:textId="5D4A6519" w:rsidR="005C70F8" w:rsidRDefault="005C70F8"/>
    <w:p w14:paraId="0A154E45" w14:textId="6E686CE7" w:rsidR="005C70F8" w:rsidRDefault="005C70F8"/>
    <w:p w14:paraId="3726D0D4" w14:textId="6726390B" w:rsidR="005C70F8" w:rsidRDefault="005C70F8"/>
    <w:p w14:paraId="406747A4" w14:textId="553446F4" w:rsidR="005C70F8" w:rsidRDefault="005C70F8"/>
    <w:p w14:paraId="5192D974" w14:textId="09AD16AE" w:rsidR="005C70F8" w:rsidRDefault="005C70F8"/>
    <w:p w14:paraId="504BB507" w14:textId="036CA0A4" w:rsidR="005C70F8" w:rsidRDefault="005C70F8"/>
    <w:p w14:paraId="795B77E9" w14:textId="451418A9" w:rsidR="005C70F8" w:rsidRDefault="005C70F8"/>
    <w:p w14:paraId="2F02DE57" w14:textId="1C188C5F" w:rsidR="005C70F8" w:rsidRDefault="005C70F8"/>
    <w:p w14:paraId="74CDC70A" w14:textId="1559C31F" w:rsidR="005C70F8" w:rsidRDefault="005C70F8"/>
    <w:p w14:paraId="2F9F32BC" w14:textId="096A322A" w:rsidR="005C70F8" w:rsidRDefault="005C70F8"/>
    <w:p w14:paraId="4A131CE5" w14:textId="5A485A67" w:rsidR="005C70F8" w:rsidRDefault="005C70F8"/>
    <w:p w14:paraId="24C0F9C3" w14:textId="1A3A673D" w:rsidR="005C70F8" w:rsidRDefault="005C70F8"/>
    <w:p w14:paraId="4D9747E1" w14:textId="3FAD6FD6" w:rsidR="005C70F8" w:rsidRDefault="005C70F8"/>
    <w:p w14:paraId="7BA82A33" w14:textId="7D67CEF9" w:rsidR="005C70F8" w:rsidRDefault="005C70F8"/>
    <w:p w14:paraId="127C2EC1" w14:textId="411A652D" w:rsidR="005C70F8" w:rsidRDefault="005C70F8"/>
    <w:p w14:paraId="7C7CE618" w14:textId="4098C15C" w:rsidR="005C70F8" w:rsidRDefault="005C70F8" w:rsidP="005C70F8"/>
    <w:sectPr w:rsidR="005C70F8" w:rsidSect="004324E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0A5302"/>
    <w:multiLevelType w:val="hybridMultilevel"/>
    <w:tmpl w:val="5EFA3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7165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8B4"/>
    <w:rsid w:val="00050C29"/>
    <w:rsid w:val="00067818"/>
    <w:rsid w:val="001157E6"/>
    <w:rsid w:val="00145980"/>
    <w:rsid w:val="001A5A7D"/>
    <w:rsid w:val="001F1182"/>
    <w:rsid w:val="002218B4"/>
    <w:rsid w:val="00243768"/>
    <w:rsid w:val="00244F4B"/>
    <w:rsid w:val="00245024"/>
    <w:rsid w:val="0027629F"/>
    <w:rsid w:val="002A0C81"/>
    <w:rsid w:val="002A43E6"/>
    <w:rsid w:val="002C2B6D"/>
    <w:rsid w:val="00331250"/>
    <w:rsid w:val="003D661F"/>
    <w:rsid w:val="004324EF"/>
    <w:rsid w:val="00461540"/>
    <w:rsid w:val="00472F38"/>
    <w:rsid w:val="004C2956"/>
    <w:rsid w:val="004E3EF9"/>
    <w:rsid w:val="00556305"/>
    <w:rsid w:val="00585453"/>
    <w:rsid w:val="005C70F8"/>
    <w:rsid w:val="00604C87"/>
    <w:rsid w:val="00670073"/>
    <w:rsid w:val="00675E10"/>
    <w:rsid w:val="006D150E"/>
    <w:rsid w:val="006D3D13"/>
    <w:rsid w:val="006D4928"/>
    <w:rsid w:val="006F4F3A"/>
    <w:rsid w:val="00782B66"/>
    <w:rsid w:val="007C6824"/>
    <w:rsid w:val="007F21D9"/>
    <w:rsid w:val="00807A2A"/>
    <w:rsid w:val="00837B53"/>
    <w:rsid w:val="00886038"/>
    <w:rsid w:val="008933D3"/>
    <w:rsid w:val="008D7606"/>
    <w:rsid w:val="009051BB"/>
    <w:rsid w:val="00933B02"/>
    <w:rsid w:val="00936239"/>
    <w:rsid w:val="009B1A11"/>
    <w:rsid w:val="009F6FAD"/>
    <w:rsid w:val="00A14F71"/>
    <w:rsid w:val="00A2320A"/>
    <w:rsid w:val="00A2399F"/>
    <w:rsid w:val="00A35A42"/>
    <w:rsid w:val="00A859CD"/>
    <w:rsid w:val="00B030B8"/>
    <w:rsid w:val="00B10D00"/>
    <w:rsid w:val="00B14FE9"/>
    <w:rsid w:val="00B32620"/>
    <w:rsid w:val="00BA129D"/>
    <w:rsid w:val="00BD22C6"/>
    <w:rsid w:val="00C66982"/>
    <w:rsid w:val="00C938B2"/>
    <w:rsid w:val="00C97087"/>
    <w:rsid w:val="00CC1B97"/>
    <w:rsid w:val="00D24EBD"/>
    <w:rsid w:val="00D46691"/>
    <w:rsid w:val="00D621E0"/>
    <w:rsid w:val="00E239F5"/>
    <w:rsid w:val="00EC2C4E"/>
    <w:rsid w:val="00ED614F"/>
    <w:rsid w:val="00EF732A"/>
    <w:rsid w:val="00F031D6"/>
    <w:rsid w:val="00F478EB"/>
    <w:rsid w:val="00F53B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7960D"/>
  <w15:chartTrackingRefBased/>
  <w15:docId w15:val="{6FC3B593-5A55-4541-A493-5277E44A0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2B6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link w:val="Heading3Char"/>
    <w:uiPriority w:val="9"/>
    <w:qFormat/>
    <w:rsid w:val="009051BB"/>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9051BB"/>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051BB"/>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9051BB"/>
    <w:rPr>
      <w:rFonts w:ascii="Times New Roman" w:eastAsia="Times New Roman" w:hAnsi="Times New Roman" w:cs="Times New Roman"/>
      <w:b/>
      <w:bCs/>
      <w:lang w:eastAsia="en-GB"/>
    </w:rPr>
  </w:style>
  <w:style w:type="paragraph" w:styleId="NormalWeb">
    <w:name w:val="Normal (Web)"/>
    <w:basedOn w:val="Normal"/>
    <w:uiPriority w:val="99"/>
    <w:semiHidden/>
    <w:unhideWhenUsed/>
    <w:rsid w:val="009051BB"/>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2A0C81"/>
    <w:rPr>
      <w:color w:val="0563C1" w:themeColor="hyperlink"/>
      <w:u w:val="single"/>
    </w:rPr>
  </w:style>
  <w:style w:type="character" w:styleId="UnresolvedMention">
    <w:name w:val="Unresolved Mention"/>
    <w:basedOn w:val="DefaultParagraphFont"/>
    <w:uiPriority w:val="99"/>
    <w:semiHidden/>
    <w:unhideWhenUsed/>
    <w:rsid w:val="002A0C81"/>
    <w:rPr>
      <w:color w:val="605E5C"/>
      <w:shd w:val="clear" w:color="auto" w:fill="E1DFDD"/>
    </w:rPr>
  </w:style>
  <w:style w:type="paragraph" w:styleId="ListParagraph">
    <w:name w:val="List Paragraph"/>
    <w:basedOn w:val="Normal"/>
    <w:uiPriority w:val="34"/>
    <w:qFormat/>
    <w:rsid w:val="004E3EF9"/>
    <w:pPr>
      <w:ind w:left="720"/>
      <w:contextualSpacing/>
    </w:pPr>
  </w:style>
  <w:style w:type="character" w:customStyle="1" w:styleId="Heading1Char">
    <w:name w:val="Heading 1 Char"/>
    <w:basedOn w:val="DefaultParagraphFont"/>
    <w:link w:val="Heading1"/>
    <w:uiPriority w:val="9"/>
    <w:rsid w:val="002C2B6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C2B6D"/>
  </w:style>
  <w:style w:type="paragraph" w:styleId="NoSpacing">
    <w:name w:val="No Spacing"/>
    <w:link w:val="NoSpacingChar"/>
    <w:uiPriority w:val="1"/>
    <w:qFormat/>
    <w:rsid w:val="004324EF"/>
    <w:rPr>
      <w:rFonts w:eastAsiaTheme="minorEastAsia"/>
      <w:sz w:val="22"/>
      <w:szCs w:val="22"/>
      <w:lang w:val="en-US" w:eastAsia="zh-CN"/>
    </w:rPr>
  </w:style>
  <w:style w:type="character" w:customStyle="1" w:styleId="NoSpacingChar">
    <w:name w:val="No Spacing Char"/>
    <w:basedOn w:val="DefaultParagraphFont"/>
    <w:link w:val="NoSpacing"/>
    <w:uiPriority w:val="1"/>
    <w:rsid w:val="004324EF"/>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1265">
      <w:bodyDiv w:val="1"/>
      <w:marLeft w:val="0"/>
      <w:marRight w:val="0"/>
      <w:marTop w:val="0"/>
      <w:marBottom w:val="0"/>
      <w:divBdr>
        <w:top w:val="none" w:sz="0" w:space="0" w:color="auto"/>
        <w:left w:val="none" w:sz="0" w:space="0" w:color="auto"/>
        <w:bottom w:val="none" w:sz="0" w:space="0" w:color="auto"/>
        <w:right w:val="none" w:sz="0" w:space="0" w:color="auto"/>
      </w:divBdr>
    </w:div>
    <w:div w:id="150027544">
      <w:bodyDiv w:val="1"/>
      <w:marLeft w:val="0"/>
      <w:marRight w:val="0"/>
      <w:marTop w:val="0"/>
      <w:marBottom w:val="0"/>
      <w:divBdr>
        <w:top w:val="none" w:sz="0" w:space="0" w:color="auto"/>
        <w:left w:val="none" w:sz="0" w:space="0" w:color="auto"/>
        <w:bottom w:val="none" w:sz="0" w:space="0" w:color="auto"/>
        <w:right w:val="none" w:sz="0" w:space="0" w:color="auto"/>
      </w:divBdr>
    </w:div>
    <w:div w:id="151220893">
      <w:bodyDiv w:val="1"/>
      <w:marLeft w:val="0"/>
      <w:marRight w:val="0"/>
      <w:marTop w:val="0"/>
      <w:marBottom w:val="0"/>
      <w:divBdr>
        <w:top w:val="none" w:sz="0" w:space="0" w:color="auto"/>
        <w:left w:val="none" w:sz="0" w:space="0" w:color="auto"/>
        <w:bottom w:val="none" w:sz="0" w:space="0" w:color="auto"/>
        <w:right w:val="none" w:sz="0" w:space="0" w:color="auto"/>
      </w:divBdr>
    </w:div>
    <w:div w:id="259796928">
      <w:bodyDiv w:val="1"/>
      <w:marLeft w:val="0"/>
      <w:marRight w:val="0"/>
      <w:marTop w:val="0"/>
      <w:marBottom w:val="0"/>
      <w:divBdr>
        <w:top w:val="none" w:sz="0" w:space="0" w:color="auto"/>
        <w:left w:val="none" w:sz="0" w:space="0" w:color="auto"/>
        <w:bottom w:val="none" w:sz="0" w:space="0" w:color="auto"/>
        <w:right w:val="none" w:sz="0" w:space="0" w:color="auto"/>
      </w:divBdr>
    </w:div>
    <w:div w:id="304891875">
      <w:bodyDiv w:val="1"/>
      <w:marLeft w:val="0"/>
      <w:marRight w:val="0"/>
      <w:marTop w:val="0"/>
      <w:marBottom w:val="0"/>
      <w:divBdr>
        <w:top w:val="none" w:sz="0" w:space="0" w:color="auto"/>
        <w:left w:val="none" w:sz="0" w:space="0" w:color="auto"/>
        <w:bottom w:val="none" w:sz="0" w:space="0" w:color="auto"/>
        <w:right w:val="none" w:sz="0" w:space="0" w:color="auto"/>
      </w:divBdr>
    </w:div>
    <w:div w:id="346367816">
      <w:bodyDiv w:val="1"/>
      <w:marLeft w:val="0"/>
      <w:marRight w:val="0"/>
      <w:marTop w:val="0"/>
      <w:marBottom w:val="0"/>
      <w:divBdr>
        <w:top w:val="none" w:sz="0" w:space="0" w:color="auto"/>
        <w:left w:val="none" w:sz="0" w:space="0" w:color="auto"/>
        <w:bottom w:val="none" w:sz="0" w:space="0" w:color="auto"/>
        <w:right w:val="none" w:sz="0" w:space="0" w:color="auto"/>
      </w:divBdr>
    </w:div>
    <w:div w:id="355736466">
      <w:bodyDiv w:val="1"/>
      <w:marLeft w:val="0"/>
      <w:marRight w:val="0"/>
      <w:marTop w:val="0"/>
      <w:marBottom w:val="0"/>
      <w:divBdr>
        <w:top w:val="none" w:sz="0" w:space="0" w:color="auto"/>
        <w:left w:val="none" w:sz="0" w:space="0" w:color="auto"/>
        <w:bottom w:val="none" w:sz="0" w:space="0" w:color="auto"/>
        <w:right w:val="none" w:sz="0" w:space="0" w:color="auto"/>
      </w:divBdr>
    </w:div>
    <w:div w:id="507018782">
      <w:bodyDiv w:val="1"/>
      <w:marLeft w:val="0"/>
      <w:marRight w:val="0"/>
      <w:marTop w:val="0"/>
      <w:marBottom w:val="0"/>
      <w:divBdr>
        <w:top w:val="none" w:sz="0" w:space="0" w:color="auto"/>
        <w:left w:val="none" w:sz="0" w:space="0" w:color="auto"/>
        <w:bottom w:val="none" w:sz="0" w:space="0" w:color="auto"/>
        <w:right w:val="none" w:sz="0" w:space="0" w:color="auto"/>
      </w:divBdr>
    </w:div>
    <w:div w:id="525366600">
      <w:bodyDiv w:val="1"/>
      <w:marLeft w:val="0"/>
      <w:marRight w:val="0"/>
      <w:marTop w:val="0"/>
      <w:marBottom w:val="0"/>
      <w:divBdr>
        <w:top w:val="none" w:sz="0" w:space="0" w:color="auto"/>
        <w:left w:val="none" w:sz="0" w:space="0" w:color="auto"/>
        <w:bottom w:val="none" w:sz="0" w:space="0" w:color="auto"/>
        <w:right w:val="none" w:sz="0" w:space="0" w:color="auto"/>
      </w:divBdr>
    </w:div>
    <w:div w:id="554318808">
      <w:bodyDiv w:val="1"/>
      <w:marLeft w:val="0"/>
      <w:marRight w:val="0"/>
      <w:marTop w:val="0"/>
      <w:marBottom w:val="0"/>
      <w:divBdr>
        <w:top w:val="none" w:sz="0" w:space="0" w:color="auto"/>
        <w:left w:val="none" w:sz="0" w:space="0" w:color="auto"/>
        <w:bottom w:val="none" w:sz="0" w:space="0" w:color="auto"/>
        <w:right w:val="none" w:sz="0" w:space="0" w:color="auto"/>
      </w:divBdr>
    </w:div>
    <w:div w:id="714768231">
      <w:bodyDiv w:val="1"/>
      <w:marLeft w:val="0"/>
      <w:marRight w:val="0"/>
      <w:marTop w:val="0"/>
      <w:marBottom w:val="0"/>
      <w:divBdr>
        <w:top w:val="none" w:sz="0" w:space="0" w:color="auto"/>
        <w:left w:val="none" w:sz="0" w:space="0" w:color="auto"/>
        <w:bottom w:val="none" w:sz="0" w:space="0" w:color="auto"/>
        <w:right w:val="none" w:sz="0" w:space="0" w:color="auto"/>
      </w:divBdr>
    </w:div>
    <w:div w:id="720061862">
      <w:bodyDiv w:val="1"/>
      <w:marLeft w:val="0"/>
      <w:marRight w:val="0"/>
      <w:marTop w:val="0"/>
      <w:marBottom w:val="0"/>
      <w:divBdr>
        <w:top w:val="none" w:sz="0" w:space="0" w:color="auto"/>
        <w:left w:val="none" w:sz="0" w:space="0" w:color="auto"/>
        <w:bottom w:val="none" w:sz="0" w:space="0" w:color="auto"/>
        <w:right w:val="none" w:sz="0" w:space="0" w:color="auto"/>
      </w:divBdr>
    </w:div>
    <w:div w:id="890772086">
      <w:bodyDiv w:val="1"/>
      <w:marLeft w:val="0"/>
      <w:marRight w:val="0"/>
      <w:marTop w:val="0"/>
      <w:marBottom w:val="0"/>
      <w:divBdr>
        <w:top w:val="none" w:sz="0" w:space="0" w:color="auto"/>
        <w:left w:val="none" w:sz="0" w:space="0" w:color="auto"/>
        <w:bottom w:val="none" w:sz="0" w:space="0" w:color="auto"/>
        <w:right w:val="none" w:sz="0" w:space="0" w:color="auto"/>
      </w:divBdr>
    </w:div>
    <w:div w:id="926574183">
      <w:bodyDiv w:val="1"/>
      <w:marLeft w:val="0"/>
      <w:marRight w:val="0"/>
      <w:marTop w:val="0"/>
      <w:marBottom w:val="0"/>
      <w:divBdr>
        <w:top w:val="none" w:sz="0" w:space="0" w:color="auto"/>
        <w:left w:val="none" w:sz="0" w:space="0" w:color="auto"/>
        <w:bottom w:val="none" w:sz="0" w:space="0" w:color="auto"/>
        <w:right w:val="none" w:sz="0" w:space="0" w:color="auto"/>
      </w:divBdr>
    </w:div>
    <w:div w:id="953245140">
      <w:bodyDiv w:val="1"/>
      <w:marLeft w:val="0"/>
      <w:marRight w:val="0"/>
      <w:marTop w:val="0"/>
      <w:marBottom w:val="0"/>
      <w:divBdr>
        <w:top w:val="none" w:sz="0" w:space="0" w:color="auto"/>
        <w:left w:val="none" w:sz="0" w:space="0" w:color="auto"/>
        <w:bottom w:val="none" w:sz="0" w:space="0" w:color="auto"/>
        <w:right w:val="none" w:sz="0" w:space="0" w:color="auto"/>
      </w:divBdr>
    </w:div>
    <w:div w:id="970866389">
      <w:bodyDiv w:val="1"/>
      <w:marLeft w:val="0"/>
      <w:marRight w:val="0"/>
      <w:marTop w:val="0"/>
      <w:marBottom w:val="0"/>
      <w:divBdr>
        <w:top w:val="none" w:sz="0" w:space="0" w:color="auto"/>
        <w:left w:val="none" w:sz="0" w:space="0" w:color="auto"/>
        <w:bottom w:val="none" w:sz="0" w:space="0" w:color="auto"/>
        <w:right w:val="none" w:sz="0" w:space="0" w:color="auto"/>
      </w:divBdr>
    </w:div>
    <w:div w:id="1004554620">
      <w:bodyDiv w:val="1"/>
      <w:marLeft w:val="0"/>
      <w:marRight w:val="0"/>
      <w:marTop w:val="0"/>
      <w:marBottom w:val="0"/>
      <w:divBdr>
        <w:top w:val="none" w:sz="0" w:space="0" w:color="auto"/>
        <w:left w:val="none" w:sz="0" w:space="0" w:color="auto"/>
        <w:bottom w:val="none" w:sz="0" w:space="0" w:color="auto"/>
        <w:right w:val="none" w:sz="0" w:space="0" w:color="auto"/>
      </w:divBdr>
    </w:div>
    <w:div w:id="1065836454">
      <w:bodyDiv w:val="1"/>
      <w:marLeft w:val="0"/>
      <w:marRight w:val="0"/>
      <w:marTop w:val="0"/>
      <w:marBottom w:val="0"/>
      <w:divBdr>
        <w:top w:val="none" w:sz="0" w:space="0" w:color="auto"/>
        <w:left w:val="none" w:sz="0" w:space="0" w:color="auto"/>
        <w:bottom w:val="none" w:sz="0" w:space="0" w:color="auto"/>
        <w:right w:val="none" w:sz="0" w:space="0" w:color="auto"/>
      </w:divBdr>
      <w:divsChild>
        <w:div w:id="1203904909">
          <w:marLeft w:val="0"/>
          <w:marRight w:val="0"/>
          <w:marTop w:val="0"/>
          <w:marBottom w:val="0"/>
          <w:divBdr>
            <w:top w:val="none" w:sz="0" w:space="0" w:color="auto"/>
            <w:left w:val="none" w:sz="0" w:space="0" w:color="auto"/>
            <w:bottom w:val="none" w:sz="0" w:space="0" w:color="auto"/>
            <w:right w:val="none" w:sz="0" w:space="0" w:color="auto"/>
          </w:divBdr>
        </w:div>
        <w:div w:id="949318142">
          <w:marLeft w:val="0"/>
          <w:marRight w:val="0"/>
          <w:marTop w:val="0"/>
          <w:marBottom w:val="0"/>
          <w:divBdr>
            <w:top w:val="none" w:sz="0" w:space="0" w:color="auto"/>
            <w:left w:val="none" w:sz="0" w:space="0" w:color="auto"/>
            <w:bottom w:val="none" w:sz="0" w:space="0" w:color="auto"/>
            <w:right w:val="none" w:sz="0" w:space="0" w:color="auto"/>
          </w:divBdr>
        </w:div>
      </w:divsChild>
    </w:div>
    <w:div w:id="1166478692">
      <w:bodyDiv w:val="1"/>
      <w:marLeft w:val="0"/>
      <w:marRight w:val="0"/>
      <w:marTop w:val="0"/>
      <w:marBottom w:val="0"/>
      <w:divBdr>
        <w:top w:val="none" w:sz="0" w:space="0" w:color="auto"/>
        <w:left w:val="none" w:sz="0" w:space="0" w:color="auto"/>
        <w:bottom w:val="none" w:sz="0" w:space="0" w:color="auto"/>
        <w:right w:val="none" w:sz="0" w:space="0" w:color="auto"/>
      </w:divBdr>
    </w:div>
    <w:div w:id="1214391560">
      <w:bodyDiv w:val="1"/>
      <w:marLeft w:val="0"/>
      <w:marRight w:val="0"/>
      <w:marTop w:val="0"/>
      <w:marBottom w:val="0"/>
      <w:divBdr>
        <w:top w:val="none" w:sz="0" w:space="0" w:color="auto"/>
        <w:left w:val="none" w:sz="0" w:space="0" w:color="auto"/>
        <w:bottom w:val="none" w:sz="0" w:space="0" w:color="auto"/>
        <w:right w:val="none" w:sz="0" w:space="0" w:color="auto"/>
      </w:divBdr>
    </w:div>
    <w:div w:id="1251813464">
      <w:bodyDiv w:val="1"/>
      <w:marLeft w:val="0"/>
      <w:marRight w:val="0"/>
      <w:marTop w:val="0"/>
      <w:marBottom w:val="0"/>
      <w:divBdr>
        <w:top w:val="none" w:sz="0" w:space="0" w:color="auto"/>
        <w:left w:val="none" w:sz="0" w:space="0" w:color="auto"/>
        <w:bottom w:val="none" w:sz="0" w:space="0" w:color="auto"/>
        <w:right w:val="none" w:sz="0" w:space="0" w:color="auto"/>
      </w:divBdr>
    </w:div>
    <w:div w:id="1300453637">
      <w:bodyDiv w:val="1"/>
      <w:marLeft w:val="0"/>
      <w:marRight w:val="0"/>
      <w:marTop w:val="0"/>
      <w:marBottom w:val="0"/>
      <w:divBdr>
        <w:top w:val="none" w:sz="0" w:space="0" w:color="auto"/>
        <w:left w:val="none" w:sz="0" w:space="0" w:color="auto"/>
        <w:bottom w:val="none" w:sz="0" w:space="0" w:color="auto"/>
        <w:right w:val="none" w:sz="0" w:space="0" w:color="auto"/>
      </w:divBdr>
    </w:div>
    <w:div w:id="1309626659">
      <w:bodyDiv w:val="1"/>
      <w:marLeft w:val="0"/>
      <w:marRight w:val="0"/>
      <w:marTop w:val="0"/>
      <w:marBottom w:val="0"/>
      <w:divBdr>
        <w:top w:val="none" w:sz="0" w:space="0" w:color="auto"/>
        <w:left w:val="none" w:sz="0" w:space="0" w:color="auto"/>
        <w:bottom w:val="none" w:sz="0" w:space="0" w:color="auto"/>
        <w:right w:val="none" w:sz="0" w:space="0" w:color="auto"/>
      </w:divBdr>
    </w:div>
    <w:div w:id="1339968719">
      <w:bodyDiv w:val="1"/>
      <w:marLeft w:val="0"/>
      <w:marRight w:val="0"/>
      <w:marTop w:val="0"/>
      <w:marBottom w:val="0"/>
      <w:divBdr>
        <w:top w:val="none" w:sz="0" w:space="0" w:color="auto"/>
        <w:left w:val="none" w:sz="0" w:space="0" w:color="auto"/>
        <w:bottom w:val="none" w:sz="0" w:space="0" w:color="auto"/>
        <w:right w:val="none" w:sz="0" w:space="0" w:color="auto"/>
      </w:divBdr>
    </w:div>
    <w:div w:id="1380088747">
      <w:bodyDiv w:val="1"/>
      <w:marLeft w:val="0"/>
      <w:marRight w:val="0"/>
      <w:marTop w:val="0"/>
      <w:marBottom w:val="0"/>
      <w:divBdr>
        <w:top w:val="none" w:sz="0" w:space="0" w:color="auto"/>
        <w:left w:val="none" w:sz="0" w:space="0" w:color="auto"/>
        <w:bottom w:val="none" w:sz="0" w:space="0" w:color="auto"/>
        <w:right w:val="none" w:sz="0" w:space="0" w:color="auto"/>
      </w:divBdr>
    </w:div>
    <w:div w:id="1501583099">
      <w:bodyDiv w:val="1"/>
      <w:marLeft w:val="0"/>
      <w:marRight w:val="0"/>
      <w:marTop w:val="0"/>
      <w:marBottom w:val="0"/>
      <w:divBdr>
        <w:top w:val="none" w:sz="0" w:space="0" w:color="auto"/>
        <w:left w:val="none" w:sz="0" w:space="0" w:color="auto"/>
        <w:bottom w:val="none" w:sz="0" w:space="0" w:color="auto"/>
        <w:right w:val="none" w:sz="0" w:space="0" w:color="auto"/>
      </w:divBdr>
    </w:div>
    <w:div w:id="1640573576">
      <w:bodyDiv w:val="1"/>
      <w:marLeft w:val="0"/>
      <w:marRight w:val="0"/>
      <w:marTop w:val="0"/>
      <w:marBottom w:val="0"/>
      <w:divBdr>
        <w:top w:val="none" w:sz="0" w:space="0" w:color="auto"/>
        <w:left w:val="none" w:sz="0" w:space="0" w:color="auto"/>
        <w:bottom w:val="none" w:sz="0" w:space="0" w:color="auto"/>
        <w:right w:val="none" w:sz="0" w:space="0" w:color="auto"/>
      </w:divBdr>
    </w:div>
    <w:div w:id="1685595511">
      <w:bodyDiv w:val="1"/>
      <w:marLeft w:val="0"/>
      <w:marRight w:val="0"/>
      <w:marTop w:val="0"/>
      <w:marBottom w:val="0"/>
      <w:divBdr>
        <w:top w:val="none" w:sz="0" w:space="0" w:color="auto"/>
        <w:left w:val="none" w:sz="0" w:space="0" w:color="auto"/>
        <w:bottom w:val="none" w:sz="0" w:space="0" w:color="auto"/>
        <w:right w:val="none" w:sz="0" w:space="0" w:color="auto"/>
      </w:divBdr>
    </w:div>
    <w:div w:id="1720203589">
      <w:bodyDiv w:val="1"/>
      <w:marLeft w:val="0"/>
      <w:marRight w:val="0"/>
      <w:marTop w:val="0"/>
      <w:marBottom w:val="0"/>
      <w:divBdr>
        <w:top w:val="none" w:sz="0" w:space="0" w:color="auto"/>
        <w:left w:val="none" w:sz="0" w:space="0" w:color="auto"/>
        <w:bottom w:val="none" w:sz="0" w:space="0" w:color="auto"/>
        <w:right w:val="none" w:sz="0" w:space="0" w:color="auto"/>
      </w:divBdr>
    </w:div>
    <w:div w:id="1753505145">
      <w:bodyDiv w:val="1"/>
      <w:marLeft w:val="0"/>
      <w:marRight w:val="0"/>
      <w:marTop w:val="0"/>
      <w:marBottom w:val="0"/>
      <w:divBdr>
        <w:top w:val="none" w:sz="0" w:space="0" w:color="auto"/>
        <w:left w:val="none" w:sz="0" w:space="0" w:color="auto"/>
        <w:bottom w:val="none" w:sz="0" w:space="0" w:color="auto"/>
        <w:right w:val="none" w:sz="0" w:space="0" w:color="auto"/>
      </w:divBdr>
    </w:div>
    <w:div w:id="1819766503">
      <w:bodyDiv w:val="1"/>
      <w:marLeft w:val="0"/>
      <w:marRight w:val="0"/>
      <w:marTop w:val="0"/>
      <w:marBottom w:val="0"/>
      <w:divBdr>
        <w:top w:val="none" w:sz="0" w:space="0" w:color="auto"/>
        <w:left w:val="none" w:sz="0" w:space="0" w:color="auto"/>
        <w:bottom w:val="none" w:sz="0" w:space="0" w:color="auto"/>
        <w:right w:val="none" w:sz="0" w:space="0" w:color="auto"/>
      </w:divBdr>
    </w:div>
    <w:div w:id="1950970987">
      <w:bodyDiv w:val="1"/>
      <w:marLeft w:val="0"/>
      <w:marRight w:val="0"/>
      <w:marTop w:val="0"/>
      <w:marBottom w:val="0"/>
      <w:divBdr>
        <w:top w:val="none" w:sz="0" w:space="0" w:color="auto"/>
        <w:left w:val="none" w:sz="0" w:space="0" w:color="auto"/>
        <w:bottom w:val="none" w:sz="0" w:space="0" w:color="auto"/>
        <w:right w:val="none" w:sz="0" w:space="0" w:color="auto"/>
      </w:divBdr>
    </w:div>
    <w:div w:id="1987465785">
      <w:bodyDiv w:val="1"/>
      <w:marLeft w:val="0"/>
      <w:marRight w:val="0"/>
      <w:marTop w:val="0"/>
      <w:marBottom w:val="0"/>
      <w:divBdr>
        <w:top w:val="none" w:sz="0" w:space="0" w:color="auto"/>
        <w:left w:val="none" w:sz="0" w:space="0" w:color="auto"/>
        <w:bottom w:val="none" w:sz="0" w:space="0" w:color="auto"/>
        <w:right w:val="none" w:sz="0" w:space="0" w:color="auto"/>
      </w:divBdr>
    </w:div>
    <w:div w:id="1990402807">
      <w:bodyDiv w:val="1"/>
      <w:marLeft w:val="0"/>
      <w:marRight w:val="0"/>
      <w:marTop w:val="0"/>
      <w:marBottom w:val="0"/>
      <w:divBdr>
        <w:top w:val="none" w:sz="0" w:space="0" w:color="auto"/>
        <w:left w:val="none" w:sz="0" w:space="0" w:color="auto"/>
        <w:bottom w:val="none" w:sz="0" w:space="0" w:color="auto"/>
        <w:right w:val="none" w:sz="0" w:space="0" w:color="auto"/>
      </w:divBdr>
    </w:div>
    <w:div w:id="2131052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hyperlink" Target="https://www.legislation.gov.uk/ukpga/2020/7/content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word count: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New11</b:Tag>
    <b:SourceType>Book</b:SourceType>
    <b:Guid>{8B38C4DF-0663-4F48-A85E-ED5BF4EB535B}</b:Guid>
    <b:Title>Handbook of policing</b:Title>
    <b:Year>2011</b:Year>
    <b:City>London</b:City>
    <b:Publisher>Routledge</b:Publisher>
    <b:Edition>2</b:Edition>
    <b:Author>
      <b:Author>
        <b:NameList>
          <b:Person>
            <b:Last>Newburn</b:Last>
            <b:First>Tim</b:First>
          </b:Person>
        </b:NameList>
      </b:Author>
    </b:Author>
    <b:RefOrder>1</b:RefOrder>
  </b:Source>
  <b:Source>
    <b:Tag>Col14</b:Tag>
    <b:SourceType>DocumentFromInternetSite</b:SourceType>
    <b:Guid>{1E8CA53C-43A6-BE4A-AB08-50CACEF774FF}</b:Guid>
    <b:Title>The Code of Ethics</b:Title>
    <b:Year>2014</b:Year>
    <b:Author>
      <b:Author>
        <b:Corporate>College of Policing </b:Corporate>
      </b:Author>
    </b:Author>
    <b:URL>https://assets.college.police.uk/s3fs-public/2021-02/code_of_ethics_readinglist.pdf</b:URL>
    <b:Month>07</b:Month>
    <b:YearAccessed>2024</b:YearAccessed>
    <b:MonthAccessed>10</b:MonthAccessed>
    <b:DayAccessed>08</b:DayAccessed>
    <b:RefOrder>7</b:RefOrder>
  </b:Source>
  <b:Source>
    <b:Tag>McC24</b:Tag>
    <b:SourceType>JournalArticle</b:SourceType>
    <b:Guid>{5A684497-7BB3-0242-A62E-2A5E47B0DD7A}</b:Guid>
    <b:Title>The Politicization of Militarization:Examining Military Contributions to British Policing.</b:Title>
    <b:Year>2024</b:Year>
    <b:JournalName>Journal of Global Faultlines</b:JournalName>
    <b:Volume>11</b:Volume>
    <b:Issue>1</b:Issue>
    <b:Pages>71-80</b:Pages>
    <b:Author>
      <b:Author>
        <b:NameList>
          <b:Person>
            <b:Last>McCarthy</b:Last>
            <b:First>Bethany</b:First>
          </b:Person>
          <b:Person>
            <b:Last>Stokes</b:Last>
            <b:First>Adam</b:First>
          </b:Person>
          <b:Person>
            <b:Last>Jackson</b:Last>
            <b:First>Jonathan</b:First>
          </b:Person>
        </b:NameList>
      </b:Author>
    </b:Author>
    <b:RefOrder>8</b:RefOrder>
  </b:Source>
  <b:Source>
    <b:Tag>Han23</b:Tag>
    <b:SourceType>DocumentFromInternetSite</b:SourceType>
    <b:Guid>{44B37648-B225-214C-838B-58B2E2C2AE95}</b:Guid>
    <b:Title>Public Perceptions of policing: a Review of Research and Literature.</b:Title>
    <b:Year>2023</b:Year>
    <b:URL>https://www.gov.uk/government/publications/public-perceptions-of-policing-a-review-of-research-and-literature/public-perceptions-of-policing-a-review-of-research-and-literature</b:URL>
    <b:Month>08</b:Month>
    <b:Day>28</b:Day>
    <b:YearAccessed>2024</b:YearAccessed>
    <b:MonthAccessed>10</b:MonthAccessed>
    <b:DayAccessed>08</b:DayAccessed>
    <b:Author>
      <b:Author>
        <b:NameList>
          <b:Person>
            <b:Last>Hanway</b:Last>
            <b:First>Pamela</b:First>
          </b:Person>
          <b:Person>
            <b:Last>Hambly</b:Last>
            <b:First>Olivia</b:First>
          </b:Person>
        </b:NameList>
      </b:Author>
    </b:Author>
    <b:RefOrder>9</b:RefOrder>
  </b:Source>
  <b:Source>
    <b:Tag>Par20</b:Tag>
    <b:SourceType>DocumentFromInternetSite</b:SourceType>
    <b:Guid>{B7E67939-D077-D147-B4A5-C529356DA732}</b:Guid>
    <b:Author>
      <b:Author>
        <b:Corporate>Parliment. House of Commons</b:Corporate>
      </b:Author>
    </b:Author>
    <b:Title>The Macpherson Report: Twenty-two years on</b:Title>
    <b:URL>https://publications.parliament.uk/pa/cm5802/cmselect/cmhaff/139/13905.htm</b:URL>
    <b:Year>2020</b:Year>
    <b:YearAccessed>2024</b:YearAccessed>
    <b:MonthAccessed>10</b:MonthAccessed>
    <b:DayAccessed>08</b:DayAccessed>
    <b:RefOrder>10</b:RefOrder>
  </b:Source>
  <b:Source>
    <b:Tag>Bou24</b:Tag>
    <b:SourceType>JournalArticle</b:SourceType>
    <b:Guid>{875FECB0-1403-A54E-ACDE-654A74E729A4}</b:Guid>
    <b:Title>Policing the pandemic: Exploring public perceptions of the enforcement of COVID-19 restrictions in the United Kingdom</b:Title>
    <b:Year>2024</b:Year>
    <b:JournalName>The Police Journal</b:JournalName>
    <b:Volume>1</b:Volume>
    <b:Issue>1</b:Issue>
    <b:Author>
      <b:Author>
        <b:NameList>
          <b:Person>
            <b:Last>Boulton</b:Last>
            <b:First>Laura</b:First>
          </b:Person>
          <b:Person>
            <b:Last>Simanovic</b:Last>
            <b:First>Tia</b:First>
          </b:Person>
          <b:Person>
            <b:Last>Walker</b:Last>
            <b:First>Dominique</b:First>
          </b:Person>
          <b:Person>
            <b:Last>McManus</b:Last>
            <b:First>Michelle</b:First>
          </b:Person>
        </b:NameList>
      </b:Author>
    </b:Author>
    <b:RefOrder>2</b:RefOrder>
  </b:Source>
  <b:Source>
    <b:Tag>Raw22</b:Tag>
    <b:SourceType>JournalArticle</b:SourceType>
    <b:Guid>{563B7337-CB90-E547-97C4-48D0167E53D4}</b:Guid>
    <b:Title>Impact of the COVID-19 Pandemic on Funerals</b:Title>
    <b:JournalName>Journal of Death and Dying</b:JournalName>
    <b:Year>2022</b:Year>
    <b:Volume>1</b:Volume>
    <b:Issue>1</b:Issue>
    <b:Author>
      <b:Author>
        <b:NameList>
          <b:Person>
            <b:Last>Rawlings</b:Last>
            <b:First>Deb</b:First>
          </b:Person>
          <b:Person>
            <b:Last>Miller-Lewis</b:Last>
            <b:First>Lauren</b:First>
          </b:Person>
          <b:Person>
            <b:Last>Tieman</b:Last>
            <b:First>Jennifer</b:First>
          </b:Person>
        </b:NameList>
      </b:Author>
    </b:Author>
    <b:RefOrder>3</b:RefOrder>
  </b:Source>
  <b:Source>
    <b:Tag>Vin23</b:Tag>
    <b:SourceType>Book</b:SourceType>
    <b:Guid>{F4DBDB19-CE4B-5E4F-8BAD-9E3CD1458A95}</b:Guid>
    <b:Title>The Fataal Breath: Covid-19 and Society in Britain</b:Title>
    <b:Year>2023</b:Year>
    <b:City>Cambridge</b:City>
    <b:Publisher>Polity</b:Publisher>
    <b:Edition>1</b:Edition>
    <b:Author>
      <b:Author>
        <b:NameList>
          <b:Person>
            <b:Last>Vincent</b:Last>
            <b:First>David</b:First>
          </b:Person>
        </b:NameList>
      </b:Author>
    </b:Author>
    <b:RefOrder>4</b:RefOrder>
  </b:Source>
  <b:Source>
    <b:Tag>Col23</b:Tag>
    <b:SourceType>Report</b:SourceType>
    <b:Guid>{4C1C2F55-2A33-654D-82C1-F22D03889517}</b:Guid>
    <b:Title>National protest operational advice</b:Title>
    <b:Publisher>National Police Chiefs' Council</b:Publisher>
    <b:Year>2023</b:Year>
    <b:Author>
      <b:Author>
        <b:Corporate>College of Policing</b:Corporate>
      </b:Author>
    </b:Author>
    <b:RefOrder>11</b:RefOrder>
  </b:Source>
  <b:Source>
    <b:Tag>Ind23</b:Tag>
    <b:SourceType>DocumentFromInternetSite</b:SourceType>
    <b:Guid>{28946E3C-BE86-9245-9D12-FF16826283DB}</b:Guid>
    <b:Author>
      <b:Author>
        <b:Corporate>Independent Office for Police Conduct</b:Corporate>
      </b:Author>
    </b:Author>
    <b:Title>Building trust and confidence in policing</b:Title>
    <b:Year>2023</b:Year>
    <b:URL>https://www.policeconduct.gov.uk/about-us/our-strategy-and-performance/building-trust-and-confidence-in-policing</b:URL>
    <b:YearAccessed>2024</b:YearAccessed>
    <b:MonthAccessed>10</b:MonthAccessed>
    <b:DayAccessed>08</b:DayAccessed>
    <b:RefOrder>12</b:RefOrder>
  </b:Source>
  <b:Source>
    <b:Tag>Cos57</b:Tag>
    <b:SourceType>JournalArticle</b:SourceType>
    <b:Guid>{4A717C6E-CA5F-724F-8C5C-EC5DDAA9A440}</b:Guid>
    <b:Title>Social Conflict and the Theory of Social Change.</b:Title>
    <b:Year>1957</b:Year>
    <b:JournalName>The British Journal of Sociology</b:JournalName>
    <b:Volume>8</b:Volume>
    <b:Issue>3</b:Issue>
    <b:Pages>197-207</b:Pages>
    <b:Author>
      <b:Author>
        <b:NameList>
          <b:Person>
            <b:Last>Coser</b:Last>
            <b:Middle>A</b:Middle>
            <b:First>Lewis</b:First>
          </b:Person>
        </b:NameList>
      </b:Author>
    </b:Author>
    <b:RefOrder>13</b:RefOrder>
  </b:Source>
  <b:Source>
    <b:Tag>Lym64</b:Tag>
    <b:SourceType>JournalArticle</b:SourceType>
    <b:Guid>{0D946262-6FC7-5C4A-9D31-F5D0FA952086}</b:Guid>
    <b:Title>The Metropolitan Police Act of 1829: An Analysis of Certain Events Influencing the Passage and Character of the Metropolitan Police Act in England</b:Title>
    <b:JournalName>The Journal of Criminal Law, Criminology, and Police Science</b:JournalName>
    <b:Year>1964</b:Year>
    <b:Volume>55</b:Volume>
    <b:Issue>1</b:Issue>
    <b:Pages>141-154</b:Pages>
    <b:Author>
      <b:Author>
        <b:NameList>
          <b:Person>
            <b:Last>Lyman</b:Last>
            <b:First>Jessica</b:First>
            <b:Middle>Lopez</b:Middle>
          </b:Person>
        </b:NameList>
      </b:Author>
    </b:Author>
    <b:RefOrder>14</b:RefOrder>
  </b:Source>
  <b:Source>
    <b:Tag>Lip18</b:Tag>
    <b:SourceType>DocumentFromInternetSite</b:SourceType>
    <b:Guid>{FEFA099A-B9D1-2644-B5D8-8A3EDBC61D05}</b:Guid>
    <b:Title>Effect of police stop and search powers on BAME communities</b:Title>
    <b:Year>2018</b:Year>
    <b:URL>https://commonslibrary.parliament.uk/research-briefings/cdp-2018-0125/</b:URL>
    <b:Month>05</b:Month>
    <b:Day>22</b:Day>
    <b:YearAccessed>2024</b:YearAccessed>
    <b:MonthAccessed>10</b:MonthAccessed>
    <b:DayAccessed>08</b:DayAccessed>
    <b:Author>
      <b:Author>
        <b:NameList>
          <b:Person>
            <b:Last>Lipscombe</b:Last>
            <b:First>Sally</b:First>
          </b:Person>
          <b:Person>
            <b:Last>Allen</b:Last>
            <b:First>Grahame</b:First>
          </b:Person>
          <b:Person>
            <b:Last>Zayed</b:Last>
            <b:First>Yago</b:First>
          </b:Person>
          <b:Person>
            <b:Last>Pepin</b:Last>
            <b:First>Sarah</b:First>
          </b:Person>
        </b:NameList>
      </b:Author>
    </b:Author>
    <b:RefOrder>15</b:RefOrder>
  </b:Source>
  <b:Source>
    <b:Tag>Rel24</b:Tag>
    <b:SourceType>Report</b:SourceType>
    <b:Guid>{F67565EC-2172-8845-9CD0-B60BC1C181BC}</b:Guid>
    <b:Title>The Numbers in Black And White: Ethnic Disparities In The Policing And Prosecution Of Drug Offences In England And Wales</b:Title>
    <b:Year>2024</b:Year>
    <b:Author>
      <b:Author>
        <b:Corporate>Release Legal Emergency &amp; Drugs Service</b:Corporate>
      </b:Author>
    </b:Author>
    <b:Publisher>Skylark</b:Publisher>
    <b:City>London</b:City>
    <b:RefOrder>16</b:RefOrder>
  </b:Source>
  <b:Source>
    <b:Tag>Car17</b:Tag>
    <b:SourceType>JournalArticle</b:SourceType>
    <b:Guid>{6B542B95-478F-724D-965D-72AEDB91711A}</b:Guid>
    <b:Title>The Lammy Review and race and bias in the criminal justice system</b:Title>
    <b:Year>2017</b:Year>
    <b:JournalName>Probation Journal</b:JournalName>
    <b:Volume>64</b:Volume>
    <b:Issue>4</b:Issue>
    <b:Author>
      <b:Author>
        <b:NameList>
          <b:Person>
            <b:Last>Carr</b:Last>
            <b:First>Nicola</b:First>
          </b:Person>
        </b:NameList>
      </b:Author>
    </b:Author>
    <b:RefOrder>17</b:RefOrder>
  </b:Source>
  <b:Source>
    <b:Tag>Off23</b:Tag>
    <b:SourceType>Report</b:SourceType>
    <b:Guid>{467FE1AB-B4A3-D64D-A8BF-E2966DFDBB35}</b:Guid>
    <b:Title> Surveillance Camera Commissioner Annual Report </b:Title>
    <b:Year>2023</b:Year>
    <b:Author>
      <b:Author>
        <b:Corporate>Office Of The Biometrics And Surveillance Camera Commissioner</b:Corporate>
      </b:Author>
    </b:Author>
    <b:Publisher>HH Associates</b:Publisher>
    <b:City>London</b:City>
    <b:RefOrder>18</b:RefOrder>
  </b:Source>
  <b:Source>
    <b:Tag>Cou19</b:Tag>
    <b:SourceType>InternetSite</b:SourceType>
    <b:Guid>{AC9CAEE0-EC84-DC4A-B7E6-FD8D6F2FF2D1}</b:Guid>
    <b:Title>LIBERTY’S BRIEFING ON POLICE USE OF LIVE FACIAL RECOGNITION TECHNOLOGY</b:Title>
    <b:Year>2019</b:Year>
    <b:URL>https://www.libertyhumanrights.org.uk/wp-content/uploads/2020/02/LIBERTYS-BRIEFING-ON-FACIAL-RECOGNITION-November-2019-CURRENT.pdf</b:URL>
    <b:YearAccessed>2024</b:YearAccessed>
    <b:MonthAccessed>10</b:MonthAccessed>
    <b:DayAccessed>08</b:DayAccessed>
    <b:Author>
      <b:Author>
        <b:NameList>
          <b:Person>
            <b:Last>Coughman</b:Last>
            <b:First>Hannah</b:First>
          </b:Person>
        </b:NameList>
      </b:Author>
    </b:Author>
    <b:RefOrder>19</b:RefOrder>
  </b:Source>
  <b:Source>
    <b:Tag>Lon15</b:Tag>
    <b:SourceType>Report</b:SourceType>
    <b:Guid>{2816D0A9-06EB-CD4E-AD60-4DFC7D887409}</b:Guid>
    <b:Title>Neighbourhood policing: Past, present and future</b:Title>
    <b:Publisher>The Policing Society</b:Publisher>
    <b:Year>2015</b:Year>
    <b:Author>
      <b:Author>
        <b:NameList>
          <b:Person>
            <b:Last>Longstaff</b:Last>
            <b:First>Abie</b:First>
          </b:Person>
          <b:Person>
            <b:Last>Willer</b:Last>
            <b:First>James</b:First>
          </b:Person>
          <b:Person>
            <b:Last>Chapman</b:Last>
            <b:First>John</b:First>
          </b:Person>
          <b:Person>
            <b:Last>Czarnomski</b:Last>
            <b:First>Sarah</b:First>
          </b:Person>
          <b:Person>
            <b:Last>Graham</b:Last>
            <b:First>John</b:First>
          </b:Person>
        </b:NameList>
      </b:Author>
    </b:Author>
    <b:RefOrder>20</b:RefOrder>
  </b:Source>
  <b:Source>
    <b:Tag>Col24</b:Tag>
    <b:SourceType>InternetSite</b:SourceType>
    <b:Guid>{9BA62492-1CE5-874B-B024-08212B241117}</b:Guid>
    <b:Title>Communication</b:Title>
    <b:Year>2024</b:Year>
    <b:URL>https://www.college.police.uk/app/engagement-and-communication/communication</b:URL>
    <b:YearAccessed>2024</b:YearAccessed>
    <b:MonthAccessed>10</b:MonthAccessed>
    <b:DayAccessed>22</b:DayAccessed>
    <b:Author>
      <b:Author>
        <b:Corporate>College Of Policing</b:Corporate>
      </b:Author>
    </b:Author>
    <b:RefOrder>21</b:RefOrder>
  </b:Source>
  <b:Source>
    <b:Tag>The231</b:Tag>
    <b:SourceType>InternetSite</b:SourceType>
    <b:Guid>{B9D1DA47-0F1B-C745-A320-862510214A4E}</b:Guid>
    <b:Author>
      <b:Author>
        <b:Corporate>The Office Of Biometrics And Surveillance Camera Commisioner's Office</b:Corporate>
      </b:Author>
    </b:Author>
    <b:Title>The Commissioner discusses the new era for live facial recognition after the Coronation</b:Title>
    <b:URL>https://videosurveillance.blog.gov.uk/2023/05/17/the-commissioner-discusses-the-new-era-for-live-facial-recognition-after-the-coronation/</b:URL>
    <b:Year>2023</b:Year>
    <b:YearAccessed>2024</b:YearAccessed>
    <b:MonthAccessed>10</b:MonthAccessed>
    <b:DayAccessed>27</b:DayAccessed>
    <b:RefOrder>22</b:RefOrder>
  </b:Source>
  <b:Source>
    <b:Tag>Fus19</b:Tag>
    <b:SourceType>Report</b:SourceType>
    <b:Guid>{5B90D0FF-B731-1E49-86BF-2BC3FAA0AA04}</b:Guid>
    <b:Title>Independent Report on the London Metropolitan Police Service’s Trial of Live Facial Recognition Technology</b:Title>
    <b:Year>2019</b:Year>
    <b:Publisher>Human Rights Centre</b:Publisher>
    <b:City>Essex</b:City>
    <b:Author>
      <b:Author>
        <b:NameList>
          <b:Person>
            <b:Last>Fussey</b:Last>
            <b:First>Pete</b:First>
          </b:Person>
          <b:Person>
            <b:Last>Murray</b:Last>
            <b:First>Daragh</b:First>
          </b:Person>
        </b:NameList>
      </b:Author>
    </b:Author>
    <b:RefOrder>23</b:RefOrder>
  </b:Source>
  <b:Source>
    <b:Tag>Big18</b:Tag>
    <b:SourceType>InternetSite</b:SourceType>
    <b:Guid>{4E13D560-6594-3044-8390-6E0E33D7E6AA}</b:Guid>
    <b:Title>The lawless growth of facial recognition in UK policing</b:Title>
    <b:Year>2018</b:Year>
    <b:Author>
      <b:Author>
        <b:Corporate>Big Brother Watch</b:Corporate>
      </b:Author>
    </b:Author>
    <b:URL>https://bigbrotherwatch.org.uk/wp-content/uploads/2018/05/Face-Off-final-digital-1.pdf</b:URL>
    <b:YearAccessed>2024</b:YearAccessed>
    <b:MonthAccessed>10</b:MonthAccessed>
    <b:DayAccessed>27</b:DayAccessed>
    <b:RefOrder>24</b:RefOrder>
  </b:Source>
  <b:Source>
    <b:Tag>Syn19</b:Tag>
    <b:SourceType>InternetSite</b:SourceType>
    <b:Guid>{6B00BFC3-6CCB-9940-A6B3-3B4FE078D597}</b:Guid>
    <b:Author>
      <b:Author>
        <b:Corporate>Synectics</b:Corporate>
      </b:Author>
    </b:Author>
    <b:Title>CCTV in the UK-What We Can Learn from Public Attitudes Towards Surveillance</b:Title>
    <b:URL>https://synecticsglobal.com/Content/Downloads/Synectics_PublicSpace-Whitepaper.pdf</b:URL>
    <b:Year>2019</b:Year>
    <b:YearAccessed>2024</b:YearAccessed>
    <b:MonthAccessed>10</b:MonthAccessed>
    <b:DayAccessed>27</b:DayAccessed>
    <b:RefOrder>25</b:RefOrder>
  </b:Source>
  <b:Source>
    <b:Tag>Goo04</b:Tag>
    <b:SourceType>Book</b:SourceType>
    <b:Guid>{F3498893-6E6F-AD42-B28F-E76B9991B610}</b:Guid>
    <b:Title>CCTV and Policing: Public Area Surveillance and Police Practices in Britain</b:Title>
    <b:Year>2004</b:Year>
    <b:City>Oxford</b:City>
    <b:Publisher>Oxford Academic</b:Publisher>
    <b:Edition>1</b:Edition>
    <b:Author>
      <b:Author>
        <b:NameList>
          <b:Person>
            <b:Last>Goold</b:Last>
            <b:First>Benjamin</b:First>
          </b:Person>
        </b:NameList>
      </b:Author>
    </b:Author>
    <b:RefOrder>6</b:RefOrder>
  </b:Source>
  <b:Source>
    <b:Tag>Coh85</b:Tag>
    <b:SourceType>Book</b:SourceType>
    <b:Guid>{05283D24-6D3A-5A43-9602-42CDF25042B0}</b:Guid>
    <b:Title>Visions of Social Control: Crime, Punishment and Classification.</b:Title>
    <b:City>Cambridge</b:City>
    <b:Publisher>Polity Press</b:Publisher>
    <b:Year>1985</b:Year>
    <b:Edition>1</b:Edition>
    <b:Author>
      <b:Author>
        <b:NameList>
          <b:Person>
            <b:Last>Cohen</b:Last>
            <b:First>Stanley</b:First>
          </b:Person>
        </b:NameList>
      </b:Author>
    </b:Author>
    <b:RefOrder>26</b:RefOrder>
  </b:Source>
  <b:Source>
    <b:Tag>Mar48</b:Tag>
    <b:SourceType>Book</b:SourceType>
    <b:Guid>{4D9426AD-CBD1-F64F-A5FC-FDAC0C25E055}</b:Guid>
    <b:Author>
      <b:Author>
        <b:NameList>
          <b:Person>
            <b:Last>Marx</b:Last>
            <b:First>Karl</b:First>
          </b:Person>
          <b:Person>
            <b:Last>Engels</b:Last>
            <b:First>Friedrich</b:First>
          </b:Person>
        </b:NameList>
      </b:Author>
    </b:Author>
    <b:Title>The Communist Manifesto</b:Title>
    <b:City>London</b:City>
    <b:Publisher>Penguin Classics</b:Publisher>
    <b:Year>1848</b:Year>
    <b:Edition>1</b:Edition>
    <b:RefOrder>5</b:RefOrder>
  </b:Source>
  <b:Source>
    <b:Tag>Hou22</b:Tag>
    <b:SourceType>InternetSite</b:SourceType>
    <b:Guid>{4EEAEDA5-5FAD-9042-8E09-A2FFD99587CD}</b:Guid>
    <b:Title>Police powers: stop and search</b:Title>
    <b:Year>2022</b:Year>
    <b:Author>
      <b:Author>
        <b:Corporate>House Of Commons, UK.</b:Corporate>
      </b:Author>
    </b:Author>
    <b:URL>https://commonslibrary.parliament.uk/research-briefings/sn03878/</b:URL>
    <b:YearAccessed>2024</b:YearAccessed>
    <b:MonthAccessed>10</b:MonthAccessed>
    <b:DayAccessed>28</b:DayAccessed>
    <b:RefOrder>27</b:RefOrder>
  </b:Source>
  <b:Source>
    <b:Tag>Eve14</b:Tag>
    <b:SourceType>Book</b:SourceType>
    <b:Guid>{88A68B04-8AD0-2A49-B8CE-F9CE857B5ED0}</b:Guid>
    <b:Title>Encyclopedia of Community Policing and Problem Solving</b:Title>
    <b:Year>2014</b:Year>
    <b:City>Thousand Oaks</b:City>
    <b:Publisher>SAGE</b:Publisher>
    <b:Author>
      <b:Author>
        <b:NameList>
          <b:Person>
            <b:Last>Everett</b:Last>
            <b:First>Pamela</b:First>
          </b:Person>
        </b:NameList>
      </b:Author>
    </b:Author>
    <b:RefOrder>28</b:RefOrder>
  </b:Source>
  <b:Source>
    <b:Tag>Equ10</b:Tag>
    <b:SourceType>InternetSite</b:SourceType>
    <b:Guid>{913F88D4-1C13-4B41-9AB5-D52AE17FD272}</b:Guid>
    <b:Author>
      <b:Author>
        <b:Corporate>Equality and Human Rights Commission</b:Corporate>
      </b:Author>
    </b:Author>
    <b:Title>A critical review of the use of stop and search powers in England and Wales</b:Title>
    <b:Year>2010</b:Year>
    <b:URL>https://www.equalityhumanrights.com/sites/default/files/ehrc_stop_and_search_report.pdf</b:URL>
    <b:YearAccessed>2024</b:YearAccessed>
    <b:MonthAccessed>10</b:MonthAccessed>
    <b:DayAccessed>29</b:DayAccessed>
    <b:RefOrder>29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4E2D05-B261-FC43-8E88-CDCCC5CC47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394</TotalTime>
  <Pages>10</Pages>
  <Words>2841</Words>
  <Characters>16198</Characters>
  <Application>Microsoft Office Word</Application>
  <DocSecurity>0</DocSecurity>
  <Lines>134</Lines>
  <Paragraphs>38</Paragraphs>
  <ScaleCrop>false</ScaleCrop>
  <HeadingPairs>
    <vt:vector size="2" baseType="variant">
      <vt:variant>
        <vt:lpstr>Title</vt:lpstr>
      </vt:variant>
      <vt:variant>
        <vt:i4>1</vt:i4>
      </vt:variant>
    </vt:vector>
  </HeadingPairs>
  <TitlesOfParts>
    <vt:vector size="1" baseType="lpstr">
      <vt:lpstr/>
    </vt:vector>
  </TitlesOfParts>
  <Company>2309644</Company>
  <LinksUpToDate>false</LinksUpToDate>
  <CharactersWithSpaces>19001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government control vs policing by consent</dc:title>
  <dc:subject>BMCP5005</dc:subject>
  <dc:creator>Leah Thomas</dc:creator>
  <cp:keywords/>
  <dc:description/>
  <cp:lastModifiedBy>Leah Thomas</cp:lastModifiedBy>
  <cp:revision>45</cp:revision>
  <dcterms:created xsi:type="dcterms:W3CDTF">2024-10-08T08:31:00Z</dcterms:created>
  <dcterms:modified xsi:type="dcterms:W3CDTF">2024-11-05T15:42:00Z</dcterms:modified>
</cp:coreProperties>
</file>