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5AC29" w14:textId="1E3F2FFE" w:rsidR="0099662C" w:rsidRDefault="007F0A07" w:rsidP="001B6AE4">
      <w:pPr>
        <w:pStyle w:val="NormalWeb"/>
        <w:jc w:val="center"/>
        <w:rPr>
          <w:rFonts w:asciiTheme="majorHAnsi" w:hAnsiTheme="majorHAnsi"/>
          <w:b/>
          <w:bCs/>
          <w:color w:val="000000"/>
          <w:sz w:val="32"/>
          <w:szCs w:val="32"/>
          <w:u w:val="single"/>
        </w:rPr>
      </w:pPr>
      <w:r w:rsidRPr="00607BCD">
        <w:rPr>
          <w:rFonts w:asciiTheme="majorHAnsi" w:hAnsiTheme="majorHAnsi"/>
          <w:b/>
          <w:bCs/>
          <w:color w:val="000000"/>
          <w:sz w:val="32"/>
          <w:szCs w:val="32"/>
          <w:u w:val="single"/>
        </w:rPr>
        <w:t>Critical</w:t>
      </w:r>
      <w:r w:rsidR="009D3382">
        <w:rPr>
          <w:rFonts w:asciiTheme="majorHAnsi" w:hAnsiTheme="majorHAnsi"/>
          <w:b/>
          <w:bCs/>
          <w:color w:val="000000"/>
          <w:sz w:val="32"/>
          <w:szCs w:val="32"/>
          <w:u w:val="single"/>
        </w:rPr>
        <w:t xml:space="preserve"> Reflection </w:t>
      </w:r>
      <w:r w:rsidR="001B6AE4">
        <w:rPr>
          <w:rFonts w:asciiTheme="majorHAnsi" w:hAnsiTheme="majorHAnsi"/>
          <w:b/>
          <w:bCs/>
          <w:color w:val="000000"/>
          <w:sz w:val="32"/>
          <w:szCs w:val="32"/>
          <w:u w:val="single"/>
        </w:rPr>
        <w:t>on</w:t>
      </w:r>
      <w:r w:rsidR="009D3382">
        <w:rPr>
          <w:rFonts w:asciiTheme="majorHAnsi" w:hAnsiTheme="majorHAnsi"/>
          <w:b/>
          <w:bCs/>
          <w:color w:val="000000"/>
          <w:sz w:val="32"/>
          <w:szCs w:val="32"/>
          <w:u w:val="single"/>
        </w:rPr>
        <w:t xml:space="preserve"> </w:t>
      </w:r>
      <w:r w:rsidRPr="00607BCD">
        <w:rPr>
          <w:rFonts w:asciiTheme="majorHAnsi" w:hAnsiTheme="majorHAnsi"/>
          <w:b/>
          <w:bCs/>
          <w:color w:val="000000"/>
          <w:sz w:val="32"/>
          <w:szCs w:val="32"/>
          <w:u w:val="single"/>
        </w:rPr>
        <w:t>Quality Assurance Beyond Statutory Requirements in Early Years Settings</w:t>
      </w:r>
      <w:r w:rsidR="00607BCD" w:rsidRPr="00607BCD">
        <w:rPr>
          <w:rFonts w:asciiTheme="majorHAnsi" w:hAnsiTheme="majorHAnsi"/>
          <w:b/>
          <w:bCs/>
          <w:color w:val="000000"/>
          <w:sz w:val="32"/>
          <w:szCs w:val="32"/>
          <w:u w:val="single"/>
        </w:rPr>
        <w:t>.</w:t>
      </w:r>
    </w:p>
    <w:p w14:paraId="7EF1D1DB" w14:textId="77777777" w:rsidR="001B6AE4" w:rsidRPr="001B6AE4" w:rsidRDefault="001B6AE4" w:rsidP="001B6AE4">
      <w:pPr>
        <w:pStyle w:val="NormalWeb"/>
        <w:jc w:val="center"/>
        <w:rPr>
          <w:rFonts w:asciiTheme="majorHAnsi" w:hAnsiTheme="majorHAnsi"/>
          <w:b/>
          <w:bCs/>
          <w:color w:val="000000"/>
          <w:sz w:val="32"/>
          <w:szCs w:val="32"/>
          <w:u w:val="single"/>
        </w:rPr>
      </w:pPr>
    </w:p>
    <w:p w14:paraId="6EBA120F" w14:textId="4B318E7A"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Early childhood education and care (ECEC) quality is a complex topic that is influenced by professional values, research, and legislation. It encompasses </w:t>
      </w:r>
      <w:r w:rsidR="00607BCD" w:rsidRPr="001B6AE4">
        <w:rPr>
          <w:rFonts w:asciiTheme="minorHAnsi" w:hAnsiTheme="minorHAnsi"/>
          <w:color w:val="000000"/>
        </w:rPr>
        <w:t>children’s</w:t>
      </w:r>
      <w:r w:rsidRPr="001B6AE4">
        <w:rPr>
          <w:rFonts w:asciiTheme="minorHAnsi" w:hAnsiTheme="minorHAnsi"/>
          <w:color w:val="000000"/>
        </w:rPr>
        <w:t xml:space="preserve"> experiences, such as the quality of relationships, emotional well-being, and learning opportunities, and goes beyond quantifiable structural indicators, including staff credentials and ratios (Sylva </w:t>
      </w:r>
      <w:r w:rsidRPr="001B6AE4">
        <w:rPr>
          <w:rFonts w:asciiTheme="minorHAnsi" w:hAnsiTheme="minorHAnsi"/>
          <w:i/>
          <w:iCs/>
          <w:color w:val="000000"/>
        </w:rPr>
        <w:t>et al</w:t>
      </w:r>
      <w:r w:rsidRPr="001B6AE4">
        <w:rPr>
          <w:rFonts w:asciiTheme="minorHAnsi" w:hAnsiTheme="minorHAnsi"/>
          <w:color w:val="000000"/>
        </w:rPr>
        <w:t>., 2018; Slot, 2018). Even if statutory organisations such as Ofsted and Care Inspectorate Wales set basic requirements through regulation and inspection, these frameworks alone are not enough to guarantee consistently high-quality service (Ofsted, 2023; OECD, 2020).</w:t>
      </w:r>
    </w:p>
    <w:p w14:paraId="7353B664" w14:textId="21EA6F1A"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Early childhood research has demonstrated the significance of quality. Improved cognitive, social, and emotional outcomes are closely linked to high-quality care, especially for children from disadvantaged homes (Melhuish </w:t>
      </w:r>
      <w:r w:rsidRPr="001B6AE4">
        <w:rPr>
          <w:rFonts w:asciiTheme="minorHAnsi" w:hAnsiTheme="minorHAnsi"/>
          <w:i/>
          <w:iCs/>
          <w:color w:val="000000"/>
        </w:rPr>
        <w:t>et al</w:t>
      </w:r>
      <w:r w:rsidRPr="001B6AE4">
        <w:rPr>
          <w:rFonts w:asciiTheme="minorHAnsi" w:hAnsiTheme="minorHAnsi"/>
          <w:color w:val="000000"/>
        </w:rPr>
        <w:t xml:space="preserve">., 2015; OECD, 2022; Anders, 2015). The quality of early education has long-term effects on achievement and life opportunities, according to studies like the Effective Provision of Pre-School Education (EPPE) and the Study of Early Education and Development (SEED) (Department for Education, 2021; Sylva </w:t>
      </w:r>
      <w:r w:rsidRPr="001B6AE4">
        <w:rPr>
          <w:rFonts w:asciiTheme="minorHAnsi" w:hAnsiTheme="minorHAnsi"/>
          <w:i/>
          <w:iCs/>
          <w:color w:val="000000"/>
        </w:rPr>
        <w:t>et al</w:t>
      </w:r>
      <w:r w:rsidRPr="001B6AE4">
        <w:rPr>
          <w:rFonts w:asciiTheme="minorHAnsi" w:hAnsiTheme="minorHAnsi"/>
          <w:color w:val="000000"/>
        </w:rPr>
        <w:t xml:space="preserve">., 2018; Pascal </w:t>
      </w:r>
      <w:r w:rsidRPr="001B6AE4">
        <w:rPr>
          <w:rFonts w:asciiTheme="minorHAnsi" w:hAnsiTheme="minorHAnsi"/>
          <w:i/>
          <w:iCs/>
          <w:color w:val="000000"/>
        </w:rPr>
        <w:t>et al</w:t>
      </w:r>
      <w:r w:rsidRPr="001B6AE4">
        <w:rPr>
          <w:rFonts w:asciiTheme="minorHAnsi" w:hAnsiTheme="minorHAnsi"/>
          <w:color w:val="000000"/>
        </w:rPr>
        <w:t xml:space="preserve">., 2019). This shows that access to high-quality early childhood services is not only beneficial but also necessary </w:t>
      </w:r>
      <w:r w:rsidRPr="001B6AE4">
        <w:rPr>
          <w:rFonts w:asciiTheme="minorHAnsi" w:hAnsiTheme="minorHAnsi"/>
          <w:color w:val="000000"/>
        </w:rPr>
        <w:t>to</w:t>
      </w:r>
      <w:r w:rsidRPr="001B6AE4">
        <w:rPr>
          <w:rFonts w:asciiTheme="minorHAnsi" w:hAnsiTheme="minorHAnsi"/>
          <w:color w:val="000000"/>
        </w:rPr>
        <w:t xml:space="preserve"> advanc</w:t>
      </w:r>
      <w:r w:rsidRPr="001B6AE4">
        <w:rPr>
          <w:rFonts w:asciiTheme="minorHAnsi" w:hAnsiTheme="minorHAnsi"/>
          <w:color w:val="000000"/>
        </w:rPr>
        <w:t>e</w:t>
      </w:r>
      <w:r w:rsidRPr="001B6AE4">
        <w:rPr>
          <w:rFonts w:asciiTheme="minorHAnsi" w:hAnsiTheme="minorHAnsi"/>
          <w:color w:val="000000"/>
        </w:rPr>
        <w:t xml:space="preserve"> fairness and foster children's growth.</w:t>
      </w:r>
    </w:p>
    <w:p w14:paraId="4066DE2B" w14:textId="378FB8AF"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However, statutory inspection systems typically place more emphasis on accountability and compliance than on ongoing development. Periodic inspections might not adequately reflect children's daily experiences or the changing nature of practice (OECD, 2020; Ball, 2013). As a result, more quality assurance techniques that provide continuous introspection and improvement are required. The Early Childhood Environment Rating Scale (ECERS) and the National Day Nurseries Association (NDNA) Quality Counts scheme are two such techniques that are examined critically in this </w:t>
      </w:r>
      <w:r w:rsidRPr="001B6AE4">
        <w:rPr>
          <w:rFonts w:asciiTheme="minorHAnsi" w:hAnsiTheme="minorHAnsi"/>
          <w:color w:val="000000"/>
        </w:rPr>
        <w:lastRenderedPageBreak/>
        <w:t>essay. It considers the role of leadership in integrating various techniques and assesses their efficacy in fostering excellence beyond legal standards.</w:t>
      </w:r>
    </w:p>
    <w:p w14:paraId="4565FFB2" w14:textId="33A3DF22" w:rsidR="0099662C" w:rsidRPr="001B6AE4" w:rsidRDefault="0099662C" w:rsidP="001B6AE4">
      <w:pPr>
        <w:pStyle w:val="Heading3"/>
        <w:spacing w:line="360" w:lineRule="auto"/>
        <w:rPr>
          <w:rFonts w:asciiTheme="minorHAnsi" w:hAnsiTheme="minorHAnsi"/>
          <w:color w:val="000000"/>
          <w:u w:val="single"/>
        </w:rPr>
      </w:pPr>
      <w:r w:rsidRPr="001B6AE4">
        <w:rPr>
          <w:rFonts w:asciiTheme="minorHAnsi" w:hAnsiTheme="minorHAnsi"/>
          <w:color w:val="000000"/>
          <w:u w:val="single"/>
        </w:rPr>
        <w:t>Quality in Early Years</w:t>
      </w:r>
    </w:p>
    <w:p w14:paraId="750F34F7"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Quality in early childhood education is not simply defined and is shaped by cultural, political, and theoretical viewpoints. Moss (2016) and Dahlberg (2013) argue that quality is a socially created concept influenced by attitudes and beliefs about children and education. This calls into question the notion that standardised metrics can fully capture quality and emphasises the significance of critical reflection when evaluating quality assurance instruments (Urban </w:t>
      </w:r>
      <w:r w:rsidRPr="001B6AE4">
        <w:rPr>
          <w:rFonts w:asciiTheme="minorHAnsi" w:hAnsiTheme="minorHAnsi"/>
          <w:i/>
          <w:iCs/>
          <w:color w:val="000000"/>
        </w:rPr>
        <w:t>et al</w:t>
      </w:r>
      <w:r w:rsidRPr="001B6AE4">
        <w:rPr>
          <w:rFonts w:asciiTheme="minorHAnsi" w:hAnsiTheme="minorHAnsi"/>
          <w:color w:val="000000"/>
        </w:rPr>
        <w:t>., 2019; Penn, 2011).</w:t>
      </w:r>
    </w:p>
    <w:p w14:paraId="636FD7BF" w14:textId="0DCF69C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Quality can also be understood through a systems perspective, where it is not located solely within individual settings but across interconnected structures, including workforce conditions, governance, and policy frameworks (Urban </w:t>
      </w:r>
      <w:r w:rsidRPr="001B6AE4">
        <w:rPr>
          <w:rFonts w:asciiTheme="minorHAnsi" w:hAnsiTheme="minorHAnsi"/>
          <w:i/>
          <w:iCs/>
          <w:color w:val="000000"/>
        </w:rPr>
        <w:t>et al</w:t>
      </w:r>
      <w:r w:rsidRPr="001B6AE4">
        <w:rPr>
          <w:rFonts w:asciiTheme="minorHAnsi" w:hAnsiTheme="minorHAnsi"/>
          <w:color w:val="000000"/>
        </w:rPr>
        <w:t>., 2019). This broader view highlights that quality is influenced by factors beyond practitioners’ immediate control, such as funding constraints and workforce stability. Consequently, attempts to measure quality through isolated tools may overlook the systemic conditions that shape practice</w:t>
      </w:r>
      <w:r w:rsidR="00415A5A" w:rsidRPr="001B6AE4">
        <w:rPr>
          <w:rFonts w:asciiTheme="minorHAnsi" w:hAnsiTheme="minorHAnsi"/>
          <w:color w:val="000000"/>
        </w:rPr>
        <w:t xml:space="preserve"> (Urban </w:t>
      </w:r>
      <w:r w:rsidR="00415A5A" w:rsidRPr="001B6AE4">
        <w:rPr>
          <w:rFonts w:asciiTheme="minorHAnsi" w:hAnsiTheme="minorHAnsi"/>
          <w:i/>
          <w:iCs/>
          <w:color w:val="000000"/>
        </w:rPr>
        <w:t>et al</w:t>
      </w:r>
      <w:r w:rsidR="00415A5A" w:rsidRPr="001B6AE4">
        <w:rPr>
          <w:rFonts w:asciiTheme="minorHAnsi" w:hAnsiTheme="minorHAnsi"/>
          <w:color w:val="000000"/>
        </w:rPr>
        <w:t>,2019).</w:t>
      </w:r>
    </w:p>
    <w:p w14:paraId="54B4A981" w14:textId="0A4A402F"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Furthermore, there is increasing recognition that quality should be viewed from the perspective of children themselves. Traditional measures often prioritise adult-defined outcomes, whereas approaches such as the Mosaic method emphasise </w:t>
      </w:r>
      <w:r w:rsidR="001B6AE4" w:rsidRPr="001B6AE4">
        <w:rPr>
          <w:rFonts w:asciiTheme="minorHAnsi" w:hAnsiTheme="minorHAnsi"/>
          <w:color w:val="000000"/>
        </w:rPr>
        <w:t>children</w:t>
      </w:r>
      <w:r w:rsidRPr="001B6AE4">
        <w:rPr>
          <w:rFonts w:asciiTheme="minorHAnsi" w:hAnsiTheme="minorHAnsi"/>
          <w:color w:val="000000"/>
        </w:rPr>
        <w:t xml:space="preserve"> lived experiences and participation (Clark, 2017). This raises important questions about whose voices are privileged in quality assurance processes and whether current approaches adequately reflect children’s rights and agency.</w:t>
      </w:r>
    </w:p>
    <w:p w14:paraId="31D7A204"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Regardless of these arguments, there is widespread consensus that quality is critical for children's development. Research repeatedly shows that process quality, particularly the quality of adult-child interactions, is the most important element impacting outcomes (Siraj </w:t>
      </w:r>
      <w:r w:rsidRPr="001B6AE4">
        <w:rPr>
          <w:rFonts w:asciiTheme="minorHAnsi" w:hAnsiTheme="minorHAnsi"/>
          <w:i/>
          <w:iCs/>
          <w:color w:val="000000"/>
        </w:rPr>
        <w:t>et al</w:t>
      </w:r>
      <w:r w:rsidRPr="001B6AE4">
        <w:rPr>
          <w:rFonts w:asciiTheme="minorHAnsi" w:hAnsiTheme="minorHAnsi"/>
          <w:color w:val="000000"/>
        </w:rPr>
        <w:t xml:space="preserve">., 2015; Slot, 2018; Hamre </w:t>
      </w:r>
      <w:r w:rsidRPr="001B6AE4">
        <w:rPr>
          <w:rFonts w:asciiTheme="minorHAnsi" w:hAnsiTheme="minorHAnsi"/>
          <w:i/>
          <w:iCs/>
          <w:color w:val="000000"/>
        </w:rPr>
        <w:t>et al</w:t>
      </w:r>
      <w:r w:rsidRPr="001B6AE4">
        <w:rPr>
          <w:rFonts w:asciiTheme="minorHAnsi" w:hAnsiTheme="minorHAnsi"/>
          <w:color w:val="000000"/>
        </w:rPr>
        <w:t xml:space="preserve">., 2014; Pianta </w:t>
      </w:r>
      <w:r w:rsidRPr="001B6AE4">
        <w:rPr>
          <w:rFonts w:asciiTheme="minorHAnsi" w:hAnsiTheme="minorHAnsi"/>
          <w:i/>
          <w:iCs/>
          <w:color w:val="000000"/>
        </w:rPr>
        <w:t>et al</w:t>
      </w:r>
      <w:r w:rsidRPr="001B6AE4">
        <w:rPr>
          <w:rFonts w:asciiTheme="minorHAnsi" w:hAnsiTheme="minorHAnsi"/>
          <w:color w:val="000000"/>
        </w:rPr>
        <w:t xml:space="preserve">., </w:t>
      </w:r>
      <w:r w:rsidRPr="001B6AE4">
        <w:rPr>
          <w:rFonts w:asciiTheme="minorHAnsi" w:hAnsiTheme="minorHAnsi"/>
          <w:color w:val="000000"/>
        </w:rPr>
        <w:lastRenderedPageBreak/>
        <w:t>2016). Sustained shared thinking, emotional support, and responsive pedagogy are essential components of good early years practice.</w:t>
      </w:r>
    </w:p>
    <w:p w14:paraId="1DF86A52" w14:textId="4783363B"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Statutory frameworks frequently emphasise structural quality, such as regulatory compliance, which may fail to effectively capture relational characteristics. This creates a gap that other quality assurance methods attempt to fill. However, these strategies must be closely assessed to ensure that they </w:t>
      </w:r>
      <w:r w:rsidR="00607BCD" w:rsidRPr="001B6AE4">
        <w:rPr>
          <w:rFonts w:asciiTheme="minorHAnsi" w:hAnsiTheme="minorHAnsi"/>
          <w:color w:val="000000"/>
        </w:rPr>
        <w:t>improve</w:t>
      </w:r>
      <w:r w:rsidRPr="001B6AE4">
        <w:rPr>
          <w:rFonts w:asciiTheme="minorHAnsi" w:hAnsiTheme="minorHAnsi"/>
          <w:color w:val="000000"/>
        </w:rPr>
        <w:t xml:space="preserve"> practice rather than simply reinforcing compliance</w:t>
      </w:r>
      <w:r w:rsidR="00BB7070" w:rsidRPr="001B6AE4">
        <w:rPr>
          <w:rFonts w:asciiTheme="minorHAnsi" w:hAnsiTheme="minorHAnsi"/>
          <w:color w:val="000000"/>
        </w:rPr>
        <w:t xml:space="preserve"> (Planta </w:t>
      </w:r>
      <w:r w:rsidR="00BB7070" w:rsidRPr="001B6AE4">
        <w:rPr>
          <w:rFonts w:asciiTheme="minorHAnsi" w:hAnsiTheme="minorHAnsi"/>
          <w:i/>
          <w:iCs/>
          <w:color w:val="000000"/>
        </w:rPr>
        <w:t>et al</w:t>
      </w:r>
      <w:r w:rsidR="00BB7070" w:rsidRPr="001B6AE4">
        <w:rPr>
          <w:rFonts w:asciiTheme="minorHAnsi" w:hAnsiTheme="minorHAnsi"/>
          <w:color w:val="000000"/>
        </w:rPr>
        <w:t xml:space="preserve">,2016 and </w:t>
      </w:r>
      <w:r w:rsidR="001040EA" w:rsidRPr="001B6AE4">
        <w:rPr>
          <w:rFonts w:asciiTheme="minorHAnsi" w:hAnsiTheme="minorHAnsi"/>
          <w:color w:val="000000"/>
        </w:rPr>
        <w:t xml:space="preserve">Hamre </w:t>
      </w:r>
      <w:r w:rsidR="001040EA" w:rsidRPr="001B6AE4">
        <w:rPr>
          <w:rFonts w:asciiTheme="minorHAnsi" w:hAnsiTheme="minorHAnsi"/>
          <w:i/>
          <w:iCs/>
          <w:color w:val="000000"/>
        </w:rPr>
        <w:t>et a</w:t>
      </w:r>
      <w:r w:rsidR="004D4C50" w:rsidRPr="001B6AE4">
        <w:rPr>
          <w:rFonts w:asciiTheme="minorHAnsi" w:hAnsiTheme="minorHAnsi"/>
          <w:i/>
          <w:iCs/>
          <w:color w:val="000000"/>
        </w:rPr>
        <w:t>l</w:t>
      </w:r>
      <w:r w:rsidR="001040EA" w:rsidRPr="001B6AE4">
        <w:rPr>
          <w:rFonts w:asciiTheme="minorHAnsi" w:hAnsiTheme="minorHAnsi"/>
          <w:color w:val="000000"/>
        </w:rPr>
        <w:t>,2014</w:t>
      </w:r>
      <w:r w:rsidR="00BB7070" w:rsidRPr="001B6AE4">
        <w:rPr>
          <w:rFonts w:asciiTheme="minorHAnsi" w:hAnsiTheme="minorHAnsi"/>
          <w:color w:val="000000"/>
        </w:rPr>
        <w:t>)</w:t>
      </w:r>
    </w:p>
    <w:p w14:paraId="5E1394D8" w14:textId="77777777" w:rsidR="0099662C" w:rsidRPr="001B6AE4" w:rsidRDefault="0099662C" w:rsidP="001B6AE4">
      <w:pPr>
        <w:pStyle w:val="Heading3"/>
        <w:spacing w:line="360" w:lineRule="auto"/>
        <w:rPr>
          <w:rFonts w:asciiTheme="minorHAnsi" w:hAnsiTheme="minorHAnsi"/>
          <w:color w:val="000000"/>
          <w:u w:val="single"/>
        </w:rPr>
      </w:pPr>
      <w:r w:rsidRPr="001B6AE4">
        <w:rPr>
          <w:rFonts w:asciiTheme="minorHAnsi" w:hAnsiTheme="minorHAnsi"/>
          <w:color w:val="000000"/>
          <w:u w:val="single"/>
        </w:rPr>
        <w:t>Critical Analysis of ECERS</w:t>
      </w:r>
    </w:p>
    <w:p w14:paraId="30420021"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The Early Childhood Environment Rating Scale (ECERS) is a commonly used observational technique for evaluating the quality of early childhood settings. It assesses various dimensions, such as space, resources, interactions, and learning opportunities, and provides a formal framework for evaluating provision (Harms </w:t>
      </w:r>
      <w:r w:rsidRPr="001B6AE4">
        <w:rPr>
          <w:rFonts w:asciiTheme="minorHAnsi" w:hAnsiTheme="minorHAnsi"/>
          <w:i/>
          <w:iCs/>
          <w:color w:val="000000"/>
        </w:rPr>
        <w:t>et al</w:t>
      </w:r>
      <w:r w:rsidRPr="001B6AE4">
        <w:rPr>
          <w:rFonts w:asciiTheme="minorHAnsi" w:hAnsiTheme="minorHAnsi"/>
          <w:color w:val="000000"/>
        </w:rPr>
        <w:t xml:space="preserve">., 2015; Clifford </w:t>
      </w:r>
      <w:r w:rsidRPr="001B6AE4">
        <w:rPr>
          <w:rFonts w:asciiTheme="minorHAnsi" w:hAnsiTheme="minorHAnsi"/>
          <w:i/>
          <w:iCs/>
          <w:color w:val="000000"/>
        </w:rPr>
        <w:t>et al</w:t>
      </w:r>
      <w:r w:rsidRPr="001B6AE4">
        <w:rPr>
          <w:rFonts w:asciiTheme="minorHAnsi" w:hAnsiTheme="minorHAnsi"/>
          <w:color w:val="000000"/>
        </w:rPr>
        <w:t>., 2017).</w:t>
      </w:r>
    </w:p>
    <w:p w14:paraId="6F0BCDC6"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One of ECERS' main assets is its standardisation and objectivity. It allows settings to provide quantitative data that can be used to compare performance and highlight areas for improvement (Slot, 2018; Clifford </w:t>
      </w:r>
      <w:r w:rsidRPr="001B6AE4">
        <w:rPr>
          <w:rFonts w:asciiTheme="minorHAnsi" w:hAnsiTheme="minorHAnsi"/>
          <w:i/>
          <w:iCs/>
          <w:color w:val="000000"/>
        </w:rPr>
        <w:t>et al</w:t>
      </w:r>
      <w:r w:rsidRPr="001B6AE4">
        <w:rPr>
          <w:rFonts w:asciiTheme="minorHAnsi" w:hAnsiTheme="minorHAnsi"/>
          <w:color w:val="000000"/>
        </w:rPr>
        <w:t>., 2017). This is especially useful for leaders since it provides concrete evidence to help with decision-making and quality improvement measures.</w:t>
      </w:r>
    </w:p>
    <w:p w14:paraId="32E21253" w14:textId="1D0EE3DA"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ECERS also agrees with studies that emphasise the relevance of process quality. The emphasis on interactions and learning experiences pushes practitioners to consider their teaching techniques (Siraj </w:t>
      </w:r>
      <w:r w:rsidRPr="001B6AE4">
        <w:rPr>
          <w:rFonts w:asciiTheme="minorHAnsi" w:hAnsiTheme="minorHAnsi"/>
          <w:i/>
          <w:iCs/>
          <w:color w:val="000000"/>
        </w:rPr>
        <w:t>et al</w:t>
      </w:r>
      <w:r w:rsidRPr="001B6AE4">
        <w:rPr>
          <w:rFonts w:asciiTheme="minorHAnsi" w:hAnsiTheme="minorHAnsi"/>
          <w:color w:val="000000"/>
        </w:rPr>
        <w:t>., 20</w:t>
      </w:r>
      <w:r w:rsidR="00B07634">
        <w:rPr>
          <w:rFonts w:asciiTheme="minorHAnsi" w:hAnsiTheme="minorHAnsi"/>
          <w:color w:val="000000"/>
        </w:rPr>
        <w:t>15</w:t>
      </w:r>
      <w:r w:rsidRPr="001B6AE4">
        <w:rPr>
          <w:rFonts w:asciiTheme="minorHAnsi" w:hAnsiTheme="minorHAnsi"/>
          <w:color w:val="000000"/>
        </w:rPr>
        <w:t xml:space="preserve">; Pianta </w:t>
      </w:r>
      <w:r w:rsidRPr="001B6AE4">
        <w:rPr>
          <w:rFonts w:asciiTheme="minorHAnsi" w:hAnsiTheme="minorHAnsi"/>
          <w:i/>
          <w:iCs/>
          <w:color w:val="000000"/>
        </w:rPr>
        <w:t>et al</w:t>
      </w:r>
      <w:r w:rsidRPr="001B6AE4">
        <w:rPr>
          <w:rFonts w:asciiTheme="minorHAnsi" w:hAnsiTheme="minorHAnsi"/>
          <w:color w:val="000000"/>
        </w:rPr>
        <w:t>., 2016). This can support targeted professional development, linking quality assurance to improved practice.</w:t>
      </w:r>
    </w:p>
    <w:p w14:paraId="25E5DB7C"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However, ECERS takes a scientific and reductionist approach to quality. Breaking down practice into measurable indicators risks simplifying complicated educational processes (Moss, 2016; Fenech, 2011). According to Sims and Waniganayake (2015), such approaches may stress what can be evaluated above what is meaningful, thus </w:t>
      </w:r>
      <w:r w:rsidRPr="001B6AE4">
        <w:rPr>
          <w:rFonts w:asciiTheme="minorHAnsi" w:hAnsiTheme="minorHAnsi"/>
          <w:color w:val="000000"/>
        </w:rPr>
        <w:lastRenderedPageBreak/>
        <w:t>marginalising characteristics such as children's emotional well-being and sense of belonging.</w:t>
      </w:r>
    </w:p>
    <w:p w14:paraId="7E21FC02"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Another limitation of ECERS is its cultural bias, as the tool is grounded in Western pedagogical assumptions about what constitutes quality practice. This raises concerns about its applicability across diverse contexts, where different cultural values may shape expectations of teaching, learning and child development (Fenech, 2011). As a result, settings serving diverse communities may be unfairly evaluated against criteria that do not fully reflect their pedagogical approaches.</w:t>
      </w:r>
    </w:p>
    <w:p w14:paraId="78CDE25E" w14:textId="7143E041"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Additionally, the use of rating scales can encourage a performative approach to practice, where practitioners focus on meeting observable indicators rather than engaging in meaningful interactions. This aligns with broader critiques of performativity in education, where the pressure to achieve measurable outcomes can distort practice (Ball, 2013). In this context, ECERS may inadvertently reinforce compliance-driven behaviours rather than fostering genuine quality improvement</w:t>
      </w:r>
      <w:r w:rsidR="00C54207" w:rsidRPr="001B6AE4">
        <w:rPr>
          <w:rFonts w:asciiTheme="minorHAnsi" w:hAnsiTheme="minorHAnsi"/>
          <w:color w:val="000000"/>
        </w:rPr>
        <w:t xml:space="preserve"> (Clark,2017).</w:t>
      </w:r>
    </w:p>
    <w:p w14:paraId="0D7223EB"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Furthermore, ECERS does not adequately capture the voices of children or families, limiting its ability to reflect diverse perspectives (Clark, 2017; Lundy, 2007). It also provides limited insight into leadership, organisational culture, and staff motivation, all of which are critical to sustaining quality.</w:t>
      </w:r>
    </w:p>
    <w:p w14:paraId="05AF2B90" w14:textId="213B05B0"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From a practical perspective, ECERS can be time-consuming and require training to ensure reliability. This may create barriers for settings with limited resources, raising concerns about accessibility and equity</w:t>
      </w:r>
      <w:r w:rsidR="00701C0D" w:rsidRPr="001B6AE4">
        <w:rPr>
          <w:rFonts w:asciiTheme="minorHAnsi" w:hAnsiTheme="minorHAnsi"/>
          <w:color w:val="000000"/>
        </w:rPr>
        <w:t xml:space="preserve"> (Richards,2022).</w:t>
      </w:r>
    </w:p>
    <w:p w14:paraId="2C26E597" w14:textId="77777777" w:rsidR="0099662C" w:rsidRPr="001B6AE4" w:rsidRDefault="0099662C" w:rsidP="001B6AE4">
      <w:pPr>
        <w:pStyle w:val="Heading3"/>
        <w:spacing w:line="360" w:lineRule="auto"/>
        <w:rPr>
          <w:rFonts w:asciiTheme="minorHAnsi" w:hAnsiTheme="minorHAnsi"/>
          <w:color w:val="000000"/>
          <w:u w:val="single"/>
        </w:rPr>
      </w:pPr>
      <w:r w:rsidRPr="001B6AE4">
        <w:rPr>
          <w:rFonts w:asciiTheme="minorHAnsi" w:hAnsiTheme="minorHAnsi"/>
          <w:color w:val="000000"/>
          <w:u w:val="single"/>
        </w:rPr>
        <w:t>Critical Analysis of NDNA</w:t>
      </w:r>
    </w:p>
    <w:p w14:paraId="6B42A71F"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In contrast, the NDNA Quality Counts initiative takes a more comprehensive and developmental approach to quality assurance. It combines self-evaluation, external validation, and continuous improvement planning, emphasising quality as a continual process rather than a static result (Campbell-Barr and Leeson, 2016; Douglass, 2019).</w:t>
      </w:r>
    </w:p>
    <w:p w14:paraId="77124539" w14:textId="2ADA97F3"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lastRenderedPageBreak/>
        <w:t>This approach's emphasis on leadership and organisational culture is a significant strength. The scheme encourages leaders to incorporate reflective practice into the workplace, establishing a culture of openness, collaboration, and continual development (Siraj-Blatchford and Manni, 20</w:t>
      </w:r>
      <w:r w:rsidR="00B32314">
        <w:rPr>
          <w:rFonts w:asciiTheme="minorHAnsi" w:hAnsiTheme="minorHAnsi"/>
          <w:color w:val="000000"/>
        </w:rPr>
        <w:t>07</w:t>
      </w:r>
      <w:r w:rsidRPr="001B6AE4">
        <w:rPr>
          <w:rFonts w:asciiTheme="minorHAnsi" w:hAnsiTheme="minorHAnsi"/>
          <w:color w:val="000000"/>
        </w:rPr>
        <w:t>; Heikka and Waniganayake, 2011). This underscores the argument that strong leadership is critical to sustaining quality in early childhood care.</w:t>
      </w:r>
    </w:p>
    <w:p w14:paraId="12F68A61" w14:textId="136EF353"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The NDNA framework also supports a broader understanding of quality, encompassing staff wellbeing, parental partnerships and professional development (Waniganayake </w:t>
      </w:r>
      <w:r w:rsidRPr="001B6AE4">
        <w:rPr>
          <w:rFonts w:asciiTheme="minorHAnsi" w:hAnsiTheme="minorHAnsi"/>
          <w:i/>
          <w:iCs/>
          <w:color w:val="000000"/>
        </w:rPr>
        <w:t>et al</w:t>
      </w:r>
      <w:r w:rsidRPr="001B6AE4">
        <w:rPr>
          <w:rFonts w:asciiTheme="minorHAnsi" w:hAnsiTheme="minorHAnsi"/>
          <w:color w:val="000000"/>
        </w:rPr>
        <w:t xml:space="preserve">., 2017; Sims </w:t>
      </w:r>
      <w:r w:rsidRPr="001B6AE4">
        <w:rPr>
          <w:rFonts w:asciiTheme="minorHAnsi" w:hAnsiTheme="minorHAnsi"/>
          <w:i/>
          <w:iCs/>
          <w:color w:val="000000"/>
        </w:rPr>
        <w:t>et al</w:t>
      </w:r>
      <w:r w:rsidRPr="001B6AE4">
        <w:rPr>
          <w:rFonts w:asciiTheme="minorHAnsi" w:hAnsiTheme="minorHAnsi"/>
          <w:color w:val="000000"/>
        </w:rPr>
        <w:t>., 2019). This aligns with contemporary policy priorities and recognises that multiple interconnected factors</w:t>
      </w:r>
      <w:r w:rsidR="0016156F" w:rsidRPr="001B6AE4">
        <w:rPr>
          <w:rFonts w:asciiTheme="minorHAnsi" w:hAnsiTheme="minorHAnsi"/>
          <w:color w:val="000000"/>
        </w:rPr>
        <w:t xml:space="preserve"> influence quality</w:t>
      </w:r>
      <w:r w:rsidRPr="001B6AE4">
        <w:rPr>
          <w:rFonts w:asciiTheme="minorHAnsi" w:hAnsiTheme="minorHAnsi"/>
          <w:color w:val="000000"/>
        </w:rPr>
        <w:t>.</w:t>
      </w:r>
    </w:p>
    <w:p w14:paraId="172769A8"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A further strength of the NDNA Quality Counts scheme is its emphasis on professional dialogue and collaborative learning. By engaging staff in reflective discussions, the approach supports the development of a shared understanding of quality within the setting. This aligns with research suggesting that collaborative professional learning is a key driver of sustained improvement in early years practice (Waniganayake </w:t>
      </w:r>
      <w:r w:rsidRPr="001B6AE4">
        <w:rPr>
          <w:rFonts w:asciiTheme="minorHAnsi" w:hAnsiTheme="minorHAnsi"/>
          <w:i/>
          <w:iCs/>
          <w:color w:val="000000"/>
        </w:rPr>
        <w:t>et al</w:t>
      </w:r>
      <w:r w:rsidRPr="001B6AE4">
        <w:rPr>
          <w:rFonts w:asciiTheme="minorHAnsi" w:hAnsiTheme="minorHAnsi"/>
          <w:color w:val="000000"/>
        </w:rPr>
        <w:t>., 2017).</w:t>
      </w:r>
    </w:p>
    <w:p w14:paraId="5E0D1145"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Additionally, the emphasis on continuous improvement enables settings to move beyond compliance and engage in meaningful development. Leaders are encouraged to analyse practice, implement changes, and evaluate their impact, promoting a cyclical approach to quality assurance (Schön, 1983; Eraut, 2004).</w:t>
      </w:r>
    </w:p>
    <w:p w14:paraId="365C6998" w14:textId="4B061161"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However, the effectiveness of this approach </w:t>
      </w:r>
      <w:r w:rsidR="007A0D63" w:rsidRPr="001B6AE4">
        <w:rPr>
          <w:rFonts w:asciiTheme="minorHAnsi" w:hAnsiTheme="minorHAnsi"/>
          <w:color w:val="000000"/>
        </w:rPr>
        <w:t>depends</w:t>
      </w:r>
      <w:r w:rsidRPr="001B6AE4">
        <w:rPr>
          <w:rFonts w:asciiTheme="minorHAnsi" w:hAnsiTheme="minorHAnsi"/>
          <w:color w:val="000000"/>
        </w:rPr>
        <w:t xml:space="preserve"> </w:t>
      </w:r>
      <w:r w:rsidR="007A0D63" w:rsidRPr="001B6AE4">
        <w:rPr>
          <w:rFonts w:asciiTheme="minorHAnsi" w:hAnsiTheme="minorHAnsi"/>
          <w:color w:val="000000"/>
        </w:rPr>
        <w:t>heavily</w:t>
      </w:r>
      <w:r w:rsidRPr="001B6AE4">
        <w:rPr>
          <w:rFonts w:asciiTheme="minorHAnsi" w:hAnsiTheme="minorHAnsi"/>
          <w:color w:val="000000"/>
        </w:rPr>
        <w:t xml:space="preserve"> on leadership capacity. Without skilled leadership to facilitate critical reflection, there is a risk that self-evaluation becomes routine rather than transformative. This highlights the importance of leadership development within the sector, as leaders must possess the skills to challenge practice, support staff, and drive meaningful change (Siraj-Blatchford and Manni, 2021).</w:t>
      </w:r>
    </w:p>
    <w:p w14:paraId="124BCAC8"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The NDNA scheme also has limitations. Its reliance on self-evaluation introduces potential bias, as practitioners may struggle to critically assess their own practice (Ball, </w:t>
      </w:r>
      <w:r w:rsidRPr="001B6AE4">
        <w:rPr>
          <w:rFonts w:asciiTheme="minorHAnsi" w:hAnsiTheme="minorHAnsi"/>
          <w:color w:val="000000"/>
        </w:rPr>
        <w:lastRenderedPageBreak/>
        <w:t>2013; Sims and Waniganayake, 2015). Without strong leadership, there is a risk that the process becomes superficial or overly focused on documentation.</w:t>
      </w:r>
    </w:p>
    <w:p w14:paraId="2ADEBD4D" w14:textId="4A34DDE3" w:rsidR="001E1246"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Cost is another significant consideration, as participation in quality assurance schemes may not be accessible to all settings. This raises important questions about equity and the distribution of resources within the sector</w:t>
      </w:r>
      <w:r w:rsidR="003D796D" w:rsidRPr="001B6AE4">
        <w:rPr>
          <w:rFonts w:asciiTheme="minorHAnsi" w:hAnsiTheme="minorHAnsi"/>
          <w:color w:val="000000"/>
        </w:rPr>
        <w:t xml:space="preserve"> (McDermott, 2013).</w:t>
      </w:r>
    </w:p>
    <w:p w14:paraId="5114A690" w14:textId="70988E03" w:rsidR="00F4283C" w:rsidRPr="001B6AE4" w:rsidRDefault="00F4283C" w:rsidP="001B6AE4">
      <w:pPr>
        <w:pStyle w:val="NormalWeb"/>
        <w:spacing w:line="360" w:lineRule="auto"/>
        <w:rPr>
          <w:rFonts w:asciiTheme="minorHAnsi" w:hAnsiTheme="minorHAnsi"/>
          <w:color w:val="000000"/>
          <w:sz w:val="28"/>
          <w:szCs w:val="28"/>
          <w:u w:val="single"/>
        </w:rPr>
      </w:pPr>
      <w:r w:rsidRPr="001B6AE4">
        <w:rPr>
          <w:rFonts w:asciiTheme="minorHAnsi" w:hAnsiTheme="minorHAnsi"/>
          <w:color w:val="000000"/>
          <w:sz w:val="28"/>
          <w:szCs w:val="28"/>
          <w:u w:val="single"/>
        </w:rPr>
        <w:t>Comparison between ECERS and NDNA</w:t>
      </w:r>
    </w:p>
    <w:p w14:paraId="44F8AEA6" w14:textId="77777777" w:rsidR="008E74AC" w:rsidRPr="001B6AE4" w:rsidRDefault="008E74A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ECERS and NDNA are two distinct, but complementary, techniques for quality assurance. ECERS provides thorough, standardised data on specific areas of practice, whereas NDNA provides a comprehensive foundation for organisational development (Mathers </w:t>
      </w:r>
      <w:r w:rsidRPr="001B6AE4">
        <w:rPr>
          <w:rFonts w:asciiTheme="minorHAnsi" w:hAnsiTheme="minorHAnsi"/>
          <w:i/>
          <w:iCs/>
          <w:color w:val="000000"/>
        </w:rPr>
        <w:t>et al</w:t>
      </w:r>
      <w:r w:rsidRPr="001B6AE4">
        <w:rPr>
          <w:rFonts w:asciiTheme="minorHAnsi" w:hAnsiTheme="minorHAnsi"/>
          <w:color w:val="000000"/>
        </w:rPr>
        <w:t xml:space="preserve">., 2014; Waniganayake </w:t>
      </w:r>
      <w:r w:rsidRPr="001B6AE4">
        <w:rPr>
          <w:rFonts w:asciiTheme="minorHAnsi" w:hAnsiTheme="minorHAnsi"/>
          <w:i/>
          <w:iCs/>
          <w:color w:val="000000"/>
        </w:rPr>
        <w:t>et al</w:t>
      </w:r>
      <w:r w:rsidRPr="001B6AE4">
        <w:rPr>
          <w:rFonts w:asciiTheme="minorHAnsi" w:hAnsiTheme="minorHAnsi"/>
          <w:color w:val="000000"/>
        </w:rPr>
        <w:t>., 2017).</w:t>
      </w:r>
    </w:p>
    <w:p w14:paraId="1350E98E" w14:textId="77777777" w:rsidR="008E74AC" w:rsidRPr="001B6AE4" w:rsidRDefault="008E74A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From a leadership standpoint, ECERS can be viewed as a diagnostic tool that identifies areas for improvement, whereas NDNA serves as a developmental framework that aids in the implementation of change (Heikka and Waniganayake, 2011; Sims </w:t>
      </w:r>
      <w:r w:rsidRPr="001B6AE4">
        <w:rPr>
          <w:rFonts w:asciiTheme="minorHAnsi" w:hAnsiTheme="minorHAnsi"/>
          <w:i/>
          <w:iCs/>
          <w:color w:val="000000"/>
        </w:rPr>
        <w:t>et al</w:t>
      </w:r>
      <w:r w:rsidRPr="001B6AE4">
        <w:rPr>
          <w:rFonts w:asciiTheme="minorHAnsi" w:hAnsiTheme="minorHAnsi"/>
          <w:color w:val="000000"/>
        </w:rPr>
        <w:t>., 2019). However, neither method is adequate in isolation.</w:t>
      </w:r>
    </w:p>
    <w:p w14:paraId="221C987F" w14:textId="77777777" w:rsidR="008E74AC" w:rsidRPr="001B6AE4" w:rsidRDefault="008E74A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Importantly, the contrast between ECERS and NDNA reflects a wider debate within early years education between measurement and meaning. While quantitative tools such as ECERS provide clarity and comparability, they may fail to capture the complexity of practice (Alexander, 2010; Penn, 2011). In contrast, qualitative approaches such as NDNA emphasise reflection and context but may lack consistency and objectivity (Osgood, 2021; Urban </w:t>
      </w:r>
      <w:r w:rsidRPr="001B6AE4">
        <w:rPr>
          <w:rFonts w:asciiTheme="minorHAnsi" w:hAnsiTheme="minorHAnsi"/>
          <w:i/>
          <w:iCs/>
          <w:color w:val="000000"/>
        </w:rPr>
        <w:t>et al</w:t>
      </w:r>
      <w:r w:rsidRPr="001B6AE4">
        <w:rPr>
          <w:rFonts w:asciiTheme="minorHAnsi" w:hAnsiTheme="minorHAnsi"/>
          <w:color w:val="000000"/>
        </w:rPr>
        <w:t>., 2019).</w:t>
      </w:r>
    </w:p>
    <w:p w14:paraId="55CB258E" w14:textId="7DFE2330" w:rsidR="008E74AC" w:rsidRPr="001B6AE4" w:rsidRDefault="008E74A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This suggests that an integrated approach to quality assurance is most effective, combining measurable data with reflective practice. Such an approach enables leaders to balance accountability requirements with a commitment to meaningful, child-centred provision (OECD, 2022; Sylva </w:t>
      </w:r>
      <w:r w:rsidRPr="001B6AE4">
        <w:rPr>
          <w:rFonts w:asciiTheme="minorHAnsi" w:hAnsiTheme="minorHAnsi"/>
          <w:i/>
          <w:iCs/>
          <w:color w:val="000000"/>
        </w:rPr>
        <w:t>et al</w:t>
      </w:r>
      <w:r w:rsidRPr="001B6AE4">
        <w:rPr>
          <w:rFonts w:asciiTheme="minorHAnsi" w:hAnsiTheme="minorHAnsi"/>
          <w:color w:val="000000"/>
        </w:rPr>
        <w:t>., 2018).</w:t>
      </w:r>
    </w:p>
    <w:p w14:paraId="17D140A4" w14:textId="4D6E42E8"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lastRenderedPageBreak/>
        <w:t>Both methods also have limitations in terms of what they reveal. Neither fully captures children’s lived experiences, highlighting the need to incorporate additional perspectives, such as children’s voices and parental feedback (Clark, 2017; Lundy, 2007). This reinforces the importance of adopting a multi-method approach to quality assurance.</w:t>
      </w:r>
    </w:p>
    <w:p w14:paraId="51A98302" w14:textId="77777777" w:rsidR="0099662C" w:rsidRPr="001B6AE4" w:rsidRDefault="0099662C" w:rsidP="001B6AE4">
      <w:pPr>
        <w:pStyle w:val="Heading3"/>
        <w:spacing w:line="360" w:lineRule="auto"/>
        <w:rPr>
          <w:rFonts w:asciiTheme="minorHAnsi" w:hAnsiTheme="minorHAnsi"/>
          <w:color w:val="000000"/>
          <w:u w:val="single"/>
        </w:rPr>
      </w:pPr>
      <w:r w:rsidRPr="001B6AE4">
        <w:rPr>
          <w:rFonts w:asciiTheme="minorHAnsi" w:hAnsiTheme="minorHAnsi"/>
          <w:color w:val="000000"/>
          <w:u w:val="single"/>
        </w:rPr>
        <w:t>Using Quality Assurance to Improve Provision</w:t>
      </w:r>
    </w:p>
    <w:p w14:paraId="6F13CA95"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The effectiveness of quality assurance procedures is determined by how the information generated is used. Leaders play an important role in data interpretation, reflection, and change implementation.</w:t>
      </w:r>
    </w:p>
    <w:p w14:paraId="654FA6E5"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For example, ECERS findings may indicate flaws in interaction quality, but without effective management, these insights may not result in improved practice. Similarly, NDNA's self-evaluation methods require a culture of trust and transparency to be effective (Siraj-Blatchford and Manni, 2021; Douglass, 2019).</w:t>
      </w:r>
    </w:p>
    <w:p w14:paraId="3BC28744" w14:textId="4E1A8D91"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This emphasises the need </w:t>
      </w:r>
      <w:r w:rsidRPr="001B6AE4">
        <w:rPr>
          <w:rFonts w:asciiTheme="minorHAnsi" w:hAnsiTheme="minorHAnsi"/>
          <w:color w:val="000000"/>
        </w:rPr>
        <w:t>to</w:t>
      </w:r>
      <w:r w:rsidRPr="001B6AE4">
        <w:rPr>
          <w:rFonts w:asciiTheme="minorHAnsi" w:hAnsiTheme="minorHAnsi"/>
          <w:color w:val="000000"/>
        </w:rPr>
        <w:t xml:space="preserve"> creat</w:t>
      </w:r>
      <w:r w:rsidRPr="001B6AE4">
        <w:rPr>
          <w:rFonts w:asciiTheme="minorHAnsi" w:hAnsiTheme="minorHAnsi"/>
          <w:color w:val="000000"/>
        </w:rPr>
        <w:t>e</w:t>
      </w:r>
      <w:r w:rsidRPr="001B6AE4">
        <w:rPr>
          <w:rFonts w:asciiTheme="minorHAnsi" w:hAnsiTheme="minorHAnsi"/>
          <w:color w:val="000000"/>
        </w:rPr>
        <w:t xml:space="preserve"> an open and constructive organisational culture in which employees feel supported in reflecting critically on their work (Schön, 1983; Eraut, 2004). Leaders must promote professional conversation, encourage ongoing professional growth, and guarantee that quality assurance systems are integrated into daily practice.</w:t>
      </w:r>
    </w:p>
    <w:p w14:paraId="221B1362" w14:textId="7F9B85AE"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Additionally, quality assurance should be aligned with broader policy frameworks, such as children’s rights and wellbeing agendas, ensuring that improvements are meaningful and child</w:t>
      </w:r>
      <w:r w:rsidRPr="001B6AE4">
        <w:rPr>
          <w:rFonts w:asciiTheme="minorHAnsi" w:hAnsiTheme="minorHAnsi"/>
          <w:color w:val="000000"/>
        </w:rPr>
        <w:t>-</w:t>
      </w:r>
      <w:r w:rsidRPr="001B6AE4">
        <w:rPr>
          <w:rFonts w:asciiTheme="minorHAnsi" w:hAnsiTheme="minorHAnsi"/>
          <w:color w:val="000000"/>
        </w:rPr>
        <w:t>centred (United Nations, 1989; Welsh Government, 2015).</w:t>
      </w:r>
    </w:p>
    <w:p w14:paraId="03C35F49" w14:textId="77777777" w:rsidR="0099662C" w:rsidRPr="001B6AE4" w:rsidRDefault="0099662C" w:rsidP="001B6AE4">
      <w:pPr>
        <w:pStyle w:val="Heading3"/>
        <w:spacing w:line="360" w:lineRule="auto"/>
        <w:rPr>
          <w:rFonts w:asciiTheme="minorHAnsi" w:hAnsiTheme="minorHAnsi"/>
          <w:color w:val="000000"/>
          <w:u w:val="single"/>
        </w:rPr>
      </w:pPr>
      <w:r w:rsidRPr="001B6AE4">
        <w:rPr>
          <w:rFonts w:asciiTheme="minorHAnsi" w:hAnsiTheme="minorHAnsi"/>
          <w:color w:val="000000"/>
          <w:u w:val="single"/>
        </w:rPr>
        <w:t>Critical Reflection</w:t>
      </w:r>
    </w:p>
    <w:p w14:paraId="792B2E56"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Reflecting on these methods highlights the tension between accountability and professional autonomy within early years provision. While quality assurance </w:t>
      </w:r>
      <w:r w:rsidRPr="001B6AE4">
        <w:rPr>
          <w:rFonts w:asciiTheme="minorHAnsi" w:hAnsiTheme="minorHAnsi"/>
          <w:color w:val="000000"/>
        </w:rPr>
        <w:lastRenderedPageBreak/>
        <w:t>frameworks provide structure and guidance, they can also constrain practice if applied uncritically (Ball, 2013; Biesta, 2015).</w:t>
      </w:r>
    </w:p>
    <w:p w14:paraId="089D89A3"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There is a risk that settings become focused on achieving high scores or accreditation, rather than genuinely improving children’s experiences. This reflects a broader critique of performativity within education, where measurable outcomes are prioritised over meaningful learning (Osgood, 2021; Penn, 2011).</w:t>
      </w:r>
    </w:p>
    <w:p w14:paraId="1EB5F760" w14:textId="77777777"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This reflection also highlights the importance of professional judgement in early years practice. While quality assurance tools provide valuable frameworks, they cannot replace the knowledge and expertise of practitioners. There is a need for leaders to critically engage with these tools, adapting them to suit the specific context of their setting rather than applying them uncritically.</w:t>
      </w:r>
    </w:p>
    <w:p w14:paraId="3A32300B" w14:textId="578CBFEA"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Moreover, this raises questions about power and control within the sector. Quality assurance frameworks are often shaped by policy agendas, which may not always align with the needs of children or practitioners. </w:t>
      </w:r>
      <w:r w:rsidR="001A6EE1" w:rsidRPr="001B6AE4">
        <w:rPr>
          <w:rFonts w:asciiTheme="minorHAnsi" w:hAnsiTheme="minorHAnsi"/>
          <w:color w:val="000000"/>
        </w:rPr>
        <w:t>I</w:t>
      </w:r>
      <w:r w:rsidRPr="001B6AE4">
        <w:rPr>
          <w:rFonts w:asciiTheme="minorHAnsi" w:hAnsiTheme="minorHAnsi"/>
          <w:color w:val="000000"/>
        </w:rPr>
        <w:t>t is therefore essential to adopt a critical stance, recognising both the benefits and limitations of these approaches and advocating for practices that prioritise children’s wellbeing and holistic development.</w:t>
      </w:r>
    </w:p>
    <w:p w14:paraId="3269EFE9" w14:textId="77777777" w:rsidR="0099662C" w:rsidRPr="001B6AE4" w:rsidRDefault="0099662C" w:rsidP="001B6AE4">
      <w:pPr>
        <w:pStyle w:val="Heading3"/>
        <w:spacing w:line="360" w:lineRule="auto"/>
        <w:rPr>
          <w:rFonts w:asciiTheme="minorHAnsi" w:hAnsiTheme="minorHAnsi"/>
          <w:color w:val="000000"/>
          <w:u w:val="single"/>
        </w:rPr>
      </w:pPr>
      <w:r w:rsidRPr="001B6AE4">
        <w:rPr>
          <w:rFonts w:asciiTheme="minorHAnsi" w:hAnsiTheme="minorHAnsi"/>
          <w:color w:val="000000"/>
          <w:u w:val="single"/>
        </w:rPr>
        <w:t>Conclusion</w:t>
      </w:r>
    </w:p>
    <w:p w14:paraId="25259649" w14:textId="3DD4B283" w:rsidR="0099662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 xml:space="preserve">In conclusion, additional quality assurance </w:t>
      </w:r>
      <w:r w:rsidRPr="001B6AE4">
        <w:rPr>
          <w:rFonts w:asciiTheme="minorHAnsi" w:hAnsiTheme="minorHAnsi"/>
          <w:color w:val="000000"/>
        </w:rPr>
        <w:t xml:space="preserve">methods </w:t>
      </w:r>
      <w:r w:rsidRPr="001B6AE4">
        <w:rPr>
          <w:rFonts w:asciiTheme="minorHAnsi" w:hAnsiTheme="minorHAnsi"/>
          <w:color w:val="000000"/>
        </w:rPr>
        <w:t>play a vital role in promoting high-quality early years provision beyond statutory requirements. ECERS and NDNA offer valuable but distinct approaches, each contributing to different aspects of quality improvement.</w:t>
      </w:r>
    </w:p>
    <w:p w14:paraId="14F60DB7" w14:textId="455AE38E" w:rsidR="00F4283C" w:rsidRPr="001B6AE4" w:rsidRDefault="0099662C" w:rsidP="001B6AE4">
      <w:pPr>
        <w:pStyle w:val="NormalWeb"/>
        <w:spacing w:line="360" w:lineRule="auto"/>
        <w:rPr>
          <w:rFonts w:asciiTheme="minorHAnsi" w:hAnsiTheme="minorHAnsi"/>
          <w:color w:val="000000"/>
        </w:rPr>
      </w:pPr>
      <w:r w:rsidRPr="001B6AE4">
        <w:rPr>
          <w:rFonts w:asciiTheme="minorHAnsi" w:hAnsiTheme="minorHAnsi"/>
          <w:color w:val="000000"/>
        </w:rPr>
        <w:t>However, their effectiveness depends on leadership. A critical, reflective and values-driven approach is essential to ensure that quality assurance processes lead to meaningful improvements. By integrating multiple methods and fostering an open and positive culture, leaders can move beyond compliance and support genuinely high-quality provision.</w:t>
      </w:r>
    </w:p>
    <w:p w14:paraId="5D968FAE" w14:textId="3F24B433" w:rsidR="00414E7A" w:rsidRPr="00414E7A" w:rsidRDefault="00414E7A" w:rsidP="00414E7A">
      <w:pPr>
        <w:spacing w:before="100" w:beforeAutospacing="1" w:after="100" w:afterAutospacing="1"/>
        <w:outlineLvl w:val="1"/>
        <w:rPr>
          <w:rFonts w:asciiTheme="minorHAnsi" w:hAnsiTheme="minorHAnsi"/>
          <w:color w:val="000000"/>
          <w:sz w:val="28"/>
          <w:szCs w:val="28"/>
          <w:u w:val="single"/>
        </w:rPr>
      </w:pPr>
      <w:r w:rsidRPr="00414E7A">
        <w:rPr>
          <w:rFonts w:asciiTheme="minorHAnsi" w:hAnsiTheme="minorHAnsi"/>
          <w:color w:val="000000"/>
          <w:sz w:val="28"/>
          <w:szCs w:val="28"/>
          <w:u w:val="single"/>
        </w:rPr>
        <w:lastRenderedPageBreak/>
        <w:t xml:space="preserve">Reference List </w:t>
      </w:r>
    </w:p>
    <w:p w14:paraId="27E423EC"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Alexander, R. (2010)</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Children, their world, their education: Final report and recommendations of the Cambridge Primary Review</w:t>
      </w:r>
      <w:r w:rsidRPr="003448A1">
        <w:rPr>
          <w:rFonts w:asciiTheme="minorHAnsi" w:hAnsiTheme="minorHAnsi"/>
          <w:color w:val="000000"/>
        </w:rPr>
        <w:t>. London: Routledge.</w:t>
      </w:r>
    </w:p>
    <w:p w14:paraId="7642D9F7" w14:textId="1FBDFB2C"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Anders, Y. (2015) ‘Literature review on pedagogy’,</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OECD Education Working Papers</w:t>
      </w:r>
      <w:r w:rsidRPr="003448A1">
        <w:rPr>
          <w:rFonts w:asciiTheme="minorHAnsi" w:hAnsiTheme="minorHAnsi"/>
          <w:color w:val="000000"/>
        </w:rPr>
        <w:t>, No. 119. Paris: OECD.</w:t>
      </w:r>
      <w:r w:rsidR="007B4D43">
        <w:rPr>
          <w:rFonts w:asciiTheme="minorHAnsi" w:hAnsiTheme="minorHAnsi"/>
          <w:color w:val="000000"/>
        </w:rPr>
        <w:t xml:space="preserve"> Available at: </w:t>
      </w:r>
      <w:hyperlink r:id="rId7" w:history="1">
        <w:r w:rsidR="007B4D43" w:rsidRPr="001B6DBF">
          <w:rPr>
            <w:rStyle w:val="Hyperlink"/>
            <w:rFonts w:asciiTheme="minorHAnsi" w:hAnsiTheme="minorHAnsi"/>
          </w:rPr>
          <w:t>https://www.oecd.org/content/dam/oecd/en/publications/reports/2018/03/engaging-young-children_g1g8b70c/9789264085145-en.pdf</w:t>
        </w:r>
      </w:hyperlink>
      <w:r w:rsidR="007B4D43">
        <w:rPr>
          <w:rFonts w:asciiTheme="minorHAnsi" w:hAnsiTheme="minorHAnsi"/>
          <w:color w:val="000000"/>
        </w:rPr>
        <w:t xml:space="preserve"> (Accessed:</w:t>
      </w:r>
      <w:r w:rsidR="00F34210">
        <w:rPr>
          <w:rFonts w:asciiTheme="minorHAnsi" w:hAnsiTheme="minorHAnsi"/>
          <w:color w:val="000000"/>
        </w:rPr>
        <w:t xml:space="preserve"> 23 March 2026).</w:t>
      </w:r>
    </w:p>
    <w:p w14:paraId="7DB0D2A3"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Ball, S.J. (2013)</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The education debate</w:t>
      </w:r>
      <w:r w:rsidRPr="003448A1">
        <w:rPr>
          <w:rFonts w:asciiTheme="minorHAnsi" w:hAnsiTheme="minorHAnsi"/>
          <w:color w:val="000000"/>
        </w:rPr>
        <w:t>. 2nd edn. Bristol: Policy Press.</w:t>
      </w:r>
    </w:p>
    <w:p w14:paraId="038DA570"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Biesta, G. (2015)</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Good education in an age of measurement: Ethics, politics, democracy</w:t>
      </w:r>
      <w:r w:rsidRPr="003448A1">
        <w:rPr>
          <w:rFonts w:asciiTheme="minorHAnsi" w:hAnsiTheme="minorHAnsi"/>
          <w:color w:val="000000"/>
        </w:rPr>
        <w:t>. London: Routledge.</w:t>
      </w:r>
    </w:p>
    <w:p w14:paraId="6C1074A7"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Campbell-Barr, V. and Leeson, C. (2016)</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Quality and leadership in the early years</w:t>
      </w:r>
      <w:r w:rsidRPr="003448A1">
        <w:rPr>
          <w:rFonts w:asciiTheme="minorHAnsi" w:hAnsiTheme="minorHAnsi"/>
          <w:color w:val="000000"/>
        </w:rPr>
        <w:t>. London: Sage.</w:t>
      </w:r>
    </w:p>
    <w:p w14:paraId="4E5828FF"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Clark, A. (2017)</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Listening to young children: A guide to understanding and using the mosaic approach</w:t>
      </w:r>
      <w:r w:rsidRPr="003448A1">
        <w:rPr>
          <w:rFonts w:asciiTheme="minorHAnsi" w:hAnsiTheme="minorHAnsi"/>
          <w:color w:val="000000"/>
        </w:rPr>
        <w:t>. 2nd edn. London: Jessica Kingsley.</w:t>
      </w:r>
    </w:p>
    <w:p w14:paraId="2729A1EB" w14:textId="636629EA"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Clifford, R.M., Reszka, S.S. and Rossbach, H.G. (2017) ‘Reliability and validity of ECERS’,</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Early Childhood Research Quarterly</w:t>
      </w:r>
      <w:r w:rsidRPr="003448A1">
        <w:rPr>
          <w:rFonts w:asciiTheme="minorHAnsi" w:hAnsiTheme="minorHAnsi"/>
          <w:color w:val="000000"/>
        </w:rPr>
        <w:t>, 40, pp. 1–10.</w:t>
      </w:r>
      <w:r w:rsidR="00261297">
        <w:rPr>
          <w:rFonts w:asciiTheme="minorHAnsi" w:hAnsiTheme="minorHAnsi"/>
          <w:color w:val="000000"/>
        </w:rPr>
        <w:t xml:space="preserve"> Available at: </w:t>
      </w:r>
      <w:hyperlink r:id="rId8" w:history="1">
        <w:r w:rsidR="00261297" w:rsidRPr="001B6DBF">
          <w:rPr>
            <w:rStyle w:val="Hyperlink"/>
            <w:rFonts w:asciiTheme="minorHAnsi" w:hAnsiTheme="minorHAnsi"/>
          </w:rPr>
          <w:t>https://ers.fpg.unc.edu/sites/ers.fpg.unc.edu/files/ReliabilityEcers.pdf</w:t>
        </w:r>
      </w:hyperlink>
      <w:r w:rsidR="00261297">
        <w:rPr>
          <w:rFonts w:asciiTheme="minorHAnsi" w:hAnsiTheme="minorHAnsi"/>
          <w:color w:val="000000"/>
        </w:rPr>
        <w:t xml:space="preserve"> (Accessed:</w:t>
      </w:r>
      <w:r w:rsidR="00DB604E">
        <w:rPr>
          <w:rFonts w:asciiTheme="minorHAnsi" w:hAnsiTheme="minorHAnsi"/>
          <w:color w:val="000000"/>
        </w:rPr>
        <w:t>26 March 2026).</w:t>
      </w:r>
    </w:p>
    <w:p w14:paraId="033581B3"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Dahlberg, G., Moss, P. and Pence, A. (2013)</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Beyond quality in early childhood education and care: Languages of evaluation</w:t>
      </w:r>
      <w:r w:rsidRPr="003448A1">
        <w:rPr>
          <w:rFonts w:asciiTheme="minorHAnsi" w:hAnsiTheme="minorHAnsi"/>
          <w:color w:val="000000"/>
        </w:rPr>
        <w:t>. 3rd edn. London: Routledge.</w:t>
      </w:r>
    </w:p>
    <w:p w14:paraId="36BD74E3" w14:textId="517DA7DE"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Department for Education (2021)</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Study of Early Education and Development (SEED): Impact report</w:t>
      </w:r>
      <w:r w:rsidRPr="003448A1">
        <w:rPr>
          <w:rFonts w:asciiTheme="minorHAnsi" w:hAnsiTheme="minorHAnsi"/>
          <w:color w:val="000000"/>
        </w:rPr>
        <w:t xml:space="preserve">. </w:t>
      </w:r>
      <w:r w:rsidR="00045968">
        <w:rPr>
          <w:rFonts w:asciiTheme="minorHAnsi" w:hAnsiTheme="minorHAnsi"/>
          <w:color w:val="000000"/>
        </w:rPr>
        <w:t xml:space="preserve">Available at: </w:t>
      </w:r>
      <w:hyperlink r:id="rId9" w:history="1">
        <w:r w:rsidR="00045968" w:rsidRPr="001B6DBF">
          <w:rPr>
            <w:rStyle w:val="Hyperlink"/>
            <w:rFonts w:asciiTheme="minorHAnsi" w:hAnsiTheme="minorHAnsi"/>
          </w:rPr>
          <w:t>https://assets.publishing.service.gov.uk/media/68669aa2e134dfbc2e9e6d74/SEED_impact_report_on_early_education_use_and_child_outcomes_at_KS2.pdf</w:t>
        </w:r>
      </w:hyperlink>
      <w:r w:rsidR="00045968">
        <w:rPr>
          <w:rFonts w:asciiTheme="minorHAnsi" w:hAnsiTheme="minorHAnsi"/>
          <w:color w:val="000000"/>
        </w:rPr>
        <w:t xml:space="preserve"> (Accessed:</w:t>
      </w:r>
      <w:r w:rsidR="00DB604E">
        <w:rPr>
          <w:rFonts w:asciiTheme="minorHAnsi" w:hAnsiTheme="minorHAnsi"/>
          <w:color w:val="000000"/>
        </w:rPr>
        <w:t xml:space="preserve"> 23 March 2026).</w:t>
      </w:r>
    </w:p>
    <w:p w14:paraId="1D39FF89"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Douglass, A. (2019)</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Leading for change in early care and education: Cultivating leadership from within</w:t>
      </w:r>
      <w:r w:rsidRPr="003448A1">
        <w:rPr>
          <w:rFonts w:asciiTheme="minorHAnsi" w:hAnsiTheme="minorHAnsi"/>
          <w:color w:val="000000"/>
        </w:rPr>
        <w:t>. New York: Teachers College Press.</w:t>
      </w:r>
    </w:p>
    <w:p w14:paraId="550CF7CB" w14:textId="50BC08C8"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Eraut, M. (2004) ‘Informal learning in the workplace’,</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Studies in Continuing Education</w:t>
      </w:r>
      <w:r w:rsidRPr="003448A1">
        <w:rPr>
          <w:rFonts w:asciiTheme="minorHAnsi" w:hAnsiTheme="minorHAnsi"/>
          <w:color w:val="000000"/>
        </w:rPr>
        <w:t>, 26(2), pp. 247–273.</w:t>
      </w:r>
      <w:r w:rsidR="00CB5133">
        <w:rPr>
          <w:rFonts w:asciiTheme="minorHAnsi" w:hAnsiTheme="minorHAnsi"/>
          <w:color w:val="000000"/>
        </w:rPr>
        <w:t xml:space="preserve"> Available at: </w:t>
      </w:r>
      <w:hyperlink r:id="rId10" w:history="1">
        <w:r w:rsidR="00CB5133" w:rsidRPr="001B6DBF">
          <w:rPr>
            <w:rStyle w:val="Hyperlink"/>
            <w:rFonts w:asciiTheme="minorHAnsi" w:hAnsiTheme="minorHAnsi"/>
          </w:rPr>
          <w:t>https://www.tandfonline.com/doi/full/10.1080/158037042000225245</w:t>
        </w:r>
      </w:hyperlink>
      <w:r w:rsidR="00CB5133">
        <w:rPr>
          <w:rFonts w:asciiTheme="minorHAnsi" w:hAnsiTheme="minorHAnsi"/>
          <w:color w:val="000000"/>
        </w:rPr>
        <w:t xml:space="preserve"> (Accessed:</w:t>
      </w:r>
      <w:r w:rsidR="00DB604E">
        <w:rPr>
          <w:rFonts w:asciiTheme="minorHAnsi" w:hAnsiTheme="minorHAnsi"/>
          <w:color w:val="000000"/>
        </w:rPr>
        <w:t xml:space="preserve"> 29 March 2026).</w:t>
      </w:r>
    </w:p>
    <w:p w14:paraId="6D8B1C75" w14:textId="1B393B9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Fenech, M. (2011) ‘An analysis of the conceptualisation of “quality” in early childhood education and care empirical research’,</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Contemporary Issues in Early Childhood</w:t>
      </w:r>
      <w:r w:rsidRPr="003448A1">
        <w:rPr>
          <w:rFonts w:asciiTheme="minorHAnsi" w:hAnsiTheme="minorHAnsi"/>
          <w:color w:val="000000"/>
        </w:rPr>
        <w:t xml:space="preserve">, </w:t>
      </w:r>
      <w:r w:rsidRPr="003448A1">
        <w:rPr>
          <w:rFonts w:asciiTheme="minorHAnsi" w:hAnsiTheme="minorHAnsi"/>
          <w:color w:val="000000"/>
        </w:rPr>
        <w:lastRenderedPageBreak/>
        <w:t>12(2), pp. 102–117.</w:t>
      </w:r>
      <w:r w:rsidR="005C0C89">
        <w:rPr>
          <w:rFonts w:asciiTheme="minorHAnsi" w:hAnsiTheme="minorHAnsi"/>
          <w:color w:val="000000"/>
        </w:rPr>
        <w:t xml:space="preserve"> Available at: </w:t>
      </w:r>
      <w:hyperlink r:id="rId11" w:history="1">
        <w:r w:rsidR="005C0C89" w:rsidRPr="001B6DBF">
          <w:rPr>
            <w:rStyle w:val="Hyperlink"/>
            <w:rFonts w:asciiTheme="minorHAnsi" w:hAnsiTheme="minorHAnsi"/>
          </w:rPr>
          <w:t>https://researchers.mq.edu.au/en/publications/an-analysis-of-the-conceptualisation-of-quality-in-early-childhoo/</w:t>
        </w:r>
      </w:hyperlink>
      <w:r w:rsidR="005C0C89">
        <w:rPr>
          <w:rFonts w:asciiTheme="minorHAnsi" w:hAnsiTheme="minorHAnsi"/>
          <w:color w:val="000000"/>
        </w:rPr>
        <w:t xml:space="preserve"> (Accessed:</w:t>
      </w:r>
      <w:r w:rsidR="00DB604E">
        <w:rPr>
          <w:rFonts w:asciiTheme="minorHAnsi" w:hAnsiTheme="minorHAnsi"/>
          <w:color w:val="000000"/>
        </w:rPr>
        <w:t xml:space="preserve"> 29 March 2026).</w:t>
      </w:r>
    </w:p>
    <w:p w14:paraId="0CCF9C0F" w14:textId="7CC9F0A9"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Hamre, B.K., Hatfield, B.E., Pianta, R.C. and Jamil, F.M. (2014) ‘Evidence for general and domain-specific elements of teacher–child interactions’,</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Child Development</w:t>
      </w:r>
      <w:r w:rsidRPr="003448A1">
        <w:rPr>
          <w:rFonts w:asciiTheme="minorHAnsi" w:hAnsiTheme="minorHAnsi"/>
          <w:color w:val="000000"/>
        </w:rPr>
        <w:t>, 85(3), pp. 1257–1274.</w:t>
      </w:r>
      <w:r w:rsidR="007E5FCA">
        <w:rPr>
          <w:rFonts w:asciiTheme="minorHAnsi" w:hAnsiTheme="minorHAnsi"/>
          <w:color w:val="000000"/>
        </w:rPr>
        <w:t xml:space="preserve"> Available at: </w:t>
      </w:r>
      <w:hyperlink r:id="rId12" w:history="1">
        <w:r w:rsidR="007E5FCA" w:rsidRPr="001B6DBF">
          <w:rPr>
            <w:rStyle w:val="Hyperlink"/>
            <w:rFonts w:asciiTheme="minorHAnsi" w:hAnsiTheme="minorHAnsi"/>
          </w:rPr>
          <w:t>https://pubmed.ncbi.nlm.nih.gov/24255933/</w:t>
        </w:r>
      </w:hyperlink>
      <w:r w:rsidR="007E5FCA">
        <w:rPr>
          <w:rFonts w:asciiTheme="minorHAnsi" w:hAnsiTheme="minorHAnsi"/>
          <w:color w:val="000000"/>
        </w:rPr>
        <w:t xml:space="preserve"> (Accessed:</w:t>
      </w:r>
      <w:r w:rsidR="00DB604E">
        <w:rPr>
          <w:rFonts w:asciiTheme="minorHAnsi" w:hAnsiTheme="minorHAnsi"/>
          <w:color w:val="000000"/>
        </w:rPr>
        <w:t>25 March 2026).</w:t>
      </w:r>
    </w:p>
    <w:p w14:paraId="13A29FFA"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Harms, T., Clifford, R.M. and Cryer, D. (2015)</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Early Childhood Environment Rating Scale (ECERS-3)</w:t>
      </w:r>
      <w:r w:rsidRPr="003448A1">
        <w:rPr>
          <w:rFonts w:asciiTheme="minorHAnsi" w:hAnsiTheme="minorHAnsi"/>
          <w:color w:val="000000"/>
        </w:rPr>
        <w:t>. New York: Teachers College Press.</w:t>
      </w:r>
    </w:p>
    <w:p w14:paraId="60DFF9F5" w14:textId="5FA2C339"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Heikka, J. and Waniganayake, M. (2011) ‘Pedagogical leadership from a distributed perspective’,</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International Journal of Leadership in Education</w:t>
      </w:r>
      <w:r w:rsidRPr="003448A1">
        <w:rPr>
          <w:rFonts w:asciiTheme="minorHAnsi" w:hAnsiTheme="minorHAnsi"/>
          <w:color w:val="000000"/>
        </w:rPr>
        <w:t>, 14(4), pp. 499–512.</w:t>
      </w:r>
      <w:r w:rsidR="00485BF5">
        <w:rPr>
          <w:rFonts w:asciiTheme="minorHAnsi" w:hAnsiTheme="minorHAnsi"/>
          <w:color w:val="000000"/>
        </w:rPr>
        <w:t xml:space="preserve"> Available at: </w:t>
      </w:r>
      <w:hyperlink r:id="rId13" w:history="1">
        <w:r w:rsidR="00485BF5" w:rsidRPr="001B6DBF">
          <w:rPr>
            <w:rStyle w:val="Hyperlink"/>
            <w:rFonts w:asciiTheme="minorHAnsi" w:hAnsiTheme="minorHAnsi"/>
          </w:rPr>
          <w:t>https://www.researchgate.net/publication/254227664_Pedagogical_leadership_from_a_distributed_perspective_within_the_context_of_early_childhood_education</w:t>
        </w:r>
      </w:hyperlink>
      <w:r w:rsidR="00485BF5">
        <w:rPr>
          <w:rFonts w:asciiTheme="minorHAnsi" w:hAnsiTheme="minorHAnsi"/>
          <w:color w:val="000000"/>
        </w:rPr>
        <w:t xml:space="preserve"> (Accessed:</w:t>
      </w:r>
      <w:r w:rsidR="00DB604E">
        <w:rPr>
          <w:rFonts w:asciiTheme="minorHAnsi" w:hAnsiTheme="minorHAnsi"/>
          <w:color w:val="000000"/>
        </w:rPr>
        <w:t xml:space="preserve"> 29 March 2026).</w:t>
      </w:r>
    </w:p>
    <w:p w14:paraId="0B85186E" w14:textId="2889C4A0"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Lundy, L. (2007) ‘“Voice” is not enough’,</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British Educational Research Journal</w:t>
      </w:r>
      <w:r w:rsidRPr="003448A1">
        <w:rPr>
          <w:rFonts w:asciiTheme="minorHAnsi" w:hAnsiTheme="minorHAnsi"/>
          <w:color w:val="000000"/>
        </w:rPr>
        <w:t>, 33(6), pp. 927–942.</w:t>
      </w:r>
      <w:r w:rsidR="0016525E">
        <w:rPr>
          <w:rFonts w:asciiTheme="minorHAnsi" w:hAnsiTheme="minorHAnsi"/>
          <w:color w:val="000000"/>
        </w:rPr>
        <w:t xml:space="preserve"> Available at: </w:t>
      </w:r>
      <w:hyperlink r:id="rId14" w:history="1">
        <w:r w:rsidR="0016525E" w:rsidRPr="001B6DBF">
          <w:rPr>
            <w:rStyle w:val="Hyperlink"/>
            <w:rFonts w:asciiTheme="minorHAnsi" w:hAnsiTheme="minorHAnsi"/>
          </w:rPr>
          <w:t>https://www.tandfonline.com/doi/full/10.1080/01411920701657033</w:t>
        </w:r>
      </w:hyperlink>
      <w:r w:rsidR="0016525E">
        <w:rPr>
          <w:rFonts w:asciiTheme="minorHAnsi" w:hAnsiTheme="minorHAnsi"/>
          <w:color w:val="000000"/>
        </w:rPr>
        <w:t xml:space="preserve"> (Accessed: </w:t>
      </w:r>
      <w:r w:rsidR="00DB604E">
        <w:rPr>
          <w:rFonts w:asciiTheme="minorHAnsi" w:hAnsiTheme="minorHAnsi"/>
          <w:color w:val="000000"/>
        </w:rPr>
        <w:t>29 March 2026).</w:t>
      </w:r>
    </w:p>
    <w:p w14:paraId="0C06E112"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Mathers, S., Singler, R. and Karemaker, A. (2014)</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Improving quality in the early years: A comparison of perspectives and measures</w:t>
      </w:r>
      <w:r w:rsidRPr="003448A1">
        <w:rPr>
          <w:rFonts w:asciiTheme="minorHAnsi" w:hAnsiTheme="minorHAnsi"/>
          <w:color w:val="000000"/>
        </w:rPr>
        <w:t>. London: Nuffield Foundation.</w:t>
      </w:r>
    </w:p>
    <w:p w14:paraId="7EF53059" w14:textId="2C6E66A1"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McDermott, C.L. (2013) ‘Certification and equity: Applying an “equity framework” to compare certification schemes across product sectors and scales’,</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Environmental Science &amp; Policy</w:t>
      </w:r>
      <w:r w:rsidRPr="003448A1">
        <w:rPr>
          <w:rFonts w:asciiTheme="minorHAnsi" w:hAnsiTheme="minorHAnsi"/>
          <w:color w:val="000000"/>
        </w:rPr>
        <w:t>, 33, pp. 428–437.</w:t>
      </w:r>
      <w:r w:rsidR="0016525E">
        <w:rPr>
          <w:rFonts w:asciiTheme="minorHAnsi" w:hAnsiTheme="minorHAnsi"/>
          <w:color w:val="000000"/>
        </w:rPr>
        <w:t xml:space="preserve"> Available at: </w:t>
      </w:r>
      <w:hyperlink r:id="rId15" w:history="1">
        <w:r w:rsidR="0016525E" w:rsidRPr="001B6DBF">
          <w:rPr>
            <w:rStyle w:val="Hyperlink"/>
            <w:rFonts w:asciiTheme="minorHAnsi" w:hAnsiTheme="minorHAnsi"/>
          </w:rPr>
          <w:t>https://www.sciencedirect.com/science/article/pii/S1462901112000883?casa_token=byYQZjhdVSoAAAAA:1VSgRlNx_Mpn7gKQv3RJqbUEZzu5wSVZANMxZLiCrqqLWIuqFMMF42pIagt4YiOfN5ctZAgumNBs</w:t>
        </w:r>
      </w:hyperlink>
      <w:r w:rsidR="0016525E">
        <w:rPr>
          <w:rFonts w:asciiTheme="minorHAnsi" w:hAnsiTheme="minorHAnsi"/>
          <w:color w:val="000000"/>
        </w:rPr>
        <w:t xml:space="preserve"> (Accessed: </w:t>
      </w:r>
      <w:r w:rsidR="009B4881">
        <w:rPr>
          <w:rFonts w:asciiTheme="minorHAnsi" w:hAnsiTheme="minorHAnsi"/>
          <w:color w:val="000000"/>
        </w:rPr>
        <w:t>26 March 2026).</w:t>
      </w:r>
    </w:p>
    <w:p w14:paraId="1F4CCB1B" w14:textId="64CABC81"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 xml:space="preserve">Melhuish, E., Ereky-Stevens, K., Petrogiannis, K. </w:t>
      </w:r>
      <w:r w:rsidRPr="001B03B2">
        <w:rPr>
          <w:rFonts w:asciiTheme="minorHAnsi" w:hAnsiTheme="minorHAnsi"/>
          <w:i/>
          <w:iCs/>
          <w:color w:val="000000"/>
        </w:rPr>
        <w:t>et al</w:t>
      </w:r>
      <w:r w:rsidRPr="003448A1">
        <w:rPr>
          <w:rFonts w:asciiTheme="minorHAnsi" w:hAnsiTheme="minorHAnsi"/>
          <w:color w:val="000000"/>
        </w:rPr>
        <w:t>. (2015) ‘A review of research on the effects of early childhood education and care (ECEC) upon child development’, CARE Project Report. Brussels: European Commission.</w:t>
      </w:r>
      <w:r w:rsidR="00294A9A">
        <w:rPr>
          <w:rFonts w:asciiTheme="minorHAnsi" w:hAnsiTheme="minorHAnsi"/>
          <w:color w:val="000000"/>
        </w:rPr>
        <w:t xml:space="preserve"> Available at: </w:t>
      </w:r>
      <w:hyperlink r:id="rId16" w:history="1">
        <w:r w:rsidR="00294A9A" w:rsidRPr="001B6DBF">
          <w:rPr>
            <w:rStyle w:val="Hyperlink"/>
            <w:rFonts w:asciiTheme="minorHAnsi" w:hAnsiTheme="minorHAnsi"/>
          </w:rPr>
          <w:t>https://ora.ox.ac.uk/objects/uuid:bb919f6f-cd43-42d8-89ff-da525dc63554</w:t>
        </w:r>
      </w:hyperlink>
      <w:r w:rsidR="00294A9A">
        <w:rPr>
          <w:rFonts w:asciiTheme="minorHAnsi" w:hAnsiTheme="minorHAnsi"/>
          <w:color w:val="000000"/>
        </w:rPr>
        <w:t xml:space="preserve"> (Accessed: </w:t>
      </w:r>
      <w:r w:rsidR="00F34210">
        <w:rPr>
          <w:rFonts w:asciiTheme="minorHAnsi" w:hAnsiTheme="minorHAnsi"/>
          <w:color w:val="000000"/>
        </w:rPr>
        <w:t>23 March 2026).</w:t>
      </w:r>
    </w:p>
    <w:p w14:paraId="60189F8D" w14:textId="3E3ADD84"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Moss, P. (2016) ‘Why can’t we get beyond quality?’,</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Contemporary Issues in Early Childhood</w:t>
      </w:r>
      <w:r w:rsidRPr="003448A1">
        <w:rPr>
          <w:rFonts w:asciiTheme="minorHAnsi" w:hAnsiTheme="minorHAnsi"/>
          <w:color w:val="000000"/>
        </w:rPr>
        <w:t>, 17(1), pp. 8–15.</w:t>
      </w:r>
      <w:r w:rsidR="00F33242">
        <w:rPr>
          <w:rFonts w:asciiTheme="minorHAnsi" w:hAnsiTheme="minorHAnsi"/>
          <w:color w:val="000000"/>
        </w:rPr>
        <w:t xml:space="preserve"> Available at: </w:t>
      </w:r>
      <w:hyperlink r:id="rId17" w:history="1">
        <w:r w:rsidR="00F33242" w:rsidRPr="001B6DBF">
          <w:rPr>
            <w:rStyle w:val="Hyperlink"/>
            <w:rFonts w:asciiTheme="minorHAnsi" w:hAnsiTheme="minorHAnsi"/>
          </w:rPr>
          <w:t>https://journals.sagepub.com/doi/abs/10.1177/1463949115627895</w:t>
        </w:r>
      </w:hyperlink>
      <w:r w:rsidR="00F33242">
        <w:rPr>
          <w:rFonts w:asciiTheme="minorHAnsi" w:hAnsiTheme="minorHAnsi"/>
          <w:color w:val="000000"/>
        </w:rPr>
        <w:t xml:space="preserve"> (Accessed:</w:t>
      </w:r>
      <w:r w:rsidR="00F34210">
        <w:rPr>
          <w:rFonts w:asciiTheme="minorHAnsi" w:hAnsiTheme="minorHAnsi"/>
          <w:color w:val="000000"/>
        </w:rPr>
        <w:t xml:space="preserve"> 25 March 2026).</w:t>
      </w:r>
    </w:p>
    <w:p w14:paraId="2BADCEC6" w14:textId="040786A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lastRenderedPageBreak/>
        <w:t>OECD (2020)</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Early learning and child well-being: A study of five-year-olds in England, Estonia, and the United States</w:t>
      </w:r>
      <w:r w:rsidRPr="003448A1">
        <w:rPr>
          <w:rFonts w:asciiTheme="minorHAnsi" w:hAnsiTheme="minorHAnsi"/>
          <w:color w:val="000000"/>
        </w:rPr>
        <w:t>. Paris: OECD Publishing.</w:t>
      </w:r>
      <w:r w:rsidR="00C84A48">
        <w:rPr>
          <w:rFonts w:asciiTheme="minorHAnsi" w:hAnsiTheme="minorHAnsi"/>
          <w:color w:val="000000"/>
        </w:rPr>
        <w:t xml:space="preserve"> Available at: </w:t>
      </w:r>
      <w:hyperlink r:id="rId18" w:history="1">
        <w:r w:rsidR="00C84A48" w:rsidRPr="001B6DBF">
          <w:rPr>
            <w:rStyle w:val="Hyperlink"/>
            <w:rFonts w:asciiTheme="minorHAnsi" w:hAnsiTheme="minorHAnsi"/>
          </w:rPr>
          <w:t>https://www.oecd.org/content/dam/oecd/en/publications/reports/2020/03/early-learning-and-child-well-being_74042660/3990407f-en.pdf</w:t>
        </w:r>
      </w:hyperlink>
      <w:r w:rsidR="00C84A48">
        <w:rPr>
          <w:rFonts w:asciiTheme="minorHAnsi" w:hAnsiTheme="minorHAnsi"/>
          <w:color w:val="000000"/>
        </w:rPr>
        <w:t xml:space="preserve"> (Accessed:</w:t>
      </w:r>
      <w:r w:rsidR="00F34210">
        <w:rPr>
          <w:rFonts w:asciiTheme="minorHAnsi" w:hAnsiTheme="minorHAnsi"/>
          <w:color w:val="000000"/>
        </w:rPr>
        <w:t xml:space="preserve"> 25 March 2026).</w:t>
      </w:r>
    </w:p>
    <w:p w14:paraId="45E240A5" w14:textId="1225CE55"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OECD (2022)</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Starting strong VI: Supporting meaningful interactions in early childhood education and care</w:t>
      </w:r>
      <w:r w:rsidRPr="003448A1">
        <w:rPr>
          <w:rFonts w:asciiTheme="minorHAnsi" w:hAnsiTheme="minorHAnsi"/>
          <w:color w:val="000000"/>
        </w:rPr>
        <w:t>. Paris: OECD Publishing.</w:t>
      </w:r>
      <w:r w:rsidR="00C15A7A">
        <w:rPr>
          <w:rFonts w:asciiTheme="minorHAnsi" w:hAnsiTheme="minorHAnsi"/>
          <w:color w:val="000000"/>
        </w:rPr>
        <w:t xml:space="preserve"> Available at: </w:t>
      </w:r>
      <w:hyperlink r:id="rId19" w:history="1">
        <w:r w:rsidR="00C15A7A" w:rsidRPr="001B6DBF">
          <w:rPr>
            <w:rStyle w:val="Hyperlink"/>
            <w:rFonts w:asciiTheme="minorHAnsi" w:hAnsiTheme="minorHAnsi"/>
          </w:rPr>
          <w:t>https://www.oecd.org/content/dam/oecd/en/publications/reports/2021/06/starting-strong-vi_0a304435/f47a06ae-en.pdf</w:t>
        </w:r>
      </w:hyperlink>
      <w:r w:rsidR="00C15A7A">
        <w:rPr>
          <w:rFonts w:asciiTheme="minorHAnsi" w:hAnsiTheme="minorHAnsi"/>
          <w:color w:val="000000"/>
        </w:rPr>
        <w:t xml:space="preserve"> (Accessed:</w:t>
      </w:r>
      <w:r w:rsidR="00F34210">
        <w:rPr>
          <w:rFonts w:asciiTheme="minorHAnsi" w:hAnsiTheme="minorHAnsi"/>
          <w:color w:val="000000"/>
        </w:rPr>
        <w:t xml:space="preserve"> 23 March 2026). </w:t>
      </w:r>
    </w:p>
    <w:p w14:paraId="13D6D50F"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Osgood, J. (2021)</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Feminists researching gendered childhoods: Generative entanglements</w:t>
      </w:r>
      <w:r w:rsidRPr="003448A1">
        <w:rPr>
          <w:rFonts w:asciiTheme="minorHAnsi" w:hAnsiTheme="minorHAnsi"/>
          <w:color w:val="000000"/>
        </w:rPr>
        <w:t>. London: Bloomsbury.</w:t>
      </w:r>
    </w:p>
    <w:p w14:paraId="33B84F21" w14:textId="5884763B"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Pascal, C., Bertram, T. and Rouse, L. (2019)</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 xml:space="preserve">Getting it right in the early </w:t>
      </w:r>
      <w:r w:rsidR="001B6AE4" w:rsidRPr="003448A1">
        <w:rPr>
          <w:rStyle w:val="Emphasis"/>
          <w:rFonts w:asciiTheme="minorHAnsi" w:eastAsiaTheme="majorEastAsia" w:hAnsiTheme="minorHAnsi"/>
          <w:color w:val="000000"/>
        </w:rPr>
        <w:t>year’s</w:t>
      </w:r>
      <w:r w:rsidRPr="003448A1">
        <w:rPr>
          <w:rStyle w:val="Emphasis"/>
          <w:rFonts w:asciiTheme="minorHAnsi" w:eastAsiaTheme="majorEastAsia" w:hAnsiTheme="minorHAnsi"/>
          <w:color w:val="000000"/>
        </w:rPr>
        <w:t xml:space="preserve"> foundation stage: A review of the evidence</w:t>
      </w:r>
      <w:r w:rsidRPr="003448A1">
        <w:rPr>
          <w:rFonts w:asciiTheme="minorHAnsi" w:hAnsiTheme="minorHAnsi"/>
          <w:color w:val="000000"/>
        </w:rPr>
        <w:t xml:space="preserve">. </w:t>
      </w:r>
      <w:r w:rsidR="00C15A7A">
        <w:rPr>
          <w:rFonts w:asciiTheme="minorHAnsi" w:hAnsiTheme="minorHAnsi"/>
          <w:color w:val="000000"/>
        </w:rPr>
        <w:t xml:space="preserve">Available at: </w:t>
      </w:r>
      <w:hyperlink r:id="rId20" w:history="1">
        <w:r w:rsidR="00C15A7A" w:rsidRPr="001B6DBF">
          <w:rPr>
            <w:rStyle w:val="Hyperlink"/>
            <w:rFonts w:asciiTheme="minorHAnsi" w:hAnsiTheme="minorHAnsi"/>
          </w:rPr>
          <w:t>https://early-education.org.uk/wp-content/uploads/2021/12/Getting-it-right-in-the-EYFS-Literature-Review.pdf</w:t>
        </w:r>
      </w:hyperlink>
      <w:r w:rsidR="00C15A7A">
        <w:rPr>
          <w:rFonts w:asciiTheme="minorHAnsi" w:hAnsiTheme="minorHAnsi"/>
          <w:color w:val="000000"/>
        </w:rPr>
        <w:t xml:space="preserve"> (Accessed:</w:t>
      </w:r>
      <w:r w:rsidR="00B40BCA">
        <w:rPr>
          <w:rFonts w:asciiTheme="minorHAnsi" w:hAnsiTheme="minorHAnsi"/>
          <w:color w:val="000000"/>
        </w:rPr>
        <w:t xml:space="preserve"> 23 March 2026).</w:t>
      </w:r>
    </w:p>
    <w:p w14:paraId="40C0850C"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Penn, H. (2011)</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Quality in early childhood services</w:t>
      </w:r>
      <w:r w:rsidRPr="003448A1">
        <w:rPr>
          <w:rFonts w:asciiTheme="minorHAnsi" w:hAnsiTheme="minorHAnsi"/>
          <w:color w:val="000000"/>
        </w:rPr>
        <w:t>. Maidenhead: Open University Press.</w:t>
      </w:r>
    </w:p>
    <w:p w14:paraId="34BCF1F4" w14:textId="24E8FE4A"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Pianta, R.C., Downer, J.T. and Hamre, B.K. (2016) ‘Quality in early education classrooms’,</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Future of Children</w:t>
      </w:r>
      <w:r w:rsidRPr="003448A1">
        <w:rPr>
          <w:rFonts w:asciiTheme="minorHAnsi" w:hAnsiTheme="minorHAnsi"/>
          <w:color w:val="000000"/>
        </w:rPr>
        <w:t>, 26(2), pp. 119–137.</w:t>
      </w:r>
      <w:r w:rsidR="00C15A7A">
        <w:rPr>
          <w:rFonts w:asciiTheme="minorHAnsi" w:hAnsiTheme="minorHAnsi"/>
          <w:color w:val="000000"/>
        </w:rPr>
        <w:t xml:space="preserve"> Available at: </w:t>
      </w:r>
      <w:hyperlink r:id="rId21" w:history="1">
        <w:r w:rsidR="00C15A7A" w:rsidRPr="001B6DBF">
          <w:rPr>
            <w:rStyle w:val="Hyperlink"/>
            <w:rFonts w:asciiTheme="minorHAnsi" w:hAnsiTheme="minorHAnsi"/>
          </w:rPr>
          <w:t>https://files.eric.ed.gov/fulltext/EJ1118551.pdf</w:t>
        </w:r>
      </w:hyperlink>
      <w:r w:rsidR="00C15A7A">
        <w:rPr>
          <w:rFonts w:asciiTheme="minorHAnsi" w:hAnsiTheme="minorHAnsi"/>
          <w:color w:val="000000"/>
        </w:rPr>
        <w:t xml:space="preserve"> (Accessed: </w:t>
      </w:r>
      <w:r w:rsidR="00DB604E">
        <w:rPr>
          <w:rFonts w:asciiTheme="minorHAnsi" w:hAnsiTheme="minorHAnsi"/>
          <w:color w:val="000000"/>
        </w:rPr>
        <w:t>26 March 2026).</w:t>
      </w:r>
    </w:p>
    <w:p w14:paraId="4F9AFA40" w14:textId="36E482EA"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Richards, C. (2022)</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Early childhood directors’ perspectives regarding barriers to childcare quality improvement</w:t>
      </w:r>
      <w:r w:rsidRPr="003448A1">
        <w:rPr>
          <w:rFonts w:asciiTheme="minorHAnsi" w:hAnsiTheme="minorHAnsi"/>
          <w:color w:val="000000"/>
        </w:rPr>
        <w:t xml:space="preserve">. </w:t>
      </w:r>
      <w:r w:rsidR="000249F0">
        <w:rPr>
          <w:rFonts w:asciiTheme="minorHAnsi" w:hAnsiTheme="minorHAnsi"/>
          <w:color w:val="000000"/>
        </w:rPr>
        <w:t xml:space="preserve">Available at: </w:t>
      </w:r>
      <w:hyperlink r:id="rId22" w:history="1">
        <w:r w:rsidR="000249F0" w:rsidRPr="001B6DBF">
          <w:rPr>
            <w:rStyle w:val="Hyperlink"/>
            <w:rFonts w:asciiTheme="minorHAnsi" w:hAnsiTheme="minorHAnsi"/>
          </w:rPr>
          <w:t>https://www.proquest.com/docview/2654047435?fromopenview=true&amp;pq-origsite=gscholar&amp;sourcetype=Dissertations%20&amp;%20Theses</w:t>
        </w:r>
      </w:hyperlink>
      <w:r w:rsidR="000249F0">
        <w:rPr>
          <w:rFonts w:asciiTheme="minorHAnsi" w:hAnsiTheme="minorHAnsi"/>
          <w:color w:val="000000"/>
        </w:rPr>
        <w:t xml:space="preserve"> (Accessed:</w:t>
      </w:r>
      <w:r w:rsidR="00DB604E">
        <w:rPr>
          <w:rFonts w:asciiTheme="minorHAnsi" w:hAnsiTheme="minorHAnsi"/>
          <w:color w:val="000000"/>
        </w:rPr>
        <w:t xml:space="preserve"> 29 March 2026).</w:t>
      </w:r>
    </w:p>
    <w:p w14:paraId="077F5693"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Schön, D.A. (1983)</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The reflective practitioner</w:t>
      </w:r>
      <w:r w:rsidRPr="003448A1">
        <w:rPr>
          <w:rFonts w:asciiTheme="minorHAnsi" w:hAnsiTheme="minorHAnsi"/>
          <w:color w:val="000000"/>
        </w:rPr>
        <w:t>. New York: Basic Books.</w:t>
      </w:r>
    </w:p>
    <w:p w14:paraId="3B28F967" w14:textId="1EB87A2B"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Siraj, I., Kingston, D. and Melhuish, E. (2015)</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Assessing quality in early childhood education and care: Sustained shared thinking and emotional well-being (SSTEW) scale</w:t>
      </w:r>
      <w:r w:rsidRPr="003448A1">
        <w:rPr>
          <w:rFonts w:asciiTheme="minorHAnsi" w:hAnsiTheme="minorHAnsi"/>
          <w:color w:val="000000"/>
        </w:rPr>
        <w:t>. London: UCL Institute of Education Press.</w:t>
      </w:r>
      <w:r w:rsidR="000249F0">
        <w:rPr>
          <w:rFonts w:asciiTheme="minorHAnsi" w:hAnsiTheme="minorHAnsi"/>
          <w:color w:val="000000"/>
        </w:rPr>
        <w:t xml:space="preserve"> Available at: </w:t>
      </w:r>
      <w:hyperlink r:id="rId23" w:history="1">
        <w:r w:rsidR="000249F0" w:rsidRPr="001B6DBF">
          <w:rPr>
            <w:rStyle w:val="Hyperlink"/>
            <w:rFonts w:asciiTheme="minorHAnsi" w:hAnsiTheme="minorHAnsi"/>
          </w:rPr>
          <w:t>https://www.researchgate.net/publication/272349364_Assessing_Quality_in_early_Childhood_Education_and_Care_Sustained_shared_thinking_and_emotional_well-being_SSTEW_for_2-5_year-olds_provision</w:t>
        </w:r>
      </w:hyperlink>
      <w:r w:rsidR="000249F0">
        <w:rPr>
          <w:rFonts w:asciiTheme="minorHAnsi" w:hAnsiTheme="minorHAnsi"/>
          <w:color w:val="000000"/>
        </w:rPr>
        <w:t xml:space="preserve"> (Accessed:</w:t>
      </w:r>
      <w:r w:rsidR="00DB604E">
        <w:rPr>
          <w:rFonts w:asciiTheme="minorHAnsi" w:hAnsiTheme="minorHAnsi"/>
          <w:color w:val="000000"/>
        </w:rPr>
        <w:t xml:space="preserve"> 26 March 2026).</w:t>
      </w:r>
    </w:p>
    <w:p w14:paraId="2DF4C082" w14:textId="5AA8949F"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Siraj-Blatchford, I. and Manni, L. (20</w:t>
      </w:r>
      <w:r w:rsidR="00D93AEF">
        <w:rPr>
          <w:rFonts w:asciiTheme="minorHAnsi" w:hAnsiTheme="minorHAnsi"/>
          <w:color w:val="000000"/>
        </w:rPr>
        <w:t>07</w:t>
      </w:r>
      <w:r w:rsidRPr="003448A1">
        <w:rPr>
          <w:rFonts w:asciiTheme="minorHAnsi" w:hAnsiTheme="minorHAnsi"/>
          <w:color w:val="000000"/>
        </w:rPr>
        <w:t>)</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Effective leadership in the early years sector</w:t>
      </w:r>
      <w:r w:rsidRPr="003448A1">
        <w:rPr>
          <w:rFonts w:asciiTheme="minorHAnsi" w:hAnsiTheme="minorHAnsi"/>
          <w:color w:val="000000"/>
        </w:rPr>
        <w:t>. London: Education Development Trust.</w:t>
      </w:r>
    </w:p>
    <w:p w14:paraId="2189F7C5" w14:textId="11A4306F"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Sims, M. and Waniganayake, M. (2015) ‘The performance of compliance’,</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Australasian Journal of Early Childhood</w:t>
      </w:r>
      <w:r w:rsidRPr="003448A1">
        <w:rPr>
          <w:rFonts w:asciiTheme="minorHAnsi" w:hAnsiTheme="minorHAnsi"/>
          <w:color w:val="000000"/>
        </w:rPr>
        <w:t>, 40(3), pp. 15–21.</w:t>
      </w:r>
      <w:r w:rsidR="00925332">
        <w:rPr>
          <w:rFonts w:asciiTheme="minorHAnsi" w:hAnsiTheme="minorHAnsi"/>
          <w:color w:val="000000"/>
        </w:rPr>
        <w:t xml:space="preserve"> Available at: </w:t>
      </w:r>
      <w:hyperlink r:id="rId24" w:history="1">
        <w:r w:rsidR="00925332" w:rsidRPr="001B6DBF">
          <w:rPr>
            <w:rStyle w:val="Hyperlink"/>
            <w:rFonts w:asciiTheme="minorHAnsi" w:hAnsiTheme="minorHAnsi"/>
          </w:rPr>
          <w:t>https://rune.une.edu.au/entities/publication/0e38e69f-4868-4be1-b9e2-a599847266ba</w:t>
        </w:r>
      </w:hyperlink>
      <w:r w:rsidR="00925332">
        <w:rPr>
          <w:rFonts w:asciiTheme="minorHAnsi" w:hAnsiTheme="minorHAnsi"/>
          <w:color w:val="000000"/>
        </w:rPr>
        <w:t xml:space="preserve"> (Accessed:</w:t>
      </w:r>
      <w:r w:rsidR="006D5E2D">
        <w:rPr>
          <w:rFonts w:asciiTheme="minorHAnsi" w:hAnsiTheme="minorHAnsi"/>
          <w:color w:val="000000"/>
        </w:rPr>
        <w:t xml:space="preserve"> </w:t>
      </w:r>
      <w:r w:rsidR="00906F7F">
        <w:rPr>
          <w:rFonts w:asciiTheme="minorHAnsi" w:hAnsiTheme="minorHAnsi"/>
          <w:color w:val="000000"/>
        </w:rPr>
        <w:t>23 March 2026).</w:t>
      </w:r>
    </w:p>
    <w:p w14:paraId="44F3116A" w14:textId="3EBC6C35"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Sims, M., Waniganayake, M. and Hadley, F. (2019) ‘Educational leadership: An evolving role in early childhood education’,</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Educational Management Administration &amp; Leadership</w:t>
      </w:r>
      <w:r w:rsidRPr="003448A1">
        <w:rPr>
          <w:rFonts w:asciiTheme="minorHAnsi" w:hAnsiTheme="minorHAnsi"/>
          <w:color w:val="000000"/>
        </w:rPr>
        <w:t>, 47(4), pp. 638–654.</w:t>
      </w:r>
      <w:r w:rsidR="00925332">
        <w:rPr>
          <w:rFonts w:asciiTheme="minorHAnsi" w:hAnsiTheme="minorHAnsi"/>
          <w:color w:val="000000"/>
        </w:rPr>
        <w:t xml:space="preserve"> Available at: </w:t>
      </w:r>
      <w:hyperlink r:id="rId25" w:history="1">
        <w:r w:rsidR="00925332" w:rsidRPr="001B6DBF">
          <w:rPr>
            <w:rStyle w:val="Hyperlink"/>
            <w:rFonts w:asciiTheme="minorHAnsi" w:hAnsiTheme="minorHAnsi"/>
          </w:rPr>
          <w:t>https://www.researchgate.net/publication/317633013_Educational_leadership_An_evolving_role_in_Australian_early_childhood_settings</w:t>
        </w:r>
      </w:hyperlink>
      <w:r w:rsidR="00925332">
        <w:rPr>
          <w:rFonts w:asciiTheme="minorHAnsi" w:hAnsiTheme="minorHAnsi"/>
          <w:color w:val="000000"/>
        </w:rPr>
        <w:t xml:space="preserve"> (Accessed:</w:t>
      </w:r>
      <w:r w:rsidR="00906F7F">
        <w:rPr>
          <w:rFonts w:asciiTheme="minorHAnsi" w:hAnsiTheme="minorHAnsi"/>
          <w:color w:val="000000"/>
        </w:rPr>
        <w:t xml:space="preserve"> 25 March 2026).</w:t>
      </w:r>
    </w:p>
    <w:p w14:paraId="3BEFE8F9" w14:textId="15C4905F"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Slot, P.L. (2018) ‘Structural characteristics and process quality in early childhood education and care: A literature review’,</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OECD Education Working Papers</w:t>
      </w:r>
      <w:r w:rsidRPr="003448A1">
        <w:rPr>
          <w:rFonts w:asciiTheme="minorHAnsi" w:hAnsiTheme="minorHAnsi"/>
          <w:color w:val="000000"/>
        </w:rPr>
        <w:t>, No. 176.</w:t>
      </w:r>
      <w:r w:rsidR="00DC2CAE">
        <w:rPr>
          <w:rFonts w:asciiTheme="minorHAnsi" w:hAnsiTheme="minorHAnsi"/>
          <w:color w:val="000000"/>
        </w:rPr>
        <w:t xml:space="preserve"> Available at: </w:t>
      </w:r>
      <w:hyperlink r:id="rId26" w:history="1">
        <w:r w:rsidR="00DC2CAE" w:rsidRPr="001B6DBF">
          <w:rPr>
            <w:rStyle w:val="Hyperlink"/>
            <w:rFonts w:asciiTheme="minorHAnsi" w:hAnsiTheme="minorHAnsi"/>
          </w:rPr>
          <w:t>https://www.oecd.org/en/publications/structural-characteristics-and-process-quality-in-early-childhood-education-and-care_edaf3793-en.html</w:t>
        </w:r>
      </w:hyperlink>
      <w:r w:rsidR="00DC2CAE">
        <w:rPr>
          <w:rFonts w:asciiTheme="minorHAnsi" w:hAnsiTheme="minorHAnsi"/>
          <w:color w:val="000000"/>
        </w:rPr>
        <w:t xml:space="preserve"> (Accessed:</w:t>
      </w:r>
      <w:r w:rsidR="00B40BCA">
        <w:rPr>
          <w:rFonts w:asciiTheme="minorHAnsi" w:hAnsiTheme="minorHAnsi"/>
          <w:color w:val="000000"/>
        </w:rPr>
        <w:t>23 March 2026).</w:t>
      </w:r>
    </w:p>
    <w:p w14:paraId="7DC96DA6" w14:textId="48F89428"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Sylva, K., Melhuish, E., Sammons, P., Siraj, I. and Taggart, B. (2018)</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Effective pre-school, primary and secondary education (EPPSE 3–16) project</w:t>
      </w:r>
      <w:r w:rsidRPr="003448A1">
        <w:rPr>
          <w:rFonts w:asciiTheme="minorHAnsi" w:hAnsiTheme="minorHAnsi"/>
          <w:color w:val="000000"/>
        </w:rPr>
        <w:t xml:space="preserve">. </w:t>
      </w:r>
      <w:r w:rsidR="00DC2CAE">
        <w:rPr>
          <w:rFonts w:asciiTheme="minorHAnsi" w:hAnsiTheme="minorHAnsi"/>
          <w:color w:val="000000"/>
        </w:rPr>
        <w:t xml:space="preserve">Available at: </w:t>
      </w:r>
      <w:hyperlink r:id="rId27" w:history="1">
        <w:r w:rsidR="00DC2CAE" w:rsidRPr="001B6DBF">
          <w:rPr>
            <w:rStyle w:val="Hyperlink"/>
            <w:rFonts w:asciiTheme="minorHAnsi" w:hAnsiTheme="minorHAnsi"/>
          </w:rPr>
          <w:t>https://assets.publishing.service.gov.uk/media/5a803cb240f0b62305b89fbf/RB455_Effective_pre-school_primary_and_secondary_education_project.pdf.pdf</w:t>
        </w:r>
      </w:hyperlink>
      <w:r w:rsidR="00DC2CAE">
        <w:rPr>
          <w:rFonts w:asciiTheme="minorHAnsi" w:hAnsiTheme="minorHAnsi"/>
          <w:color w:val="000000"/>
        </w:rPr>
        <w:t xml:space="preserve"> (Accessed:</w:t>
      </w:r>
      <w:r w:rsidR="00BE5C97">
        <w:rPr>
          <w:rFonts w:asciiTheme="minorHAnsi" w:hAnsiTheme="minorHAnsi"/>
          <w:color w:val="000000"/>
        </w:rPr>
        <w:t xml:space="preserve"> </w:t>
      </w:r>
      <w:r w:rsidR="00B40BCA">
        <w:rPr>
          <w:rFonts w:asciiTheme="minorHAnsi" w:hAnsiTheme="minorHAnsi"/>
          <w:color w:val="000000"/>
        </w:rPr>
        <w:t>23 March 2026).</w:t>
      </w:r>
    </w:p>
    <w:p w14:paraId="3380674D" w14:textId="4B99B410"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United Nations (1989)</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Convention on the Rights of the Child</w:t>
      </w:r>
      <w:r w:rsidRPr="003448A1">
        <w:rPr>
          <w:rFonts w:asciiTheme="minorHAnsi" w:hAnsiTheme="minorHAnsi"/>
          <w:color w:val="000000"/>
        </w:rPr>
        <w:t xml:space="preserve">. </w:t>
      </w:r>
      <w:r w:rsidR="00DC2CAE">
        <w:rPr>
          <w:rFonts w:asciiTheme="minorHAnsi" w:hAnsiTheme="minorHAnsi"/>
          <w:color w:val="000000"/>
        </w:rPr>
        <w:t xml:space="preserve">Available at: </w:t>
      </w:r>
      <w:hyperlink r:id="rId28" w:history="1">
        <w:r w:rsidR="00DC2CAE" w:rsidRPr="001B6DBF">
          <w:rPr>
            <w:rStyle w:val="Hyperlink"/>
            <w:rFonts w:asciiTheme="minorHAnsi" w:hAnsiTheme="minorHAnsi"/>
          </w:rPr>
          <w:t>https://www.ohchr.org/en/instruments-mechanisms/instruments/convention-rights-child</w:t>
        </w:r>
      </w:hyperlink>
      <w:r w:rsidR="00DC2CAE">
        <w:rPr>
          <w:rFonts w:asciiTheme="minorHAnsi" w:hAnsiTheme="minorHAnsi"/>
          <w:color w:val="000000"/>
        </w:rPr>
        <w:t xml:space="preserve"> (Accessed:</w:t>
      </w:r>
      <w:r w:rsidR="00906F7F">
        <w:rPr>
          <w:rFonts w:asciiTheme="minorHAnsi" w:hAnsiTheme="minorHAnsi"/>
          <w:color w:val="000000"/>
        </w:rPr>
        <w:t xml:space="preserve"> </w:t>
      </w:r>
      <w:r w:rsidR="009B4881">
        <w:rPr>
          <w:rFonts w:asciiTheme="minorHAnsi" w:hAnsiTheme="minorHAnsi"/>
          <w:color w:val="000000"/>
        </w:rPr>
        <w:t>1 April</w:t>
      </w:r>
      <w:r w:rsidR="00906F7F">
        <w:rPr>
          <w:rFonts w:asciiTheme="minorHAnsi" w:hAnsiTheme="minorHAnsi"/>
          <w:color w:val="000000"/>
        </w:rPr>
        <w:t xml:space="preserve"> 2026).</w:t>
      </w:r>
    </w:p>
    <w:p w14:paraId="6007C153" w14:textId="6C7A181E"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Urban, M., Vandenbroeck, M., Lazzari, A., Van Laere, K. and Peeters, J. (201</w:t>
      </w:r>
      <w:r w:rsidR="005B3486">
        <w:rPr>
          <w:rFonts w:asciiTheme="minorHAnsi" w:hAnsiTheme="minorHAnsi"/>
          <w:color w:val="000000"/>
        </w:rPr>
        <w:t>2</w:t>
      </w:r>
      <w:r w:rsidRPr="003448A1">
        <w:rPr>
          <w:rFonts w:asciiTheme="minorHAnsi" w:hAnsiTheme="minorHAnsi"/>
          <w:color w:val="000000"/>
        </w:rPr>
        <w:t>)</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Towards competent systems in early childhood education and care</w:t>
      </w:r>
      <w:r w:rsidRPr="003448A1">
        <w:rPr>
          <w:rFonts w:asciiTheme="minorHAnsi" w:hAnsiTheme="minorHAnsi"/>
          <w:color w:val="000000"/>
        </w:rPr>
        <w:t xml:space="preserve">. </w:t>
      </w:r>
      <w:r w:rsidR="000F1D7C">
        <w:rPr>
          <w:rFonts w:asciiTheme="minorHAnsi" w:hAnsiTheme="minorHAnsi"/>
          <w:color w:val="000000"/>
        </w:rPr>
        <w:t xml:space="preserve">Available at: </w:t>
      </w:r>
      <w:hyperlink r:id="rId29" w:history="1">
        <w:r w:rsidR="000F1D7C" w:rsidRPr="001B6DBF">
          <w:rPr>
            <w:rStyle w:val="Hyperlink"/>
            <w:rFonts w:asciiTheme="minorHAnsi" w:hAnsiTheme="minorHAnsi"/>
          </w:rPr>
          <w:t>https://onlinelibrary.wiley.com/doi/abs/10.1111/ejed.12010?casa_token=9nzOoqvTKCgAAAAA%3A3vvs-rnX24qMF51ubRijH5k5MnnYFZFWeBT9bkzoJtZdStWppcOr26OZDm11Vcz4XqeZDPACftxLFwtP</w:t>
        </w:r>
      </w:hyperlink>
      <w:r w:rsidR="000F1D7C">
        <w:rPr>
          <w:rFonts w:asciiTheme="minorHAnsi" w:hAnsiTheme="minorHAnsi"/>
          <w:color w:val="000000"/>
        </w:rPr>
        <w:t xml:space="preserve"> (</w:t>
      </w:r>
      <w:r w:rsidR="00F34210">
        <w:rPr>
          <w:rFonts w:asciiTheme="minorHAnsi" w:hAnsiTheme="minorHAnsi"/>
          <w:color w:val="000000"/>
        </w:rPr>
        <w:t>A</w:t>
      </w:r>
      <w:r w:rsidR="000F1D7C">
        <w:rPr>
          <w:rFonts w:asciiTheme="minorHAnsi" w:hAnsiTheme="minorHAnsi"/>
          <w:color w:val="000000"/>
        </w:rPr>
        <w:t xml:space="preserve">ccessed: </w:t>
      </w:r>
      <w:r w:rsidR="00F34210">
        <w:rPr>
          <w:rFonts w:asciiTheme="minorHAnsi" w:hAnsiTheme="minorHAnsi"/>
          <w:color w:val="000000"/>
        </w:rPr>
        <w:t>25 March 2026).</w:t>
      </w:r>
    </w:p>
    <w:p w14:paraId="24906A84" w14:textId="66B95A9E"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Waniganayake, M., Cheeseman, S., Fenech, M., Hadley, F. and Shepherd, W. (2017</w:t>
      </w:r>
      <w:r w:rsidR="001B6AE4" w:rsidRPr="003448A1">
        <w:rPr>
          <w:rFonts w:asciiTheme="minorHAnsi" w:hAnsiTheme="minorHAnsi"/>
          <w:color w:val="000000"/>
        </w:rPr>
        <w:t>)</w:t>
      </w:r>
      <w:r w:rsidR="001B6AE4" w:rsidRPr="003448A1">
        <w:rPr>
          <w:rStyle w:val="apple-converted-space"/>
          <w:rFonts w:asciiTheme="minorHAnsi" w:eastAsiaTheme="majorEastAsia" w:hAnsiTheme="minorHAnsi"/>
          <w:color w:val="000000"/>
        </w:rPr>
        <w:t>.</w:t>
      </w:r>
      <w:r w:rsidR="00DE5009">
        <w:rPr>
          <w:rStyle w:val="apple-converted-space"/>
          <w:rFonts w:asciiTheme="minorHAnsi" w:eastAsiaTheme="majorEastAsia" w:hAnsiTheme="minorHAnsi"/>
          <w:color w:val="000000"/>
        </w:rPr>
        <w:t xml:space="preserve"> </w:t>
      </w:r>
      <w:r w:rsidRPr="003448A1">
        <w:rPr>
          <w:rStyle w:val="Emphasis"/>
          <w:rFonts w:asciiTheme="minorHAnsi" w:eastAsiaTheme="majorEastAsia" w:hAnsiTheme="minorHAnsi"/>
          <w:color w:val="000000"/>
        </w:rPr>
        <w:t>Leadership: Contexts and complexities in early childhood education</w:t>
      </w:r>
      <w:r w:rsidRPr="003448A1">
        <w:rPr>
          <w:rFonts w:asciiTheme="minorHAnsi" w:hAnsiTheme="minorHAnsi"/>
          <w:color w:val="000000"/>
        </w:rPr>
        <w:t>. Oxford: Oxford University Press.</w:t>
      </w:r>
      <w:r w:rsidR="000F1D7C">
        <w:rPr>
          <w:rFonts w:asciiTheme="minorHAnsi" w:hAnsiTheme="minorHAnsi"/>
          <w:color w:val="000000"/>
        </w:rPr>
        <w:t xml:space="preserve"> Available at: </w:t>
      </w:r>
      <w:hyperlink r:id="rId30" w:history="1">
        <w:r w:rsidR="000F1D7C" w:rsidRPr="001B6DBF">
          <w:rPr>
            <w:rStyle w:val="Hyperlink"/>
            <w:rFonts w:asciiTheme="minorHAnsi" w:hAnsiTheme="minorHAnsi"/>
          </w:rPr>
          <w:t>https://www.researchgate.net/publication/272085994_Waniganayake_M_Cheeseman_S_Fenech_M_Hadley_F_Shepherd_W_2012_Leadership_Contexts_and_complexities_in_Early_Childhood_Education_South_Melbourne_Oxford_University_Press</w:t>
        </w:r>
      </w:hyperlink>
      <w:r w:rsidR="000F1D7C">
        <w:rPr>
          <w:rFonts w:asciiTheme="minorHAnsi" w:hAnsiTheme="minorHAnsi"/>
          <w:color w:val="000000"/>
        </w:rPr>
        <w:t xml:space="preserve"> (Accessed:</w:t>
      </w:r>
      <w:r w:rsidR="00DB604E">
        <w:rPr>
          <w:rFonts w:asciiTheme="minorHAnsi" w:hAnsiTheme="minorHAnsi"/>
          <w:color w:val="000000"/>
        </w:rPr>
        <w:t xml:space="preserve"> 29 March 2026).</w:t>
      </w:r>
    </w:p>
    <w:p w14:paraId="03AE1C02" w14:textId="7BDDAB66" w:rsidR="00DE5009" w:rsidRPr="003448A1" w:rsidRDefault="003448A1" w:rsidP="00DE5009">
      <w:pPr>
        <w:pStyle w:val="NormalWeb"/>
        <w:rPr>
          <w:rFonts w:asciiTheme="minorHAnsi" w:hAnsiTheme="minorHAnsi"/>
          <w:color w:val="000000"/>
        </w:rPr>
      </w:pPr>
      <w:r w:rsidRPr="003448A1">
        <w:rPr>
          <w:rFonts w:asciiTheme="minorHAnsi" w:hAnsiTheme="minorHAnsi"/>
          <w:color w:val="000000"/>
        </w:rPr>
        <w:t>Welsh Government (2015)</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Well-being of Future Generations (Wales) Act 2015</w:t>
      </w:r>
      <w:r w:rsidRPr="003448A1">
        <w:rPr>
          <w:rFonts w:asciiTheme="minorHAnsi" w:hAnsiTheme="minorHAnsi"/>
          <w:color w:val="000000"/>
        </w:rPr>
        <w:t>. Cardiff: Welsh Government.</w:t>
      </w:r>
      <w:r w:rsidR="00DE5009">
        <w:rPr>
          <w:rFonts w:asciiTheme="minorHAnsi" w:hAnsiTheme="minorHAnsi"/>
          <w:color w:val="000000"/>
        </w:rPr>
        <w:t xml:space="preserve"> Available at: </w:t>
      </w:r>
      <w:hyperlink r:id="rId31" w:history="1">
        <w:r w:rsidR="00DE5009" w:rsidRPr="001B6DBF">
          <w:rPr>
            <w:rStyle w:val="Hyperlink"/>
            <w:rFonts w:asciiTheme="minorHAnsi" w:hAnsiTheme="minorHAnsi"/>
          </w:rPr>
          <w:t>https://www.gov.wales/well-being-of-future-generations-wales</w:t>
        </w:r>
      </w:hyperlink>
      <w:r w:rsidR="00DE5009">
        <w:rPr>
          <w:rFonts w:asciiTheme="minorHAnsi" w:hAnsiTheme="minorHAnsi"/>
          <w:color w:val="000000"/>
        </w:rPr>
        <w:t xml:space="preserve"> (Accessed:</w:t>
      </w:r>
      <w:r w:rsidR="00906F7F">
        <w:rPr>
          <w:rFonts w:asciiTheme="minorHAnsi" w:hAnsiTheme="minorHAnsi"/>
          <w:color w:val="000000"/>
        </w:rPr>
        <w:t xml:space="preserve"> </w:t>
      </w:r>
      <w:r w:rsidR="009B4881">
        <w:rPr>
          <w:rFonts w:asciiTheme="minorHAnsi" w:hAnsiTheme="minorHAnsi"/>
          <w:color w:val="000000"/>
        </w:rPr>
        <w:t>1 April</w:t>
      </w:r>
      <w:r w:rsidR="00906F7F">
        <w:rPr>
          <w:rFonts w:asciiTheme="minorHAnsi" w:hAnsiTheme="minorHAnsi"/>
          <w:color w:val="000000"/>
        </w:rPr>
        <w:t xml:space="preserve"> 2026).</w:t>
      </w:r>
    </w:p>
    <w:p w14:paraId="07F78207" w14:textId="53D15D47" w:rsidR="006F10E5" w:rsidRDefault="00DE5009" w:rsidP="00DE5009">
      <w:pPr>
        <w:pStyle w:val="NormalWeb"/>
      </w:pPr>
      <w:r>
        <w:t xml:space="preserve"> </w:t>
      </w:r>
    </w:p>
    <w:sectPr w:rsidR="006F10E5">
      <w:headerReference w:type="default" r:id="rId32"/>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3FD02" w14:textId="77777777" w:rsidR="005A6F5B" w:rsidRDefault="005A6F5B" w:rsidP="004D4C50">
      <w:r>
        <w:separator/>
      </w:r>
    </w:p>
  </w:endnote>
  <w:endnote w:type="continuationSeparator" w:id="0">
    <w:p w14:paraId="1BA2DD18" w14:textId="77777777" w:rsidR="005A6F5B" w:rsidRDefault="005A6F5B" w:rsidP="004D4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1686923"/>
      <w:docPartObj>
        <w:docPartGallery w:val="Page Numbers (Bottom of Page)"/>
        <w:docPartUnique/>
      </w:docPartObj>
    </w:sdtPr>
    <w:sdtContent>
      <w:p w14:paraId="3A4A0EBD" w14:textId="76F5A73B" w:rsidR="001B6AE4" w:rsidRDefault="001B6AE4" w:rsidP="001B6D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5B3B595" w14:textId="77777777" w:rsidR="001B6AE4" w:rsidRDefault="001B6A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2750471"/>
      <w:docPartObj>
        <w:docPartGallery w:val="Page Numbers (Bottom of Page)"/>
        <w:docPartUnique/>
      </w:docPartObj>
    </w:sdtPr>
    <w:sdtContent>
      <w:p w14:paraId="78B5B738" w14:textId="5FC2479A" w:rsidR="001B6AE4" w:rsidRDefault="001B6AE4" w:rsidP="001B6D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6B1FF5" w14:textId="77777777" w:rsidR="001B6AE4" w:rsidRDefault="001B6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D917C" w14:textId="77777777" w:rsidR="005A6F5B" w:rsidRDefault="005A6F5B" w:rsidP="004D4C50">
      <w:r>
        <w:separator/>
      </w:r>
    </w:p>
  </w:footnote>
  <w:footnote w:type="continuationSeparator" w:id="0">
    <w:p w14:paraId="4FD4E66E" w14:textId="77777777" w:rsidR="005A6F5B" w:rsidRDefault="005A6F5B" w:rsidP="004D4C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306BE" w14:textId="6AB8516D" w:rsidR="004D4C50" w:rsidRPr="001B6AE4" w:rsidRDefault="008B1433" w:rsidP="004D4C50">
    <w:pPr>
      <w:pStyle w:val="Header"/>
      <w:jc w:val="right"/>
      <w:rPr>
        <w:rFonts w:asciiTheme="minorHAnsi" w:hAnsiTheme="minorHAnsi"/>
      </w:rPr>
    </w:pPr>
    <w:r w:rsidRPr="001B6AE4">
      <w:rPr>
        <w:rFonts w:asciiTheme="minorHAnsi" w:hAnsiTheme="minorHAnsi"/>
      </w:rPr>
      <w:t>Alanis Jones – 2318398</w:t>
    </w:r>
  </w:p>
  <w:p w14:paraId="7C36484B" w14:textId="7DB63111" w:rsidR="001B6AE4" w:rsidRPr="001B6AE4" w:rsidRDefault="001B6AE4" w:rsidP="001B6AE4">
    <w:pPr>
      <w:pStyle w:val="Header"/>
      <w:jc w:val="right"/>
      <w:rPr>
        <w:rFonts w:asciiTheme="minorHAnsi" w:hAnsiTheme="minorHAnsi"/>
      </w:rPr>
    </w:pPr>
    <w:r w:rsidRPr="001B6AE4">
      <w:rPr>
        <w:rFonts w:asciiTheme="minorHAnsi" w:hAnsiTheme="minorHAnsi"/>
      </w:rPr>
      <w:t>ECEY6011</w:t>
    </w:r>
  </w:p>
  <w:p w14:paraId="03BFD00B" w14:textId="017E15EC" w:rsidR="001B6AE4" w:rsidRPr="001B6AE4" w:rsidRDefault="001B6AE4" w:rsidP="001B6AE4">
    <w:pPr>
      <w:pStyle w:val="Header"/>
      <w:jc w:val="right"/>
      <w:rPr>
        <w:rFonts w:asciiTheme="minorHAnsi" w:hAnsiTheme="minorHAnsi"/>
      </w:rPr>
    </w:pPr>
    <w:r w:rsidRPr="001B6AE4">
      <w:rPr>
        <w:rFonts w:asciiTheme="minorHAnsi" w:hAnsiTheme="minorHAnsi"/>
      </w:rPr>
      <w:t xml:space="preserve">Word count - </w:t>
    </w:r>
    <w:r>
      <w:rPr>
        <w:rFonts w:asciiTheme="minorHAnsi" w:hAnsiTheme="minorHAnsi"/>
      </w:rPr>
      <w:t>2078</w:t>
    </w:r>
  </w:p>
  <w:p w14:paraId="4980575D" w14:textId="77777777" w:rsidR="001B6AE4" w:rsidRDefault="001B6AE4" w:rsidP="001B6AE4"/>
  <w:p w14:paraId="4FE333F8" w14:textId="77777777" w:rsidR="008B1433" w:rsidRDefault="008B1433" w:rsidP="004D4C5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038E"/>
    <w:multiLevelType w:val="multilevel"/>
    <w:tmpl w:val="3736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A5C73"/>
    <w:multiLevelType w:val="multilevel"/>
    <w:tmpl w:val="ECC2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174C3"/>
    <w:multiLevelType w:val="multilevel"/>
    <w:tmpl w:val="4598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53DD3"/>
    <w:multiLevelType w:val="multilevel"/>
    <w:tmpl w:val="08F2A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B53BF6"/>
    <w:multiLevelType w:val="multilevel"/>
    <w:tmpl w:val="01AC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97398"/>
    <w:multiLevelType w:val="multilevel"/>
    <w:tmpl w:val="BF94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AC6575"/>
    <w:multiLevelType w:val="multilevel"/>
    <w:tmpl w:val="0DAE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881286"/>
    <w:multiLevelType w:val="multilevel"/>
    <w:tmpl w:val="958C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A90B98"/>
    <w:multiLevelType w:val="multilevel"/>
    <w:tmpl w:val="0876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080FB3"/>
    <w:multiLevelType w:val="multilevel"/>
    <w:tmpl w:val="E2B4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E1527E"/>
    <w:multiLevelType w:val="multilevel"/>
    <w:tmpl w:val="D434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28603F"/>
    <w:multiLevelType w:val="multilevel"/>
    <w:tmpl w:val="44C8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FE3F2B"/>
    <w:multiLevelType w:val="multilevel"/>
    <w:tmpl w:val="49A8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5D44CD"/>
    <w:multiLevelType w:val="multilevel"/>
    <w:tmpl w:val="6064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27709C"/>
    <w:multiLevelType w:val="multilevel"/>
    <w:tmpl w:val="D98A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573927"/>
    <w:multiLevelType w:val="multilevel"/>
    <w:tmpl w:val="A212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6338CE"/>
    <w:multiLevelType w:val="multilevel"/>
    <w:tmpl w:val="ED60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216396"/>
    <w:multiLevelType w:val="multilevel"/>
    <w:tmpl w:val="6A5A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645A69"/>
    <w:multiLevelType w:val="multilevel"/>
    <w:tmpl w:val="7408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970515"/>
    <w:multiLevelType w:val="multilevel"/>
    <w:tmpl w:val="3F94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123696"/>
    <w:multiLevelType w:val="multilevel"/>
    <w:tmpl w:val="9FAC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485D70"/>
    <w:multiLevelType w:val="multilevel"/>
    <w:tmpl w:val="97B8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476929"/>
    <w:multiLevelType w:val="multilevel"/>
    <w:tmpl w:val="1C6C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091688">
    <w:abstractNumId w:val="19"/>
  </w:num>
  <w:num w:numId="2" w16cid:durableId="188571132">
    <w:abstractNumId w:val="18"/>
  </w:num>
  <w:num w:numId="3" w16cid:durableId="1210991391">
    <w:abstractNumId w:val="16"/>
  </w:num>
  <w:num w:numId="4" w16cid:durableId="1089473335">
    <w:abstractNumId w:val="8"/>
  </w:num>
  <w:num w:numId="5" w16cid:durableId="773087867">
    <w:abstractNumId w:val="21"/>
  </w:num>
  <w:num w:numId="6" w16cid:durableId="1620650413">
    <w:abstractNumId w:val="14"/>
  </w:num>
  <w:num w:numId="7" w16cid:durableId="851534831">
    <w:abstractNumId w:val="22"/>
  </w:num>
  <w:num w:numId="8" w16cid:durableId="1067337324">
    <w:abstractNumId w:val="5"/>
  </w:num>
  <w:num w:numId="9" w16cid:durableId="2137598441">
    <w:abstractNumId w:val="9"/>
  </w:num>
  <w:num w:numId="10" w16cid:durableId="183130476">
    <w:abstractNumId w:val="1"/>
  </w:num>
  <w:num w:numId="11" w16cid:durableId="1997225674">
    <w:abstractNumId w:val="7"/>
  </w:num>
  <w:num w:numId="12" w16cid:durableId="1332444658">
    <w:abstractNumId w:val="2"/>
  </w:num>
  <w:num w:numId="13" w16cid:durableId="1475902693">
    <w:abstractNumId w:val="0"/>
  </w:num>
  <w:num w:numId="14" w16cid:durableId="1456680774">
    <w:abstractNumId w:val="6"/>
  </w:num>
  <w:num w:numId="15" w16cid:durableId="1917670497">
    <w:abstractNumId w:val="11"/>
  </w:num>
  <w:num w:numId="16" w16cid:durableId="1749233035">
    <w:abstractNumId w:val="10"/>
  </w:num>
  <w:num w:numId="17" w16cid:durableId="1693267519">
    <w:abstractNumId w:val="13"/>
  </w:num>
  <w:num w:numId="18" w16cid:durableId="252011902">
    <w:abstractNumId w:val="15"/>
  </w:num>
  <w:num w:numId="19" w16cid:durableId="1116022365">
    <w:abstractNumId w:val="12"/>
  </w:num>
  <w:num w:numId="20" w16cid:durableId="1816869437">
    <w:abstractNumId w:val="17"/>
  </w:num>
  <w:num w:numId="21" w16cid:durableId="1381251339">
    <w:abstractNumId w:val="20"/>
  </w:num>
  <w:num w:numId="22" w16cid:durableId="318458995">
    <w:abstractNumId w:val="4"/>
  </w:num>
  <w:num w:numId="23" w16cid:durableId="1264915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E22"/>
    <w:rsid w:val="00000B11"/>
    <w:rsid w:val="000249F0"/>
    <w:rsid w:val="00034973"/>
    <w:rsid w:val="00037E31"/>
    <w:rsid w:val="00045968"/>
    <w:rsid w:val="00061120"/>
    <w:rsid w:val="000723F3"/>
    <w:rsid w:val="0007269E"/>
    <w:rsid w:val="000F1D7C"/>
    <w:rsid w:val="001040EA"/>
    <w:rsid w:val="0016156F"/>
    <w:rsid w:val="0016525E"/>
    <w:rsid w:val="001A6EE1"/>
    <w:rsid w:val="001B03B2"/>
    <w:rsid w:val="001B6AE4"/>
    <w:rsid w:val="001E1246"/>
    <w:rsid w:val="001F105A"/>
    <w:rsid w:val="00261297"/>
    <w:rsid w:val="002669C2"/>
    <w:rsid w:val="00294A9A"/>
    <w:rsid w:val="002B19E4"/>
    <w:rsid w:val="002D718B"/>
    <w:rsid w:val="00310D13"/>
    <w:rsid w:val="0034452F"/>
    <w:rsid w:val="003448A1"/>
    <w:rsid w:val="0035043E"/>
    <w:rsid w:val="00355226"/>
    <w:rsid w:val="00390478"/>
    <w:rsid w:val="003D796D"/>
    <w:rsid w:val="00414E7A"/>
    <w:rsid w:val="00415A5A"/>
    <w:rsid w:val="00485BF5"/>
    <w:rsid w:val="004D3F88"/>
    <w:rsid w:val="004D4C50"/>
    <w:rsid w:val="00512941"/>
    <w:rsid w:val="005A6F5B"/>
    <w:rsid w:val="005B3486"/>
    <w:rsid w:val="005C0C89"/>
    <w:rsid w:val="00604B82"/>
    <w:rsid w:val="00607BCD"/>
    <w:rsid w:val="00637DAA"/>
    <w:rsid w:val="00680BF4"/>
    <w:rsid w:val="006863D2"/>
    <w:rsid w:val="006B11D1"/>
    <w:rsid w:val="006D5E2D"/>
    <w:rsid w:val="006F10E5"/>
    <w:rsid w:val="006F7670"/>
    <w:rsid w:val="00701C0D"/>
    <w:rsid w:val="007A0D63"/>
    <w:rsid w:val="007B4D43"/>
    <w:rsid w:val="007E3D89"/>
    <w:rsid w:val="007E5FCA"/>
    <w:rsid w:val="007F0A07"/>
    <w:rsid w:val="008032A1"/>
    <w:rsid w:val="00806934"/>
    <w:rsid w:val="008633A3"/>
    <w:rsid w:val="008B1433"/>
    <w:rsid w:val="008E74AC"/>
    <w:rsid w:val="00906F7F"/>
    <w:rsid w:val="00925332"/>
    <w:rsid w:val="00971095"/>
    <w:rsid w:val="00995EEC"/>
    <w:rsid w:val="0099662C"/>
    <w:rsid w:val="009B4881"/>
    <w:rsid w:val="009D3382"/>
    <w:rsid w:val="00B07634"/>
    <w:rsid w:val="00B32314"/>
    <w:rsid w:val="00B40BCA"/>
    <w:rsid w:val="00BB7070"/>
    <w:rsid w:val="00BB7E85"/>
    <w:rsid w:val="00BE5C97"/>
    <w:rsid w:val="00BF2206"/>
    <w:rsid w:val="00C15A7A"/>
    <w:rsid w:val="00C54207"/>
    <w:rsid w:val="00C8058C"/>
    <w:rsid w:val="00C84A48"/>
    <w:rsid w:val="00CB5133"/>
    <w:rsid w:val="00CB640E"/>
    <w:rsid w:val="00D1792D"/>
    <w:rsid w:val="00D27A0E"/>
    <w:rsid w:val="00D35E22"/>
    <w:rsid w:val="00D40BD2"/>
    <w:rsid w:val="00D93AEF"/>
    <w:rsid w:val="00DB604E"/>
    <w:rsid w:val="00DC2CAE"/>
    <w:rsid w:val="00DE5009"/>
    <w:rsid w:val="00EA6569"/>
    <w:rsid w:val="00ED74A9"/>
    <w:rsid w:val="00F33242"/>
    <w:rsid w:val="00F34210"/>
    <w:rsid w:val="00F41F2E"/>
    <w:rsid w:val="00F4283C"/>
    <w:rsid w:val="00FA3DAA"/>
    <w:rsid w:val="00FE1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0E2BD"/>
  <w15:chartTrackingRefBased/>
  <w15:docId w15:val="{53B16CCA-B749-6340-8802-F21D1C3E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0E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35E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5E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5E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5E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5E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5E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E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E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E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E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5E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5E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5E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5E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5E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E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E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E22"/>
    <w:rPr>
      <w:rFonts w:eastAsiaTheme="majorEastAsia" w:cstheme="majorBidi"/>
      <w:color w:val="272727" w:themeColor="text1" w:themeTint="D8"/>
    </w:rPr>
  </w:style>
  <w:style w:type="paragraph" w:styleId="Title">
    <w:name w:val="Title"/>
    <w:basedOn w:val="Normal"/>
    <w:next w:val="Normal"/>
    <w:link w:val="TitleChar"/>
    <w:uiPriority w:val="10"/>
    <w:qFormat/>
    <w:rsid w:val="00D35E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E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E2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E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E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5E22"/>
    <w:rPr>
      <w:i/>
      <w:iCs/>
      <w:color w:val="404040" w:themeColor="text1" w:themeTint="BF"/>
    </w:rPr>
  </w:style>
  <w:style w:type="paragraph" w:styleId="ListParagraph">
    <w:name w:val="List Paragraph"/>
    <w:basedOn w:val="Normal"/>
    <w:uiPriority w:val="34"/>
    <w:qFormat/>
    <w:rsid w:val="00D35E22"/>
    <w:pPr>
      <w:ind w:left="720"/>
      <w:contextualSpacing/>
    </w:pPr>
  </w:style>
  <w:style w:type="character" w:styleId="IntenseEmphasis">
    <w:name w:val="Intense Emphasis"/>
    <w:basedOn w:val="DefaultParagraphFont"/>
    <w:uiPriority w:val="21"/>
    <w:qFormat/>
    <w:rsid w:val="00D35E22"/>
    <w:rPr>
      <w:i/>
      <w:iCs/>
      <w:color w:val="0F4761" w:themeColor="accent1" w:themeShade="BF"/>
    </w:rPr>
  </w:style>
  <w:style w:type="paragraph" w:styleId="IntenseQuote">
    <w:name w:val="Intense Quote"/>
    <w:basedOn w:val="Normal"/>
    <w:next w:val="Normal"/>
    <w:link w:val="IntenseQuoteChar"/>
    <w:uiPriority w:val="30"/>
    <w:qFormat/>
    <w:rsid w:val="00D35E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5E22"/>
    <w:rPr>
      <w:i/>
      <w:iCs/>
      <w:color w:val="0F4761" w:themeColor="accent1" w:themeShade="BF"/>
    </w:rPr>
  </w:style>
  <w:style w:type="character" w:styleId="IntenseReference">
    <w:name w:val="Intense Reference"/>
    <w:basedOn w:val="DefaultParagraphFont"/>
    <w:uiPriority w:val="32"/>
    <w:qFormat/>
    <w:rsid w:val="00D35E22"/>
    <w:rPr>
      <w:b/>
      <w:bCs/>
      <w:smallCaps/>
      <w:color w:val="0F4761" w:themeColor="accent1" w:themeShade="BF"/>
      <w:spacing w:val="5"/>
    </w:rPr>
  </w:style>
  <w:style w:type="character" w:styleId="Strong">
    <w:name w:val="Strong"/>
    <w:basedOn w:val="DefaultParagraphFont"/>
    <w:uiPriority w:val="22"/>
    <w:qFormat/>
    <w:rsid w:val="00D40BD2"/>
    <w:rPr>
      <w:b/>
      <w:bCs/>
    </w:rPr>
  </w:style>
  <w:style w:type="paragraph" w:styleId="NormalWeb">
    <w:name w:val="Normal (Web)"/>
    <w:basedOn w:val="Normal"/>
    <w:uiPriority w:val="99"/>
    <w:unhideWhenUsed/>
    <w:rsid w:val="00D40BD2"/>
    <w:pPr>
      <w:spacing w:before="100" w:beforeAutospacing="1" w:after="100" w:afterAutospacing="1"/>
    </w:pPr>
  </w:style>
  <w:style w:type="character" w:customStyle="1" w:styleId="apple-converted-space">
    <w:name w:val="apple-converted-space"/>
    <w:basedOn w:val="DefaultParagraphFont"/>
    <w:rsid w:val="00D40BD2"/>
  </w:style>
  <w:style w:type="character" w:customStyle="1" w:styleId="whitespace-normal">
    <w:name w:val="whitespace-normal"/>
    <w:basedOn w:val="DefaultParagraphFont"/>
    <w:rsid w:val="00D40BD2"/>
  </w:style>
  <w:style w:type="character" w:styleId="Emphasis">
    <w:name w:val="Emphasis"/>
    <w:basedOn w:val="DefaultParagraphFont"/>
    <w:uiPriority w:val="20"/>
    <w:qFormat/>
    <w:rsid w:val="00D40BD2"/>
    <w:rPr>
      <w:i/>
      <w:iCs/>
    </w:rPr>
  </w:style>
  <w:style w:type="character" w:styleId="Hyperlink">
    <w:name w:val="Hyperlink"/>
    <w:basedOn w:val="DefaultParagraphFont"/>
    <w:uiPriority w:val="99"/>
    <w:unhideWhenUsed/>
    <w:rsid w:val="007B4D43"/>
    <w:rPr>
      <w:color w:val="467886" w:themeColor="hyperlink"/>
      <w:u w:val="single"/>
    </w:rPr>
  </w:style>
  <w:style w:type="character" w:styleId="UnresolvedMention">
    <w:name w:val="Unresolved Mention"/>
    <w:basedOn w:val="DefaultParagraphFont"/>
    <w:uiPriority w:val="99"/>
    <w:semiHidden/>
    <w:unhideWhenUsed/>
    <w:rsid w:val="007B4D43"/>
    <w:rPr>
      <w:color w:val="605E5C"/>
      <w:shd w:val="clear" w:color="auto" w:fill="E1DFDD"/>
    </w:rPr>
  </w:style>
  <w:style w:type="paragraph" w:styleId="Header">
    <w:name w:val="header"/>
    <w:basedOn w:val="Normal"/>
    <w:link w:val="HeaderChar"/>
    <w:uiPriority w:val="99"/>
    <w:unhideWhenUsed/>
    <w:rsid w:val="004D4C50"/>
    <w:pPr>
      <w:tabs>
        <w:tab w:val="center" w:pos="4513"/>
        <w:tab w:val="right" w:pos="9026"/>
      </w:tabs>
    </w:pPr>
  </w:style>
  <w:style w:type="character" w:customStyle="1" w:styleId="HeaderChar">
    <w:name w:val="Header Char"/>
    <w:basedOn w:val="DefaultParagraphFont"/>
    <w:link w:val="Header"/>
    <w:uiPriority w:val="99"/>
    <w:rsid w:val="004D4C50"/>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4D4C50"/>
    <w:pPr>
      <w:tabs>
        <w:tab w:val="center" w:pos="4513"/>
        <w:tab w:val="right" w:pos="9026"/>
      </w:tabs>
    </w:pPr>
  </w:style>
  <w:style w:type="character" w:customStyle="1" w:styleId="FooterChar">
    <w:name w:val="Footer Char"/>
    <w:basedOn w:val="DefaultParagraphFont"/>
    <w:link w:val="Footer"/>
    <w:uiPriority w:val="99"/>
    <w:rsid w:val="004D4C50"/>
    <w:rPr>
      <w:rFonts w:ascii="Times New Roman" w:eastAsia="Times New Roman" w:hAnsi="Times New Roman" w:cs="Times New Roman"/>
      <w:kern w:val="0"/>
      <w:lang w:eastAsia="en-GB"/>
      <w14:ligatures w14:val="none"/>
    </w:rPr>
  </w:style>
  <w:style w:type="paragraph" w:customStyle="1" w:styleId="breadcrumb-item">
    <w:name w:val="breadcrumb-item"/>
    <w:basedOn w:val="Normal"/>
    <w:rsid w:val="001B6AE4"/>
    <w:pPr>
      <w:spacing w:before="100" w:beforeAutospacing="1" w:after="100" w:afterAutospacing="1"/>
    </w:pPr>
  </w:style>
  <w:style w:type="character" w:styleId="PageNumber">
    <w:name w:val="page number"/>
    <w:basedOn w:val="DefaultParagraphFont"/>
    <w:uiPriority w:val="99"/>
    <w:semiHidden/>
    <w:unhideWhenUsed/>
    <w:rsid w:val="001B6A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54227664_Pedagogical_leadership_from_a_distributed_perspective_within_the_context_of_early_childhood_education" TargetMode="External"/><Relationship Id="rId18" Type="http://schemas.openxmlformats.org/officeDocument/2006/relationships/hyperlink" Target="https://www.oecd.org/content/dam/oecd/en/publications/reports/2020/03/early-learning-and-child-well-being_74042660/3990407f-en.pdf" TargetMode="External"/><Relationship Id="rId26" Type="http://schemas.openxmlformats.org/officeDocument/2006/relationships/hyperlink" Target="https://www.oecd.org/en/publications/structural-characteristics-and-process-quality-in-early-childhood-education-and-care_edaf3793-en.html" TargetMode="External"/><Relationship Id="rId3" Type="http://schemas.openxmlformats.org/officeDocument/2006/relationships/settings" Target="settings.xml"/><Relationship Id="rId21" Type="http://schemas.openxmlformats.org/officeDocument/2006/relationships/hyperlink" Target="https://files.eric.ed.gov/fulltext/EJ1118551.pdf" TargetMode="External"/><Relationship Id="rId34" Type="http://schemas.openxmlformats.org/officeDocument/2006/relationships/footer" Target="footer2.xml"/><Relationship Id="rId7" Type="http://schemas.openxmlformats.org/officeDocument/2006/relationships/hyperlink" Target="https://www.oecd.org/content/dam/oecd/en/publications/reports/2018/03/engaging-young-children_g1g8b70c/9789264085145-en.pdf" TargetMode="External"/><Relationship Id="rId12" Type="http://schemas.openxmlformats.org/officeDocument/2006/relationships/hyperlink" Target="https://pubmed.ncbi.nlm.nih.gov/24255933/" TargetMode="External"/><Relationship Id="rId17" Type="http://schemas.openxmlformats.org/officeDocument/2006/relationships/hyperlink" Target="https://journals.sagepub.com/doi/abs/10.1177/1463949115627895" TargetMode="External"/><Relationship Id="rId25" Type="http://schemas.openxmlformats.org/officeDocument/2006/relationships/hyperlink" Target="https://www.researchgate.net/publication/317633013_Educational_leadership_An_evolving_role_in_Australian_early_childhood_settings"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ora.ox.ac.uk/objects/uuid:bb919f6f-cd43-42d8-89ff-da525dc63554" TargetMode="External"/><Relationship Id="rId20" Type="http://schemas.openxmlformats.org/officeDocument/2006/relationships/hyperlink" Target="https://early-education.org.uk/wp-content/uploads/2021/12/Getting-it-right-in-the-EYFS-Literature-Review.pdf" TargetMode="External"/><Relationship Id="rId29" Type="http://schemas.openxmlformats.org/officeDocument/2006/relationships/hyperlink" Target="https://onlinelibrary.wiley.com/doi/abs/10.1111/ejed.12010?casa_token=9nzOoqvTKCgAAAAA%3A3vvs-rnX24qMF51ubRijH5k5MnnYFZFWeBT9bkzoJtZdStWppcOr26OZDm11Vcz4XqeZDPACftxLFwt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ers.mq.edu.au/en/publications/an-analysis-of-the-conceptualisation-of-quality-in-early-childhoo/" TargetMode="External"/><Relationship Id="rId24" Type="http://schemas.openxmlformats.org/officeDocument/2006/relationships/hyperlink" Target="https://rune.une.edu.au/entities/publication/0e38e69f-4868-4be1-b9e2-a599847266ba"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sciencedirect.com/science/article/pii/S1462901112000883?casa_token=byYQZjhdVSoAAAAA:1VSgRlNx_Mpn7gKQv3RJqbUEZzu5wSVZANMxZLiCrqqLWIuqFMMF42pIagt4YiOfN5ctZAgumNBs" TargetMode="External"/><Relationship Id="rId23" Type="http://schemas.openxmlformats.org/officeDocument/2006/relationships/hyperlink" Target="https://www.researchgate.net/publication/272349364_Assessing_Quality_in_early_Childhood_Education_and_Care_Sustained_shared_thinking_and_emotional_well-being_SSTEW_for_2-5_year-olds_provision" TargetMode="External"/><Relationship Id="rId28" Type="http://schemas.openxmlformats.org/officeDocument/2006/relationships/hyperlink" Target="https://www.ohchr.org/en/instruments-mechanisms/instruments/convention-rights-child" TargetMode="External"/><Relationship Id="rId36" Type="http://schemas.openxmlformats.org/officeDocument/2006/relationships/theme" Target="theme/theme1.xml"/><Relationship Id="rId10" Type="http://schemas.openxmlformats.org/officeDocument/2006/relationships/hyperlink" Target="https://www.tandfonline.com/doi/full/10.1080/158037042000225245" TargetMode="External"/><Relationship Id="rId19" Type="http://schemas.openxmlformats.org/officeDocument/2006/relationships/hyperlink" Target="https://www.oecd.org/content/dam/oecd/en/publications/reports/2021/06/starting-strong-vi_0a304435/f47a06ae-en.pdf" TargetMode="External"/><Relationship Id="rId31" Type="http://schemas.openxmlformats.org/officeDocument/2006/relationships/hyperlink" Target="https://www.gov.wales/well-being-of-future-generations-wales" TargetMode="External"/><Relationship Id="rId4" Type="http://schemas.openxmlformats.org/officeDocument/2006/relationships/webSettings" Target="webSettings.xml"/><Relationship Id="rId9" Type="http://schemas.openxmlformats.org/officeDocument/2006/relationships/hyperlink" Target="https://assets.publishing.service.gov.uk/media/68669aa2e134dfbc2e9e6d74/SEED_impact_report_on_early_education_use_and_child_outcomes_at_KS2.pdf" TargetMode="External"/><Relationship Id="rId14" Type="http://schemas.openxmlformats.org/officeDocument/2006/relationships/hyperlink" Target="https://www.tandfonline.com/doi/full/10.1080/01411920701657033" TargetMode="External"/><Relationship Id="rId22" Type="http://schemas.openxmlformats.org/officeDocument/2006/relationships/hyperlink" Target="https://www.proquest.com/docview/2654047435?fromopenview=true&amp;pq-origsite=gscholar&amp;sourcetype=Dissertations%20&amp;%20Theses" TargetMode="External"/><Relationship Id="rId27" Type="http://schemas.openxmlformats.org/officeDocument/2006/relationships/hyperlink" Target="https://assets.publishing.service.gov.uk/media/5a803cb240f0b62305b89fbf/RB455_Effective_pre-school_primary_and_secondary_education_project.pdf.pdf" TargetMode="External"/><Relationship Id="rId30" Type="http://schemas.openxmlformats.org/officeDocument/2006/relationships/hyperlink" Target="https://www.researchgate.net/publication/272085994_Waniganayake_M_Cheeseman_S_Fenech_M_Hadley_F_Shepherd_W_2012_Leadership_Contexts_and_complexities_in_Early_Childhood_Education_South_Melbourne_Oxford_University_Press" TargetMode="External"/><Relationship Id="rId35" Type="http://schemas.openxmlformats.org/officeDocument/2006/relationships/fontTable" Target="fontTable.xml"/><Relationship Id="rId8" Type="http://schemas.openxmlformats.org/officeDocument/2006/relationships/hyperlink" Target="https://ers.fpg.unc.edu/sites/ers.fpg.unc.edu/files/ReliabilityEc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12</Pages>
  <Words>4114</Words>
  <Characters>23453</Characters>
  <Application>Microsoft Office Word</Application>
  <DocSecurity>0</DocSecurity>
  <Lines>195</Lines>
  <Paragraphs>55</Paragraphs>
  <ScaleCrop>false</ScaleCrop>
  <Company/>
  <LinksUpToDate>false</LinksUpToDate>
  <CharactersWithSpaces>27512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85</cp:revision>
  <dcterms:created xsi:type="dcterms:W3CDTF">2026-03-27T12:59:00Z</dcterms:created>
  <dcterms:modified xsi:type="dcterms:W3CDTF">2026-04-03T20:46:00Z</dcterms:modified>
</cp:coreProperties>
</file>