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6366F" w14:textId="77777777" w:rsidR="00EB17C5" w:rsidRPr="00EB17C5" w:rsidRDefault="00EB17C5" w:rsidP="00EB17C5">
      <w:pPr>
        <w:rPr>
          <w:u w:val="single"/>
          <w:lang w:val="en-US"/>
        </w:rPr>
      </w:pPr>
      <w:r w:rsidRPr="00EB17C5">
        <w:rPr>
          <w:b/>
          <w:u w:val="single"/>
          <w:lang w:val="en-US"/>
        </w:rPr>
        <w:t>HPPH7009: Environmental Philosophy: Animals, Ecology and Sustainability</w:t>
      </w:r>
    </w:p>
    <w:p w14:paraId="53756472" w14:textId="5C5CAAA2" w:rsidR="00E20E5E" w:rsidRDefault="00EB17C5" w:rsidP="00E20E5E">
      <w:r>
        <w:t xml:space="preserve">Assignment </w:t>
      </w:r>
      <w:r w:rsidR="00510CF4">
        <w:t>2</w:t>
      </w:r>
      <w:r>
        <w:t xml:space="preserve">: </w:t>
      </w:r>
      <w:r w:rsidR="00510CF4">
        <w:t>Essay</w:t>
      </w:r>
    </w:p>
    <w:p w14:paraId="4BEE2930" w14:textId="599B5D67" w:rsidR="00E20E5E" w:rsidRPr="00E20E5E" w:rsidRDefault="00E20E5E" w:rsidP="00E20E5E">
      <w:pPr>
        <w:rPr>
          <w:b/>
          <w:bCs/>
        </w:rPr>
      </w:pPr>
      <w:r>
        <w:t>O</w:t>
      </w:r>
      <w:r w:rsidRPr="00E20E5E">
        <w:rPr>
          <w:b/>
          <w:bCs/>
        </w:rPr>
        <w:t>utline and assess biocentrism. In your assessment expound the arguments against biocentrism, explain how a biocentrism might respond to those arguments, and evaluate the responses.</w:t>
      </w:r>
    </w:p>
    <w:p w14:paraId="0AAEE7AA" w14:textId="11630662" w:rsidR="00E20E5E" w:rsidRPr="00E20E5E" w:rsidRDefault="00E20E5E" w:rsidP="00E20E5E">
      <w:r w:rsidRPr="00E20E5E">
        <w:t xml:space="preserve">Biocentrism is one of the most ambitious attempts within environmental ethics to </w:t>
      </w:r>
      <w:r>
        <w:t>redefine</w:t>
      </w:r>
      <w:r w:rsidRPr="00E20E5E">
        <w:t xml:space="preserve"> the boundaries of the moral community. Whereas anthropocentric ethics agrees direct moral standing primarily or exclusively to humans, and </w:t>
      </w:r>
      <w:proofErr w:type="spellStart"/>
      <w:r w:rsidRPr="00E20E5E">
        <w:t>sentientism</w:t>
      </w:r>
      <w:proofErr w:type="spellEnd"/>
      <w:r w:rsidRPr="00E20E5E">
        <w:t xml:space="preserve"> extends it to creatures capable of conscious experience, biocentrism claims that all living organisms are</w:t>
      </w:r>
      <w:r>
        <w:t xml:space="preserve"> worth moral consideration</w:t>
      </w:r>
      <w:r w:rsidRPr="00E20E5E">
        <w:t xml:space="preserve">. To describe an organism as morally considerable is not simply to say that humans have reasons to preserve it. It is to claim that the organism’s own good provides moral reasons: its flourishing matters for its own sake and not merely because humans, </w:t>
      </w:r>
      <w:r>
        <w:t>or other organisms</w:t>
      </w:r>
      <w:r w:rsidRPr="00E20E5E">
        <w:t xml:space="preserve"> benefit from it</w:t>
      </w:r>
      <w:r>
        <w:rPr>
          <w:rStyle w:val="FootnoteReference"/>
        </w:rPr>
        <w:footnoteReference w:id="1"/>
      </w:r>
      <w:r>
        <w:t>.</w:t>
      </w:r>
      <w:r w:rsidRPr="00E20E5E">
        <w:t xml:space="preserve"> This proposition has significant consequences. A tree, bacterium or plant can no longer be understood solely as a resource, </w:t>
      </w:r>
      <w:r>
        <w:t>and</w:t>
      </w:r>
      <w:r w:rsidRPr="00E20E5E">
        <w:t xml:space="preserve"> the moral consequences of human action extend beyond the </w:t>
      </w:r>
      <w:r>
        <w:t xml:space="preserve">widely accepted </w:t>
      </w:r>
      <w:r w:rsidRPr="00E20E5E">
        <w:t xml:space="preserve">boundaries established by suffering or </w:t>
      </w:r>
      <w:r w:rsidR="00524E59">
        <w:t xml:space="preserve">a </w:t>
      </w:r>
      <w:r w:rsidRPr="00E20E5E">
        <w:t>conscious preference.</w:t>
      </w:r>
    </w:p>
    <w:p w14:paraId="72FA1456" w14:textId="7376B5D8" w:rsidR="00E20E5E" w:rsidRPr="00E20E5E" w:rsidRDefault="00E20E5E" w:rsidP="00E20E5E">
      <w:r w:rsidRPr="00E20E5E">
        <w:t xml:space="preserve">Biocentrism, however, comprises </w:t>
      </w:r>
      <w:r>
        <w:t>of</w:t>
      </w:r>
      <w:r w:rsidRPr="00E20E5E">
        <w:t xml:space="preserve"> different positions. Paul Taylor’s influential life-centred ethic combines universal moral standing with a strong principle of equal inherent worth. </w:t>
      </w:r>
      <w:r>
        <w:t xml:space="preserve">While </w:t>
      </w:r>
      <w:r w:rsidRPr="00E20E5E">
        <w:t>Robin Attfield, by contrast</w:t>
      </w:r>
      <w:r>
        <w:t xml:space="preserve"> with this</w:t>
      </w:r>
      <w:r w:rsidRPr="00E20E5E">
        <w:t xml:space="preserve">, argues that all living creatures have </w:t>
      </w:r>
      <w:r>
        <w:t xml:space="preserve">equal </w:t>
      </w:r>
      <w:r w:rsidRPr="00E20E5E">
        <w:t xml:space="preserve">moral standing </w:t>
      </w:r>
      <w:r>
        <w:t xml:space="preserve">but that they do not necessarily </w:t>
      </w:r>
      <w:r w:rsidRPr="00E20E5E">
        <w:t>have equal moral significance</w:t>
      </w:r>
      <w:r>
        <w:rPr>
          <w:rStyle w:val="FootnoteReference"/>
        </w:rPr>
        <w:footnoteReference w:id="2"/>
      </w:r>
      <w:r>
        <w:t xml:space="preserve">. </w:t>
      </w:r>
      <w:r w:rsidRPr="00E20E5E">
        <w:t xml:space="preserve">Nicholas Agar similarly develops a life-centred morality </w:t>
      </w:r>
      <w:r w:rsidR="002D4ACE">
        <w:t>through</w:t>
      </w:r>
      <w:r w:rsidRPr="00E20E5E">
        <w:t xml:space="preserve"> </w:t>
      </w:r>
      <w:r w:rsidR="00524E59">
        <w:t>stating that there is</w:t>
      </w:r>
      <w:r w:rsidRPr="00E20E5E">
        <w:t xml:space="preserve"> a hierarchy amongst </w:t>
      </w:r>
      <w:r w:rsidR="002D4ACE">
        <w:t xml:space="preserve">different </w:t>
      </w:r>
      <w:r w:rsidRPr="00E20E5E">
        <w:t xml:space="preserve">forms of life, and Gary Varner </w:t>
      </w:r>
      <w:r w:rsidR="002D4ACE">
        <w:t>acknowledges</w:t>
      </w:r>
      <w:r w:rsidRPr="00E20E5E">
        <w:t xml:space="preserve"> biological interests while allowing </w:t>
      </w:r>
      <w:r w:rsidR="002D4ACE">
        <w:t xml:space="preserve">for </w:t>
      </w:r>
      <w:r w:rsidRPr="00E20E5E">
        <w:t xml:space="preserve">complex human interests to </w:t>
      </w:r>
      <w:r w:rsidR="002D4ACE">
        <w:t>also be considered</w:t>
      </w:r>
      <w:r w:rsidR="002D4ACE">
        <w:rPr>
          <w:rStyle w:val="FootnoteReference"/>
        </w:rPr>
        <w:footnoteReference w:id="3"/>
      </w:r>
      <w:r w:rsidRPr="00E20E5E">
        <w:t xml:space="preserve"> </w:t>
      </w:r>
      <w:r w:rsidR="002D4ACE">
        <w:t>As a result of these positions</w:t>
      </w:r>
      <w:r w:rsidRPr="00E20E5E">
        <w:t xml:space="preserve">, </w:t>
      </w:r>
      <w:r w:rsidR="002D4ACE">
        <w:t>any apparent objection to</w:t>
      </w:r>
      <w:r w:rsidRPr="00E20E5E">
        <w:t xml:space="preserve"> </w:t>
      </w:r>
      <w:r w:rsidRPr="002D4ACE">
        <w:t>biocentric egalitarianism</w:t>
      </w:r>
      <w:r w:rsidRPr="00E20E5E">
        <w:t xml:space="preserve"> must not </w:t>
      </w:r>
      <w:r w:rsidR="00524E59">
        <w:t>necessarily</w:t>
      </w:r>
      <w:r w:rsidR="00524E59" w:rsidRPr="00E20E5E">
        <w:t xml:space="preserve"> </w:t>
      </w:r>
      <w:r w:rsidRPr="00E20E5E">
        <w:t xml:space="preserve">be </w:t>
      </w:r>
      <w:r w:rsidR="002D4ACE">
        <w:t>viewed</w:t>
      </w:r>
      <w:r w:rsidRPr="00E20E5E">
        <w:t xml:space="preserve"> as objections to biocentrism itself.</w:t>
      </w:r>
    </w:p>
    <w:p w14:paraId="7EEB0E31" w14:textId="7869491B" w:rsidR="00E20E5E" w:rsidRPr="00E20E5E" w:rsidRDefault="002D4ACE" w:rsidP="00E20E5E">
      <w:r>
        <w:t>This essay will</w:t>
      </w:r>
      <w:r w:rsidR="00E20E5E" w:rsidRPr="00E20E5E">
        <w:t xml:space="preserve"> argue that the central biocentric </w:t>
      </w:r>
      <w:r w:rsidRPr="00E20E5E">
        <w:t>proposition</w:t>
      </w:r>
      <w:r w:rsidR="00E20E5E" w:rsidRPr="00E20E5E">
        <w:t xml:space="preserve"> </w:t>
      </w:r>
      <w:r>
        <w:t xml:space="preserve">– that </w:t>
      </w:r>
      <w:r w:rsidR="00E20E5E" w:rsidRPr="00E20E5E">
        <w:t xml:space="preserve">living organisms have </w:t>
      </w:r>
      <w:r>
        <w:t xml:space="preserve">a </w:t>
      </w:r>
      <w:r w:rsidR="00E20E5E" w:rsidRPr="00E20E5E">
        <w:t xml:space="preserve">moral standing </w:t>
      </w:r>
      <w:r>
        <w:t xml:space="preserve">arguably withstands many of the objections against it, but that a </w:t>
      </w:r>
      <w:r w:rsidR="00E20E5E" w:rsidRPr="00E20E5E">
        <w:t xml:space="preserve">strict </w:t>
      </w:r>
      <w:r>
        <w:t>biocentric</w:t>
      </w:r>
      <w:r w:rsidR="00E20E5E" w:rsidRPr="00E20E5E">
        <w:t xml:space="preserve"> egalitarianism does not. The most plausible biocentrism </w:t>
      </w:r>
      <w:r>
        <w:t>makes a distinction between</w:t>
      </w:r>
      <w:r w:rsidR="00E20E5E" w:rsidRPr="00E20E5E">
        <w:t xml:space="preserve"> moral </w:t>
      </w:r>
      <w:proofErr w:type="spellStart"/>
      <w:r w:rsidR="00E20E5E" w:rsidRPr="00E20E5E">
        <w:t>considerability</w:t>
      </w:r>
      <w:proofErr w:type="spellEnd"/>
      <w:r w:rsidR="00E20E5E" w:rsidRPr="00E20E5E">
        <w:t xml:space="preserve"> </w:t>
      </w:r>
      <w:r>
        <w:t>and</w:t>
      </w:r>
      <w:r w:rsidR="00E20E5E" w:rsidRPr="00E20E5E">
        <w:t xml:space="preserve"> moral significance and </w:t>
      </w:r>
      <w:r w:rsidR="00524E59">
        <w:t>understands</w:t>
      </w:r>
      <w:r w:rsidR="00E20E5E" w:rsidRPr="00E20E5E">
        <w:t xml:space="preserve"> that sentience, </w:t>
      </w:r>
      <w:r w:rsidR="003E4E47">
        <w:t xml:space="preserve">a demonstration of </w:t>
      </w:r>
      <w:r w:rsidR="00E20E5E" w:rsidRPr="00E20E5E">
        <w:t xml:space="preserve">self-consciousness and other capacities can alter the weight of </w:t>
      </w:r>
      <w:r w:rsidR="003E4E47">
        <w:lastRenderedPageBreak/>
        <w:t>these arguments</w:t>
      </w:r>
      <w:r w:rsidR="00E20E5E" w:rsidRPr="00E20E5E">
        <w:t xml:space="preserve">. </w:t>
      </w:r>
      <w:r w:rsidR="003E4E47">
        <w:t xml:space="preserve">However there remains another issue with settling the case of biocentrism – the primary possessors of the moral standing are organisms. </w:t>
      </w:r>
      <w:proofErr w:type="spellStart"/>
      <w:r w:rsidR="00E20E5E" w:rsidRPr="00E20E5E">
        <w:t>Ecocentrists</w:t>
      </w:r>
      <w:proofErr w:type="spellEnd"/>
      <w:r w:rsidR="00E20E5E" w:rsidRPr="00E20E5E">
        <w:t xml:space="preserve"> such as Holmes Rolston III and J. Baird Callicott argue that environmental ethics must also recognise species</w:t>
      </w:r>
      <w:r w:rsidR="003E4E47">
        <w:t xml:space="preserve"> and even whole </w:t>
      </w:r>
      <w:r w:rsidR="00E20E5E" w:rsidRPr="00E20E5E">
        <w:t xml:space="preserve">ecosystems. This </w:t>
      </w:r>
      <w:r w:rsidR="003E4E47">
        <w:t xml:space="preserve">is arguably a larger objection since a familiar objection with biocentrism is that </w:t>
      </w:r>
      <w:proofErr w:type="gramStart"/>
      <w:r w:rsidR="003E4E47">
        <w:t>its</w:t>
      </w:r>
      <w:proofErr w:type="gramEnd"/>
      <w:r w:rsidR="003E4E47">
        <w:t xml:space="preserve"> suggest equal value between bacteria and people for example, and when there is a broader value level not considered such as with ecocentrism, it is the level of consideration that may be wrong. This more </w:t>
      </w:r>
      <w:r w:rsidR="00CC3F5E">
        <w:t>comprehensive</w:t>
      </w:r>
      <w:r w:rsidR="003E4E47">
        <w:t xml:space="preserve"> position risks </w:t>
      </w:r>
      <w:r w:rsidR="00CC3F5E">
        <w:t>individuals</w:t>
      </w:r>
      <w:r w:rsidR="003E4E47">
        <w:t xml:space="preserve"> for the sake of a wider </w:t>
      </w:r>
      <w:r w:rsidR="00CC3F5E">
        <w:t>ecosystem – but without a full understanding of the boundaries of that ecosystem. There are also questions around whether an ecosystem can possess interests at all</w:t>
      </w:r>
      <w:r w:rsidR="00CC3F5E">
        <w:rPr>
          <w:rStyle w:val="FootnoteReference"/>
        </w:rPr>
        <w:footnoteReference w:id="4"/>
      </w:r>
      <w:r w:rsidR="00CC3F5E">
        <w:t xml:space="preserve">. </w:t>
      </w:r>
      <w:r w:rsidR="00E20E5E" w:rsidRPr="00E20E5E">
        <w:t>T</w:t>
      </w:r>
      <w:r w:rsidR="00CC3F5E">
        <w:t xml:space="preserve">herefore, </w:t>
      </w:r>
      <w:proofErr w:type="gramStart"/>
      <w:r w:rsidR="00CC3F5E">
        <w:t>it would seem that the</w:t>
      </w:r>
      <w:proofErr w:type="gramEnd"/>
      <w:r w:rsidR="00CC3F5E">
        <w:t xml:space="preserve"> strongest </w:t>
      </w:r>
      <w:r w:rsidR="00E20E5E" w:rsidRPr="00E20E5E">
        <w:t xml:space="preserve">environmental ethic is likely to be a form of biocentric </w:t>
      </w:r>
      <w:r w:rsidR="00524E59">
        <w:t>plurality</w:t>
      </w:r>
      <w:r w:rsidR="00E20E5E" w:rsidRPr="00E20E5E">
        <w:t xml:space="preserve"> in which individual life possesses direct </w:t>
      </w:r>
      <w:r w:rsidR="00CC3F5E" w:rsidRPr="00E20E5E">
        <w:t>standing,</w:t>
      </w:r>
      <w:r w:rsidR="00E20E5E" w:rsidRPr="00E20E5E">
        <w:t xml:space="preserve"> but </w:t>
      </w:r>
      <w:r w:rsidR="00CC3F5E">
        <w:t xml:space="preserve">where </w:t>
      </w:r>
      <w:r w:rsidR="00E20E5E" w:rsidRPr="00E20E5E">
        <w:t xml:space="preserve">species and </w:t>
      </w:r>
      <w:r w:rsidR="00CC3F5E">
        <w:t xml:space="preserve">ecosystems can also </w:t>
      </w:r>
      <w:r w:rsidR="00E20E5E" w:rsidRPr="00E20E5E">
        <w:t xml:space="preserve">generate </w:t>
      </w:r>
      <w:r w:rsidR="00CC3F5E" w:rsidRPr="00E20E5E">
        <w:t>ethically</w:t>
      </w:r>
      <w:r w:rsidR="00E20E5E" w:rsidRPr="00E20E5E">
        <w:t xml:space="preserve"> relevant </w:t>
      </w:r>
      <w:r w:rsidR="00CC3F5E">
        <w:t xml:space="preserve">consideration. </w:t>
      </w:r>
    </w:p>
    <w:p w14:paraId="1A8C5DD2" w14:textId="0FCCE432" w:rsidR="00E20E5E" w:rsidRPr="00E20E5E" w:rsidRDefault="00E20E5E" w:rsidP="00E20E5E">
      <w:r w:rsidRPr="00E20E5E">
        <w:t>The conceptual foundation of biocentrism lies in the</w:t>
      </w:r>
      <w:r w:rsidR="00CC3F5E">
        <w:t xml:space="preserve"> questioning of value as </w:t>
      </w:r>
      <w:r w:rsidR="00524E59">
        <w:t>resource and</w:t>
      </w:r>
      <w:r w:rsidR="00CC3F5E">
        <w:t xml:space="preserve"> having an</w:t>
      </w:r>
      <w:r w:rsidRPr="00E20E5E">
        <w:t xml:space="preserve"> idea of a good of one’s own. Kenneth Goodpaster’s ‘On Being Morally Considerable’ was decisive in challenging the assumption that sentience constitutes the boundary of moral concern. Goodpaster distinguishes moral </w:t>
      </w:r>
      <w:proofErr w:type="spellStart"/>
      <w:r w:rsidRPr="00CC3F5E">
        <w:t>considerability</w:t>
      </w:r>
      <w:proofErr w:type="spellEnd"/>
      <w:r w:rsidR="00CC3F5E">
        <w:t xml:space="preserve"> (whether something is included in the moral community) </w:t>
      </w:r>
      <w:r w:rsidRPr="00E20E5E">
        <w:t xml:space="preserve">from moral </w:t>
      </w:r>
      <w:r w:rsidRPr="00CC3F5E">
        <w:t>significance</w:t>
      </w:r>
      <w:r w:rsidRPr="00E20E5E">
        <w:t xml:space="preserve"> </w:t>
      </w:r>
      <w:r w:rsidR="00CC3F5E">
        <w:t>(the weighting of interests when there is a conflict)</w:t>
      </w:r>
      <w:r w:rsidR="00CC3F5E">
        <w:rPr>
          <w:rStyle w:val="FootnoteReference"/>
        </w:rPr>
        <w:footnoteReference w:id="5"/>
      </w:r>
      <w:r w:rsidR="00CC3F5E">
        <w:t xml:space="preserve">. Fror example, to say that an oak tree has moral standing does not mean that </w:t>
      </w:r>
      <w:r w:rsidR="00BF4964">
        <w:t xml:space="preserve">felling it </w:t>
      </w:r>
      <w:r w:rsidR="00CC3F5E">
        <w:t xml:space="preserve">is </w:t>
      </w:r>
      <w:r w:rsidR="00BF4964">
        <w:t>equivalent</w:t>
      </w:r>
      <w:r w:rsidR="00CC3F5E">
        <w:t xml:space="preserve"> to killing a human being. But that </w:t>
      </w:r>
      <w:r w:rsidR="00BF4964">
        <w:t>consideration</w:t>
      </w:r>
      <w:r w:rsidR="00CC3F5E">
        <w:t xml:space="preserve"> of the trees </w:t>
      </w:r>
      <w:proofErr w:type="gramStart"/>
      <w:r w:rsidR="00CC3F5E">
        <w:t>own</w:t>
      </w:r>
      <w:proofErr w:type="gramEnd"/>
      <w:r w:rsidR="00CC3F5E">
        <w:t xml:space="preserve"> good be given </w:t>
      </w:r>
      <w:r w:rsidR="00BF4964">
        <w:t>thought</w:t>
      </w:r>
      <w:r w:rsidR="00CC3F5E">
        <w:t xml:space="preserve"> rather than being solely considered as a resource or of human </w:t>
      </w:r>
      <w:r w:rsidR="00BF4964">
        <w:t>benefit</w:t>
      </w:r>
      <w:r w:rsidR="00CC3F5E">
        <w:t xml:space="preserve">. </w:t>
      </w:r>
    </w:p>
    <w:p w14:paraId="15F80A0C" w14:textId="0207EBA9" w:rsidR="00E20E5E" w:rsidRPr="00E20E5E" w:rsidRDefault="00E20E5E" w:rsidP="00E20E5E">
      <w:r w:rsidRPr="00E20E5E">
        <w:t xml:space="preserve">Rebekah Humphreys expresses the biocentric position in </w:t>
      </w:r>
      <w:r w:rsidR="00BF4964">
        <w:t xml:space="preserve">a </w:t>
      </w:r>
      <w:r w:rsidRPr="00E20E5E">
        <w:t xml:space="preserve">similar </w:t>
      </w:r>
      <w:r w:rsidR="00BF4964">
        <w:t>way</w:t>
      </w:r>
      <w:r w:rsidRPr="00E20E5E">
        <w:t>. Living things can be benefited and harmed, and non-sentient organisms such as trees possess good relating to growth, reproduction, self-maintenance and flourishing</w:t>
      </w:r>
      <w:r w:rsidR="00BF4964">
        <w:rPr>
          <w:rStyle w:val="FootnoteReference"/>
        </w:rPr>
        <w:footnoteReference w:id="6"/>
      </w:r>
      <w:r w:rsidRPr="00E20E5E">
        <w:t>.</w:t>
      </w:r>
      <w:r w:rsidR="00BF4964">
        <w:t xml:space="preserve"> </w:t>
      </w:r>
      <w:r w:rsidRPr="00E20E5E">
        <w:t>Attfield</w:t>
      </w:r>
      <w:r w:rsidR="00BF4964">
        <w:t xml:space="preserve">’s position adds to this </w:t>
      </w:r>
      <w:r w:rsidRPr="00E20E5E">
        <w:t xml:space="preserve">argument through the </w:t>
      </w:r>
      <w:r w:rsidR="00BF4964">
        <w:t>lens of</w:t>
      </w:r>
      <w:r w:rsidRPr="00E20E5E">
        <w:t xml:space="preserve"> health and disease. A plant can be healthy, damaged, deprived of nutrients or prevented from flourishing. </w:t>
      </w:r>
    </w:p>
    <w:p w14:paraId="67A63025" w14:textId="1D6E5F85" w:rsidR="00E20E5E" w:rsidRPr="00E20E5E" w:rsidRDefault="00E20E5E" w:rsidP="00E20E5E">
      <w:r w:rsidRPr="00E20E5E">
        <w:t>Taylor biocentric outlook includes four propositions: humans are members of the community of life in the same sense as other organisms; living beings exist within systems of ecological interdependence; individual organisms pursue goods of their own; and human beings are not inherently superior to other species</w:t>
      </w:r>
      <w:r w:rsidR="00715FDC">
        <w:rPr>
          <w:rStyle w:val="FootnoteReference"/>
        </w:rPr>
        <w:footnoteReference w:id="7"/>
      </w:r>
      <w:r w:rsidRPr="00E20E5E">
        <w:t>.</w:t>
      </w:r>
      <w:r w:rsidR="00715FDC">
        <w:t xml:space="preserve"> </w:t>
      </w:r>
    </w:p>
    <w:p w14:paraId="6D91E7B6" w14:textId="0B96B341" w:rsidR="00E20E5E" w:rsidRPr="00E20E5E" w:rsidRDefault="008464B4" w:rsidP="00E20E5E">
      <w:r>
        <w:lastRenderedPageBreak/>
        <w:t>This biological flourishing presents a p</w:t>
      </w:r>
      <w:r w:rsidR="00E20E5E" w:rsidRPr="00E20E5E">
        <w:t xml:space="preserve">hilosophical </w:t>
      </w:r>
      <w:r>
        <w:t>difficulty - t</w:t>
      </w:r>
      <w:r w:rsidR="00E20E5E" w:rsidRPr="00E20E5E">
        <w:t xml:space="preserve">hat something can function well or badly does not obviously prove that </w:t>
      </w:r>
      <w:r>
        <w:t>we</w:t>
      </w:r>
      <w:r w:rsidR="00E20E5E" w:rsidRPr="00E20E5E">
        <w:t xml:space="preserve"> have obligations towards it. Machines can operate successfully or malfunction</w:t>
      </w:r>
      <w:r>
        <w:t xml:space="preserve">, and </w:t>
      </w:r>
      <w:r w:rsidR="00E20E5E" w:rsidRPr="00E20E5E">
        <w:t xml:space="preserve">rivers and ecosystems can be described as healthy or </w:t>
      </w:r>
      <w:proofErr w:type="gramStart"/>
      <w:r w:rsidR="00E20E5E" w:rsidRPr="00E20E5E">
        <w:t>damaged</w:t>
      </w:r>
      <w:proofErr w:type="gramEnd"/>
      <w:r w:rsidR="009A36A6">
        <w:t xml:space="preserve"> but t</w:t>
      </w:r>
      <w:r>
        <w:t xml:space="preserve">hese facts are not reason enough to establish why these organisms and systems have a moral good. </w:t>
      </w:r>
    </w:p>
    <w:p w14:paraId="082CEB83" w14:textId="67BD67A0" w:rsidR="00E20E5E" w:rsidRPr="00E20E5E" w:rsidRDefault="00E20E5E" w:rsidP="00E20E5E">
      <w:r w:rsidRPr="00E20E5E">
        <w:t>Joel Feinberg</w:t>
      </w:r>
      <w:r w:rsidR="009A36A6">
        <w:t xml:space="preserve">, a </w:t>
      </w:r>
      <w:proofErr w:type="spellStart"/>
      <w:r w:rsidR="009A36A6">
        <w:t>sentie</w:t>
      </w:r>
      <w:r w:rsidR="00F26F2F">
        <w:t>ntist</w:t>
      </w:r>
      <w:proofErr w:type="spellEnd"/>
      <w:r w:rsidRPr="00E20E5E">
        <w:t xml:space="preserve"> connected interests with desires, aims and cognitive states, </w:t>
      </w:r>
      <w:r w:rsidR="009A36A6">
        <w:t xml:space="preserve">thus </w:t>
      </w:r>
      <w:r w:rsidRPr="00E20E5E">
        <w:t>thereby excluding plants from</w:t>
      </w:r>
      <w:r w:rsidR="009A36A6">
        <w:t xml:space="preserve"> moral significance</w:t>
      </w:r>
      <w:r w:rsidR="009A36A6">
        <w:rPr>
          <w:rStyle w:val="FootnoteReference"/>
        </w:rPr>
        <w:footnoteReference w:id="8"/>
      </w:r>
      <w:r w:rsidRPr="00E20E5E">
        <w:t>.</w:t>
      </w:r>
      <w:r w:rsidR="009A36A6">
        <w:t xml:space="preserve"> </w:t>
      </w:r>
      <w:r w:rsidRPr="00E20E5E">
        <w:t xml:space="preserve">This </w:t>
      </w:r>
      <w:r w:rsidR="009A36A6">
        <w:t>has</w:t>
      </w:r>
      <w:r w:rsidR="00431638">
        <w:t xml:space="preserve"> a</w:t>
      </w:r>
      <w:r w:rsidR="009A36A6">
        <w:t xml:space="preserve"> particular relevance here as if </w:t>
      </w:r>
      <w:r w:rsidRPr="00E20E5E">
        <w:t xml:space="preserve">‘flourishing’ </w:t>
      </w:r>
      <w:r w:rsidR="009A36A6">
        <w:t xml:space="preserve">for plants </w:t>
      </w:r>
      <w:r w:rsidRPr="00E20E5E">
        <w:t xml:space="preserve">simply means </w:t>
      </w:r>
      <w:r w:rsidR="009A36A6">
        <w:t xml:space="preserve">full </w:t>
      </w:r>
      <w:r w:rsidRPr="00E20E5E">
        <w:t xml:space="preserve">biological functioning, biocentrism risks </w:t>
      </w:r>
      <w:r w:rsidR="009A36A6">
        <w:t>this</w:t>
      </w:r>
      <w:r w:rsidRPr="00E20E5E">
        <w:t xml:space="preserve"> concept </w:t>
      </w:r>
      <w:r w:rsidR="009A36A6">
        <w:t xml:space="preserve">becoming </w:t>
      </w:r>
      <w:r w:rsidRPr="00E20E5E">
        <w:t xml:space="preserve">a moral </w:t>
      </w:r>
      <w:r w:rsidR="009A36A6" w:rsidRPr="00E20E5E">
        <w:t>assumption</w:t>
      </w:r>
      <w:r w:rsidRPr="00E20E5E">
        <w:t xml:space="preserve">. John O’Neill’s analysis of intrinsic value is helpful here because it demonstrates that environmental philosophers </w:t>
      </w:r>
      <w:r w:rsidR="009A36A6">
        <w:t>often</w:t>
      </w:r>
      <w:r w:rsidRPr="00E20E5E">
        <w:t xml:space="preserve"> conflate different </w:t>
      </w:r>
      <w:r w:rsidR="00431638">
        <w:t>understandings</w:t>
      </w:r>
      <w:r w:rsidRPr="00E20E5E">
        <w:t xml:space="preserve"> of the term</w:t>
      </w:r>
      <w:r w:rsidR="009A36A6">
        <w:rPr>
          <w:rStyle w:val="FootnoteReference"/>
        </w:rPr>
        <w:footnoteReference w:id="9"/>
      </w:r>
      <w:r w:rsidRPr="00E20E5E">
        <w:t>.</w:t>
      </w:r>
      <w:r w:rsidR="009A36A6">
        <w:t xml:space="preserve"> </w:t>
      </w:r>
      <w:proofErr w:type="spellStart"/>
      <w:r w:rsidR="009A36A6">
        <w:t>B</w:t>
      </w:r>
      <w:r w:rsidRPr="00E20E5E">
        <w:t>iocentrists</w:t>
      </w:r>
      <w:proofErr w:type="spellEnd"/>
      <w:r w:rsidRPr="00E20E5E">
        <w:t xml:space="preserve"> cannot establish objective intrinsic value merely by pointing to an organism’s </w:t>
      </w:r>
      <w:r w:rsidR="009A36A6">
        <w:t xml:space="preserve">biology (and </w:t>
      </w:r>
      <w:r w:rsidR="00F26F2F">
        <w:t>conflating</w:t>
      </w:r>
      <w:r w:rsidR="009A36A6">
        <w:t xml:space="preserve"> </w:t>
      </w:r>
      <w:r w:rsidR="00431638">
        <w:t xml:space="preserve">full </w:t>
      </w:r>
      <w:r w:rsidR="00F26F2F">
        <w:t>biological functioning with flourishing)</w:t>
      </w:r>
      <w:r w:rsidRPr="00E20E5E">
        <w:t>.</w:t>
      </w:r>
    </w:p>
    <w:p w14:paraId="3E53B7E3" w14:textId="33C170ED" w:rsidR="00E20E5E" w:rsidRPr="00E20E5E" w:rsidRDefault="00F26F2F" w:rsidP="00E20E5E">
      <w:r>
        <w:t xml:space="preserve">However, </w:t>
      </w:r>
      <w:proofErr w:type="spellStart"/>
      <w:r w:rsidR="00E20E5E" w:rsidRPr="00E20E5E">
        <w:t>sentientism</w:t>
      </w:r>
      <w:proofErr w:type="spellEnd"/>
      <w:r w:rsidR="00E20E5E" w:rsidRPr="00E20E5E">
        <w:t xml:space="preserve"> </w:t>
      </w:r>
      <w:r>
        <w:t>has many objections. For example, while c</w:t>
      </w:r>
      <w:r w:rsidR="00E20E5E" w:rsidRPr="00E20E5E">
        <w:t xml:space="preserve">onsciousness plainly explains why some harm possess </w:t>
      </w:r>
      <w:r>
        <w:t xml:space="preserve">an obvious </w:t>
      </w:r>
      <w:r w:rsidR="00E20E5E" w:rsidRPr="00E20E5E">
        <w:t xml:space="preserve">moral </w:t>
      </w:r>
      <w:r w:rsidRPr="00E20E5E">
        <w:t>importance</w:t>
      </w:r>
      <w:r w:rsidR="00E20E5E" w:rsidRPr="00E20E5E">
        <w:t>, it does not logically follow that only consciously experienced harm matter</w:t>
      </w:r>
      <w:r>
        <w:t>s.</w:t>
      </w:r>
      <w:r w:rsidR="00E20E5E" w:rsidRPr="00E20E5E">
        <w:t xml:space="preserve"> Varner questions the </w:t>
      </w:r>
      <w:r>
        <w:t>cognitive</w:t>
      </w:r>
      <w:r w:rsidR="00E20E5E" w:rsidRPr="00E20E5E">
        <w:t xml:space="preserve">-state theory of </w:t>
      </w:r>
      <w:r w:rsidRPr="00E20E5E">
        <w:t>interests</w:t>
      </w:r>
      <w:r w:rsidR="00431638">
        <w:t xml:space="preserve"> (like with Feinberg)</w:t>
      </w:r>
      <w:r w:rsidR="00E20E5E" w:rsidRPr="00E20E5E">
        <w:t xml:space="preserve"> by </w:t>
      </w:r>
      <w:r>
        <w:t>indorsing</w:t>
      </w:r>
      <w:r w:rsidRPr="00E20E5E">
        <w:t xml:space="preserve"> </w:t>
      </w:r>
      <w:r w:rsidR="00E20E5E" w:rsidRPr="00E20E5E">
        <w:t xml:space="preserve">the existence of ‘biological interests’ in </w:t>
      </w:r>
      <w:r>
        <w:t xml:space="preserve">those </w:t>
      </w:r>
      <w:r w:rsidR="00E20E5E" w:rsidRPr="00E20E5E">
        <w:t xml:space="preserve">organisms </w:t>
      </w:r>
      <w:r w:rsidR="00431638">
        <w:t>where they lack</w:t>
      </w:r>
      <w:r w:rsidR="00E20E5E" w:rsidRPr="00E20E5E">
        <w:t xml:space="preserve"> </w:t>
      </w:r>
      <w:r>
        <w:t xml:space="preserve">clear </w:t>
      </w:r>
      <w:r w:rsidR="00E20E5E" w:rsidRPr="00E20E5E">
        <w:t>desires</w:t>
      </w:r>
      <w:r>
        <w:rPr>
          <w:rStyle w:val="FootnoteReference"/>
        </w:rPr>
        <w:footnoteReference w:id="10"/>
      </w:r>
      <w:r>
        <w:t>. For example, a</w:t>
      </w:r>
      <w:r w:rsidR="00E20E5E" w:rsidRPr="00E20E5E">
        <w:t xml:space="preserve"> tree directs </w:t>
      </w:r>
      <w:r>
        <w:t xml:space="preserve">its </w:t>
      </w:r>
      <w:r w:rsidR="00E20E5E" w:rsidRPr="00E20E5E">
        <w:t>energy towards growth, repair</w:t>
      </w:r>
      <w:r>
        <w:t>ing</w:t>
      </w:r>
      <w:r w:rsidR="00E20E5E" w:rsidRPr="00E20E5E">
        <w:t xml:space="preserve"> damage, and responds to </w:t>
      </w:r>
      <w:r>
        <w:t xml:space="preserve">the conditions of its </w:t>
      </w:r>
      <w:r w:rsidR="00E20E5E" w:rsidRPr="00E20E5E">
        <w:t xml:space="preserve">environment. These processes </w:t>
      </w:r>
      <w:r>
        <w:t xml:space="preserve">clearly </w:t>
      </w:r>
      <w:r w:rsidR="00E20E5E" w:rsidRPr="00E20E5E">
        <w:t xml:space="preserve">differ from </w:t>
      </w:r>
      <w:r>
        <w:t>how a</w:t>
      </w:r>
      <w:r w:rsidR="00E20E5E" w:rsidRPr="00E20E5E">
        <w:t xml:space="preserve"> machine </w:t>
      </w:r>
      <w:r>
        <w:t xml:space="preserve">functions because the trees processes belong </w:t>
      </w:r>
      <w:r w:rsidR="00E20E5E" w:rsidRPr="00E20E5E">
        <w:t xml:space="preserve">to a self-maintaining living system whose activities are organised around </w:t>
      </w:r>
      <w:r>
        <w:t>c</w:t>
      </w:r>
      <w:r w:rsidR="00E20E5E" w:rsidRPr="00E20E5E">
        <w:t>ontinu</w:t>
      </w:r>
      <w:r>
        <w:t>ing its</w:t>
      </w:r>
      <w:r w:rsidR="00E20E5E" w:rsidRPr="00E20E5E">
        <w:t xml:space="preserve"> life.</w:t>
      </w:r>
    </w:p>
    <w:p w14:paraId="373393A5" w14:textId="71BD6A15" w:rsidR="00E20E5E" w:rsidRPr="00E20E5E" w:rsidRDefault="00E20E5E" w:rsidP="00E20E5E">
      <w:r w:rsidRPr="00E20E5E">
        <w:t>Donald Scherer’s thought experiment</w:t>
      </w:r>
      <w:r w:rsidR="00F26F2F">
        <w:t xml:space="preserve"> is particularly pertinent</w:t>
      </w:r>
      <w:r w:rsidR="00431638">
        <w:t xml:space="preserve"> in this</w:t>
      </w:r>
      <w:r w:rsidR="00F26F2F">
        <w:t xml:space="preserve">. </w:t>
      </w:r>
      <w:r w:rsidRPr="00E20E5E">
        <w:t>Imagine one lifeless planet and another containing abundant but permanently non-sentient plant life. Many people judge that there would be a moral reason not to destroy the living world even if it would never produce conscious beings or serve human interests</w:t>
      </w:r>
      <w:r w:rsidR="00B57B34">
        <w:rPr>
          <w:rStyle w:val="FootnoteReference"/>
        </w:rPr>
        <w:footnoteReference w:id="11"/>
      </w:r>
      <w:r w:rsidRPr="00E20E5E">
        <w:t>.</w:t>
      </w:r>
      <w:r w:rsidR="00B57B34">
        <w:t xml:space="preserve"> This </w:t>
      </w:r>
      <w:r w:rsidRPr="00E20E5E">
        <w:t>intuition do</w:t>
      </w:r>
      <w:r w:rsidR="00B57B34">
        <w:t>es</w:t>
      </w:r>
      <w:r w:rsidRPr="00E20E5E">
        <w:t xml:space="preserve"> not prove</w:t>
      </w:r>
      <w:r w:rsidR="00B57B34">
        <w:t xml:space="preserve"> the plausibility of</w:t>
      </w:r>
      <w:r w:rsidRPr="00E20E5E">
        <w:t xml:space="preserve"> biocentrism</w:t>
      </w:r>
      <w:r w:rsidR="00B57B34">
        <w:t xml:space="preserve"> of course</w:t>
      </w:r>
      <w:r w:rsidRPr="00E20E5E">
        <w:t xml:space="preserve">, but </w:t>
      </w:r>
      <w:r w:rsidR="00B57B34">
        <w:t>it</w:t>
      </w:r>
      <w:r w:rsidRPr="00E20E5E">
        <w:t xml:space="preserve"> </w:t>
      </w:r>
      <w:r w:rsidR="00B57B34">
        <w:t xml:space="preserve">makes it difficult for the </w:t>
      </w:r>
      <w:proofErr w:type="spellStart"/>
      <w:r w:rsidR="00B57B34">
        <w:t>s</w:t>
      </w:r>
      <w:r w:rsidRPr="00E20E5E">
        <w:t>entientist</w:t>
      </w:r>
      <w:proofErr w:type="spellEnd"/>
      <w:r w:rsidRPr="00E20E5E">
        <w:t xml:space="preserve"> to explain why the destruction of an entire flourishing world would be morally </w:t>
      </w:r>
      <w:r w:rsidR="00B57B34">
        <w:t xml:space="preserve">acceptable. </w:t>
      </w:r>
    </w:p>
    <w:p w14:paraId="50B40246" w14:textId="12093006" w:rsidR="00E20E5E" w:rsidRPr="00E20E5E" w:rsidRDefault="00E20E5E" w:rsidP="00E20E5E">
      <w:r w:rsidRPr="00E20E5E">
        <w:t xml:space="preserve">An especially strong feature of Attfield’s position is </w:t>
      </w:r>
      <w:r w:rsidR="00B57B34">
        <w:t>h</w:t>
      </w:r>
      <w:r w:rsidRPr="00E20E5E">
        <w:t>is discussion of artificial life</w:t>
      </w:r>
      <w:r w:rsidR="00B57B34">
        <w:t xml:space="preserve">. He </w:t>
      </w:r>
      <w:r w:rsidRPr="00E20E5E">
        <w:t>argues that an organism created through breeding, genetic engineering or synthetic biology can acquire a good of its own once it exists</w:t>
      </w:r>
      <w:r w:rsidR="00B57B34">
        <w:rPr>
          <w:rStyle w:val="FootnoteReference"/>
        </w:rPr>
        <w:footnoteReference w:id="12"/>
      </w:r>
      <w:r w:rsidRPr="00E20E5E">
        <w:t>.</w:t>
      </w:r>
      <w:r w:rsidR="00B57B34">
        <w:t xml:space="preserve"> An organism that is humanly created does not make it simply an object </w:t>
      </w:r>
      <w:r w:rsidRPr="00E20E5E">
        <w:t>whose</w:t>
      </w:r>
      <w:r w:rsidR="00B57B34">
        <w:t xml:space="preserve"> only</w:t>
      </w:r>
      <w:r w:rsidRPr="00E20E5E">
        <w:t xml:space="preserve"> value is </w:t>
      </w:r>
      <w:r w:rsidR="00B57B34" w:rsidRPr="00E20E5E">
        <w:t>spent</w:t>
      </w:r>
      <w:r w:rsidR="00B57B34">
        <w:t xml:space="preserve"> once it has </w:t>
      </w:r>
      <w:r w:rsidR="00B57B34">
        <w:lastRenderedPageBreak/>
        <w:t xml:space="preserve">completed its </w:t>
      </w:r>
      <w:r w:rsidRPr="00E20E5E">
        <w:t>intended function.</w:t>
      </w:r>
      <w:r w:rsidR="004147C2">
        <w:t xml:space="preserve"> Therefore, non-wild/d</w:t>
      </w:r>
      <w:r w:rsidRPr="00E20E5E">
        <w:t xml:space="preserve">omesticated plants, farmed animals and engineered organisms cannot </w:t>
      </w:r>
      <w:r w:rsidR="004147C2" w:rsidRPr="00E20E5E">
        <w:t>reasonably</w:t>
      </w:r>
      <w:r w:rsidRPr="00E20E5E">
        <w:t xml:space="preserve"> be treated as morally negligible merely because </w:t>
      </w:r>
      <w:r w:rsidR="004147C2">
        <w:t xml:space="preserve">it was </w:t>
      </w:r>
      <w:r w:rsidRPr="00E20E5E">
        <w:t xml:space="preserve">human actions </w:t>
      </w:r>
      <w:r w:rsidR="004147C2">
        <w:t>which created their existence</w:t>
      </w:r>
      <w:proofErr w:type="gramStart"/>
      <w:r w:rsidR="004147C2">
        <w:t xml:space="preserve">. </w:t>
      </w:r>
      <w:r w:rsidRPr="00E20E5E">
        <w:t>.</w:t>
      </w:r>
      <w:proofErr w:type="gramEnd"/>
    </w:p>
    <w:p w14:paraId="24C80F66" w14:textId="0AF6A8E0" w:rsidR="00E20E5E" w:rsidRPr="00E20E5E" w:rsidRDefault="00E20E5E" w:rsidP="00E20E5E">
      <w:r w:rsidRPr="00E20E5E">
        <w:t>Taylor argues that living beings possess equal inherent worth, but this</w:t>
      </w:r>
      <w:r w:rsidR="004147C2">
        <w:t xml:space="preserve"> can create quite a bit of difficulty when run through some scenarios to their logical conclusion. </w:t>
      </w:r>
      <w:r w:rsidRPr="00E20E5E">
        <w:t xml:space="preserve">Humphreys illustrates the difficulty through conflicts between a human’s non-basic desire to remove a weed and the weed’s basic </w:t>
      </w:r>
      <w:proofErr w:type="gramStart"/>
      <w:r w:rsidRPr="00E20E5E">
        <w:t xml:space="preserve">interest </w:t>
      </w:r>
      <w:r w:rsidR="00431638">
        <w:t>for</w:t>
      </w:r>
      <w:proofErr w:type="gramEnd"/>
      <w:r w:rsidRPr="00E20E5E">
        <w:t xml:space="preserve"> </w:t>
      </w:r>
      <w:r w:rsidR="004147C2">
        <w:t xml:space="preserve">its </w:t>
      </w:r>
      <w:r w:rsidRPr="00E20E5E">
        <w:t>continued existence</w:t>
      </w:r>
      <w:r w:rsidR="004147C2">
        <w:rPr>
          <w:rStyle w:val="FootnoteReference"/>
        </w:rPr>
        <w:footnoteReference w:id="13"/>
      </w:r>
      <w:r w:rsidRPr="00E20E5E">
        <w:t>.</w:t>
      </w:r>
      <w:r w:rsidR="004147C2">
        <w:t xml:space="preserve"> </w:t>
      </w:r>
    </w:p>
    <w:p w14:paraId="173FBFEF" w14:textId="3347E4EE" w:rsidR="00D50A41" w:rsidRDefault="00E20E5E" w:rsidP="00E20E5E">
      <w:r w:rsidRPr="00E20E5E">
        <w:t xml:space="preserve">David Schmidtz </w:t>
      </w:r>
      <w:r w:rsidR="004147C2">
        <w:t xml:space="preserve">offers a counter point on this </w:t>
      </w:r>
      <w:r w:rsidRPr="00E20E5E">
        <w:t xml:space="preserve">species equality by separating respect from equality. His argument is not that other species deserve no respect, but that there is no reason to assume that respecting all forms of life requires respecting them </w:t>
      </w:r>
      <w:r w:rsidR="00431638">
        <w:t xml:space="preserve">all </w:t>
      </w:r>
      <w:r w:rsidRPr="004147C2">
        <w:t>equally</w:t>
      </w:r>
      <w:r w:rsidR="004147C2">
        <w:rPr>
          <w:rStyle w:val="FootnoteReference"/>
        </w:rPr>
        <w:footnoteReference w:id="14"/>
      </w:r>
      <w:r w:rsidRPr="00E20E5E">
        <w:t>.</w:t>
      </w:r>
      <w:r w:rsidR="004147C2">
        <w:t xml:space="preserve"> He asserts that species </w:t>
      </w:r>
      <w:r w:rsidR="00D50A41">
        <w:t>possess</w:t>
      </w:r>
      <w:r w:rsidR="004147C2">
        <w:t xml:space="preserve"> different forms of flourishing and that humans need not be considered superior </w:t>
      </w:r>
      <w:r w:rsidR="00D50A41">
        <w:t xml:space="preserve">or equal to all other organisms, only that they are simply different. </w:t>
      </w:r>
    </w:p>
    <w:p w14:paraId="00FEA4E2" w14:textId="04F42659" w:rsidR="00E20E5E" w:rsidRPr="00E20E5E" w:rsidRDefault="00E20E5E" w:rsidP="00E20E5E">
      <w:proofErr w:type="spellStart"/>
      <w:r w:rsidRPr="00E20E5E">
        <w:t>Drenthen</w:t>
      </w:r>
      <w:proofErr w:type="spellEnd"/>
      <w:r w:rsidRPr="00E20E5E">
        <w:t xml:space="preserve"> identifies an additional problem in the </w:t>
      </w:r>
      <w:r w:rsidR="00D50A41">
        <w:t>hope</w:t>
      </w:r>
      <w:r w:rsidRPr="00E20E5E">
        <w:t xml:space="preserve"> to judge species from an entirely </w:t>
      </w:r>
      <w:r w:rsidR="00D50A41" w:rsidRPr="00E20E5E">
        <w:t>objective</w:t>
      </w:r>
      <w:r w:rsidRPr="00E20E5E">
        <w:t xml:space="preserve"> standpoint</w:t>
      </w:r>
      <w:r w:rsidR="00D50A41">
        <w:t xml:space="preserve"> - a</w:t>
      </w:r>
      <w:r w:rsidRPr="00E20E5E">
        <w:t>ll human valuation is articulated through human concepts</w:t>
      </w:r>
      <w:r w:rsidR="00D50A41">
        <w:t xml:space="preserve"> and language and through the ways in which we respond. It is impossible for us to embody a non-human perspective and realise natures perception of equal value</w:t>
      </w:r>
      <w:r w:rsidR="00D50A41">
        <w:rPr>
          <w:rStyle w:val="FootnoteReference"/>
        </w:rPr>
        <w:footnoteReference w:id="15"/>
      </w:r>
      <w:r w:rsidR="00D50A41">
        <w:t>.</w:t>
      </w:r>
      <w:r w:rsidR="00064299">
        <w:t xml:space="preserve"> </w:t>
      </w:r>
      <w:proofErr w:type="spellStart"/>
      <w:r w:rsidRPr="00E20E5E">
        <w:t>Drenthen’s</w:t>
      </w:r>
      <w:proofErr w:type="spellEnd"/>
      <w:r w:rsidRPr="00E20E5E">
        <w:t xml:space="preserve"> conclusion, however, </w:t>
      </w:r>
      <w:r w:rsidR="00D50A41">
        <w:t>is not a full return to the a</w:t>
      </w:r>
      <w:r w:rsidRPr="00E20E5E">
        <w:t>nthropocentr</w:t>
      </w:r>
      <w:r w:rsidR="00D50A41">
        <w:t>ic standpoint</w:t>
      </w:r>
      <w:r w:rsidRPr="00E20E5E">
        <w:t xml:space="preserve">. He </w:t>
      </w:r>
      <w:r w:rsidR="00D50A41" w:rsidRPr="00E20E5E">
        <w:t>classifies</w:t>
      </w:r>
      <w:r w:rsidRPr="00E20E5E">
        <w:t xml:space="preserve"> ‘humanistic anthropocentrism’, in which nonhuman things matter only when useful or pleasurable to humans, from the unavoidable fact that humans evaluate the world from a human perspective. T</w:t>
      </w:r>
      <w:r w:rsidR="00D50A41">
        <w:t xml:space="preserve">herefore, in acknowledging this, humans could ethically overcome this through humility – </w:t>
      </w:r>
      <w:r w:rsidR="00064299">
        <w:t xml:space="preserve">by recognising </w:t>
      </w:r>
      <w:r w:rsidR="00D50A41">
        <w:t xml:space="preserve">that we are part of a larger living order and that </w:t>
      </w:r>
      <w:r w:rsidR="00064299">
        <w:t>this</w:t>
      </w:r>
      <w:r w:rsidR="00D50A41">
        <w:t xml:space="preserve"> does not revolve around them</w:t>
      </w:r>
      <w:r w:rsidR="00064299">
        <w:rPr>
          <w:rStyle w:val="FootnoteReference"/>
        </w:rPr>
        <w:footnoteReference w:id="16"/>
      </w:r>
      <w:r w:rsidR="00064299">
        <w:t>.</w:t>
      </w:r>
    </w:p>
    <w:p w14:paraId="440822CE" w14:textId="248929AD" w:rsidR="00E20E5E" w:rsidRPr="00E20E5E" w:rsidRDefault="00E20E5E" w:rsidP="00E20E5E">
      <w:r w:rsidRPr="00E20E5E">
        <w:t xml:space="preserve">Sterba offers perhaps the most </w:t>
      </w:r>
      <w:r w:rsidR="00064299">
        <w:t>highly developed</w:t>
      </w:r>
      <w:r w:rsidR="00064299" w:rsidRPr="00E20E5E">
        <w:t xml:space="preserve"> </w:t>
      </w:r>
      <w:r w:rsidRPr="00E20E5E">
        <w:t xml:space="preserve">defence of the egalitarian </w:t>
      </w:r>
      <w:r w:rsidR="00431638">
        <w:t>position</w:t>
      </w:r>
      <w:r w:rsidRPr="00E20E5E">
        <w:t xml:space="preserve">. He argues that equality </w:t>
      </w:r>
      <w:r w:rsidR="00064299">
        <w:t>does</w:t>
      </w:r>
      <w:r w:rsidRPr="00E20E5E">
        <w:t xml:space="preserve"> not mean identical treatment. Human equality itself permits differential treatment: equal persons need not receive identical resources or have every interest weighted equally. What equality prohibits is domination. Sterba therefore develops a principle of human preservation, allowing humans to harm organisms where necessary to meet </w:t>
      </w:r>
      <w:r w:rsidR="00064299">
        <w:t xml:space="preserve">their </w:t>
      </w:r>
      <w:r w:rsidRPr="00E20E5E">
        <w:t xml:space="preserve">basic needs, and a </w:t>
      </w:r>
      <w:r w:rsidR="00064299">
        <w:t>P</w:t>
      </w:r>
      <w:r w:rsidRPr="00E20E5E">
        <w:t xml:space="preserve">rinciple of </w:t>
      </w:r>
      <w:r w:rsidR="00064299">
        <w:t>D</w:t>
      </w:r>
      <w:r w:rsidRPr="00E20E5E">
        <w:t xml:space="preserve">isproportionality, forbidding the satisfaction of non-basic or luxury human interests </w:t>
      </w:r>
      <w:proofErr w:type="gramStart"/>
      <w:r w:rsidRPr="00E20E5E">
        <w:t>where</w:t>
      </w:r>
      <w:proofErr w:type="gramEnd"/>
      <w:r w:rsidRPr="00E20E5E">
        <w:t xml:space="preserve"> doing so attacks the basic needs of nonhuman beings.</w:t>
      </w:r>
      <w:r w:rsidR="00064299">
        <w:t xml:space="preserve"> </w:t>
      </w:r>
      <w:r w:rsidRPr="00E20E5E">
        <w:t>He also permits human defence against harmful aggression.</w:t>
      </w:r>
      <w:r w:rsidR="00064299">
        <w:rPr>
          <w:rStyle w:val="FootnoteReference"/>
        </w:rPr>
        <w:footnoteReference w:id="17"/>
      </w:r>
    </w:p>
    <w:p w14:paraId="072C153A" w14:textId="54CD682C" w:rsidR="00E20E5E" w:rsidRPr="00E20E5E" w:rsidRDefault="00E20E5E" w:rsidP="00E20E5E">
      <w:r w:rsidRPr="00E20E5E">
        <w:lastRenderedPageBreak/>
        <w:t>T</w:t>
      </w:r>
      <w:r w:rsidR="00064299">
        <w:t xml:space="preserve">his approach </w:t>
      </w:r>
      <w:r w:rsidR="0093514A">
        <w:t>becomes particularly</w:t>
      </w:r>
      <w:r w:rsidR="00064299">
        <w:t xml:space="preserve"> attractive when it is applied to the destruction of the environment. </w:t>
      </w:r>
      <w:r w:rsidRPr="00E20E5E">
        <w:t xml:space="preserve"> Much ecological degradation is not generated by unavoidable competition for survival. Forests, habitats and individual organisms are </w:t>
      </w:r>
      <w:r w:rsidR="00064299">
        <w:t xml:space="preserve">very </w:t>
      </w:r>
      <w:r w:rsidRPr="00E20E5E">
        <w:t xml:space="preserve">frequently destroyed for comparatively marginal increases in consumption, convenience or </w:t>
      </w:r>
      <w:r w:rsidR="00064299">
        <w:t xml:space="preserve">simply for </w:t>
      </w:r>
      <w:r w:rsidRPr="00E20E5E">
        <w:t xml:space="preserve">profit. Sterba’s principle therefore gives </w:t>
      </w:r>
      <w:r w:rsidR="00064299">
        <w:t xml:space="preserve">us a </w:t>
      </w:r>
      <w:r w:rsidRPr="00E20E5E">
        <w:t xml:space="preserve">practical </w:t>
      </w:r>
      <w:r w:rsidR="00064299">
        <w:t>answer</w:t>
      </w:r>
      <w:r w:rsidRPr="00E20E5E">
        <w:t xml:space="preserve"> to biocentric equality: human survival may override the lives of plants, but human luxury cannot override non</w:t>
      </w:r>
      <w:r w:rsidR="00064299">
        <w:t>-</w:t>
      </w:r>
      <w:r w:rsidRPr="00E20E5E">
        <w:t>human survival.</w:t>
      </w:r>
    </w:p>
    <w:p w14:paraId="41370F96" w14:textId="78916CDD" w:rsidR="00E20E5E" w:rsidRPr="00E20E5E" w:rsidRDefault="00E20E5E" w:rsidP="00E20E5E">
      <w:r w:rsidRPr="00E20E5E">
        <w:t xml:space="preserve">However, the defence exposes a tension. Sterba accepts that </w:t>
      </w:r>
      <w:r w:rsidR="00064299">
        <w:t xml:space="preserve">wanting to avoid </w:t>
      </w:r>
      <w:r w:rsidRPr="00E20E5E">
        <w:t xml:space="preserve">animal suffering can justify </w:t>
      </w:r>
      <w:r w:rsidR="00064299">
        <w:t xml:space="preserve">a </w:t>
      </w:r>
      <w:r w:rsidR="00064299" w:rsidRPr="00E20E5E">
        <w:t>vegetarian</w:t>
      </w:r>
      <w:r w:rsidR="00064299">
        <w:t>’s</w:t>
      </w:r>
      <w:r w:rsidRPr="00E20E5E">
        <w:t xml:space="preserve"> preference for </w:t>
      </w:r>
      <w:r w:rsidR="00064299">
        <w:t xml:space="preserve">eating </w:t>
      </w:r>
      <w:r w:rsidRPr="00E20E5E">
        <w:t>plants.</w:t>
      </w:r>
      <w:r w:rsidR="00064299">
        <w:t xml:space="preserve"> This makes sense, but </w:t>
      </w:r>
      <w:r w:rsidR="00363FCC">
        <w:t xml:space="preserve">I </w:t>
      </w:r>
      <w:proofErr w:type="gramStart"/>
      <w:r w:rsidR="00363FCC">
        <w:t>does</w:t>
      </w:r>
      <w:proofErr w:type="gramEnd"/>
      <w:r w:rsidR="00363FCC">
        <w:t xml:space="preserve"> highlight that differentiation still exists – strict equality here would suggest there is no difference between the plant and the animal – both must be harmed and killed to sustain the human. Once we consider the kid of harm each would experience, the moral decision making becomes non-egalitarian</w:t>
      </w:r>
      <w:r w:rsidR="00363FCC">
        <w:rPr>
          <w:rStyle w:val="FootnoteReference"/>
        </w:rPr>
        <w:footnoteReference w:id="18"/>
      </w:r>
      <w:r w:rsidR="00363FCC">
        <w:t xml:space="preserve">. </w:t>
      </w:r>
    </w:p>
    <w:p w14:paraId="785DCC33" w14:textId="1E298074" w:rsidR="00E20E5E" w:rsidRPr="00E20E5E" w:rsidRDefault="00363FCC" w:rsidP="00E20E5E">
      <w:r>
        <w:t xml:space="preserve">Thus, we arrive back at </w:t>
      </w:r>
      <w:r w:rsidR="00E20E5E" w:rsidRPr="00E20E5E">
        <w:t>Attfield’s differentiated biocentrism</w:t>
      </w:r>
      <w:r>
        <w:t xml:space="preserve">, as it </w:t>
      </w:r>
      <w:r w:rsidR="00E20E5E" w:rsidRPr="00E20E5E">
        <w:t xml:space="preserve">is consequently more convincing. All living beings have moral standing, but different interests carry different moral weight. Sentience matters because suffering is a form of harm unavailable to plants; self-conscious beings may additionally lose </w:t>
      </w:r>
      <w:r>
        <w:t>all future endeavours</w:t>
      </w:r>
      <w:r w:rsidR="00E20E5E" w:rsidRPr="00E20E5E">
        <w:t>, relationships and</w:t>
      </w:r>
      <w:r>
        <w:t xml:space="preserve"> i</w:t>
      </w:r>
      <w:r w:rsidR="0093514A">
        <w:t>ntergenerational harm</w:t>
      </w:r>
      <w:r>
        <w:t xml:space="preserve">. </w:t>
      </w:r>
      <w:r w:rsidR="00E20E5E" w:rsidRPr="00E20E5E">
        <w:t xml:space="preserve">Yet plants still possess basic interests in continued flourishing. The distinction </w:t>
      </w:r>
      <w:r>
        <w:t xml:space="preserve">for sentience </w:t>
      </w:r>
      <w:r w:rsidR="00E20E5E" w:rsidRPr="00E20E5E">
        <w:t xml:space="preserve">allows the theory to recognise morally relevant differences without </w:t>
      </w:r>
      <w:r w:rsidRPr="00E20E5E">
        <w:t>returning</w:t>
      </w:r>
      <w:r>
        <w:t xml:space="preserve"> to</w:t>
      </w:r>
      <w:r w:rsidR="00E20E5E" w:rsidRPr="00E20E5E">
        <w:t xml:space="preserve"> the anthropocentric assumption that only human interests count</w:t>
      </w:r>
      <w:r>
        <w:rPr>
          <w:rStyle w:val="FootnoteReference"/>
        </w:rPr>
        <w:footnoteReference w:id="19"/>
      </w:r>
      <w:r w:rsidR="00E20E5E" w:rsidRPr="00E20E5E">
        <w:t>.</w:t>
      </w:r>
    </w:p>
    <w:p w14:paraId="74EBB294" w14:textId="7D503542" w:rsidR="00E20E5E" w:rsidRPr="00E20E5E" w:rsidRDefault="00BD6E1C" w:rsidP="00E20E5E">
      <w:r>
        <w:t>One</w:t>
      </w:r>
      <w:r w:rsidR="00E20E5E" w:rsidRPr="00E20E5E">
        <w:t xml:space="preserve"> of the most familiar objections to biocentrism </w:t>
      </w:r>
      <w:r>
        <w:t xml:space="preserve">is that it makes living an </w:t>
      </w:r>
      <w:r w:rsidR="006D4434">
        <w:t>ordinary life</w:t>
      </w:r>
      <w:r>
        <w:t xml:space="preserve"> almost impossible. However, as we can see </w:t>
      </w:r>
      <w:r w:rsidR="00E20E5E" w:rsidRPr="00E20E5E">
        <w:t xml:space="preserve">Biocentrism does not require </w:t>
      </w:r>
      <w:r>
        <w:t>us</w:t>
      </w:r>
      <w:r w:rsidR="00E20E5E" w:rsidRPr="00E20E5E">
        <w:t xml:space="preserve"> to preserve every bacterium or refrain from eating. Humphreys emphasises that recognising standing does not imply that an organism’s </w:t>
      </w:r>
      <w:r w:rsidRPr="00E20E5E">
        <w:t>right</w:t>
      </w:r>
      <w:r w:rsidR="00E20E5E" w:rsidRPr="00E20E5E">
        <w:t xml:space="preserve"> can never be overridden</w:t>
      </w:r>
      <w:r>
        <w:rPr>
          <w:rStyle w:val="FootnoteReference"/>
        </w:rPr>
        <w:footnoteReference w:id="20"/>
      </w:r>
      <w:r w:rsidR="00E20E5E" w:rsidRPr="00E20E5E">
        <w:t>.</w:t>
      </w:r>
      <w:r>
        <w:t xml:space="preserve"> </w:t>
      </w:r>
      <w:r w:rsidR="00E20E5E" w:rsidRPr="00E20E5E">
        <w:t xml:space="preserve">Goodpaster’s distinction between </w:t>
      </w:r>
      <w:proofErr w:type="spellStart"/>
      <w:r w:rsidR="00E20E5E" w:rsidRPr="00E20E5E">
        <w:t>considerability</w:t>
      </w:r>
      <w:proofErr w:type="spellEnd"/>
      <w:r w:rsidR="00E20E5E" w:rsidRPr="00E20E5E">
        <w:t xml:space="preserve"> and significance again proves </w:t>
      </w:r>
      <w:r w:rsidR="006D4434" w:rsidRPr="00E20E5E">
        <w:t>decisive</w:t>
      </w:r>
      <w:r w:rsidR="00E20E5E" w:rsidRPr="00E20E5E">
        <w:t xml:space="preserve">. Moral life already requires </w:t>
      </w:r>
      <w:r w:rsidR="006D4434">
        <w:t>considerable choice</w:t>
      </w:r>
      <w:r w:rsidR="00E20E5E" w:rsidRPr="00E20E5E">
        <w:t xml:space="preserve"> between competing human interests; </w:t>
      </w:r>
      <w:r w:rsidR="006D4434">
        <w:t xml:space="preserve">extending this to </w:t>
      </w:r>
      <w:r w:rsidR="00E20E5E" w:rsidRPr="00E20E5E">
        <w:t xml:space="preserve">beyond the human </w:t>
      </w:r>
      <w:r w:rsidR="006D4434">
        <w:t>realm</w:t>
      </w:r>
      <w:r w:rsidR="00E20E5E" w:rsidRPr="00E20E5E">
        <w:t xml:space="preserve"> complicates that </w:t>
      </w:r>
      <w:r w:rsidR="006D4434">
        <w:t xml:space="preserve">decision making </w:t>
      </w:r>
      <w:proofErr w:type="gramStart"/>
      <w:r w:rsidR="00E20E5E" w:rsidRPr="00E20E5E">
        <w:t>process</w:t>
      </w:r>
      <w:r w:rsidR="006D4434">
        <w:t>,</w:t>
      </w:r>
      <w:r w:rsidR="00E20E5E" w:rsidRPr="00E20E5E">
        <w:t xml:space="preserve"> but</w:t>
      </w:r>
      <w:proofErr w:type="gramEnd"/>
      <w:r w:rsidR="00E20E5E" w:rsidRPr="00E20E5E">
        <w:t xml:space="preserve"> does not make it impossible.</w:t>
      </w:r>
    </w:p>
    <w:p w14:paraId="112EC550" w14:textId="21BBD981" w:rsidR="00E20E5E" w:rsidRPr="00E20E5E" w:rsidRDefault="00E20E5E" w:rsidP="00E20E5E">
      <w:r w:rsidRPr="00E20E5E">
        <w:t xml:space="preserve">A more interesting practical interpretation is offered by Jason Kawall, who </w:t>
      </w:r>
      <w:r w:rsidR="00412878">
        <w:t xml:space="preserve">states that a </w:t>
      </w:r>
      <w:r w:rsidR="00412878" w:rsidRPr="00E20E5E">
        <w:t>reverence</w:t>
      </w:r>
      <w:r w:rsidR="00023281">
        <w:t xml:space="preserve"> </w:t>
      </w:r>
      <w:r w:rsidRPr="00E20E5E">
        <w:t xml:space="preserve">for life </w:t>
      </w:r>
      <w:r w:rsidR="00412878">
        <w:t xml:space="preserve">is </w:t>
      </w:r>
      <w:r w:rsidRPr="00E20E5E">
        <w:t xml:space="preserve">an environmental virtue. Rather than requiring exhaustive calculation of every organism affected by every action, a biocentric virtue shapes perception, </w:t>
      </w:r>
      <w:r w:rsidR="00412878">
        <w:t xml:space="preserve">offers </w:t>
      </w:r>
      <w:r w:rsidRPr="00E20E5E">
        <w:t xml:space="preserve">restraint and </w:t>
      </w:r>
      <w:r w:rsidR="0093514A">
        <w:t xml:space="preserve">gives </w:t>
      </w:r>
      <w:r w:rsidR="00412878" w:rsidRPr="00E20E5E">
        <w:t>integrity</w:t>
      </w:r>
      <w:r w:rsidR="00412878">
        <w:rPr>
          <w:rStyle w:val="FootnoteReference"/>
        </w:rPr>
        <w:footnoteReference w:id="21"/>
      </w:r>
      <w:r w:rsidRPr="00E20E5E">
        <w:t xml:space="preserve">. </w:t>
      </w:r>
    </w:p>
    <w:p w14:paraId="4A54571E" w14:textId="559045EC" w:rsidR="00E20E5E" w:rsidRPr="00E20E5E" w:rsidRDefault="00E20E5E" w:rsidP="00E20E5E">
      <w:r w:rsidRPr="00E20E5E">
        <w:lastRenderedPageBreak/>
        <w:t xml:space="preserve">Yet even </w:t>
      </w:r>
      <w:proofErr w:type="gramStart"/>
      <w:r w:rsidRPr="00E20E5E">
        <w:t>a</w:t>
      </w:r>
      <w:r w:rsidR="00023281">
        <w:t xml:space="preserve"> this</w:t>
      </w:r>
      <w:proofErr w:type="gramEnd"/>
      <w:r w:rsidRPr="00E20E5E">
        <w:t xml:space="preserve"> differentiated biocentrism encounters a challenge from environmental holism. Biocentric individualism </w:t>
      </w:r>
      <w:r w:rsidR="00023281" w:rsidRPr="00E20E5E">
        <w:t>finds</w:t>
      </w:r>
      <w:r w:rsidRPr="00E20E5E">
        <w:t xml:space="preserve"> moral standing in organisms. Environmental concerns, however, frequently focus on entities and processes that are not individual organisms: species, populations, habitats, and ecosystems. Bryan Norton argues that </w:t>
      </w:r>
      <w:proofErr w:type="gramStart"/>
      <w:r w:rsidR="000B58D0">
        <w:t>in order to</w:t>
      </w:r>
      <w:proofErr w:type="gramEnd"/>
      <w:r w:rsidR="000B58D0">
        <w:t xml:space="preserve"> create </w:t>
      </w:r>
      <w:r w:rsidRPr="00E20E5E">
        <w:t>an adequate environmental ethic</w:t>
      </w:r>
      <w:r w:rsidR="000B58D0">
        <w:t xml:space="preserve">, it must </w:t>
      </w:r>
      <w:r w:rsidRPr="00E20E5E">
        <w:t xml:space="preserve">in some sense be non-individualistic because environmental decisions include long-term </w:t>
      </w:r>
      <w:r w:rsidR="000B58D0">
        <w:t>considerations</w:t>
      </w:r>
      <w:r w:rsidRPr="00E20E5E">
        <w:t xml:space="preserve"> that cannot simply be reduced to fairness between individuals</w:t>
      </w:r>
      <w:r w:rsidR="000B58D0">
        <w:t xml:space="preserve"> which are present now </w:t>
      </w:r>
      <w:r w:rsidR="000B58D0">
        <w:rPr>
          <w:rStyle w:val="FootnoteReference"/>
        </w:rPr>
        <w:footnoteReference w:id="22"/>
      </w:r>
    </w:p>
    <w:p w14:paraId="209EF790" w14:textId="623134FF" w:rsidR="00E20E5E" w:rsidRPr="00E20E5E" w:rsidRDefault="00E20E5E" w:rsidP="00E20E5E">
      <w:r w:rsidRPr="00E20E5E">
        <w:t xml:space="preserve">Rolston develops the philosophical </w:t>
      </w:r>
      <w:r w:rsidR="000B58D0" w:rsidRPr="00E20E5E">
        <w:t>base</w:t>
      </w:r>
      <w:r w:rsidRPr="00E20E5E">
        <w:t xml:space="preserve"> of this </w:t>
      </w:r>
      <w:r w:rsidR="000B58D0">
        <w:t xml:space="preserve">very </w:t>
      </w:r>
      <w:r w:rsidRPr="00E20E5E">
        <w:t xml:space="preserve">challenge. Individual organisms do not exist independently of </w:t>
      </w:r>
      <w:r w:rsidR="000B58D0">
        <w:t xml:space="preserve">the </w:t>
      </w:r>
      <w:r w:rsidRPr="00E20E5E">
        <w:t>ecological system</w:t>
      </w:r>
      <w:r w:rsidR="000B58D0">
        <w:t>s that support them</w:t>
      </w:r>
      <w:r w:rsidRPr="00E20E5E">
        <w:t xml:space="preserve">; their </w:t>
      </w:r>
      <w:r w:rsidR="000B58D0" w:rsidRPr="00E20E5E">
        <w:t>capabilities</w:t>
      </w:r>
      <w:r w:rsidRPr="00E20E5E">
        <w:t xml:space="preserve"> emerge through </w:t>
      </w:r>
      <w:r w:rsidR="000B58D0">
        <w:t xml:space="preserve">the relationships with the environment. </w:t>
      </w:r>
      <w:r w:rsidRPr="00E20E5E">
        <w:t xml:space="preserve">Rolston argues that an ethic focused solely upon the ‘skin-in’ organisation of </w:t>
      </w:r>
      <w:proofErr w:type="gramStart"/>
      <w:r w:rsidRPr="00E20E5E">
        <w:t>organisms</w:t>
      </w:r>
      <w:proofErr w:type="gramEnd"/>
      <w:r w:rsidRPr="00E20E5E">
        <w:t xml:space="preserve"> risks overlooking the equally </w:t>
      </w:r>
      <w:r w:rsidR="000B58D0">
        <w:t xml:space="preserve">important </w:t>
      </w:r>
      <w:r w:rsidRPr="00E20E5E">
        <w:t xml:space="preserve">‘skin-out’ ecological processes through which life develops and </w:t>
      </w:r>
      <w:r w:rsidR="000B58D0">
        <w:t>exists</w:t>
      </w:r>
      <w:r w:rsidR="000B58D0">
        <w:rPr>
          <w:rStyle w:val="FootnoteReference"/>
        </w:rPr>
        <w:footnoteReference w:id="23"/>
      </w:r>
      <w:r w:rsidR="000B58D0">
        <w:t>.</w:t>
      </w:r>
    </w:p>
    <w:p w14:paraId="0D8C04BD" w14:textId="51279788" w:rsidR="00E20E5E" w:rsidRPr="00E20E5E" w:rsidRDefault="00E20E5E" w:rsidP="00E20E5E">
      <w:r w:rsidRPr="00E20E5E">
        <w:t xml:space="preserve">This </w:t>
      </w:r>
      <w:r w:rsidR="000B58D0">
        <w:t xml:space="preserve">stance allows for </w:t>
      </w:r>
      <w:r w:rsidRPr="00E20E5E">
        <w:t xml:space="preserve">cases in which the good of the individual and the good of </w:t>
      </w:r>
      <w:r w:rsidR="000B58D0">
        <w:t>ecosystem</w:t>
      </w:r>
      <w:r w:rsidRPr="00E20E5E">
        <w:t xml:space="preserve"> </w:t>
      </w:r>
      <w:r w:rsidR="000B58D0" w:rsidRPr="00E20E5E">
        <w:t>conflict</w:t>
      </w:r>
      <w:r w:rsidRPr="00E20E5E">
        <w:t xml:space="preserve">. </w:t>
      </w:r>
      <w:r w:rsidR="000B58D0">
        <w:t>For example, e</w:t>
      </w:r>
      <w:r w:rsidRPr="00E20E5E">
        <w:t xml:space="preserve">cological restoration can require destroying invasive plants. Conservation may require culling abundant animals to prevent the disappearance of </w:t>
      </w:r>
      <w:r w:rsidR="000B58D0">
        <w:t xml:space="preserve">more </w:t>
      </w:r>
      <w:r w:rsidRPr="00E20E5E">
        <w:t>vulnerable</w:t>
      </w:r>
      <w:r w:rsidR="005006FE">
        <w:t xml:space="preserve"> </w:t>
      </w:r>
      <w:r w:rsidRPr="00E20E5E">
        <w:t xml:space="preserve">populations. </w:t>
      </w:r>
      <w:r w:rsidR="005006FE">
        <w:t>In a</w:t>
      </w:r>
      <w:r w:rsidRPr="00E20E5E">
        <w:t xml:space="preserve"> purely individualistic biocentrism </w:t>
      </w:r>
      <w:r w:rsidR="005006FE">
        <w:t xml:space="preserve">these interventions appear to be challenging.  </w:t>
      </w:r>
    </w:p>
    <w:p w14:paraId="4F9E8DB1" w14:textId="1B6EFD42" w:rsidR="00E20E5E" w:rsidRPr="00E20E5E" w:rsidRDefault="00E20E5E" w:rsidP="00E20E5E">
      <w:r w:rsidRPr="00E20E5E">
        <w:t>Ecosystems have enormous instrumental value to morally considerable organisms. Cahen caution</w:t>
      </w:r>
      <w:r w:rsidR="005006FE">
        <w:t>s</w:t>
      </w:r>
      <w:r w:rsidRPr="00E20E5E">
        <w:t xml:space="preserve"> </w:t>
      </w:r>
      <w:r w:rsidR="005006FE">
        <w:t>against a</w:t>
      </w:r>
      <w:r w:rsidRPr="00E20E5E">
        <w:t xml:space="preserve"> stronger holism. </w:t>
      </w:r>
      <w:r w:rsidR="005006FE">
        <w:t>As o</w:t>
      </w:r>
      <w:r w:rsidRPr="00E20E5E">
        <w:t xml:space="preserve">rganisms </w:t>
      </w:r>
      <w:r w:rsidR="005006FE">
        <w:t xml:space="preserve">can </w:t>
      </w:r>
      <w:r w:rsidRPr="00E20E5E">
        <w:t xml:space="preserve">genuinely exhibit organised goals; </w:t>
      </w:r>
      <w:r w:rsidR="005006FE">
        <w:t xml:space="preserve">it is more difficult to prove in an </w:t>
      </w:r>
      <w:proofErr w:type="gramStart"/>
      <w:r w:rsidR="005006FE">
        <w:t>ecosystems</w:t>
      </w:r>
      <w:proofErr w:type="gramEnd"/>
      <w:r w:rsidR="005006FE">
        <w:t xml:space="preserve"> ‘interests’ - </w:t>
      </w:r>
      <w:r w:rsidRPr="00E20E5E">
        <w:t xml:space="preserve">ecosystems may instead </w:t>
      </w:r>
      <w:r w:rsidR="005006FE">
        <w:t>show</w:t>
      </w:r>
      <w:r w:rsidRPr="00E20E5E">
        <w:t xml:space="preserve"> patterns resulting from the interactions of their </w:t>
      </w:r>
      <w:r w:rsidR="005006FE" w:rsidRPr="00E20E5E">
        <w:t>residents</w:t>
      </w:r>
      <w:r w:rsidR="005006FE">
        <w:rPr>
          <w:rStyle w:val="FootnoteReference"/>
        </w:rPr>
        <w:footnoteReference w:id="24"/>
      </w:r>
      <w:r w:rsidR="005006FE">
        <w:t xml:space="preserve">. </w:t>
      </w:r>
      <w:r w:rsidRPr="00E20E5E">
        <w:t xml:space="preserve">To say that a forest ‘wants’ stability or has </w:t>
      </w:r>
      <w:r w:rsidR="002075E6">
        <w:t xml:space="preserve">a </w:t>
      </w:r>
      <w:proofErr w:type="gramStart"/>
      <w:r w:rsidR="002075E6">
        <w:t>particular</w:t>
      </w:r>
      <w:r w:rsidRPr="00E20E5E">
        <w:t xml:space="preserve"> ‘interest’ risks</w:t>
      </w:r>
      <w:proofErr w:type="gramEnd"/>
      <w:r w:rsidRPr="00E20E5E">
        <w:t xml:space="preserve"> </w:t>
      </w:r>
      <w:r w:rsidR="002075E6" w:rsidRPr="00E20E5E">
        <w:t>assigning</w:t>
      </w:r>
      <w:r w:rsidRPr="00E20E5E">
        <w:t xml:space="preserve"> teleological </w:t>
      </w:r>
      <w:r w:rsidR="002075E6" w:rsidRPr="00E20E5E">
        <w:t>terminology</w:t>
      </w:r>
      <w:r w:rsidRPr="00E20E5E">
        <w:t xml:space="preserve"> to systems that possess no </w:t>
      </w:r>
      <w:r w:rsidR="002075E6">
        <w:t>organism-like</w:t>
      </w:r>
      <w:r w:rsidRPr="00E20E5E">
        <w:t xml:space="preserve"> centre of organisation.</w:t>
      </w:r>
    </w:p>
    <w:p w14:paraId="10AEA0A3" w14:textId="4C241966" w:rsidR="00E20E5E" w:rsidRPr="00E20E5E" w:rsidRDefault="00E20E5E" w:rsidP="00E20E5E">
      <w:r w:rsidRPr="00E20E5E">
        <w:t xml:space="preserve">What should count as </w:t>
      </w:r>
      <w:r w:rsidR="002075E6">
        <w:t xml:space="preserve">an </w:t>
      </w:r>
      <w:proofErr w:type="gramStart"/>
      <w:r w:rsidR="002075E6">
        <w:t>ecosystems</w:t>
      </w:r>
      <w:proofErr w:type="gramEnd"/>
      <w:r w:rsidR="002075E6">
        <w:t xml:space="preserve"> </w:t>
      </w:r>
      <w:r w:rsidRPr="00E20E5E">
        <w:t xml:space="preserve">flourishing: stability, resilience, diversity, productivity, wildness or </w:t>
      </w:r>
      <w:r w:rsidR="002075E6">
        <w:t>a</w:t>
      </w:r>
      <w:r w:rsidRPr="00E20E5E">
        <w:t xml:space="preserve"> preferred </w:t>
      </w:r>
      <w:r w:rsidR="002075E6" w:rsidRPr="00E20E5E">
        <w:t>constitution</w:t>
      </w:r>
      <w:r w:rsidRPr="00E20E5E">
        <w:t>?</w:t>
      </w:r>
    </w:p>
    <w:p w14:paraId="16553ED2" w14:textId="3B01544E" w:rsidR="00E20E5E" w:rsidRPr="00E20E5E" w:rsidRDefault="00E20E5E" w:rsidP="00E20E5E">
      <w:r w:rsidRPr="00E20E5E">
        <w:t xml:space="preserve">Nevertheless, ecological holists have developed </w:t>
      </w:r>
      <w:r w:rsidR="002075E6">
        <w:t>more convincing</w:t>
      </w:r>
      <w:r w:rsidRPr="00E20E5E">
        <w:t xml:space="preserve"> responses than simply treating ecosystems as superorganisms. Lawrence Johnson argues that species and ecosystems can possess morally significant interests as extended living systems</w:t>
      </w:r>
      <w:r w:rsidR="00E1249D">
        <w:rPr>
          <w:rStyle w:val="FootnoteReference"/>
        </w:rPr>
        <w:footnoteReference w:id="25"/>
      </w:r>
      <w:r w:rsidR="00E1249D">
        <w:t xml:space="preserve">. </w:t>
      </w:r>
      <w:r w:rsidRPr="00E20E5E">
        <w:t xml:space="preserve">Millstein </w:t>
      </w:r>
      <w:r w:rsidR="00042580">
        <w:t>states</w:t>
      </w:r>
      <w:r w:rsidRPr="00E20E5E">
        <w:t xml:space="preserve"> that ecological communities need not resemble</w:t>
      </w:r>
      <w:r w:rsidR="00042580">
        <w:t xml:space="preserve"> organised or bounded </w:t>
      </w:r>
      <w:r w:rsidRPr="00E20E5E">
        <w:t xml:space="preserve">organisms </w:t>
      </w:r>
      <w:proofErr w:type="gramStart"/>
      <w:r w:rsidRPr="00E20E5E">
        <w:t>in order to</w:t>
      </w:r>
      <w:proofErr w:type="gramEnd"/>
      <w:r w:rsidRPr="00E20E5E">
        <w:t xml:space="preserve"> possess sufficient cohesion to be </w:t>
      </w:r>
      <w:r w:rsidR="00042580">
        <w:t xml:space="preserve">considered </w:t>
      </w:r>
      <w:r w:rsidRPr="00E20E5E">
        <w:t xml:space="preserve">morally </w:t>
      </w:r>
      <w:r w:rsidR="00042580" w:rsidRPr="00E20E5E">
        <w:t>relevant</w:t>
      </w:r>
      <w:r w:rsidR="00042580">
        <w:rPr>
          <w:rStyle w:val="FootnoteReference"/>
        </w:rPr>
        <w:footnoteReference w:id="26"/>
      </w:r>
      <w:r w:rsidRPr="00E20E5E">
        <w:t>.</w:t>
      </w:r>
    </w:p>
    <w:p w14:paraId="5F57BB34" w14:textId="24867278" w:rsidR="00E20E5E" w:rsidRPr="00E20E5E" w:rsidRDefault="00E20E5E" w:rsidP="00E20E5E">
      <w:r w:rsidRPr="00E20E5E">
        <w:lastRenderedPageBreak/>
        <w:t xml:space="preserve">Leopold’s land ethic </w:t>
      </w:r>
      <w:r w:rsidR="000A22E3">
        <w:t xml:space="preserve">is the most intuitively plausible – that </w:t>
      </w:r>
      <w:r w:rsidRPr="00E20E5E">
        <w:t xml:space="preserve">humans should </w:t>
      </w:r>
      <w:r w:rsidR="000A22E3">
        <w:t>see</w:t>
      </w:r>
      <w:r w:rsidRPr="00E20E5E">
        <w:t xml:space="preserve"> themselves not as </w:t>
      </w:r>
      <w:r w:rsidR="000A22E3">
        <w:t>ruler</w:t>
      </w:r>
      <w:r w:rsidRPr="00E20E5E">
        <w:t xml:space="preserve"> of the biotic community but as members and citizens within it</w:t>
      </w:r>
      <w:r w:rsidR="000A22E3">
        <w:rPr>
          <w:rStyle w:val="FootnoteReference"/>
        </w:rPr>
        <w:footnoteReference w:id="27"/>
      </w:r>
      <w:r w:rsidRPr="00E20E5E">
        <w:t xml:space="preserve">. Callicott </w:t>
      </w:r>
      <w:r w:rsidR="000A22E3" w:rsidRPr="00E20E5E">
        <w:t>then</w:t>
      </w:r>
      <w:r w:rsidRPr="00E20E5E">
        <w:t xml:space="preserve"> develops this into an explicitly holistic environmental ethic. </w:t>
      </w:r>
      <w:r w:rsidR="000A22E3">
        <w:t>He proffers that the strongest reading of how the right action</w:t>
      </w:r>
      <w:r w:rsidRPr="00E20E5E">
        <w:t xml:space="preserve"> preserves the ‘integrity, stability, and beauty’ of the biotic community, </w:t>
      </w:r>
      <w:r w:rsidR="000A22E3">
        <w:t xml:space="preserve">Callicott says that </w:t>
      </w:r>
      <w:r w:rsidRPr="00E20E5E">
        <w:t xml:space="preserve">the whole can take </w:t>
      </w:r>
      <w:r w:rsidR="000A22E3">
        <w:t xml:space="preserve">the </w:t>
      </w:r>
      <w:r w:rsidRPr="00E20E5E">
        <w:t xml:space="preserve">normative </w:t>
      </w:r>
      <w:r w:rsidR="000A22E3" w:rsidRPr="00E20E5E">
        <w:t>importance</w:t>
      </w:r>
      <w:r w:rsidRPr="00E20E5E">
        <w:t xml:space="preserve"> over individual members</w:t>
      </w:r>
      <w:r w:rsidR="000A22E3">
        <w:rPr>
          <w:rStyle w:val="FootnoteReference"/>
        </w:rPr>
        <w:footnoteReference w:id="28"/>
      </w:r>
      <w:r w:rsidRPr="00E20E5E">
        <w:t>.</w:t>
      </w:r>
    </w:p>
    <w:p w14:paraId="43B5AD94" w14:textId="4F6EA211" w:rsidR="00E20E5E" w:rsidRPr="00E20E5E" w:rsidRDefault="00E20E5E" w:rsidP="00E20E5E">
      <w:r w:rsidRPr="00E20E5E">
        <w:t xml:space="preserve">At this point </w:t>
      </w:r>
      <w:proofErr w:type="gramStart"/>
      <w:r w:rsidR="000A22E3">
        <w:t xml:space="preserve">it would seem that </w:t>
      </w:r>
      <w:r w:rsidRPr="00E20E5E">
        <w:t>ecocentrism</w:t>
      </w:r>
      <w:proofErr w:type="gramEnd"/>
      <w:r w:rsidRPr="00E20E5E">
        <w:t xml:space="preserve"> seems </w:t>
      </w:r>
      <w:r w:rsidR="000A22E3">
        <w:t xml:space="preserve">arguably more reasonable than </w:t>
      </w:r>
      <w:proofErr w:type="spellStart"/>
      <w:r w:rsidR="000A22E3">
        <w:t>bio</w:t>
      </w:r>
      <w:r w:rsidRPr="00E20E5E">
        <w:t>ocentrism</w:t>
      </w:r>
      <w:proofErr w:type="spellEnd"/>
      <w:r w:rsidRPr="00E20E5E">
        <w:t>. If organisms themselves are products of ecological and evolutionary processes, perhaps ecosystems and species are</w:t>
      </w:r>
      <w:r w:rsidR="000A22E3">
        <w:t xml:space="preserve"> therefore more</w:t>
      </w:r>
      <w:r w:rsidRPr="00E20E5E">
        <w:t xml:space="preserve"> morally </w:t>
      </w:r>
      <w:r w:rsidR="000A22E3" w:rsidRPr="00E20E5E">
        <w:t>necessary</w:t>
      </w:r>
      <w:r w:rsidRPr="00E20E5E">
        <w:t xml:space="preserve"> than individuals. Bron Taylor and his co-authors make a related argument in contemporary conservation: biodiversity protection cannot be adequately </w:t>
      </w:r>
      <w:r w:rsidR="000A22E3" w:rsidRPr="00E20E5E">
        <w:t>protected</w:t>
      </w:r>
      <w:r w:rsidRPr="00E20E5E">
        <w:t xml:space="preserve"> where species and ecosystems matter only through</w:t>
      </w:r>
      <w:r w:rsidR="000A22E3">
        <w:t xml:space="preserve"> their</w:t>
      </w:r>
      <w:r w:rsidRPr="00E20E5E">
        <w:t xml:space="preserve"> contributions to human welfare</w:t>
      </w:r>
      <w:r w:rsidR="000A22E3">
        <w:rPr>
          <w:rStyle w:val="FootnoteReference"/>
        </w:rPr>
        <w:footnoteReference w:id="29"/>
      </w:r>
      <w:r w:rsidRPr="00E20E5E">
        <w:t xml:space="preserve">.A species that performs no obvious human service can still be lost irreversibly, and ecosystem-service reasoning risks treating species as replaceable components </w:t>
      </w:r>
      <w:r w:rsidR="000A22E3">
        <w:t>of it as</w:t>
      </w:r>
      <w:r w:rsidRPr="00E20E5E">
        <w:t xml:space="preserve"> long as another organism can provide </w:t>
      </w:r>
      <w:r w:rsidR="0033746E">
        <w:t xml:space="preserve">the </w:t>
      </w:r>
      <w:r w:rsidRPr="00E20E5E">
        <w:t>equivalent benefits</w:t>
      </w:r>
      <w:r w:rsidR="0033746E">
        <w:t xml:space="preserve"> to it</w:t>
      </w:r>
      <w:r w:rsidRPr="00E20E5E">
        <w:t>.</w:t>
      </w:r>
    </w:p>
    <w:p w14:paraId="2BD0F1FD" w14:textId="48F872BE" w:rsidR="00E20E5E" w:rsidRPr="00E20E5E" w:rsidRDefault="00E20E5E" w:rsidP="00E20E5E">
      <w:r w:rsidRPr="00E20E5E">
        <w:t xml:space="preserve">Yet </w:t>
      </w:r>
      <w:r w:rsidR="0033746E">
        <w:t xml:space="preserve">this kind of </w:t>
      </w:r>
      <w:r w:rsidRPr="00E20E5E">
        <w:t>strong holism</w:t>
      </w:r>
      <w:r w:rsidR="0033746E">
        <w:t xml:space="preserve"> also</w:t>
      </w:r>
      <w:r w:rsidRPr="00E20E5E">
        <w:t xml:space="preserve"> has difficulties</w:t>
      </w:r>
      <w:r w:rsidR="0033746E">
        <w:t>. i</w:t>
      </w:r>
      <w:r w:rsidRPr="00E20E5E">
        <w:t>f ecosystem integrity always overrides individual welfare, individual organisms</w:t>
      </w:r>
      <w:r w:rsidR="0033746E">
        <w:t xml:space="preserve"> can</w:t>
      </w:r>
      <w:r w:rsidRPr="00E20E5E">
        <w:t xml:space="preserve"> become expendable whenever their death benefits the whole. </w:t>
      </w:r>
      <w:r w:rsidR="0033746E">
        <w:t xml:space="preserve">This is where </w:t>
      </w:r>
      <w:r w:rsidRPr="00E20E5E">
        <w:t>Callicott</w:t>
      </w:r>
      <w:r w:rsidR="0033746E">
        <w:t xml:space="preserve">’s position had been charged </w:t>
      </w:r>
      <w:proofErr w:type="gramStart"/>
      <w:r w:rsidR="0033746E">
        <w:t xml:space="preserve">with </w:t>
      </w:r>
      <w:r w:rsidRPr="00E20E5E">
        <w:t xml:space="preserve"> ‘</w:t>
      </w:r>
      <w:proofErr w:type="gramEnd"/>
      <w:r w:rsidRPr="00E20E5E">
        <w:t xml:space="preserve">environmental fascism’ because individuals, </w:t>
      </w:r>
      <w:r w:rsidR="0033746E">
        <w:t>which could include</w:t>
      </w:r>
      <w:r w:rsidRPr="00E20E5E">
        <w:t xml:space="preserve"> humans, </w:t>
      </w:r>
      <w:r w:rsidR="0033746E">
        <w:t xml:space="preserve">could </w:t>
      </w:r>
      <w:proofErr w:type="gramStart"/>
      <w:r w:rsidR="0033746E">
        <w:t xml:space="preserve">be </w:t>
      </w:r>
      <w:r w:rsidRPr="00E20E5E">
        <w:t xml:space="preserve"> </w:t>
      </w:r>
      <w:r w:rsidR="0033746E">
        <w:t>inferior</w:t>
      </w:r>
      <w:proofErr w:type="gramEnd"/>
      <w:r w:rsidR="0033746E">
        <w:t xml:space="preserve"> or secondary to</w:t>
      </w:r>
      <w:r w:rsidRPr="00E20E5E">
        <w:t xml:space="preserve"> </w:t>
      </w:r>
      <w:r w:rsidR="0033746E">
        <w:t xml:space="preserve">other </w:t>
      </w:r>
      <w:r w:rsidRPr="00E20E5E">
        <w:t>ecological good</w:t>
      </w:r>
      <w:r w:rsidR="0033746E">
        <w:rPr>
          <w:rStyle w:val="FootnoteReference"/>
        </w:rPr>
        <w:footnoteReference w:id="30"/>
      </w:r>
      <w:r w:rsidRPr="00E20E5E">
        <w:t>.</w:t>
      </w:r>
      <w:r w:rsidR="0033746E">
        <w:t xml:space="preserve"> A sound e</w:t>
      </w:r>
      <w:r w:rsidRPr="00E20E5E">
        <w:t xml:space="preserve">nvironmental ethic should </w:t>
      </w:r>
      <w:r w:rsidR="0033746E">
        <w:t xml:space="preserve">not aim to make all individuals morally secondary in a bid to resolve the anthropocentric disregard for </w:t>
      </w:r>
      <w:r w:rsidRPr="00E20E5E">
        <w:t>nonhuman</w:t>
      </w:r>
      <w:r w:rsidR="0033746E">
        <w:t xml:space="preserve"> life. </w:t>
      </w:r>
    </w:p>
    <w:p w14:paraId="09E04DFB" w14:textId="78D7FD39" w:rsidR="00E20E5E" w:rsidRPr="00E20E5E" w:rsidRDefault="0033746E" w:rsidP="00E20E5E">
      <w:proofErr w:type="gramStart"/>
      <w:r>
        <w:t>However ,</w:t>
      </w:r>
      <w:proofErr w:type="gramEnd"/>
      <w:r>
        <w:t xml:space="preserve"> </w:t>
      </w:r>
      <w:r w:rsidR="00E20E5E" w:rsidRPr="00E20E5E">
        <w:t>Callicott</w:t>
      </w:r>
      <w:r>
        <w:t xml:space="preserve"> does move away from this by recognising that both </w:t>
      </w:r>
      <w:proofErr w:type="gramStart"/>
      <w:r>
        <w:t>communities</w:t>
      </w:r>
      <w:proofErr w:type="gramEnd"/>
      <w:r>
        <w:t xml:space="preserve"> ad their individual members have intrinsic value. He does this by developing </w:t>
      </w:r>
      <w:r w:rsidR="00E20E5E" w:rsidRPr="00E20E5E">
        <w:t xml:space="preserve">second-order principles </w:t>
      </w:r>
      <w:r>
        <w:t xml:space="preserve">in a bid to </w:t>
      </w:r>
      <w:r w:rsidRPr="00E20E5E">
        <w:t>reconcile</w:t>
      </w:r>
      <w:r w:rsidR="00E20E5E" w:rsidRPr="00E20E5E">
        <w:t xml:space="preserve"> conflicting </w:t>
      </w:r>
      <w:r>
        <w:t>responsibilities</w:t>
      </w:r>
      <w:r>
        <w:rPr>
          <w:rStyle w:val="FootnoteReference"/>
        </w:rPr>
        <w:footnoteReference w:id="31"/>
      </w:r>
      <w:r w:rsidR="00E20E5E" w:rsidRPr="00E20E5E">
        <w:t>.</w:t>
      </w:r>
      <w:r>
        <w:t xml:space="preserve"> </w:t>
      </w:r>
      <w:r w:rsidR="00E20E5E" w:rsidRPr="00E20E5E">
        <w:t xml:space="preserve">This modification </w:t>
      </w:r>
      <w:r w:rsidR="006545F1">
        <w:t xml:space="preserve">then becomes a pluralistic position – just as viable biocentrism s when presented </w:t>
      </w:r>
      <w:r w:rsidR="0093514A">
        <w:t xml:space="preserve">with </w:t>
      </w:r>
      <w:r w:rsidR="006545F1">
        <w:t xml:space="preserve">difficult cases. </w:t>
      </w:r>
    </w:p>
    <w:p w14:paraId="7D1C4C34" w14:textId="3B8B5958" w:rsidR="00E20E5E" w:rsidRPr="00E20E5E" w:rsidRDefault="00E20E5E" w:rsidP="00E20E5E">
      <w:r w:rsidRPr="00E20E5E">
        <w:t xml:space="preserve">Sterba’s ‘biocentric pluralism’ </w:t>
      </w:r>
      <w:r w:rsidR="006545F1">
        <w:t xml:space="preserve">is therefore a way to defend against biocentric individualism. This </w:t>
      </w:r>
      <w:r w:rsidRPr="00E20E5E">
        <w:t xml:space="preserve">position can recognise several kinds of morally relevant consideration: the goods of organisms, differences amongst their capacities and interests, and claims arising from ecological wholes and relationships. Such pluralism </w:t>
      </w:r>
      <w:r w:rsidRPr="00E20E5E">
        <w:lastRenderedPageBreak/>
        <w:t>does not make every value</w:t>
      </w:r>
      <w:r w:rsidR="006545F1">
        <w:t xml:space="preserve"> proportionate</w:t>
      </w:r>
      <w:r w:rsidRPr="00E20E5E">
        <w:t xml:space="preserve">. It </w:t>
      </w:r>
      <w:r w:rsidR="006545F1">
        <w:t>acknowledges that there are often many levels of reasonable concern regarding cases of environmental conflict.</w:t>
      </w:r>
    </w:p>
    <w:p w14:paraId="41A465AB" w14:textId="3F75AC15" w:rsidR="00E20E5E" w:rsidRPr="00E20E5E" w:rsidRDefault="00E20E5E" w:rsidP="00E20E5E">
      <w:r w:rsidRPr="00E20E5E">
        <w:t>This is preferable to saying that ecocentrism simply replaces biocentrism</w:t>
      </w:r>
      <w:r w:rsidR="006545F1">
        <w:t>. W</w:t>
      </w:r>
      <w:r w:rsidRPr="00E20E5E">
        <w:t xml:space="preserve">ithout some </w:t>
      </w:r>
      <w:r w:rsidR="006545F1" w:rsidRPr="00E20E5E">
        <w:t>obligation</w:t>
      </w:r>
      <w:r w:rsidRPr="00E20E5E">
        <w:t xml:space="preserve"> to individual flourishing, ecological management can become insensitive. Conversely, biocentrism without</w:t>
      </w:r>
      <w:r w:rsidR="006545F1">
        <w:t xml:space="preserve"> considering</w:t>
      </w:r>
      <w:r w:rsidRPr="00E20E5E">
        <w:t xml:space="preserve"> ecological value risks protecting</w:t>
      </w:r>
      <w:r w:rsidR="006545F1">
        <w:t xml:space="preserve"> individual</w:t>
      </w:r>
      <w:r w:rsidRPr="00E20E5E">
        <w:t xml:space="preserve"> organisms</w:t>
      </w:r>
      <w:r w:rsidR="0093514A">
        <w:t>,</w:t>
      </w:r>
      <w:r w:rsidRPr="00E20E5E">
        <w:t xml:space="preserve"> while failing to </w:t>
      </w:r>
      <w:r w:rsidR="0093514A" w:rsidRPr="00E20E5E">
        <w:t>justify</w:t>
      </w:r>
      <w:r w:rsidRPr="00E20E5E">
        <w:t xml:space="preserve"> why species extinction</w:t>
      </w:r>
      <w:r w:rsidR="006545F1">
        <w:t xml:space="preserve"> </w:t>
      </w:r>
      <w:r w:rsidRPr="00E20E5E">
        <w:t xml:space="preserve">or the </w:t>
      </w:r>
      <w:r w:rsidR="0093514A">
        <w:t>destruction</w:t>
      </w:r>
      <w:r w:rsidRPr="00E20E5E">
        <w:t xml:space="preserve"> of ecosystems matters beyond the sum of </w:t>
      </w:r>
      <w:r w:rsidR="0093514A">
        <w:t xml:space="preserve">the </w:t>
      </w:r>
      <w:r w:rsidRPr="00E20E5E">
        <w:t>individual deaths.</w:t>
      </w:r>
    </w:p>
    <w:p w14:paraId="5ADD37D9" w14:textId="17390391" w:rsidR="00E20E5E" w:rsidRPr="00E20E5E" w:rsidRDefault="00E20E5E" w:rsidP="00E20E5E">
      <w:r w:rsidRPr="00E20E5E">
        <w:t xml:space="preserve">Environmental ethics need not </w:t>
      </w:r>
      <w:r w:rsidR="006545F1">
        <w:t xml:space="preserve">determine which </w:t>
      </w:r>
      <w:r w:rsidR="00123913">
        <w:t>entities</w:t>
      </w:r>
      <w:r w:rsidR="006545F1">
        <w:t xml:space="preserve"> have intrinsic value. Organisms </w:t>
      </w:r>
      <w:r w:rsidRPr="00E20E5E">
        <w:t xml:space="preserve">may matter because they have goods of their own; sentient organisms may matter additionally because they can </w:t>
      </w:r>
      <w:r w:rsidR="00123913">
        <w:t xml:space="preserve">experience more complex </w:t>
      </w:r>
      <w:r w:rsidR="00123913" w:rsidRPr="00E20E5E">
        <w:t>suffer</w:t>
      </w:r>
      <w:r w:rsidR="00123913">
        <w:t>ing</w:t>
      </w:r>
      <w:r w:rsidRPr="00E20E5E">
        <w:t>;</w:t>
      </w:r>
      <w:r w:rsidR="00123913">
        <w:t xml:space="preserve"> </w:t>
      </w:r>
      <w:r w:rsidRPr="00E20E5E">
        <w:t xml:space="preserve">and ecosystems may matter as constituted networks of ecological production. </w:t>
      </w:r>
      <w:r w:rsidR="00123913">
        <w:t>Of course, by r</w:t>
      </w:r>
      <w:r w:rsidRPr="00E20E5E">
        <w:t xml:space="preserve">ecognising different </w:t>
      </w:r>
      <w:r w:rsidR="00123913">
        <w:t>levels</w:t>
      </w:r>
      <w:r w:rsidRPr="00E20E5E">
        <w:t xml:space="preserve"> of value </w:t>
      </w:r>
      <w:r w:rsidR="00123913">
        <w:t xml:space="preserve">it creates a far messier criteria, but the environment itself is complex and diverse – it is </w:t>
      </w:r>
      <w:r w:rsidR="00BE53A3">
        <w:t xml:space="preserve">itself </w:t>
      </w:r>
      <w:r w:rsidR="00123913">
        <w:t xml:space="preserve">messy. </w:t>
      </w:r>
    </w:p>
    <w:p w14:paraId="2900EEE0" w14:textId="5D8BB707" w:rsidR="00E20E5E" w:rsidRPr="00E20E5E" w:rsidRDefault="00E20E5E" w:rsidP="00E20E5E">
      <w:r w:rsidRPr="00E20E5E">
        <w:t xml:space="preserve">The overall assessment of biocentrism </w:t>
      </w:r>
      <w:r w:rsidR="00123913">
        <w:t xml:space="preserve">comes down to </w:t>
      </w:r>
      <w:r w:rsidRPr="00E20E5E">
        <w:t xml:space="preserve">three claims. First, the claim that every living organism has </w:t>
      </w:r>
      <w:r w:rsidRPr="00123913">
        <w:t>some</w:t>
      </w:r>
      <w:r w:rsidRPr="00E20E5E">
        <w:t xml:space="preserve"> direct moral standing is plausible. The concepts of flourishing, biological interest and self-maintaining organisation provide reasons to reject the view that non-sentient life is morally indistinguishable from inert matter.</w:t>
      </w:r>
    </w:p>
    <w:p w14:paraId="23D8C08C" w14:textId="53F6D892" w:rsidR="00E20E5E" w:rsidRPr="00E20E5E" w:rsidRDefault="00E20E5E" w:rsidP="00E20E5E">
      <w:r w:rsidRPr="00E20E5E">
        <w:t xml:space="preserve">Secondly, the claim that all living organisms possess equal moral significance is </w:t>
      </w:r>
      <w:r w:rsidR="00123913">
        <w:t>fa more challenging</w:t>
      </w:r>
      <w:r w:rsidRPr="00E20E5E">
        <w:t xml:space="preserve">. Sterba’s attempt to defend equality </w:t>
      </w:r>
      <w:r w:rsidR="00123913">
        <w:t xml:space="preserve">is essentially defining it as </w:t>
      </w:r>
      <w:r w:rsidRPr="00E20E5E">
        <w:t xml:space="preserve">protection against domination; </w:t>
      </w:r>
      <w:proofErr w:type="gramStart"/>
      <w:r w:rsidR="005646B9">
        <w:t>however</w:t>
      </w:r>
      <w:proofErr w:type="gramEnd"/>
      <w:r w:rsidR="005646B9">
        <w:t xml:space="preserve"> </w:t>
      </w:r>
      <w:r w:rsidRPr="00E20E5E">
        <w:t xml:space="preserve">Attfield’s </w:t>
      </w:r>
      <w:r w:rsidR="005646B9">
        <w:t xml:space="preserve">consideration of </w:t>
      </w:r>
      <w:r w:rsidRPr="00E20E5E">
        <w:t>capacity</w:t>
      </w:r>
      <w:r w:rsidR="005646B9">
        <w:t xml:space="preserve"> helps to</w:t>
      </w:r>
      <w:r w:rsidRPr="00E20E5E">
        <w:t xml:space="preserve"> explain </w:t>
      </w:r>
      <w:r w:rsidR="00123913" w:rsidRPr="00E20E5E">
        <w:t>real</w:t>
      </w:r>
      <w:r w:rsidRPr="00E20E5E">
        <w:t xml:space="preserve"> conflicts more convincingly. </w:t>
      </w:r>
    </w:p>
    <w:p w14:paraId="4D5F850A" w14:textId="2445FADF" w:rsidR="00E20E5E" w:rsidRPr="00E20E5E" w:rsidRDefault="00E20E5E" w:rsidP="00E20E5E">
      <w:r w:rsidRPr="00E20E5E">
        <w:t xml:space="preserve">Thirdly, biocentrism cannot by itself provide a complete environmental ethic if it </w:t>
      </w:r>
      <w:r w:rsidR="005646B9">
        <w:t xml:space="preserve">is </w:t>
      </w:r>
      <w:r w:rsidRPr="00E20E5E">
        <w:t xml:space="preserve">exclusively individualistic. Cahen’s objection to treating ecosystems as </w:t>
      </w:r>
      <w:r w:rsidR="005646B9">
        <w:t>super</w:t>
      </w:r>
      <w:r w:rsidRPr="00E20E5E">
        <w:t xml:space="preserve">organisms and the problems of strong Callicott-style holism show why ecocentrism cannot simply </w:t>
      </w:r>
      <w:r w:rsidR="00BE53A3" w:rsidRPr="00E20E5E">
        <w:t>displace</w:t>
      </w:r>
      <w:r w:rsidRPr="00E20E5E">
        <w:t xml:space="preserve"> </w:t>
      </w:r>
      <w:r w:rsidR="005646B9">
        <w:t xml:space="preserve">the </w:t>
      </w:r>
      <w:r w:rsidRPr="00E20E5E">
        <w:t xml:space="preserve">individual. </w:t>
      </w:r>
      <w:proofErr w:type="gramStart"/>
      <w:r w:rsidR="005646B9">
        <w:t>Therefore</w:t>
      </w:r>
      <w:proofErr w:type="gramEnd"/>
      <w:r w:rsidR="005646B9">
        <w:t xml:space="preserve"> biocentrism requires a </w:t>
      </w:r>
      <w:r w:rsidRPr="00E20E5E">
        <w:t xml:space="preserve">pluralistic </w:t>
      </w:r>
      <w:r w:rsidR="005646B9">
        <w:t xml:space="preserve">position- creating an </w:t>
      </w:r>
      <w:r w:rsidRPr="00E20E5E">
        <w:t xml:space="preserve">ethic </w:t>
      </w:r>
      <w:r w:rsidR="005646B9">
        <w:t>which can operate</w:t>
      </w:r>
      <w:r w:rsidRPr="00E20E5E">
        <w:t xml:space="preserve"> at several levels.</w:t>
      </w:r>
    </w:p>
    <w:p w14:paraId="647FA3BA" w14:textId="227B3899" w:rsidR="00E20E5E" w:rsidRPr="00E20E5E" w:rsidRDefault="00E20E5E" w:rsidP="00E20E5E">
      <w:r w:rsidRPr="00E20E5E">
        <w:t xml:space="preserve">In conclusion, biocentrism’s enduring achievement is not the assertion that all life is equally valuable. That </w:t>
      </w:r>
      <w:r w:rsidR="005646B9" w:rsidRPr="00E20E5E">
        <w:t>interpretation</w:t>
      </w:r>
      <w:r w:rsidRPr="00E20E5E">
        <w:t xml:space="preserve"> </w:t>
      </w:r>
      <w:r w:rsidR="005646B9" w:rsidRPr="00E20E5E">
        <w:t>attracts</w:t>
      </w:r>
      <w:r w:rsidRPr="00E20E5E">
        <w:t xml:space="preserve"> objections which are both philosophically and practically difficult to answer. Trees, plants and other non-sentient organisms can flourish or be damaged in ways which are not reducible to </w:t>
      </w:r>
      <w:r w:rsidR="005646B9">
        <w:t xml:space="preserve">their </w:t>
      </w:r>
      <w:r w:rsidRPr="00E20E5E">
        <w:t xml:space="preserve">human </w:t>
      </w:r>
      <w:r w:rsidR="005646B9" w:rsidRPr="00E20E5E">
        <w:t>value</w:t>
      </w:r>
      <w:r w:rsidR="005646B9">
        <w:t xml:space="preserve">. </w:t>
      </w:r>
      <w:proofErr w:type="gramStart"/>
      <w:r w:rsidR="005646B9">
        <w:t>However</w:t>
      </w:r>
      <w:proofErr w:type="gramEnd"/>
      <w:r w:rsidR="005646B9">
        <w:t xml:space="preserve"> recognising this standing </w:t>
      </w:r>
      <w:r w:rsidRPr="00E20E5E">
        <w:t xml:space="preserve">does not </w:t>
      </w:r>
      <w:r w:rsidR="005646B9" w:rsidRPr="00E20E5E">
        <w:t>eradicate</w:t>
      </w:r>
      <w:r w:rsidR="005646B9">
        <w:t xml:space="preserve"> </w:t>
      </w:r>
      <w:r w:rsidRPr="00E20E5E">
        <w:t>important differences between organisms.</w:t>
      </w:r>
    </w:p>
    <w:p w14:paraId="0FB90145" w14:textId="692707AA" w:rsidR="00E20E5E" w:rsidRPr="00E20E5E" w:rsidRDefault="00E20E5E" w:rsidP="00E20E5E">
      <w:r w:rsidRPr="00E20E5E">
        <w:t xml:space="preserve">Biocentrism is strongest when it abandons the attempt to make </w:t>
      </w:r>
      <w:r w:rsidR="005646B9">
        <w:t xml:space="preserve">all </w:t>
      </w:r>
      <w:r w:rsidRPr="00E20E5E">
        <w:t>living beings morally identical.</w:t>
      </w:r>
    </w:p>
    <w:p w14:paraId="477280B8" w14:textId="508073D7" w:rsidR="00E20E5E" w:rsidRDefault="00E20E5E" w:rsidP="00E20E5E">
      <w:r w:rsidRPr="00E20E5E">
        <w:t xml:space="preserve">Rolston’s </w:t>
      </w:r>
      <w:proofErr w:type="spellStart"/>
      <w:r w:rsidRPr="00E20E5E">
        <w:t>ecocentric</w:t>
      </w:r>
      <w:proofErr w:type="spellEnd"/>
      <w:r w:rsidRPr="00E20E5E">
        <w:t xml:space="preserve"> challenge then </w:t>
      </w:r>
      <w:r w:rsidR="00BE53A3" w:rsidRPr="00E20E5E">
        <w:t>shows</w:t>
      </w:r>
      <w:r w:rsidRPr="00E20E5E">
        <w:t xml:space="preserve"> the remaining limitation. Life exists not only in organisms but through ecological relationships and systems that </w:t>
      </w:r>
      <w:r w:rsidR="005646B9" w:rsidRPr="00E20E5E">
        <w:t>go beyond</w:t>
      </w:r>
      <w:r w:rsidRPr="00E20E5E">
        <w:t xml:space="preserve"> them. Environmental ethics must therefore recognise value both in living individuals and in the processes and communities through which those individuals become possible. </w:t>
      </w:r>
      <w:r w:rsidRPr="00E20E5E">
        <w:lastRenderedPageBreak/>
        <w:t xml:space="preserve">Ecocentrism supplements rather than </w:t>
      </w:r>
      <w:r w:rsidR="00BE53A3" w:rsidRPr="00E20E5E">
        <w:t>replaces</w:t>
      </w:r>
      <w:r w:rsidRPr="00E20E5E">
        <w:t xml:space="preserve"> biocentrism because each corrects a </w:t>
      </w:r>
      <w:r w:rsidR="005646B9">
        <w:t>gap</w:t>
      </w:r>
      <w:r w:rsidRPr="00E20E5E">
        <w:t xml:space="preserve"> in the other: individualism can overlook ecological wholes, while holism can overlook individual goods. A pluralistic, differentiated biocentrism, expanded to recognise ecological levels of value, </w:t>
      </w:r>
      <w:r w:rsidR="00BE53A3" w:rsidRPr="00E20E5E">
        <w:t>consequently,</w:t>
      </w:r>
      <w:r w:rsidRPr="00E20E5E">
        <w:t xml:space="preserve"> offers the strongest response to the objections considered here. It preserves the radical ethical insight that humanity is not the sole source or measure of value</w:t>
      </w:r>
      <w:r w:rsidR="00BE53A3">
        <w:t xml:space="preserve">, and in fact cannot objectively do so. It avoids </w:t>
      </w:r>
      <w:r w:rsidRPr="00E20E5E">
        <w:t xml:space="preserve">both an implausible equality of all organisms and an equally troubling </w:t>
      </w:r>
      <w:r w:rsidR="00BE53A3" w:rsidRPr="00E20E5E">
        <w:t>demotion</w:t>
      </w:r>
      <w:r w:rsidRPr="00E20E5E">
        <w:t xml:space="preserve"> of individuals to ecological wholes.</w:t>
      </w:r>
      <w:r w:rsidR="00BE53A3">
        <w:t xml:space="preserve"> </w:t>
      </w:r>
    </w:p>
    <w:p w14:paraId="3E8400AE" w14:textId="49CDDA99" w:rsidR="005646B9" w:rsidRDefault="00BE53A3">
      <w:r w:rsidRPr="00BE53A3">
        <w:t xml:space="preserve">While this pluralism is undoubtedly messy, it reflects the complexity of the subject and preserves a necessary humility in humanity’s relationship with the natural world </w:t>
      </w:r>
      <w:r w:rsidRPr="00BE53A3">
        <w:t xml:space="preserve">- </w:t>
      </w:r>
      <w:r w:rsidRPr="00BE53A3">
        <w:t>appropriately, perhaps, when both humanity and humility have their roots in the earth.</w:t>
      </w:r>
    </w:p>
    <w:p w14:paraId="5B85BB65" w14:textId="77777777" w:rsidR="00BE53A3" w:rsidRDefault="00BE53A3"/>
    <w:p w14:paraId="37949426" w14:textId="77777777" w:rsidR="00BE53A3" w:rsidRDefault="00BE53A3"/>
    <w:p w14:paraId="70C11202" w14:textId="77777777" w:rsidR="00BE53A3" w:rsidRDefault="00BE53A3"/>
    <w:p w14:paraId="68C3B37B" w14:textId="77777777" w:rsidR="00BE53A3" w:rsidRDefault="00BE53A3"/>
    <w:p w14:paraId="675812AE" w14:textId="77777777" w:rsidR="00BE53A3" w:rsidRDefault="00BE53A3"/>
    <w:p w14:paraId="5BD025D8" w14:textId="77777777" w:rsidR="00BE53A3" w:rsidRDefault="00BE53A3"/>
    <w:p w14:paraId="0EA52117" w14:textId="77777777" w:rsidR="00BE53A3" w:rsidRDefault="00BE53A3"/>
    <w:p w14:paraId="5C4D0568" w14:textId="77777777" w:rsidR="00BE53A3" w:rsidRDefault="00BE53A3"/>
    <w:p w14:paraId="3C9E6B20" w14:textId="77777777" w:rsidR="00BE53A3" w:rsidRDefault="00BE53A3"/>
    <w:p w14:paraId="6FC2EDC8" w14:textId="77777777" w:rsidR="00BE53A3" w:rsidRDefault="00BE53A3"/>
    <w:p w14:paraId="54BC0C65" w14:textId="77777777" w:rsidR="00BE53A3" w:rsidRDefault="00BE53A3"/>
    <w:p w14:paraId="6D743CB8" w14:textId="77777777" w:rsidR="00BE53A3" w:rsidRDefault="00BE53A3"/>
    <w:p w14:paraId="038BFCC4" w14:textId="77777777" w:rsidR="00BE53A3" w:rsidRDefault="00BE53A3"/>
    <w:p w14:paraId="609CCD86" w14:textId="77777777" w:rsidR="00BE53A3" w:rsidRDefault="00BE53A3"/>
    <w:p w14:paraId="6E596306" w14:textId="77777777" w:rsidR="00BE53A3" w:rsidRDefault="00BE53A3"/>
    <w:p w14:paraId="7D66D7CB" w14:textId="77777777" w:rsidR="00BE53A3" w:rsidRDefault="00BE53A3"/>
    <w:p w14:paraId="394CD343" w14:textId="77777777" w:rsidR="00BE53A3" w:rsidRDefault="00BE53A3"/>
    <w:p w14:paraId="7BDC23CB" w14:textId="77777777" w:rsidR="00BE53A3" w:rsidRDefault="00BE53A3"/>
    <w:p w14:paraId="4AF57F26" w14:textId="77777777" w:rsidR="00BE53A3" w:rsidRDefault="00BE53A3"/>
    <w:p w14:paraId="0DED8BC3" w14:textId="77777777" w:rsidR="00BE53A3" w:rsidRPr="00BE53A3" w:rsidRDefault="00BE53A3"/>
    <w:p w14:paraId="7D746B01" w14:textId="29DDD6BE" w:rsidR="00E20E5E" w:rsidRPr="00E20E5E" w:rsidRDefault="00E20E5E" w:rsidP="00E20E5E">
      <w:pPr>
        <w:rPr>
          <w:b/>
          <w:bCs/>
        </w:rPr>
      </w:pPr>
      <w:r w:rsidRPr="00E20E5E">
        <w:rPr>
          <w:b/>
          <w:bCs/>
        </w:rPr>
        <w:lastRenderedPageBreak/>
        <w:t>Bibliography</w:t>
      </w:r>
    </w:p>
    <w:p w14:paraId="6ACDF0AD" w14:textId="77777777" w:rsidR="000D076E" w:rsidRPr="000D076E" w:rsidRDefault="000D076E" w:rsidP="000D076E">
      <w:pPr>
        <w:ind w:left="720" w:hanging="720"/>
      </w:pPr>
      <w:r w:rsidRPr="000D076E">
        <w:t xml:space="preserve">Agar, Nicholas, </w:t>
      </w:r>
      <w:r w:rsidRPr="000D076E">
        <w:rPr>
          <w:i/>
          <w:iCs/>
        </w:rPr>
        <w:t>Life’s Intrinsic Value: Science, Ethics, and Nature</w:t>
      </w:r>
      <w:r w:rsidRPr="000D076E">
        <w:t xml:space="preserve"> (Columbia University Press, 2001)</w:t>
      </w:r>
    </w:p>
    <w:p w14:paraId="7996FD5A" w14:textId="77777777" w:rsidR="000D076E" w:rsidRPr="000D076E" w:rsidRDefault="000D076E" w:rsidP="000D076E">
      <w:pPr>
        <w:ind w:left="720" w:hanging="720"/>
      </w:pPr>
      <w:r w:rsidRPr="000D076E">
        <w:t xml:space="preserve">Attfield, Robin, ‘Biocentrism and Artificial Life’, </w:t>
      </w:r>
      <w:r w:rsidRPr="000D076E">
        <w:rPr>
          <w:i/>
          <w:iCs/>
        </w:rPr>
        <w:t>Environmental Values</w:t>
      </w:r>
      <w:r w:rsidRPr="000D076E">
        <w:t>, 21.1 (2012), pp. 83–94, doi:10.3197/096327112X13225063228069</w:t>
      </w:r>
    </w:p>
    <w:p w14:paraId="3082641A" w14:textId="77777777" w:rsidR="000D076E" w:rsidRPr="000D076E" w:rsidRDefault="000D076E" w:rsidP="000D076E">
      <w:pPr>
        <w:ind w:left="720" w:hanging="720"/>
      </w:pPr>
      <w:r w:rsidRPr="000D076E">
        <w:t xml:space="preserve">Attfield, Robin, </w:t>
      </w:r>
      <w:r w:rsidRPr="000D076E">
        <w:rPr>
          <w:i/>
          <w:iCs/>
        </w:rPr>
        <w:t>Environmental Ethics: An Overview for the Twenty-First Century</w:t>
      </w:r>
      <w:r w:rsidRPr="000D076E">
        <w:t xml:space="preserve">, 2nd </w:t>
      </w:r>
      <w:proofErr w:type="spellStart"/>
      <w:r w:rsidRPr="000D076E">
        <w:t>edn</w:t>
      </w:r>
      <w:proofErr w:type="spellEnd"/>
      <w:r w:rsidRPr="000D076E">
        <w:t xml:space="preserve"> (Polity, 2014)</w:t>
      </w:r>
    </w:p>
    <w:p w14:paraId="1546FD69" w14:textId="77777777" w:rsidR="000D076E" w:rsidRPr="000D076E" w:rsidRDefault="000D076E" w:rsidP="000D076E">
      <w:pPr>
        <w:ind w:left="720" w:hanging="720"/>
      </w:pPr>
      <w:r w:rsidRPr="000D076E">
        <w:t xml:space="preserve">Attfield, Robin, ‘The Good of Trees’, in </w:t>
      </w:r>
      <w:r w:rsidRPr="000D076E">
        <w:rPr>
          <w:i/>
          <w:iCs/>
        </w:rPr>
        <w:t>Environmental Philosophy: Principles and Prospects</w:t>
      </w:r>
      <w:r w:rsidRPr="000D076E">
        <w:t xml:space="preserve"> (Avebury, 1994)</w:t>
      </w:r>
    </w:p>
    <w:p w14:paraId="5F744EF4" w14:textId="77777777" w:rsidR="000D076E" w:rsidRPr="000D076E" w:rsidRDefault="000D076E" w:rsidP="000D076E">
      <w:pPr>
        <w:ind w:left="720" w:hanging="720"/>
      </w:pPr>
      <w:r w:rsidRPr="000D076E">
        <w:t xml:space="preserve">Benatar, David, ‘Sentience and Why It Matters’, </w:t>
      </w:r>
      <w:r w:rsidRPr="000D076E">
        <w:rPr>
          <w:i/>
          <w:iCs/>
        </w:rPr>
        <w:t>Cambridge Quarterly of Healthcare Ethics</w:t>
      </w:r>
      <w:r w:rsidRPr="000D076E">
        <w:t>, 34.4 (2025), pp. 563–71, doi:10.1017/S0963180126100085</w:t>
      </w:r>
    </w:p>
    <w:p w14:paraId="0C05CE1F" w14:textId="77777777" w:rsidR="000D076E" w:rsidRPr="000D076E" w:rsidRDefault="000D076E" w:rsidP="000D076E">
      <w:pPr>
        <w:ind w:left="720" w:hanging="720"/>
      </w:pPr>
      <w:r w:rsidRPr="000D076E">
        <w:t xml:space="preserve">Cahen, Harley, ‘Against the Moral </w:t>
      </w:r>
      <w:proofErr w:type="spellStart"/>
      <w:r w:rsidRPr="000D076E">
        <w:t>Considerability</w:t>
      </w:r>
      <w:proofErr w:type="spellEnd"/>
      <w:r w:rsidRPr="000D076E">
        <w:t xml:space="preserve"> of Ecosystems’, </w:t>
      </w:r>
      <w:r w:rsidRPr="000D076E">
        <w:rPr>
          <w:i/>
          <w:iCs/>
        </w:rPr>
        <w:t>Environmental Ethics</w:t>
      </w:r>
      <w:r w:rsidRPr="000D076E">
        <w:t>, 10.3 (1988), pp. 195–216, doi:10.5840/enviroethics198810315</w:t>
      </w:r>
    </w:p>
    <w:p w14:paraId="55C128D1" w14:textId="4F6F6E0C" w:rsidR="000D076E" w:rsidRPr="000D076E" w:rsidRDefault="000D076E" w:rsidP="000D076E">
      <w:pPr>
        <w:ind w:left="720" w:hanging="720"/>
      </w:pPr>
      <w:r w:rsidRPr="000D076E">
        <w:t xml:space="preserve">Callicott, J. Baird, </w:t>
      </w:r>
      <w:r w:rsidRPr="000D076E">
        <w:rPr>
          <w:i/>
          <w:iCs/>
        </w:rPr>
        <w:t xml:space="preserve">In </w:t>
      </w:r>
      <w:r w:rsidRPr="000D076E">
        <w:rPr>
          <w:i/>
          <w:iCs/>
        </w:rPr>
        <w:t>defence</w:t>
      </w:r>
      <w:r w:rsidRPr="000D076E">
        <w:rPr>
          <w:i/>
          <w:iCs/>
        </w:rPr>
        <w:t xml:space="preserve"> of the Land Ethic: Essays in Environmental Philosophy</w:t>
      </w:r>
      <w:r w:rsidRPr="000D076E">
        <w:t xml:space="preserve"> (State University of New York Press, 1989)</w:t>
      </w:r>
    </w:p>
    <w:p w14:paraId="6E47C48C" w14:textId="77777777" w:rsidR="000D076E" w:rsidRPr="000D076E" w:rsidRDefault="000D076E" w:rsidP="000D076E">
      <w:pPr>
        <w:ind w:left="720" w:hanging="720"/>
      </w:pPr>
      <w:r w:rsidRPr="000D076E">
        <w:t xml:space="preserve">Callicott, J. Baird, </w:t>
      </w:r>
      <w:r w:rsidRPr="000D076E">
        <w:rPr>
          <w:i/>
          <w:iCs/>
        </w:rPr>
        <w:t>Thinking Like a Planet: The Land Ethic and the Earth Ethic</w:t>
      </w:r>
      <w:r w:rsidRPr="000D076E">
        <w:t xml:space="preserve"> (Oxford University Press, 2014)</w:t>
      </w:r>
    </w:p>
    <w:p w14:paraId="524C1AE8" w14:textId="77777777" w:rsidR="000D076E" w:rsidRPr="000D076E" w:rsidRDefault="000D076E" w:rsidP="000D076E">
      <w:pPr>
        <w:ind w:left="720" w:hanging="720"/>
      </w:pPr>
      <w:proofErr w:type="spellStart"/>
      <w:r w:rsidRPr="000D076E">
        <w:t>Drenthen</w:t>
      </w:r>
      <w:proofErr w:type="spellEnd"/>
      <w:r w:rsidRPr="000D076E">
        <w:t xml:space="preserve">, Martin, ‘Ecocentrism as Anthropocentrism’, </w:t>
      </w:r>
      <w:r w:rsidRPr="000D076E">
        <w:rPr>
          <w:i/>
          <w:iCs/>
        </w:rPr>
        <w:t>Ethics, Policy &amp; Environment</w:t>
      </w:r>
      <w:r w:rsidRPr="000D076E">
        <w:t>, 14.2 (2011), pp. 151–54, doi:10.1080/21550085.2011.578365</w:t>
      </w:r>
    </w:p>
    <w:p w14:paraId="4CB10D6C" w14:textId="3EC953FC" w:rsidR="000D076E" w:rsidRPr="000D076E" w:rsidRDefault="000D076E" w:rsidP="000D076E">
      <w:pPr>
        <w:ind w:left="720" w:hanging="720"/>
      </w:pPr>
      <w:r w:rsidRPr="000D076E">
        <w:t>Feinberg, Joel, ‘The Rights of Animals and Unborn Generations’, in Philosophy and Environmental Crisis (University of Georgia Press, 1974)</w:t>
      </w:r>
    </w:p>
    <w:p w14:paraId="3F5CCB97" w14:textId="12D2EF85" w:rsidR="000D076E" w:rsidRPr="000D076E" w:rsidRDefault="000D076E" w:rsidP="000D076E">
      <w:pPr>
        <w:ind w:left="720" w:hanging="720"/>
      </w:pPr>
      <w:r w:rsidRPr="000D076E">
        <w:t xml:space="preserve">Goodpaster, Kenneth E., ‘On Being Morally Considerable’, </w:t>
      </w:r>
      <w:r w:rsidRPr="000D076E">
        <w:rPr>
          <w:i/>
          <w:iCs/>
        </w:rPr>
        <w:t>The Journal of Philosophy</w:t>
      </w:r>
      <w:r w:rsidRPr="000D076E">
        <w:t>, 75.6 (1978), pp. 308–25, doi:10.2307/2025709</w:t>
      </w:r>
      <w:r w:rsidRPr="000D076E">
        <w:t xml:space="preserve"> </w:t>
      </w:r>
      <w:r w:rsidRPr="000D076E">
        <w:t>pp. 311–12</w:t>
      </w:r>
    </w:p>
    <w:p w14:paraId="65FB3426" w14:textId="4680304A" w:rsidR="000D076E" w:rsidRPr="000D076E" w:rsidRDefault="000D076E" w:rsidP="000D076E">
      <w:pPr>
        <w:ind w:left="720" w:hanging="720"/>
      </w:pPr>
      <w:r w:rsidRPr="000D076E">
        <w:t xml:space="preserve">Humphreys, Rebekah, ‘Biocentrism’, in </w:t>
      </w:r>
      <w:r w:rsidRPr="000D076E">
        <w:rPr>
          <w:i/>
          <w:iCs/>
        </w:rPr>
        <w:t>Encyclopaedia</w:t>
      </w:r>
      <w:r w:rsidRPr="000D076E">
        <w:rPr>
          <w:i/>
          <w:iCs/>
        </w:rPr>
        <w:t xml:space="preserve"> of Global Bioethics</w:t>
      </w:r>
      <w:r w:rsidRPr="000D076E">
        <w:t>, ed. by Henk ten Have (Springer, 201</w:t>
      </w:r>
      <w:r>
        <w:t>6</w:t>
      </w:r>
      <w:r w:rsidRPr="000D076E">
        <w:t>), doi:10.1007/978-3-319-05544-2_41-1</w:t>
      </w:r>
    </w:p>
    <w:p w14:paraId="710C7CE7" w14:textId="77777777" w:rsidR="000D076E" w:rsidRPr="000D076E" w:rsidRDefault="000D076E" w:rsidP="000D076E">
      <w:pPr>
        <w:ind w:left="720" w:hanging="720"/>
      </w:pPr>
      <w:r w:rsidRPr="000D076E">
        <w:t xml:space="preserve">Johnson, Lawrence E., ‘Toward the Moral </w:t>
      </w:r>
      <w:proofErr w:type="spellStart"/>
      <w:r w:rsidRPr="000D076E">
        <w:t>Considerability</w:t>
      </w:r>
      <w:proofErr w:type="spellEnd"/>
      <w:r w:rsidRPr="000D076E">
        <w:t xml:space="preserve"> of Species and Ecosystems’, </w:t>
      </w:r>
      <w:r w:rsidRPr="000D076E">
        <w:rPr>
          <w:i/>
          <w:iCs/>
        </w:rPr>
        <w:t>Environmental Ethics</w:t>
      </w:r>
      <w:r w:rsidRPr="000D076E">
        <w:t>, 14.2 (1992), pp. 145–57, doi:10.5840/enviroethics199214231</w:t>
      </w:r>
    </w:p>
    <w:p w14:paraId="0720A7BA" w14:textId="77777777" w:rsidR="000D076E" w:rsidRPr="000D076E" w:rsidRDefault="000D076E" w:rsidP="000D076E">
      <w:pPr>
        <w:ind w:left="720" w:hanging="720"/>
      </w:pPr>
      <w:r w:rsidRPr="000D076E">
        <w:t xml:space="preserve">Kawall, Jason, ‘Reverence for Life as a Viable Environmental Virtue’, </w:t>
      </w:r>
      <w:r w:rsidRPr="000D076E">
        <w:rPr>
          <w:i/>
          <w:iCs/>
        </w:rPr>
        <w:t>Environmental Ethics</w:t>
      </w:r>
      <w:r w:rsidRPr="000D076E">
        <w:t>, 25.4 (2003), pp. 339–58, doi:10.5840/enviroethics20032542</w:t>
      </w:r>
    </w:p>
    <w:p w14:paraId="0ACF3D27" w14:textId="77777777" w:rsidR="000D076E" w:rsidRPr="000D076E" w:rsidRDefault="000D076E" w:rsidP="000D076E">
      <w:pPr>
        <w:ind w:left="720" w:hanging="720"/>
      </w:pPr>
      <w:r w:rsidRPr="000D076E">
        <w:t xml:space="preserve">Leopold, Aldo, </w:t>
      </w:r>
      <w:r w:rsidRPr="000D076E">
        <w:rPr>
          <w:i/>
          <w:iCs/>
        </w:rPr>
        <w:t>A Sand County Almanac and Sketches Here and There</w:t>
      </w:r>
      <w:r w:rsidRPr="000D076E">
        <w:t xml:space="preserve"> (Oxford University Press, 1949)</w:t>
      </w:r>
    </w:p>
    <w:p w14:paraId="4B69A595" w14:textId="77777777" w:rsidR="000D076E" w:rsidRPr="000D076E" w:rsidRDefault="000D076E" w:rsidP="000D076E">
      <w:pPr>
        <w:ind w:left="720" w:hanging="720"/>
      </w:pPr>
      <w:r w:rsidRPr="000D076E">
        <w:lastRenderedPageBreak/>
        <w:t xml:space="preserve">Millstein, Roberta L., ‘Is Aldo Leopold’s “Land Community” an Individual?’, in </w:t>
      </w:r>
      <w:r w:rsidRPr="000D076E">
        <w:rPr>
          <w:i/>
          <w:iCs/>
        </w:rPr>
        <w:t>Individuation, Process, and Scientific Practices</w:t>
      </w:r>
      <w:r w:rsidRPr="000D076E">
        <w:t>, ed. by Otávio Bueno, Ruey-Lin Chen and Melinda Bonnie Fagan (Oxford University Press, 2018)</w:t>
      </w:r>
    </w:p>
    <w:p w14:paraId="2F02299C" w14:textId="77777777" w:rsidR="000D076E" w:rsidRPr="000D076E" w:rsidRDefault="000D076E" w:rsidP="000D076E">
      <w:pPr>
        <w:ind w:left="720" w:hanging="720"/>
      </w:pPr>
      <w:r w:rsidRPr="000D076E">
        <w:t xml:space="preserve">Norton, Bryan G., ‘Environmental Ethics and Weak Anthropocentrism’, </w:t>
      </w:r>
      <w:r w:rsidRPr="000D076E">
        <w:rPr>
          <w:i/>
          <w:iCs/>
        </w:rPr>
        <w:t>Environmental Ethics</w:t>
      </w:r>
      <w:r w:rsidRPr="000D076E">
        <w:t>, 6.2 (1984), pp. 131–48, doi:10.5840/enviroethics19846233</w:t>
      </w:r>
    </w:p>
    <w:p w14:paraId="01030F68" w14:textId="77777777" w:rsidR="000D076E" w:rsidRPr="000D076E" w:rsidRDefault="000D076E" w:rsidP="000D076E">
      <w:pPr>
        <w:ind w:left="720" w:hanging="720"/>
      </w:pPr>
      <w:r w:rsidRPr="000D076E">
        <w:t xml:space="preserve">O’Neill, John, ‘The Varieties of Intrinsic Value’, </w:t>
      </w:r>
      <w:r w:rsidRPr="000D076E">
        <w:rPr>
          <w:i/>
          <w:iCs/>
        </w:rPr>
        <w:t>The Monist</w:t>
      </w:r>
      <w:r w:rsidRPr="000D076E">
        <w:t>, 75.2 (1992), pp. 119–37, doi:10.5840/monist19927527</w:t>
      </w:r>
    </w:p>
    <w:p w14:paraId="6D72B210" w14:textId="77777777" w:rsidR="000D076E" w:rsidRPr="000D076E" w:rsidRDefault="000D076E" w:rsidP="000D076E">
      <w:pPr>
        <w:ind w:left="720" w:hanging="720"/>
      </w:pPr>
      <w:r w:rsidRPr="000D076E">
        <w:t xml:space="preserve">Rolston, Holmes, III, </w:t>
      </w:r>
      <w:r w:rsidRPr="000D076E">
        <w:rPr>
          <w:i/>
          <w:iCs/>
        </w:rPr>
        <w:t>Environmental Ethics: Duties to and Values in the Natural World</w:t>
      </w:r>
      <w:r w:rsidRPr="000D076E">
        <w:t xml:space="preserve"> (Temple University Press, 1988)</w:t>
      </w:r>
    </w:p>
    <w:p w14:paraId="6426133C" w14:textId="222A33D7" w:rsidR="000D076E" w:rsidRPr="000D076E" w:rsidRDefault="000D076E" w:rsidP="000D076E">
      <w:pPr>
        <w:ind w:left="720" w:hanging="720"/>
      </w:pPr>
      <w:r w:rsidRPr="000D076E">
        <w:t xml:space="preserve">Schmidtz, David, ‘Are All Species Equal’, </w:t>
      </w:r>
      <w:r w:rsidRPr="000D076E">
        <w:rPr>
          <w:i/>
          <w:iCs/>
        </w:rPr>
        <w:t>Journal of Applied Philosophy</w:t>
      </w:r>
      <w:r w:rsidRPr="000D076E">
        <w:t>, 15.1 (1998), pp. 57–67, doi:10.1111/1468-5930.00073</w:t>
      </w:r>
    </w:p>
    <w:p w14:paraId="23BCE11B" w14:textId="48138DC8" w:rsidR="000D076E" w:rsidRPr="000D076E" w:rsidRDefault="000D076E" w:rsidP="000D076E">
      <w:pPr>
        <w:ind w:left="720" w:hanging="720"/>
      </w:pPr>
      <w:r w:rsidRPr="000D076E">
        <w:t xml:space="preserve">Schmidtz, David, ‘Respect for Everything’, </w:t>
      </w:r>
      <w:r w:rsidRPr="000D076E">
        <w:rPr>
          <w:i/>
          <w:iCs/>
        </w:rPr>
        <w:t>Ethics, Policy &amp; Environment</w:t>
      </w:r>
      <w:r w:rsidRPr="000D076E">
        <w:t>, 14.2 (2011), p. 127–38, doi:10.1080/21550085.2011.578359</w:t>
      </w:r>
    </w:p>
    <w:p w14:paraId="20148966" w14:textId="77777777" w:rsidR="000D076E" w:rsidRPr="000D076E" w:rsidRDefault="000D076E" w:rsidP="000D076E">
      <w:pPr>
        <w:ind w:left="720" w:hanging="720"/>
      </w:pPr>
      <w:r w:rsidRPr="000D076E">
        <w:t xml:space="preserve">Sterba, James P., ‘Biocentrism Defended’, </w:t>
      </w:r>
      <w:r w:rsidRPr="000D076E">
        <w:rPr>
          <w:i/>
          <w:iCs/>
        </w:rPr>
        <w:t>Ethics, Policy &amp; Environment</w:t>
      </w:r>
      <w:r w:rsidRPr="000D076E">
        <w:t>, 14.2 (2011), pp. 167–69, doi:10.1080/21550085.2011.578376</w:t>
      </w:r>
    </w:p>
    <w:p w14:paraId="4EE7D78F" w14:textId="77777777" w:rsidR="000D076E" w:rsidRPr="000D076E" w:rsidRDefault="000D076E" w:rsidP="000D076E">
      <w:pPr>
        <w:ind w:left="720" w:hanging="720"/>
      </w:pPr>
      <w:r w:rsidRPr="000D076E">
        <w:t xml:space="preserve">Taylor, Bron, Guillaume Chapron, Helen Kopnina, Ewa Orlikowska, Joe Gray and John J. Piccolo, ‘The Need for Ecocentrism in Biodiversity Conservation’, </w:t>
      </w:r>
      <w:r w:rsidRPr="000D076E">
        <w:rPr>
          <w:i/>
          <w:iCs/>
        </w:rPr>
        <w:t>Conservation Biology</w:t>
      </w:r>
      <w:r w:rsidRPr="000D076E">
        <w:t>, 34.5 (2020), pp. 1089–96, doi:10.1111/cobi.13541</w:t>
      </w:r>
    </w:p>
    <w:p w14:paraId="2F456A0F" w14:textId="313300DB" w:rsidR="000D076E" w:rsidRPr="000D076E" w:rsidRDefault="000D076E" w:rsidP="000D076E">
      <w:pPr>
        <w:ind w:left="720" w:hanging="720"/>
      </w:pPr>
      <w:r w:rsidRPr="000D076E">
        <w:t xml:space="preserve">Taylor, Paul W, ‘The Ethics of Respect for Nature’, </w:t>
      </w:r>
      <w:r w:rsidRPr="000D076E">
        <w:rPr>
          <w:i/>
          <w:iCs/>
        </w:rPr>
        <w:t>Environmental Ethics</w:t>
      </w:r>
      <w:r w:rsidRPr="000D076E">
        <w:t>, 3.3 (1981), pp. 197–218, doi:10.5840/enviroethics19813321</w:t>
      </w:r>
    </w:p>
    <w:p w14:paraId="15028483" w14:textId="77777777" w:rsidR="000D076E" w:rsidRPr="000D076E" w:rsidRDefault="000D076E" w:rsidP="000D076E">
      <w:pPr>
        <w:ind w:left="720" w:hanging="720"/>
      </w:pPr>
      <w:r w:rsidRPr="000D076E">
        <w:t xml:space="preserve">Taylor, Paul W., </w:t>
      </w:r>
      <w:r w:rsidRPr="000D076E">
        <w:rPr>
          <w:i/>
          <w:iCs/>
        </w:rPr>
        <w:t>Respect for Nature: A Theory of Environmental Ethics</w:t>
      </w:r>
      <w:r w:rsidRPr="000D076E">
        <w:t xml:space="preserve"> (Princeton University Press, 1986)</w:t>
      </w:r>
    </w:p>
    <w:p w14:paraId="1CA25EDF" w14:textId="77777777" w:rsidR="000D076E" w:rsidRPr="000D076E" w:rsidRDefault="000D076E" w:rsidP="000D076E">
      <w:pPr>
        <w:ind w:left="720" w:hanging="720"/>
      </w:pPr>
      <w:r w:rsidRPr="000D076E">
        <w:t xml:space="preserve">Varner, Gary E., </w:t>
      </w:r>
      <w:r w:rsidRPr="000D076E">
        <w:rPr>
          <w:i/>
          <w:iCs/>
        </w:rPr>
        <w:t>In Nature’s Interests? Interests, Animal Rights, and Environmental Ethics</w:t>
      </w:r>
      <w:r w:rsidRPr="000D076E">
        <w:t xml:space="preserve"> (Oxford University Press, 1998)</w:t>
      </w:r>
    </w:p>
    <w:p w14:paraId="1089BD89" w14:textId="77777777" w:rsidR="00510CF4" w:rsidRDefault="00510CF4" w:rsidP="000D076E">
      <w:pPr>
        <w:ind w:left="720" w:hanging="720"/>
        <w:rPr>
          <w:b/>
          <w:bCs/>
          <w:lang w:val="en-US"/>
        </w:rPr>
      </w:pPr>
    </w:p>
    <w:sectPr w:rsidR="00510CF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22BD8" w14:textId="77777777" w:rsidR="00C21C0D" w:rsidRDefault="00C21C0D" w:rsidP="00EB17C5">
      <w:pPr>
        <w:spacing w:after="0" w:line="240" w:lineRule="auto"/>
      </w:pPr>
      <w:r>
        <w:separator/>
      </w:r>
    </w:p>
  </w:endnote>
  <w:endnote w:type="continuationSeparator" w:id="0">
    <w:p w14:paraId="492F779F" w14:textId="77777777" w:rsidR="00C21C0D" w:rsidRDefault="00C21C0D" w:rsidP="00EB1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790883"/>
      <w:docPartObj>
        <w:docPartGallery w:val="Page Numbers (Bottom of Page)"/>
        <w:docPartUnique/>
      </w:docPartObj>
    </w:sdtPr>
    <w:sdtEndPr>
      <w:rPr>
        <w:noProof/>
      </w:rPr>
    </w:sdtEndPr>
    <w:sdtContent>
      <w:p w14:paraId="74A697D1" w14:textId="57251B09" w:rsidR="00B57B34" w:rsidRDefault="00B57B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F952D" w14:textId="77777777" w:rsidR="00B57B34" w:rsidRDefault="00B57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C9064" w14:textId="77777777" w:rsidR="00C21C0D" w:rsidRDefault="00C21C0D" w:rsidP="00EB17C5">
      <w:pPr>
        <w:spacing w:after="0" w:line="240" w:lineRule="auto"/>
      </w:pPr>
      <w:r>
        <w:separator/>
      </w:r>
    </w:p>
  </w:footnote>
  <w:footnote w:type="continuationSeparator" w:id="0">
    <w:p w14:paraId="63E82B36" w14:textId="77777777" w:rsidR="00C21C0D" w:rsidRDefault="00C21C0D" w:rsidP="00EB17C5">
      <w:pPr>
        <w:spacing w:after="0" w:line="240" w:lineRule="auto"/>
      </w:pPr>
      <w:r>
        <w:continuationSeparator/>
      </w:r>
    </w:p>
  </w:footnote>
  <w:footnote w:id="1">
    <w:p w14:paraId="041E0535" w14:textId="38EF3BF0" w:rsidR="00E20E5E" w:rsidRDefault="00E20E5E">
      <w:pPr>
        <w:pStyle w:val="FootnoteText"/>
      </w:pPr>
      <w:r>
        <w:rPr>
          <w:rStyle w:val="FootnoteReference"/>
        </w:rPr>
        <w:footnoteRef/>
      </w:r>
      <w:r>
        <w:t xml:space="preserve"> </w:t>
      </w:r>
      <w:r w:rsidRPr="00E20E5E">
        <w:t xml:space="preserve">Rebekah Humphreys, ‘Biocentrism’, in </w:t>
      </w:r>
      <w:r w:rsidRPr="00E20E5E">
        <w:rPr>
          <w:i/>
          <w:iCs/>
        </w:rPr>
        <w:t>Encyclopaedia of Global Bioethics</w:t>
      </w:r>
      <w:r w:rsidRPr="00E20E5E">
        <w:t>, ed. by Henk ten Have (Cham: Springer, 2014)</w:t>
      </w:r>
    </w:p>
  </w:footnote>
  <w:footnote w:id="2">
    <w:p w14:paraId="4CD1FEB6" w14:textId="09462B08" w:rsidR="00E20E5E" w:rsidRDefault="00E20E5E">
      <w:pPr>
        <w:pStyle w:val="FootnoteText"/>
      </w:pPr>
      <w:r>
        <w:rPr>
          <w:rStyle w:val="FootnoteReference"/>
        </w:rPr>
        <w:footnoteRef/>
      </w:r>
      <w:r>
        <w:t xml:space="preserve"> </w:t>
      </w:r>
      <w:r w:rsidRPr="00E20E5E">
        <w:t xml:space="preserve">Paul W. Taylor, </w:t>
      </w:r>
      <w:r w:rsidRPr="00E20E5E">
        <w:rPr>
          <w:i/>
          <w:iCs/>
        </w:rPr>
        <w:t>Respect for Nature: A Theory of Environmental Ethics</w:t>
      </w:r>
      <w:r w:rsidRPr="00E20E5E">
        <w:t xml:space="preserve"> (Princeton, NJ: Princeton University Press, 1986), pp. 71–77, 155; Robin Attfield, ‘Biocentrism and Artificial Life’, </w:t>
      </w:r>
      <w:r w:rsidRPr="00E20E5E">
        <w:rPr>
          <w:i/>
          <w:iCs/>
        </w:rPr>
        <w:t>Environmental Values</w:t>
      </w:r>
      <w:r w:rsidRPr="00E20E5E">
        <w:t>, 21.1 (2012), 83–94 (pp. 84–85).</w:t>
      </w:r>
    </w:p>
  </w:footnote>
  <w:footnote w:id="3">
    <w:p w14:paraId="3C298130" w14:textId="77777777" w:rsidR="002D4ACE" w:rsidRPr="002D4ACE" w:rsidRDefault="002D4ACE" w:rsidP="002D4ACE">
      <w:pPr>
        <w:pStyle w:val="FootnoteText"/>
      </w:pPr>
      <w:r>
        <w:rPr>
          <w:rStyle w:val="FootnoteReference"/>
        </w:rPr>
        <w:footnoteRef/>
      </w:r>
      <w:r>
        <w:t xml:space="preserve"> </w:t>
      </w:r>
      <w:r w:rsidRPr="002D4ACE">
        <w:t xml:space="preserve">Nicholas Agar, </w:t>
      </w:r>
      <w:r w:rsidRPr="002D4ACE">
        <w:rPr>
          <w:i/>
          <w:iCs/>
        </w:rPr>
        <w:t>Life’s Intrinsic Value: Science, Ethics, and Nature</w:t>
      </w:r>
      <w:r w:rsidRPr="002D4ACE">
        <w:t xml:space="preserve"> (New York: Columbia University Press, 2001); Gary E. Varner, </w:t>
      </w:r>
      <w:r w:rsidRPr="002D4ACE">
        <w:rPr>
          <w:i/>
          <w:iCs/>
        </w:rPr>
        <w:t>In Nature’s Interests? Interests, Animal Rights, and Environmental Ethics</w:t>
      </w:r>
      <w:r w:rsidRPr="002D4ACE">
        <w:t xml:space="preserve"> (New York: Oxford University Press, 1998).</w:t>
      </w:r>
    </w:p>
    <w:p w14:paraId="06D50B41" w14:textId="1F4DE5A8" w:rsidR="002D4ACE" w:rsidRDefault="002D4ACE">
      <w:pPr>
        <w:pStyle w:val="FootnoteText"/>
      </w:pPr>
    </w:p>
  </w:footnote>
  <w:footnote w:id="4">
    <w:p w14:paraId="62932863" w14:textId="4893785A" w:rsidR="00CC3F5E" w:rsidRDefault="00CC3F5E">
      <w:pPr>
        <w:pStyle w:val="FootnoteText"/>
      </w:pPr>
      <w:r>
        <w:rPr>
          <w:rStyle w:val="FootnoteReference"/>
        </w:rPr>
        <w:footnoteRef/>
      </w:r>
      <w:r>
        <w:t xml:space="preserve"> </w:t>
      </w:r>
      <w:r w:rsidRPr="00CC3F5E">
        <w:t xml:space="preserve">Harley Cahen, ‘Against the Moral </w:t>
      </w:r>
      <w:proofErr w:type="spellStart"/>
      <w:r w:rsidRPr="00CC3F5E">
        <w:t>Considerability</w:t>
      </w:r>
      <w:proofErr w:type="spellEnd"/>
      <w:r w:rsidRPr="00CC3F5E">
        <w:t xml:space="preserve"> of Ecosystems’, </w:t>
      </w:r>
      <w:r w:rsidRPr="00CC3F5E">
        <w:rPr>
          <w:i/>
          <w:iCs/>
        </w:rPr>
        <w:t>Environmental Ethics</w:t>
      </w:r>
      <w:r w:rsidRPr="00CC3F5E">
        <w:t>, 10.3 (1988), 195–216.</w:t>
      </w:r>
    </w:p>
  </w:footnote>
  <w:footnote w:id="5">
    <w:p w14:paraId="7E1BEA80" w14:textId="480D430E" w:rsidR="00CC3F5E" w:rsidRDefault="00CC3F5E">
      <w:pPr>
        <w:pStyle w:val="FootnoteText"/>
      </w:pPr>
      <w:r>
        <w:rPr>
          <w:rStyle w:val="FootnoteReference"/>
        </w:rPr>
        <w:footnoteRef/>
      </w:r>
      <w:r>
        <w:t xml:space="preserve"> </w:t>
      </w:r>
      <w:r w:rsidRPr="00CC3F5E">
        <w:t>Goodpaster, ‘On Being Morally Considerable’, pp. 311–12.</w:t>
      </w:r>
    </w:p>
  </w:footnote>
  <w:footnote w:id="6">
    <w:p w14:paraId="61680D4E" w14:textId="61BAAB39" w:rsidR="00BF4964" w:rsidRDefault="00BF4964">
      <w:pPr>
        <w:pStyle w:val="FootnoteText"/>
      </w:pPr>
      <w:r>
        <w:rPr>
          <w:rStyle w:val="FootnoteReference"/>
        </w:rPr>
        <w:footnoteRef/>
      </w:r>
      <w:r>
        <w:t xml:space="preserve"> </w:t>
      </w:r>
      <w:r w:rsidRPr="00BF4964">
        <w:t xml:space="preserve">Humphreys, ‘Biocentrism’; Robin Attfield, ‘The Good of Trees’, in </w:t>
      </w:r>
      <w:r w:rsidRPr="00BF4964">
        <w:rPr>
          <w:i/>
          <w:iCs/>
        </w:rPr>
        <w:t>Environmental Philosophy: Principles and Prospects</w:t>
      </w:r>
      <w:r w:rsidRPr="00BF4964">
        <w:t xml:space="preserve"> (Aldershot: Avebury, 1994), pp. 152–66.</w:t>
      </w:r>
    </w:p>
  </w:footnote>
  <w:footnote w:id="7">
    <w:p w14:paraId="4E0FF8BF" w14:textId="77777777" w:rsidR="00715FDC" w:rsidRPr="00715FDC" w:rsidRDefault="00715FDC" w:rsidP="00715FDC">
      <w:pPr>
        <w:pStyle w:val="FootnoteText"/>
      </w:pPr>
      <w:r>
        <w:rPr>
          <w:rStyle w:val="FootnoteReference"/>
        </w:rPr>
        <w:footnoteRef/>
      </w:r>
      <w:r>
        <w:t xml:space="preserve"> </w:t>
      </w:r>
      <w:r w:rsidRPr="00715FDC">
        <w:t xml:space="preserve">Paul W. Taylor, ‘The Ethics of Respect for Nature’, </w:t>
      </w:r>
      <w:r w:rsidRPr="00715FDC">
        <w:rPr>
          <w:i/>
          <w:iCs/>
        </w:rPr>
        <w:t>Environmental Ethics</w:t>
      </w:r>
      <w:r w:rsidRPr="00715FDC">
        <w:t xml:space="preserve">, 3.3 (1981), 197–218; Taylor, </w:t>
      </w:r>
      <w:r w:rsidRPr="00715FDC">
        <w:rPr>
          <w:i/>
          <w:iCs/>
        </w:rPr>
        <w:t>Respect for Nature</w:t>
      </w:r>
      <w:r w:rsidRPr="00715FDC">
        <w:t>.</w:t>
      </w:r>
    </w:p>
    <w:p w14:paraId="75B48345" w14:textId="55C692B9" w:rsidR="00715FDC" w:rsidRDefault="00715FDC">
      <w:pPr>
        <w:pStyle w:val="FootnoteText"/>
      </w:pPr>
    </w:p>
  </w:footnote>
  <w:footnote w:id="8">
    <w:p w14:paraId="42012C6A" w14:textId="025FECD1" w:rsidR="009A36A6" w:rsidRDefault="009A36A6">
      <w:pPr>
        <w:pStyle w:val="FootnoteText"/>
      </w:pPr>
      <w:r>
        <w:rPr>
          <w:rStyle w:val="FootnoteReference"/>
        </w:rPr>
        <w:footnoteRef/>
      </w:r>
      <w:r>
        <w:t xml:space="preserve"> </w:t>
      </w:r>
      <w:r w:rsidRPr="009A36A6">
        <w:t xml:space="preserve">Joel Feinberg, ‘The Rights of Animals and Unborn Generations’, in </w:t>
      </w:r>
      <w:r w:rsidRPr="009A36A6">
        <w:rPr>
          <w:i/>
          <w:iCs/>
        </w:rPr>
        <w:t>Philosophy and Environmental Crisis</w:t>
      </w:r>
      <w:r w:rsidRPr="009A36A6">
        <w:t>, ed. by William T. Blackstone (Athens: University of Georgia Press, 1974), pp. 43–68.</w:t>
      </w:r>
    </w:p>
  </w:footnote>
  <w:footnote w:id="9">
    <w:p w14:paraId="46819C49" w14:textId="1CD80DE8" w:rsidR="009A36A6" w:rsidRDefault="009A36A6">
      <w:pPr>
        <w:pStyle w:val="FootnoteText"/>
      </w:pPr>
      <w:r>
        <w:rPr>
          <w:rStyle w:val="FootnoteReference"/>
        </w:rPr>
        <w:footnoteRef/>
      </w:r>
      <w:r>
        <w:t xml:space="preserve"> </w:t>
      </w:r>
      <w:r w:rsidRPr="009A36A6">
        <w:t xml:space="preserve">David Benatar, ‘Sentience and Why It Matters’, </w:t>
      </w:r>
      <w:r w:rsidRPr="009A36A6">
        <w:rPr>
          <w:i/>
          <w:iCs/>
        </w:rPr>
        <w:t>Cambridge Quarterly of Healthcare Ethics</w:t>
      </w:r>
      <w:r w:rsidRPr="009A36A6">
        <w:t>, published online 28 April 2026.</w:t>
      </w:r>
    </w:p>
  </w:footnote>
  <w:footnote w:id="10">
    <w:p w14:paraId="239F9DA8" w14:textId="370F5126" w:rsidR="00F26F2F" w:rsidRDefault="00F26F2F">
      <w:pPr>
        <w:pStyle w:val="FootnoteText"/>
      </w:pPr>
      <w:r>
        <w:rPr>
          <w:rStyle w:val="FootnoteReference"/>
        </w:rPr>
        <w:footnoteRef/>
      </w:r>
      <w:r>
        <w:t xml:space="preserve"> </w:t>
      </w:r>
      <w:r w:rsidRPr="00F26F2F">
        <w:t xml:space="preserve">John O’Neill, ‘The Varieties of Intrinsic Value’, </w:t>
      </w:r>
      <w:r w:rsidRPr="00F26F2F">
        <w:rPr>
          <w:i/>
          <w:iCs/>
        </w:rPr>
        <w:t>The Monist</w:t>
      </w:r>
      <w:r w:rsidRPr="00F26F2F">
        <w:t>, 75.2 (1992), 119–37.</w:t>
      </w:r>
    </w:p>
  </w:footnote>
  <w:footnote w:id="11">
    <w:p w14:paraId="05C6645F" w14:textId="04885F08" w:rsidR="00B57B34" w:rsidRDefault="00B57B34">
      <w:pPr>
        <w:pStyle w:val="FootnoteText"/>
      </w:pPr>
      <w:r>
        <w:rPr>
          <w:rStyle w:val="FootnoteReference"/>
        </w:rPr>
        <w:footnoteRef/>
      </w:r>
      <w:r>
        <w:t xml:space="preserve"> </w:t>
      </w:r>
      <w:r w:rsidRPr="00B57B34">
        <w:t xml:space="preserve">Agar, </w:t>
      </w:r>
      <w:r w:rsidRPr="00B57B34">
        <w:rPr>
          <w:i/>
          <w:iCs/>
        </w:rPr>
        <w:t>Life’s Intrinsic Value</w:t>
      </w:r>
      <w:r w:rsidRPr="00B57B34">
        <w:t>.</w:t>
      </w:r>
    </w:p>
  </w:footnote>
  <w:footnote w:id="12">
    <w:p w14:paraId="4D7D000B" w14:textId="25ABC2E2" w:rsidR="00B57B34" w:rsidRDefault="00B57B34">
      <w:pPr>
        <w:pStyle w:val="FootnoteText"/>
      </w:pPr>
      <w:r>
        <w:rPr>
          <w:rStyle w:val="FootnoteReference"/>
        </w:rPr>
        <w:footnoteRef/>
      </w:r>
      <w:r>
        <w:t xml:space="preserve"> </w:t>
      </w:r>
      <w:r w:rsidRPr="00B57B34">
        <w:t>Attfield, ‘Biocentrism and Artificial Life’, pp. 85–91.</w:t>
      </w:r>
    </w:p>
  </w:footnote>
  <w:footnote w:id="13">
    <w:p w14:paraId="32B8CE1F" w14:textId="42299709" w:rsidR="004147C2" w:rsidRDefault="004147C2">
      <w:pPr>
        <w:pStyle w:val="FootnoteText"/>
      </w:pPr>
      <w:r>
        <w:rPr>
          <w:rStyle w:val="FootnoteReference"/>
        </w:rPr>
        <w:footnoteRef/>
      </w:r>
      <w:r>
        <w:t xml:space="preserve"> </w:t>
      </w:r>
      <w:r w:rsidRPr="004147C2">
        <w:t xml:space="preserve">Humphreys, ‘Biocentrism’; Taylor, </w:t>
      </w:r>
      <w:r w:rsidRPr="004147C2">
        <w:rPr>
          <w:i/>
          <w:iCs/>
        </w:rPr>
        <w:t>Respect for Nature</w:t>
      </w:r>
      <w:r w:rsidRPr="004147C2">
        <w:t>, pp. 269–80.</w:t>
      </w:r>
    </w:p>
  </w:footnote>
  <w:footnote w:id="14">
    <w:p w14:paraId="76FCAC96" w14:textId="61125F70" w:rsidR="004147C2" w:rsidRDefault="004147C2">
      <w:pPr>
        <w:pStyle w:val="FootnoteText"/>
      </w:pPr>
      <w:r>
        <w:rPr>
          <w:rStyle w:val="FootnoteReference"/>
        </w:rPr>
        <w:footnoteRef/>
      </w:r>
      <w:r>
        <w:t xml:space="preserve"> </w:t>
      </w:r>
      <w:r w:rsidRPr="004147C2">
        <w:t xml:space="preserve">David Schmidtz, ‘Are All Species Equal?’, </w:t>
      </w:r>
      <w:r w:rsidRPr="004147C2">
        <w:rPr>
          <w:i/>
          <w:iCs/>
        </w:rPr>
        <w:t>Journal of Applied Philosophy</w:t>
      </w:r>
      <w:r w:rsidRPr="004147C2">
        <w:t xml:space="preserve">, 15.1 (1998), 57–67; David Schmidtz, ‘Respect for Everything’, </w:t>
      </w:r>
      <w:r w:rsidRPr="004147C2">
        <w:rPr>
          <w:i/>
          <w:iCs/>
        </w:rPr>
        <w:t>Ethics, Policy &amp; Environment</w:t>
      </w:r>
      <w:r w:rsidRPr="004147C2">
        <w:t>, 14.2 (2011), 127–38.</w:t>
      </w:r>
    </w:p>
  </w:footnote>
  <w:footnote w:id="15">
    <w:p w14:paraId="6116571D" w14:textId="645199B5" w:rsidR="00D50A41" w:rsidRDefault="00D50A41">
      <w:pPr>
        <w:pStyle w:val="FootnoteText"/>
      </w:pPr>
      <w:r>
        <w:rPr>
          <w:rStyle w:val="FootnoteReference"/>
        </w:rPr>
        <w:footnoteRef/>
      </w:r>
      <w:r>
        <w:t xml:space="preserve"> </w:t>
      </w:r>
      <w:r w:rsidRPr="00D50A41">
        <w:t xml:space="preserve">Martin Drenthen, ‘Ecocentrism as Anthropocentrism’, </w:t>
      </w:r>
      <w:r w:rsidRPr="00D50A41">
        <w:rPr>
          <w:i/>
          <w:iCs/>
        </w:rPr>
        <w:t>Ethics, Policy &amp; Environment</w:t>
      </w:r>
      <w:r w:rsidRPr="00D50A41">
        <w:t>, 14.2 (2011), 151–</w:t>
      </w:r>
      <w:proofErr w:type="gramStart"/>
      <w:r w:rsidRPr="00D50A41">
        <w:t>54..</w:t>
      </w:r>
      <w:proofErr w:type="gramEnd"/>
    </w:p>
  </w:footnote>
  <w:footnote w:id="16">
    <w:p w14:paraId="4B36C393" w14:textId="30A35648" w:rsidR="00064299" w:rsidRDefault="00064299">
      <w:pPr>
        <w:pStyle w:val="FootnoteText"/>
      </w:pPr>
      <w:r>
        <w:rPr>
          <w:rStyle w:val="FootnoteReference"/>
        </w:rPr>
        <w:footnoteRef/>
      </w:r>
      <w:r>
        <w:t xml:space="preserve"> </w:t>
      </w:r>
      <w:r w:rsidRPr="00064299">
        <w:t>Ibid., pp. 153–54.</w:t>
      </w:r>
    </w:p>
  </w:footnote>
  <w:footnote w:id="17">
    <w:p w14:paraId="4F9F8140" w14:textId="65343E4F" w:rsidR="00064299" w:rsidRDefault="00064299">
      <w:pPr>
        <w:pStyle w:val="FootnoteText"/>
      </w:pPr>
      <w:r>
        <w:rPr>
          <w:rStyle w:val="FootnoteReference"/>
        </w:rPr>
        <w:footnoteRef/>
      </w:r>
      <w:r>
        <w:t xml:space="preserve"> </w:t>
      </w:r>
      <w:r w:rsidRPr="00064299">
        <w:t xml:space="preserve">James P. Sterba, ‘Biocentrism Defended’, </w:t>
      </w:r>
      <w:r w:rsidRPr="00064299">
        <w:rPr>
          <w:i/>
          <w:iCs/>
        </w:rPr>
        <w:t>Ethics, Policy &amp; Environment</w:t>
      </w:r>
      <w:r w:rsidRPr="00064299">
        <w:t>, 14.2 (2011), 167–69 (pp. 167–68).</w:t>
      </w:r>
    </w:p>
  </w:footnote>
  <w:footnote w:id="18">
    <w:p w14:paraId="0038B24A" w14:textId="3245010F" w:rsidR="00363FCC" w:rsidRDefault="00363FCC">
      <w:pPr>
        <w:pStyle w:val="FootnoteText"/>
      </w:pPr>
      <w:r>
        <w:rPr>
          <w:rStyle w:val="FootnoteReference"/>
        </w:rPr>
        <w:footnoteRef/>
      </w:r>
      <w:r>
        <w:t xml:space="preserve"> </w:t>
      </w:r>
      <w:r w:rsidRPr="00363FCC">
        <w:t>Ibid., pp. 168–69.</w:t>
      </w:r>
    </w:p>
  </w:footnote>
  <w:footnote w:id="19">
    <w:p w14:paraId="2EFCF0EB" w14:textId="7C88FC82" w:rsidR="00363FCC" w:rsidRDefault="00363FCC">
      <w:pPr>
        <w:pStyle w:val="FootnoteText"/>
      </w:pPr>
      <w:r>
        <w:rPr>
          <w:rStyle w:val="FootnoteReference"/>
        </w:rPr>
        <w:footnoteRef/>
      </w:r>
      <w:r>
        <w:t xml:space="preserve"> </w:t>
      </w:r>
      <w:r w:rsidRPr="00363FCC">
        <w:t xml:space="preserve">Attfield, ‘Biocentrism and Artificial Life’, pp. 84–85; Robin Attfield, </w:t>
      </w:r>
      <w:r w:rsidRPr="00363FCC">
        <w:rPr>
          <w:i/>
          <w:iCs/>
        </w:rPr>
        <w:t>Environmental Ethics: An Overview for the Twenty-First Century</w:t>
      </w:r>
      <w:r w:rsidRPr="00363FCC">
        <w:t xml:space="preserve">, 2nd </w:t>
      </w:r>
      <w:proofErr w:type="spellStart"/>
      <w:r w:rsidRPr="00363FCC">
        <w:t>edn</w:t>
      </w:r>
      <w:proofErr w:type="spellEnd"/>
      <w:r w:rsidRPr="00363FCC">
        <w:t xml:space="preserve"> (Cambridge: Polity, 2014), pp. 42–45.</w:t>
      </w:r>
    </w:p>
  </w:footnote>
  <w:footnote w:id="20">
    <w:p w14:paraId="77B009E1" w14:textId="3F98929F" w:rsidR="00BD6E1C" w:rsidRDefault="00BD6E1C">
      <w:pPr>
        <w:pStyle w:val="FootnoteText"/>
      </w:pPr>
      <w:r>
        <w:rPr>
          <w:rStyle w:val="FootnoteReference"/>
        </w:rPr>
        <w:footnoteRef/>
      </w:r>
      <w:r>
        <w:t xml:space="preserve"> </w:t>
      </w:r>
      <w:r w:rsidRPr="00BD6E1C">
        <w:t>Humphreys, ‘Biocentrism’.</w:t>
      </w:r>
    </w:p>
  </w:footnote>
  <w:footnote w:id="21">
    <w:p w14:paraId="574D7DD7" w14:textId="43580BAA" w:rsidR="00412878" w:rsidRDefault="00412878">
      <w:pPr>
        <w:pStyle w:val="FootnoteText"/>
      </w:pPr>
      <w:r>
        <w:rPr>
          <w:rStyle w:val="FootnoteReference"/>
        </w:rPr>
        <w:footnoteRef/>
      </w:r>
      <w:r>
        <w:t xml:space="preserve"> </w:t>
      </w:r>
      <w:r w:rsidRPr="00412878">
        <w:t xml:space="preserve">Jason Kawall, ‘Reverence for Life as a Viable Environmental Virtue’, </w:t>
      </w:r>
      <w:r w:rsidRPr="00412878">
        <w:rPr>
          <w:i/>
          <w:iCs/>
        </w:rPr>
        <w:t>Environmental Ethics</w:t>
      </w:r>
      <w:r w:rsidRPr="00412878">
        <w:t>, 25.4 (2003), 339–58.</w:t>
      </w:r>
    </w:p>
  </w:footnote>
  <w:footnote w:id="22">
    <w:p w14:paraId="6C9D76B1" w14:textId="4F9D42D6" w:rsidR="000B58D0" w:rsidRDefault="000B58D0">
      <w:pPr>
        <w:pStyle w:val="FootnoteText"/>
      </w:pPr>
      <w:r>
        <w:rPr>
          <w:rStyle w:val="FootnoteReference"/>
        </w:rPr>
        <w:footnoteRef/>
      </w:r>
      <w:r>
        <w:t xml:space="preserve"> </w:t>
      </w:r>
      <w:r w:rsidRPr="000B58D0">
        <w:t xml:space="preserve">Bryan G. Norton, ‘Environmental Ethics and Weak Anthropocentrism’, </w:t>
      </w:r>
      <w:r w:rsidRPr="000B58D0">
        <w:rPr>
          <w:i/>
          <w:iCs/>
        </w:rPr>
        <w:t>Environmental Ethics</w:t>
      </w:r>
      <w:r w:rsidRPr="000B58D0">
        <w:t>, 6.2 (1984), 131–48.</w:t>
      </w:r>
    </w:p>
  </w:footnote>
  <w:footnote w:id="23">
    <w:p w14:paraId="7D873FD3" w14:textId="268FD1DA" w:rsidR="000B58D0" w:rsidRDefault="000B58D0">
      <w:pPr>
        <w:pStyle w:val="FootnoteText"/>
      </w:pPr>
      <w:r>
        <w:rPr>
          <w:rStyle w:val="FootnoteReference"/>
        </w:rPr>
        <w:footnoteRef/>
      </w:r>
      <w:r>
        <w:t xml:space="preserve"> </w:t>
      </w:r>
      <w:r w:rsidRPr="000B58D0">
        <w:t xml:space="preserve">Holmes Rolston III, </w:t>
      </w:r>
      <w:r w:rsidRPr="000B58D0">
        <w:rPr>
          <w:i/>
          <w:iCs/>
        </w:rPr>
        <w:t>Environmental Ethics: Duties to and Values in the Natural World</w:t>
      </w:r>
      <w:r w:rsidRPr="000B58D0">
        <w:t xml:space="preserve"> (Philadelphia: Temple University Press, 1988), pp. 160–91.</w:t>
      </w:r>
    </w:p>
  </w:footnote>
  <w:footnote w:id="24">
    <w:p w14:paraId="603EE0A1" w14:textId="7AA4DCC0" w:rsidR="005006FE" w:rsidRDefault="005006FE">
      <w:pPr>
        <w:pStyle w:val="FootnoteText"/>
      </w:pPr>
      <w:r>
        <w:rPr>
          <w:rStyle w:val="FootnoteReference"/>
        </w:rPr>
        <w:footnoteRef/>
      </w:r>
      <w:r>
        <w:t xml:space="preserve"> </w:t>
      </w:r>
      <w:r w:rsidRPr="005006FE">
        <w:t xml:space="preserve">Cahen, ‘Against the Moral </w:t>
      </w:r>
      <w:proofErr w:type="spellStart"/>
      <w:r w:rsidRPr="005006FE">
        <w:t>Considerability</w:t>
      </w:r>
      <w:proofErr w:type="spellEnd"/>
      <w:r w:rsidRPr="005006FE">
        <w:t xml:space="preserve"> of Ecosystems’.</w:t>
      </w:r>
    </w:p>
  </w:footnote>
  <w:footnote w:id="25">
    <w:p w14:paraId="22058A41" w14:textId="75E77373" w:rsidR="00E1249D" w:rsidRDefault="00E1249D">
      <w:pPr>
        <w:pStyle w:val="FootnoteText"/>
      </w:pPr>
      <w:r>
        <w:rPr>
          <w:rStyle w:val="FootnoteReference"/>
        </w:rPr>
        <w:footnoteRef/>
      </w:r>
      <w:r>
        <w:t xml:space="preserve"> </w:t>
      </w:r>
      <w:r w:rsidRPr="00E1249D">
        <w:t xml:space="preserve">Lawrence E. Johnson, ‘Toward the Moral </w:t>
      </w:r>
      <w:proofErr w:type="spellStart"/>
      <w:r w:rsidRPr="00E1249D">
        <w:t>Considerability</w:t>
      </w:r>
      <w:proofErr w:type="spellEnd"/>
      <w:r w:rsidRPr="00E1249D">
        <w:t xml:space="preserve"> of Species and Ecosystems’, </w:t>
      </w:r>
      <w:r w:rsidRPr="00E1249D">
        <w:rPr>
          <w:i/>
          <w:iCs/>
        </w:rPr>
        <w:t>Environmental Ethics</w:t>
      </w:r>
      <w:r w:rsidRPr="00E1249D">
        <w:t>, 14.2 (1992), 145–57</w:t>
      </w:r>
    </w:p>
  </w:footnote>
  <w:footnote w:id="26">
    <w:p w14:paraId="75B23B9E" w14:textId="5F58E5CE" w:rsidR="00042580" w:rsidRDefault="00042580">
      <w:pPr>
        <w:pStyle w:val="FootnoteText"/>
      </w:pPr>
      <w:r>
        <w:rPr>
          <w:rStyle w:val="FootnoteReference"/>
        </w:rPr>
        <w:footnoteRef/>
      </w:r>
      <w:r>
        <w:t xml:space="preserve"> </w:t>
      </w:r>
      <w:r w:rsidRPr="00042580">
        <w:t xml:space="preserve">Roberta L. Millstein, ‘Is Aldo Leopold’s “Land Community” an Individual?’, in </w:t>
      </w:r>
      <w:r w:rsidRPr="00042580">
        <w:rPr>
          <w:i/>
          <w:iCs/>
        </w:rPr>
        <w:t>Individuation, Process, and Scientific Practices</w:t>
      </w:r>
      <w:r w:rsidRPr="00042580">
        <w:t>, ed. by Otávio Bueno, Ruey-Lin Chen and Melinda Bonnie Fagan (Oxford: Oxford University Press, 2018), pp. 279–302.</w:t>
      </w:r>
    </w:p>
  </w:footnote>
  <w:footnote w:id="27">
    <w:p w14:paraId="6C20F58A" w14:textId="0ACB25A3" w:rsidR="000A22E3" w:rsidRDefault="000A22E3">
      <w:pPr>
        <w:pStyle w:val="FootnoteText"/>
      </w:pPr>
      <w:r>
        <w:rPr>
          <w:rStyle w:val="FootnoteReference"/>
        </w:rPr>
        <w:footnoteRef/>
      </w:r>
      <w:r>
        <w:t xml:space="preserve"> </w:t>
      </w:r>
      <w:r w:rsidRPr="000A22E3">
        <w:t xml:space="preserve">Aldo Leopold, </w:t>
      </w:r>
      <w:r w:rsidRPr="000A22E3">
        <w:rPr>
          <w:i/>
          <w:iCs/>
        </w:rPr>
        <w:t>A Sand County Almanac and Sketches Here and There</w:t>
      </w:r>
      <w:r w:rsidRPr="000A22E3">
        <w:t xml:space="preserve"> (New York: Oxford University Press, 1949).</w:t>
      </w:r>
    </w:p>
  </w:footnote>
  <w:footnote w:id="28">
    <w:p w14:paraId="7D1F329A" w14:textId="03B507CC" w:rsidR="000A22E3" w:rsidRDefault="000A22E3">
      <w:pPr>
        <w:pStyle w:val="FootnoteText"/>
      </w:pPr>
      <w:r>
        <w:rPr>
          <w:rStyle w:val="FootnoteReference"/>
        </w:rPr>
        <w:footnoteRef/>
      </w:r>
      <w:r>
        <w:t xml:space="preserve"> </w:t>
      </w:r>
      <w:r w:rsidRPr="000A22E3">
        <w:t xml:space="preserve">J. Baird Callicott, </w:t>
      </w:r>
      <w:r w:rsidRPr="000A22E3">
        <w:rPr>
          <w:i/>
          <w:iCs/>
        </w:rPr>
        <w:t>Thinking Like a Planet: The Land Ethic and the Earth Ethic</w:t>
      </w:r>
      <w:r w:rsidRPr="000A22E3">
        <w:t xml:space="preserve"> (New York: Oxford University Press, 2014).</w:t>
      </w:r>
    </w:p>
  </w:footnote>
  <w:footnote w:id="29">
    <w:p w14:paraId="551CD59C" w14:textId="3DF96A72" w:rsidR="000A22E3" w:rsidRDefault="000A22E3">
      <w:pPr>
        <w:pStyle w:val="FootnoteText"/>
      </w:pPr>
      <w:r>
        <w:rPr>
          <w:rStyle w:val="FootnoteReference"/>
        </w:rPr>
        <w:footnoteRef/>
      </w:r>
      <w:r>
        <w:t xml:space="preserve"> </w:t>
      </w:r>
      <w:r w:rsidRPr="000A22E3">
        <w:t xml:space="preserve">Bron Taylor, Guillaume Chapron, Helen Kopnina, Ewa Orlikowska, Joe Gray and John J. Piccolo, ‘The Need for Ecocentrism in Biodiversity Conservation’, </w:t>
      </w:r>
      <w:r w:rsidRPr="000A22E3">
        <w:rPr>
          <w:i/>
          <w:iCs/>
        </w:rPr>
        <w:t>Conservation Biology</w:t>
      </w:r>
      <w:r w:rsidRPr="000A22E3">
        <w:t>, 34.5 (2020), 1089–96.</w:t>
      </w:r>
    </w:p>
  </w:footnote>
  <w:footnote w:id="30">
    <w:p w14:paraId="6A9E8E4D" w14:textId="7C41E6E6" w:rsidR="0033746E" w:rsidRDefault="0033746E">
      <w:pPr>
        <w:pStyle w:val="FootnoteText"/>
      </w:pPr>
      <w:r>
        <w:rPr>
          <w:rStyle w:val="FootnoteReference"/>
        </w:rPr>
        <w:footnoteRef/>
      </w:r>
      <w:r>
        <w:t xml:space="preserve"> </w:t>
      </w:r>
      <w:r w:rsidRPr="0033746E">
        <w:t xml:space="preserve">Baird Callicott, </w:t>
      </w:r>
      <w:r w:rsidRPr="0033746E">
        <w:rPr>
          <w:i/>
          <w:iCs/>
        </w:rPr>
        <w:t xml:space="preserve">In </w:t>
      </w:r>
      <w:r w:rsidR="00C274E6" w:rsidRPr="0033746E">
        <w:rPr>
          <w:i/>
          <w:iCs/>
        </w:rPr>
        <w:t>Defence</w:t>
      </w:r>
      <w:r w:rsidRPr="0033746E">
        <w:rPr>
          <w:i/>
          <w:iCs/>
        </w:rPr>
        <w:t xml:space="preserve"> of the Land Ethic: Essays in Environmental Philosophy</w:t>
      </w:r>
      <w:r w:rsidRPr="0033746E">
        <w:t xml:space="preserve"> (Albany: State University of New York Press, 1989);</w:t>
      </w:r>
    </w:p>
  </w:footnote>
  <w:footnote w:id="31">
    <w:p w14:paraId="30AA13BB" w14:textId="3DF6843C" w:rsidR="0033746E" w:rsidRDefault="0033746E">
      <w:pPr>
        <w:pStyle w:val="FootnoteText"/>
      </w:pPr>
      <w:r>
        <w:rPr>
          <w:rStyle w:val="FootnoteReference"/>
        </w:rPr>
        <w:footnoteRef/>
      </w:r>
      <w:r>
        <w:t xml:space="preserve"> </w:t>
      </w:r>
      <w:proofErr w:type="spellStart"/>
      <w:r w:rsidRPr="0033746E">
        <w:t>JCallicott</w:t>
      </w:r>
      <w:proofErr w:type="spellEnd"/>
      <w:r w:rsidRPr="0033746E">
        <w:t xml:space="preserve">, </w:t>
      </w:r>
      <w:r w:rsidRPr="0033746E">
        <w:rPr>
          <w:i/>
          <w:iCs/>
        </w:rPr>
        <w:t>Thinking Like a Planet</w:t>
      </w:r>
      <w:r w:rsidRPr="0033746E">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E0A31" w14:textId="6B249226" w:rsidR="00EB17C5" w:rsidRDefault="00EB17C5">
    <w:pPr>
      <w:pStyle w:val="Header"/>
    </w:pPr>
    <w:r>
      <w:t>Student Number: 2239264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425D9"/>
    <w:multiLevelType w:val="hybridMultilevel"/>
    <w:tmpl w:val="F0B02B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4087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7C5"/>
    <w:rsid w:val="00023281"/>
    <w:rsid w:val="00042580"/>
    <w:rsid w:val="00045EC6"/>
    <w:rsid w:val="00064299"/>
    <w:rsid w:val="000A2001"/>
    <w:rsid w:val="000A22E3"/>
    <w:rsid w:val="000B58D0"/>
    <w:rsid w:val="000D076E"/>
    <w:rsid w:val="00106513"/>
    <w:rsid w:val="00123913"/>
    <w:rsid w:val="00134D2E"/>
    <w:rsid w:val="00155C73"/>
    <w:rsid w:val="001A2BF6"/>
    <w:rsid w:val="001D06FB"/>
    <w:rsid w:val="001E1B5D"/>
    <w:rsid w:val="002075E6"/>
    <w:rsid w:val="00242AE7"/>
    <w:rsid w:val="002B6F15"/>
    <w:rsid w:val="002D4ACE"/>
    <w:rsid w:val="003114B5"/>
    <w:rsid w:val="00316127"/>
    <w:rsid w:val="0033746E"/>
    <w:rsid w:val="00363FCC"/>
    <w:rsid w:val="003A6E48"/>
    <w:rsid w:val="003E4E47"/>
    <w:rsid w:val="003F2AB7"/>
    <w:rsid w:val="00405720"/>
    <w:rsid w:val="00412878"/>
    <w:rsid w:val="004147C2"/>
    <w:rsid w:val="00431638"/>
    <w:rsid w:val="004A7261"/>
    <w:rsid w:val="005006FE"/>
    <w:rsid w:val="00510CF4"/>
    <w:rsid w:val="00524E59"/>
    <w:rsid w:val="0053425C"/>
    <w:rsid w:val="005558A9"/>
    <w:rsid w:val="00556CEC"/>
    <w:rsid w:val="005646B9"/>
    <w:rsid w:val="00600B52"/>
    <w:rsid w:val="006545F1"/>
    <w:rsid w:val="0066253A"/>
    <w:rsid w:val="00664AFD"/>
    <w:rsid w:val="006D4434"/>
    <w:rsid w:val="006D6583"/>
    <w:rsid w:val="006E4CCB"/>
    <w:rsid w:val="00715FDC"/>
    <w:rsid w:val="00743B05"/>
    <w:rsid w:val="00751E51"/>
    <w:rsid w:val="00772A99"/>
    <w:rsid w:val="00781E17"/>
    <w:rsid w:val="008464B4"/>
    <w:rsid w:val="008A1015"/>
    <w:rsid w:val="008A6E4F"/>
    <w:rsid w:val="008A7423"/>
    <w:rsid w:val="008F1EB1"/>
    <w:rsid w:val="0090172B"/>
    <w:rsid w:val="00926EA2"/>
    <w:rsid w:val="0093514A"/>
    <w:rsid w:val="009A36A6"/>
    <w:rsid w:val="00B57B34"/>
    <w:rsid w:val="00BA3D6C"/>
    <w:rsid w:val="00BD6E1C"/>
    <w:rsid w:val="00BE53A3"/>
    <w:rsid w:val="00BF4964"/>
    <w:rsid w:val="00C0516B"/>
    <w:rsid w:val="00C21C0D"/>
    <w:rsid w:val="00C274E6"/>
    <w:rsid w:val="00C92DD6"/>
    <w:rsid w:val="00CA3734"/>
    <w:rsid w:val="00CB18FC"/>
    <w:rsid w:val="00CC3F5E"/>
    <w:rsid w:val="00D50A41"/>
    <w:rsid w:val="00E1249D"/>
    <w:rsid w:val="00E130FE"/>
    <w:rsid w:val="00E15A55"/>
    <w:rsid w:val="00E20E5E"/>
    <w:rsid w:val="00E24362"/>
    <w:rsid w:val="00E37935"/>
    <w:rsid w:val="00EB17C5"/>
    <w:rsid w:val="00EB3F1C"/>
    <w:rsid w:val="00EE68E5"/>
    <w:rsid w:val="00F26F2F"/>
    <w:rsid w:val="00FB7D09"/>
    <w:rsid w:val="00FE3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9CED"/>
  <w15:chartTrackingRefBased/>
  <w15:docId w15:val="{0865A696-814F-42EF-88CD-AE333B777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7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17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7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7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7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7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7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17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7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7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7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7C5"/>
    <w:rPr>
      <w:rFonts w:eastAsiaTheme="majorEastAsia" w:cstheme="majorBidi"/>
      <w:color w:val="272727" w:themeColor="text1" w:themeTint="D8"/>
    </w:rPr>
  </w:style>
  <w:style w:type="paragraph" w:styleId="Title">
    <w:name w:val="Title"/>
    <w:basedOn w:val="Normal"/>
    <w:next w:val="Normal"/>
    <w:link w:val="TitleChar"/>
    <w:uiPriority w:val="10"/>
    <w:qFormat/>
    <w:rsid w:val="00EB17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7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7C5"/>
    <w:pPr>
      <w:spacing w:before="160"/>
      <w:jc w:val="center"/>
    </w:pPr>
    <w:rPr>
      <w:i/>
      <w:iCs/>
      <w:color w:val="404040" w:themeColor="text1" w:themeTint="BF"/>
    </w:rPr>
  </w:style>
  <w:style w:type="character" w:customStyle="1" w:styleId="QuoteChar">
    <w:name w:val="Quote Char"/>
    <w:basedOn w:val="DefaultParagraphFont"/>
    <w:link w:val="Quote"/>
    <w:uiPriority w:val="29"/>
    <w:rsid w:val="00EB17C5"/>
    <w:rPr>
      <w:i/>
      <w:iCs/>
      <w:color w:val="404040" w:themeColor="text1" w:themeTint="BF"/>
    </w:rPr>
  </w:style>
  <w:style w:type="paragraph" w:styleId="ListParagraph">
    <w:name w:val="List Paragraph"/>
    <w:basedOn w:val="Normal"/>
    <w:uiPriority w:val="34"/>
    <w:qFormat/>
    <w:rsid w:val="00EB17C5"/>
    <w:pPr>
      <w:ind w:left="720"/>
      <w:contextualSpacing/>
    </w:pPr>
  </w:style>
  <w:style w:type="character" w:styleId="IntenseEmphasis">
    <w:name w:val="Intense Emphasis"/>
    <w:basedOn w:val="DefaultParagraphFont"/>
    <w:uiPriority w:val="21"/>
    <w:qFormat/>
    <w:rsid w:val="00EB17C5"/>
    <w:rPr>
      <w:i/>
      <w:iCs/>
      <w:color w:val="0F4761" w:themeColor="accent1" w:themeShade="BF"/>
    </w:rPr>
  </w:style>
  <w:style w:type="paragraph" w:styleId="IntenseQuote">
    <w:name w:val="Intense Quote"/>
    <w:basedOn w:val="Normal"/>
    <w:next w:val="Normal"/>
    <w:link w:val="IntenseQuoteChar"/>
    <w:uiPriority w:val="30"/>
    <w:qFormat/>
    <w:rsid w:val="00EB17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7C5"/>
    <w:rPr>
      <w:i/>
      <w:iCs/>
      <w:color w:val="0F4761" w:themeColor="accent1" w:themeShade="BF"/>
    </w:rPr>
  </w:style>
  <w:style w:type="character" w:styleId="IntenseReference">
    <w:name w:val="Intense Reference"/>
    <w:basedOn w:val="DefaultParagraphFont"/>
    <w:uiPriority w:val="32"/>
    <w:qFormat/>
    <w:rsid w:val="00EB17C5"/>
    <w:rPr>
      <w:b/>
      <w:bCs/>
      <w:smallCaps/>
      <w:color w:val="0F4761" w:themeColor="accent1" w:themeShade="BF"/>
      <w:spacing w:val="5"/>
    </w:rPr>
  </w:style>
  <w:style w:type="paragraph" w:styleId="Header">
    <w:name w:val="header"/>
    <w:basedOn w:val="Normal"/>
    <w:link w:val="HeaderChar"/>
    <w:uiPriority w:val="99"/>
    <w:unhideWhenUsed/>
    <w:rsid w:val="00EB1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7C5"/>
  </w:style>
  <w:style w:type="paragraph" w:styleId="Footer">
    <w:name w:val="footer"/>
    <w:basedOn w:val="Normal"/>
    <w:link w:val="FooterChar"/>
    <w:uiPriority w:val="99"/>
    <w:unhideWhenUsed/>
    <w:rsid w:val="00EB1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7C5"/>
  </w:style>
  <w:style w:type="character" w:styleId="Hyperlink">
    <w:name w:val="Hyperlink"/>
    <w:basedOn w:val="DefaultParagraphFont"/>
    <w:uiPriority w:val="99"/>
    <w:unhideWhenUsed/>
    <w:rsid w:val="00EB17C5"/>
    <w:rPr>
      <w:color w:val="467886" w:themeColor="hyperlink"/>
      <w:u w:val="single"/>
    </w:rPr>
  </w:style>
  <w:style w:type="character" w:styleId="UnresolvedMention">
    <w:name w:val="Unresolved Mention"/>
    <w:basedOn w:val="DefaultParagraphFont"/>
    <w:uiPriority w:val="99"/>
    <w:semiHidden/>
    <w:unhideWhenUsed/>
    <w:rsid w:val="00EB17C5"/>
    <w:rPr>
      <w:color w:val="605E5C"/>
      <w:shd w:val="clear" w:color="auto" w:fill="E1DFDD"/>
    </w:rPr>
  </w:style>
  <w:style w:type="paragraph" w:styleId="EndnoteText">
    <w:name w:val="endnote text"/>
    <w:basedOn w:val="Normal"/>
    <w:link w:val="EndnoteTextChar"/>
    <w:uiPriority w:val="99"/>
    <w:semiHidden/>
    <w:unhideWhenUsed/>
    <w:rsid w:val="00E20E5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20E5E"/>
    <w:rPr>
      <w:sz w:val="20"/>
      <w:szCs w:val="20"/>
    </w:rPr>
  </w:style>
  <w:style w:type="character" w:styleId="EndnoteReference">
    <w:name w:val="endnote reference"/>
    <w:basedOn w:val="DefaultParagraphFont"/>
    <w:uiPriority w:val="99"/>
    <w:semiHidden/>
    <w:unhideWhenUsed/>
    <w:rsid w:val="00E20E5E"/>
    <w:rPr>
      <w:vertAlign w:val="superscript"/>
    </w:rPr>
  </w:style>
  <w:style w:type="paragraph" w:styleId="FootnoteText">
    <w:name w:val="footnote text"/>
    <w:basedOn w:val="Normal"/>
    <w:link w:val="FootnoteTextChar"/>
    <w:uiPriority w:val="99"/>
    <w:semiHidden/>
    <w:unhideWhenUsed/>
    <w:rsid w:val="00E20E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0E5E"/>
    <w:rPr>
      <w:sz w:val="20"/>
      <w:szCs w:val="20"/>
    </w:rPr>
  </w:style>
  <w:style w:type="character" w:styleId="FootnoteReference">
    <w:name w:val="footnote reference"/>
    <w:basedOn w:val="DefaultParagraphFont"/>
    <w:uiPriority w:val="99"/>
    <w:semiHidden/>
    <w:unhideWhenUsed/>
    <w:rsid w:val="00E20E5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C395C-74CD-49B5-AE1A-25B54971A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3662</TotalTime>
  <Pages>11</Pages>
  <Words>3714</Words>
  <Characters>21175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Abbie-Eve Valentine</dc:creator>
  <cp:keywords/>
  <dc:description/>
  <cp:lastModifiedBy>Abbie-Eve Valentine</cp:lastModifiedBy>
  <cp:revision>9</cp:revision>
  <dcterms:created xsi:type="dcterms:W3CDTF">2026-08-07T15:20:00Z</dcterms:created>
  <dcterms:modified xsi:type="dcterms:W3CDTF">2026-08-10T12:03:00Z</dcterms:modified>
</cp:coreProperties>
</file>