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auto"/>
          <w:sz w:val="24"/>
          <w:szCs w:val="28"/>
          <w:lang w:bidi="bn-BD"/>
        </w:rPr>
        <w:id w:val="-197402624"/>
        <w:docPartObj>
          <w:docPartGallery w:val="Table of Contents"/>
          <w:docPartUnique/>
        </w:docPartObj>
      </w:sdtPr>
      <w:sdtEndPr>
        <w:rPr>
          <w:rFonts w:asciiTheme="majorHAnsi" w:eastAsiaTheme="majorEastAsia" w:hAnsiTheme="majorHAnsi"/>
          <w:b/>
          <w:bCs/>
          <w:noProof/>
          <w:color w:val="2E74B5" w:themeColor="accent1" w:themeShade="BF"/>
          <w:sz w:val="32"/>
          <w:szCs w:val="32"/>
          <w:lang w:bidi="ar-SA"/>
        </w:rPr>
      </w:sdtEndPr>
      <w:sdtContent>
        <w:p w14:paraId="7731569C" w14:textId="77777777" w:rsidR="00A44578" w:rsidRPr="00593718" w:rsidRDefault="00A44578" w:rsidP="00727A3E">
          <w:pPr>
            <w:pStyle w:val="TOCHeading"/>
            <w:jc w:val="center"/>
            <w:rPr>
              <w:rFonts w:ascii="Times New Roman" w:hAnsi="Times New Roman" w:cs="Times New Roman"/>
              <w:b/>
              <w:bCs/>
              <w:color w:val="auto"/>
              <w:sz w:val="36"/>
              <w:szCs w:val="36"/>
            </w:rPr>
          </w:pPr>
          <w:r w:rsidRPr="00593718">
            <w:rPr>
              <w:rFonts w:ascii="Times New Roman" w:hAnsi="Times New Roman" w:cs="Times New Roman"/>
              <w:b/>
              <w:bCs/>
              <w:color w:val="auto"/>
              <w:sz w:val="36"/>
              <w:szCs w:val="36"/>
            </w:rPr>
            <w:t>LCBB6002</w:t>
          </w:r>
        </w:p>
        <w:p w14:paraId="3AD48F4A" w14:textId="77777777" w:rsidR="00A44578" w:rsidRPr="00593718" w:rsidRDefault="00A44578" w:rsidP="00A44578">
          <w:pPr>
            <w:jc w:val="center"/>
            <w:rPr>
              <w:rFonts w:cs="Times New Roman"/>
              <w:b/>
              <w:bCs/>
              <w:sz w:val="48"/>
              <w:szCs w:val="48"/>
              <w:lang w:bidi="ar-SA"/>
            </w:rPr>
          </w:pPr>
          <w:r w:rsidRPr="00593718">
            <w:rPr>
              <w:rFonts w:cs="Times New Roman"/>
              <w:b/>
              <w:bCs/>
              <w:sz w:val="48"/>
              <w:szCs w:val="48"/>
              <w:lang w:bidi="ar-SA"/>
            </w:rPr>
            <w:t>International Financial Management</w:t>
          </w:r>
        </w:p>
        <w:p w14:paraId="0789E406" w14:textId="77777777" w:rsidR="00A44578" w:rsidRPr="00593718" w:rsidRDefault="00A44578" w:rsidP="00A44578">
          <w:pPr>
            <w:jc w:val="center"/>
            <w:rPr>
              <w:rFonts w:cs="Times New Roman"/>
              <w:b/>
              <w:bCs/>
              <w:sz w:val="48"/>
              <w:szCs w:val="48"/>
              <w:lang w:bidi="ar-SA"/>
            </w:rPr>
          </w:pPr>
        </w:p>
        <w:p w14:paraId="615AC1E9" w14:textId="77777777" w:rsidR="0027051F" w:rsidRDefault="0027051F" w:rsidP="00A44578">
          <w:pPr>
            <w:jc w:val="left"/>
            <w:rPr>
              <w:rFonts w:cs="Times New Roman"/>
              <w:b/>
              <w:bCs/>
              <w:sz w:val="48"/>
              <w:szCs w:val="48"/>
              <w:lang w:bidi="ar-SA"/>
            </w:rPr>
          </w:pPr>
        </w:p>
        <w:p w14:paraId="6733BABD" w14:textId="2FE6B1B5" w:rsidR="0027051F" w:rsidRDefault="0027051F" w:rsidP="00A44578">
          <w:pPr>
            <w:jc w:val="left"/>
            <w:rPr>
              <w:rFonts w:cs="Times New Roman"/>
              <w:b/>
              <w:bCs/>
              <w:sz w:val="48"/>
              <w:szCs w:val="48"/>
              <w:lang w:bidi="ar-SA"/>
            </w:rPr>
          </w:pPr>
          <w:r>
            <w:rPr>
              <w:rFonts w:cs="Times New Roman"/>
              <w:b/>
              <w:bCs/>
              <w:sz w:val="48"/>
              <w:szCs w:val="48"/>
              <w:lang w:bidi="ar-SA"/>
            </w:rPr>
            <w:t xml:space="preserve">      Student name: Florin Ciobu</w:t>
          </w:r>
        </w:p>
        <w:p w14:paraId="601FECE9" w14:textId="1B4F9420" w:rsidR="0027051F" w:rsidRDefault="0027051F" w:rsidP="00A44578">
          <w:pPr>
            <w:jc w:val="left"/>
            <w:rPr>
              <w:rFonts w:cs="Times New Roman"/>
              <w:b/>
              <w:bCs/>
              <w:sz w:val="48"/>
              <w:szCs w:val="48"/>
              <w:lang w:bidi="ar-SA"/>
            </w:rPr>
          </w:pPr>
          <w:r>
            <w:rPr>
              <w:rFonts w:cs="Times New Roman"/>
              <w:b/>
              <w:bCs/>
              <w:sz w:val="48"/>
              <w:szCs w:val="48"/>
              <w:lang w:bidi="ar-SA"/>
            </w:rPr>
            <w:t xml:space="preserve">      Stu</w:t>
          </w:r>
          <w:r w:rsidR="00A3029E">
            <w:rPr>
              <w:rFonts w:cs="Times New Roman"/>
              <w:b/>
              <w:bCs/>
              <w:sz w:val="48"/>
              <w:szCs w:val="48"/>
              <w:lang w:bidi="ar-SA"/>
            </w:rPr>
            <w:t>dent number: 1913409</w:t>
          </w:r>
        </w:p>
        <w:p w14:paraId="23D5679B" w14:textId="3FCC2C45" w:rsidR="00FF2A33" w:rsidRPr="00593718" w:rsidRDefault="00FF2A33" w:rsidP="00A44578">
          <w:pPr>
            <w:jc w:val="left"/>
            <w:rPr>
              <w:rFonts w:cs="Times New Roman"/>
              <w:sz w:val="32"/>
              <w:szCs w:val="40"/>
              <w:lang w:bidi="ar-SA"/>
            </w:rPr>
          </w:pPr>
          <w:r>
            <w:rPr>
              <w:rFonts w:cs="Times New Roman"/>
              <w:b/>
              <w:bCs/>
              <w:sz w:val="48"/>
              <w:szCs w:val="48"/>
              <w:lang w:bidi="ar-SA"/>
            </w:rPr>
            <w:t xml:space="preserve">       Lecturer Name:  Hos</w:t>
          </w:r>
          <w:r w:rsidR="00EC0D16">
            <w:rPr>
              <w:rFonts w:cs="Times New Roman"/>
              <w:b/>
              <w:bCs/>
              <w:sz w:val="48"/>
              <w:szCs w:val="48"/>
              <w:lang w:bidi="ar-SA"/>
            </w:rPr>
            <w:t>sein Shokri</w:t>
          </w:r>
        </w:p>
        <w:p w14:paraId="20737707" w14:textId="77777777" w:rsidR="00A44578" w:rsidRPr="00593718" w:rsidRDefault="00A44578" w:rsidP="00727A3E">
          <w:pPr>
            <w:pStyle w:val="TOCHeading"/>
            <w:jc w:val="center"/>
            <w:rPr>
              <w:rFonts w:ascii="Times New Roman" w:hAnsi="Times New Roman" w:cs="Times New Roman"/>
            </w:rPr>
          </w:pPr>
        </w:p>
        <w:p w14:paraId="08AA0536" w14:textId="014EB5C2" w:rsidR="00A44578" w:rsidRDefault="00A44578" w:rsidP="00727A3E">
          <w:pPr>
            <w:pStyle w:val="TOCHeading"/>
            <w:jc w:val="center"/>
            <w:rPr>
              <w:rFonts w:ascii="Times New Roman" w:hAnsi="Times New Roman" w:cs="Times New Roman"/>
            </w:rPr>
          </w:pPr>
        </w:p>
        <w:p w14:paraId="7271F8FD" w14:textId="77777777" w:rsidR="00142D21" w:rsidRPr="00142D21" w:rsidRDefault="00142D21" w:rsidP="00142D21">
          <w:pPr>
            <w:rPr>
              <w:lang w:bidi="ar-SA"/>
            </w:rPr>
          </w:pPr>
        </w:p>
        <w:p w14:paraId="7D96AEE6" w14:textId="77777777" w:rsidR="00A44578" w:rsidRPr="00593718" w:rsidRDefault="00A44578" w:rsidP="00727A3E">
          <w:pPr>
            <w:pStyle w:val="TOCHeading"/>
            <w:jc w:val="center"/>
            <w:rPr>
              <w:rFonts w:ascii="Times New Roman" w:hAnsi="Times New Roman" w:cs="Times New Roman"/>
            </w:rPr>
          </w:pPr>
        </w:p>
        <w:p w14:paraId="18C095EF" w14:textId="6B79B8D1" w:rsidR="00A44578" w:rsidRDefault="00A44578" w:rsidP="00727A3E">
          <w:pPr>
            <w:pStyle w:val="TOCHeading"/>
            <w:jc w:val="center"/>
            <w:rPr>
              <w:rFonts w:ascii="Times New Roman" w:hAnsi="Times New Roman" w:cs="Times New Roman"/>
            </w:rPr>
          </w:pPr>
        </w:p>
        <w:p w14:paraId="163A0A5D" w14:textId="77777777" w:rsidR="006C797C" w:rsidRPr="006C797C" w:rsidRDefault="006C797C" w:rsidP="006C797C">
          <w:pPr>
            <w:rPr>
              <w:lang w:bidi="ar-SA"/>
            </w:rPr>
          </w:pPr>
        </w:p>
        <w:p w14:paraId="2F44A65A" w14:textId="77777777" w:rsidR="00A44578" w:rsidRPr="00593718" w:rsidRDefault="00A44578" w:rsidP="00727A3E">
          <w:pPr>
            <w:pStyle w:val="TOCHeading"/>
            <w:jc w:val="center"/>
            <w:rPr>
              <w:rFonts w:ascii="Times New Roman" w:hAnsi="Times New Roman" w:cs="Times New Roman"/>
            </w:rPr>
          </w:pPr>
        </w:p>
        <w:p w14:paraId="77AE8AD5" w14:textId="5CEB2E8B" w:rsidR="00A44578" w:rsidRDefault="006C797C" w:rsidP="006C797C">
          <w:pPr>
            <w:pStyle w:val="TOCHeading"/>
            <w:tabs>
              <w:tab w:val="left" w:pos="3890"/>
            </w:tabs>
            <w:jc w:val="both"/>
            <w:rPr>
              <w:rFonts w:ascii="Times New Roman" w:hAnsi="Times New Roman" w:cs="Times New Roman"/>
            </w:rPr>
          </w:pPr>
          <w:r>
            <w:rPr>
              <w:rFonts w:ascii="Times New Roman" w:hAnsi="Times New Roman" w:cs="Times New Roman"/>
            </w:rPr>
            <w:tab/>
          </w:r>
        </w:p>
        <w:p w14:paraId="1E1902BF" w14:textId="77777777" w:rsidR="009334C7" w:rsidRPr="009334C7" w:rsidRDefault="009334C7" w:rsidP="009334C7">
          <w:pPr>
            <w:rPr>
              <w:lang w:bidi="ar-SA"/>
            </w:rPr>
          </w:pPr>
        </w:p>
        <w:p w14:paraId="7E10F9CC" w14:textId="77777777" w:rsidR="00A44578" w:rsidRPr="00593718" w:rsidRDefault="00A44578" w:rsidP="00727A3E">
          <w:pPr>
            <w:pStyle w:val="TOCHeading"/>
            <w:jc w:val="center"/>
            <w:rPr>
              <w:rFonts w:ascii="Times New Roman" w:hAnsi="Times New Roman" w:cs="Times New Roman"/>
            </w:rPr>
          </w:pPr>
        </w:p>
        <w:p w14:paraId="6C4C0104" w14:textId="4637F276" w:rsidR="00A44578" w:rsidRDefault="009334C7" w:rsidP="00727A3E">
          <w:pPr>
            <w:pStyle w:val="TOCHeading"/>
            <w:jc w:val="center"/>
            <w:rPr>
              <w:rFonts w:ascii="Times New Roman" w:hAnsi="Times New Roman" w:cs="Times New Roman"/>
            </w:rPr>
          </w:pPr>
          <w:r>
            <w:rPr>
              <w:rFonts w:ascii="Times New Roman" w:hAnsi="Times New Roman" w:cs="Times New Roman"/>
            </w:rPr>
            <w:t>Contents</w:t>
          </w:r>
        </w:p>
        <w:p w14:paraId="7A6562AA" w14:textId="6B9ED7C2" w:rsidR="009334C7" w:rsidRDefault="00500673" w:rsidP="00AB00CC">
          <w:pPr>
            <w:pStyle w:val="ListParagraph"/>
            <w:numPr>
              <w:ilvl w:val="0"/>
              <w:numId w:val="5"/>
            </w:numPr>
            <w:rPr>
              <w:lang w:bidi="ar-SA"/>
            </w:rPr>
          </w:pPr>
          <w:r>
            <w:rPr>
              <w:lang w:bidi="ar-SA"/>
            </w:rPr>
            <w:t>Task Over</w:t>
          </w:r>
          <w:r w:rsidR="00AB00CC">
            <w:rPr>
              <w:lang w:bidi="ar-SA"/>
            </w:rPr>
            <w:t>view</w:t>
          </w:r>
        </w:p>
        <w:p w14:paraId="5FA5D062" w14:textId="7C94B060" w:rsidR="003B6C05" w:rsidRDefault="00AB00CC" w:rsidP="003B6C05">
          <w:pPr>
            <w:pStyle w:val="ListParagraph"/>
            <w:numPr>
              <w:ilvl w:val="0"/>
              <w:numId w:val="5"/>
            </w:numPr>
            <w:rPr>
              <w:lang w:bidi="ar-SA"/>
            </w:rPr>
          </w:pPr>
          <w:r>
            <w:rPr>
              <w:lang w:bidi="ar-SA"/>
            </w:rPr>
            <w:t>Evaluating Internationa</w:t>
          </w:r>
          <w:r w:rsidR="00BD1D6E">
            <w:rPr>
              <w:lang w:bidi="ar-SA"/>
            </w:rPr>
            <w:t xml:space="preserve">l Financial </w:t>
          </w:r>
          <w:r w:rsidR="003B6C05">
            <w:rPr>
              <w:lang w:bidi="ar-SA"/>
            </w:rPr>
            <w:t>Management Strategy: BHP</w:t>
          </w:r>
        </w:p>
        <w:p w14:paraId="68499BB4" w14:textId="61FBB13F" w:rsidR="00006231" w:rsidRDefault="00530DF4" w:rsidP="0043350F">
          <w:pPr>
            <w:pStyle w:val="ListParagraph"/>
            <w:numPr>
              <w:ilvl w:val="1"/>
              <w:numId w:val="5"/>
            </w:numPr>
            <w:rPr>
              <w:lang w:bidi="ar-SA"/>
            </w:rPr>
          </w:pPr>
          <w:r>
            <w:rPr>
              <w:lang w:bidi="ar-SA"/>
            </w:rPr>
            <w:t xml:space="preserve">Critical Evaluation of Dividend Distribution </w:t>
          </w:r>
          <w:r w:rsidR="0043350F">
            <w:rPr>
              <w:lang w:bidi="ar-SA"/>
            </w:rPr>
            <w:t>Policy</w:t>
          </w:r>
        </w:p>
        <w:p w14:paraId="27F7A182" w14:textId="13F39279" w:rsidR="0043350F" w:rsidRDefault="0043350F" w:rsidP="0043350F">
          <w:pPr>
            <w:pStyle w:val="ListParagraph"/>
            <w:numPr>
              <w:ilvl w:val="1"/>
              <w:numId w:val="5"/>
            </w:numPr>
            <w:rPr>
              <w:lang w:bidi="ar-SA"/>
            </w:rPr>
          </w:pPr>
          <w:r>
            <w:rPr>
              <w:lang w:bidi="ar-SA"/>
            </w:rPr>
            <w:t xml:space="preserve">Capital Budgeting </w:t>
          </w:r>
          <w:r w:rsidR="00851B8D">
            <w:rPr>
              <w:lang w:bidi="ar-SA"/>
            </w:rPr>
            <w:t>and Project Appraisals: BHP</w:t>
          </w:r>
        </w:p>
        <w:p w14:paraId="25851638" w14:textId="164FB33B" w:rsidR="0072797E" w:rsidRDefault="0072797E" w:rsidP="0072797E">
          <w:pPr>
            <w:rPr>
              <w:lang w:bidi="ar-SA"/>
            </w:rPr>
          </w:pPr>
          <w:r>
            <w:rPr>
              <w:lang w:bidi="ar-SA"/>
            </w:rPr>
            <w:t xml:space="preserve">3.0 Efficient </w:t>
          </w:r>
          <w:r w:rsidR="00555128">
            <w:rPr>
              <w:lang w:bidi="ar-SA"/>
            </w:rPr>
            <w:t>Market Strategy: BHP</w:t>
          </w:r>
        </w:p>
        <w:p w14:paraId="0C5C1347" w14:textId="00CDFF02" w:rsidR="00555128" w:rsidRDefault="00555128" w:rsidP="0072797E">
          <w:pPr>
            <w:rPr>
              <w:lang w:bidi="ar-SA"/>
            </w:rPr>
          </w:pPr>
          <w:r>
            <w:rPr>
              <w:lang w:bidi="ar-SA"/>
            </w:rPr>
            <w:t>4.0 Conclusi</w:t>
          </w:r>
          <w:r w:rsidR="00A7277D">
            <w:rPr>
              <w:lang w:bidi="ar-SA"/>
            </w:rPr>
            <w:t>ons</w:t>
          </w:r>
        </w:p>
        <w:p w14:paraId="53A8A0C1" w14:textId="7F05B19B" w:rsidR="00A7277D" w:rsidRPr="009334C7" w:rsidRDefault="00A7277D" w:rsidP="0072797E">
          <w:pPr>
            <w:rPr>
              <w:lang w:bidi="ar-SA"/>
            </w:rPr>
          </w:pPr>
          <w:r>
            <w:rPr>
              <w:lang w:bidi="ar-SA"/>
            </w:rPr>
            <w:t>5.0 Re</w:t>
          </w:r>
          <w:r w:rsidR="00715A2C">
            <w:rPr>
              <w:lang w:bidi="ar-SA"/>
            </w:rPr>
            <w:t>ferences</w:t>
          </w:r>
        </w:p>
        <w:p w14:paraId="3ACFE4AC" w14:textId="77777777" w:rsidR="00A44578" w:rsidRPr="00593718" w:rsidRDefault="00A44578" w:rsidP="00727A3E">
          <w:pPr>
            <w:pStyle w:val="TOCHeading"/>
            <w:jc w:val="center"/>
            <w:rPr>
              <w:rFonts w:ascii="Times New Roman" w:hAnsi="Times New Roman" w:cs="Times New Roman"/>
            </w:rPr>
          </w:pPr>
        </w:p>
        <w:p w14:paraId="54847BD1" w14:textId="77777777" w:rsidR="00A44578" w:rsidRPr="00593718" w:rsidRDefault="00A44578" w:rsidP="00727A3E">
          <w:pPr>
            <w:pStyle w:val="TOCHeading"/>
            <w:jc w:val="center"/>
            <w:rPr>
              <w:rFonts w:ascii="Times New Roman" w:hAnsi="Times New Roman" w:cs="Times New Roman"/>
            </w:rPr>
          </w:pPr>
        </w:p>
        <w:p w14:paraId="798ED8E3" w14:textId="77777777" w:rsidR="00A44578" w:rsidRPr="00593718" w:rsidRDefault="00A44578" w:rsidP="00A44578">
          <w:pPr>
            <w:pStyle w:val="TOCHeading"/>
            <w:rPr>
              <w:rFonts w:ascii="Times New Roman" w:hAnsi="Times New Roman" w:cs="Times New Roman"/>
            </w:rPr>
          </w:pPr>
        </w:p>
        <w:p w14:paraId="7823861B" w14:textId="77777777" w:rsidR="00A44578" w:rsidRPr="00593718" w:rsidRDefault="00A44578" w:rsidP="00A44578">
          <w:pPr>
            <w:rPr>
              <w:rFonts w:cs="Times New Roman"/>
              <w:lang w:bidi="ar-SA"/>
            </w:rPr>
          </w:pPr>
        </w:p>
        <w:p w14:paraId="1FDA8F3A" w14:textId="560256FD" w:rsidR="00727A3E" w:rsidRPr="00EC0D16" w:rsidRDefault="004077C7" w:rsidP="00122D87">
          <w:pPr>
            <w:pStyle w:val="TOCHeading"/>
            <w:rPr>
              <w:rFonts w:ascii="Times New Roman" w:hAnsi="Times New Roman" w:cs="Times New Roman"/>
              <w:b/>
              <w:bCs/>
              <w:color w:val="auto"/>
            </w:rPr>
          </w:pPr>
        </w:p>
      </w:sdtContent>
    </w:sdt>
    <w:p w14:paraId="1EB55BE5" w14:textId="77777777" w:rsidR="00A44578" w:rsidRPr="00593718" w:rsidRDefault="00A44578" w:rsidP="00AA608C">
      <w:pPr>
        <w:pStyle w:val="Heading1"/>
        <w:rPr>
          <w:rFonts w:cs="Times New Roman"/>
        </w:rPr>
      </w:pPr>
    </w:p>
    <w:p w14:paraId="2E932008" w14:textId="77777777" w:rsidR="00A44578" w:rsidRPr="00593718" w:rsidRDefault="00A44578" w:rsidP="00AA608C">
      <w:pPr>
        <w:pStyle w:val="Heading1"/>
        <w:rPr>
          <w:rFonts w:cs="Times New Roman"/>
        </w:rPr>
      </w:pPr>
    </w:p>
    <w:p w14:paraId="5D40A374" w14:textId="77777777" w:rsidR="00A44578" w:rsidRPr="00593718" w:rsidRDefault="00A44578" w:rsidP="00AA608C">
      <w:pPr>
        <w:pStyle w:val="Heading1"/>
        <w:rPr>
          <w:rFonts w:cs="Times New Roman"/>
        </w:rPr>
      </w:pPr>
    </w:p>
    <w:p w14:paraId="13CB7D19" w14:textId="77777777" w:rsidR="00A44578" w:rsidRPr="00593718" w:rsidRDefault="00A44578" w:rsidP="00AA608C">
      <w:pPr>
        <w:pStyle w:val="Heading1"/>
        <w:rPr>
          <w:rFonts w:cs="Times New Roman"/>
        </w:rPr>
      </w:pPr>
    </w:p>
    <w:p w14:paraId="008AE767" w14:textId="77777777" w:rsidR="00A44578" w:rsidRPr="00593718" w:rsidRDefault="00A44578" w:rsidP="00AA608C">
      <w:pPr>
        <w:pStyle w:val="Heading1"/>
        <w:rPr>
          <w:rFonts w:cs="Times New Roman"/>
        </w:rPr>
      </w:pPr>
    </w:p>
    <w:p w14:paraId="6BDBFA2F" w14:textId="77777777" w:rsidR="00A44578" w:rsidRPr="00593718" w:rsidRDefault="00A44578" w:rsidP="00AA608C">
      <w:pPr>
        <w:pStyle w:val="Heading1"/>
        <w:rPr>
          <w:rFonts w:cs="Times New Roman"/>
        </w:rPr>
      </w:pPr>
    </w:p>
    <w:p w14:paraId="7119DDE0" w14:textId="77777777" w:rsidR="00A44578" w:rsidRPr="00593718" w:rsidRDefault="00A44578" w:rsidP="00AA608C">
      <w:pPr>
        <w:pStyle w:val="Heading1"/>
        <w:rPr>
          <w:rFonts w:cs="Times New Roman"/>
        </w:rPr>
      </w:pPr>
    </w:p>
    <w:p w14:paraId="0861C90C" w14:textId="77777777" w:rsidR="00A44578" w:rsidRPr="00593718" w:rsidRDefault="00A44578" w:rsidP="00AA608C">
      <w:pPr>
        <w:pStyle w:val="Heading1"/>
        <w:rPr>
          <w:rFonts w:cs="Times New Roman"/>
        </w:rPr>
      </w:pPr>
    </w:p>
    <w:p w14:paraId="2A6A8FC7" w14:textId="77777777" w:rsidR="00A44578" w:rsidRPr="00593718" w:rsidRDefault="00A44578" w:rsidP="00A44578">
      <w:pPr>
        <w:rPr>
          <w:rFonts w:cs="Times New Roman"/>
        </w:rPr>
      </w:pPr>
    </w:p>
    <w:p w14:paraId="551A8488" w14:textId="77777777" w:rsidR="00A44578" w:rsidRPr="00593718" w:rsidRDefault="00A44578" w:rsidP="00A44578">
      <w:pPr>
        <w:rPr>
          <w:rFonts w:cs="Times New Roman"/>
        </w:rPr>
      </w:pPr>
    </w:p>
    <w:p w14:paraId="755B3AEE" w14:textId="77777777" w:rsidR="00A44578" w:rsidRPr="00593718" w:rsidRDefault="00A44578" w:rsidP="00A44578">
      <w:pPr>
        <w:rPr>
          <w:rFonts w:cs="Times New Roman"/>
        </w:rPr>
      </w:pPr>
    </w:p>
    <w:p w14:paraId="47F0C162" w14:textId="3F365902" w:rsidR="00AF0917" w:rsidRPr="00593718" w:rsidRDefault="00952D94" w:rsidP="00A44578">
      <w:pPr>
        <w:pStyle w:val="Heading1"/>
        <w:rPr>
          <w:rFonts w:cs="Times New Roman"/>
        </w:rPr>
      </w:pPr>
      <w:bookmarkStart w:id="0" w:name="_Toc100316807"/>
      <w:r w:rsidRPr="00593718">
        <w:rPr>
          <w:rFonts w:cs="Times New Roman"/>
        </w:rPr>
        <w:t xml:space="preserve">1.0 </w:t>
      </w:r>
      <w:r w:rsidR="008206BD">
        <w:rPr>
          <w:rFonts w:cs="Times New Roman"/>
        </w:rPr>
        <w:t>Task Overview</w:t>
      </w:r>
      <w:bookmarkEnd w:id="0"/>
    </w:p>
    <w:p w14:paraId="23016577" w14:textId="00CF5D6F" w:rsidR="008206BD" w:rsidRDefault="008206BD" w:rsidP="00727A3E">
      <w:pPr>
        <w:rPr>
          <w:rFonts w:cs="Times New Roman"/>
        </w:rPr>
      </w:pPr>
      <w:r>
        <w:rPr>
          <w:rFonts w:cs="Times New Roman"/>
        </w:rPr>
        <w:t xml:space="preserve">The business world perceives the MNCs as the global competitor running with the most versatile functions and product scope. Along with the large-scale revenue, the MNCs often compromise the high exit barrier due to high capital involvement and financial market anomalies. The global scale functional challenges are conveyed to their key financial strategies like; dividend distribution, capital budgeting and financing distinctively. Apart from operational uncertainties, the international market anomalies and macroeconomic uncertainties play </w:t>
      </w:r>
      <w:r w:rsidR="00337975">
        <w:rPr>
          <w:rFonts w:cs="Times New Roman"/>
        </w:rPr>
        <w:t>a</w:t>
      </w:r>
      <w:r>
        <w:rPr>
          <w:rFonts w:cs="Times New Roman"/>
        </w:rPr>
        <w:t xml:space="preserve"> significant role in shaping the short-run investments, long</w:t>
      </w:r>
      <w:r w:rsidR="00337975">
        <w:rPr>
          <w:rFonts w:cs="Times New Roman"/>
        </w:rPr>
        <w:t>-</w:t>
      </w:r>
      <w:r>
        <w:rPr>
          <w:rFonts w:cs="Times New Roman"/>
        </w:rPr>
        <w:t>run financing, project appraisals as well</w:t>
      </w:r>
      <w:r w:rsidR="00331634">
        <w:rPr>
          <w:rFonts w:cs="Times New Roman"/>
        </w:rPr>
        <w:t xml:space="preserve"> as stock market perception</w:t>
      </w:r>
      <w:r w:rsidR="00DC6015">
        <w:rPr>
          <w:rFonts w:cs="Times New Roman"/>
        </w:rPr>
        <w:t xml:space="preserve"> (Pilbeam, 2013)</w:t>
      </w:r>
      <w:r w:rsidR="00331634">
        <w:rPr>
          <w:rFonts w:cs="Times New Roman"/>
        </w:rPr>
        <w:t xml:space="preserve">. Thus, it is essential </w:t>
      </w:r>
      <w:r w:rsidR="00337975">
        <w:rPr>
          <w:rFonts w:cs="Times New Roman"/>
        </w:rPr>
        <w:t xml:space="preserve">to </w:t>
      </w:r>
      <w:r w:rsidR="00331634">
        <w:rPr>
          <w:rFonts w:cs="Times New Roman"/>
        </w:rPr>
        <w:t xml:space="preserve">deal for MNCs to enhance the strategic implications internationally to face the global market challenges with corporate strengths. For a mining MNC, </w:t>
      </w:r>
      <w:r w:rsidR="00331634">
        <w:rPr>
          <w:rFonts w:cs="Times New Roman"/>
        </w:rPr>
        <w:lastRenderedPageBreak/>
        <w:t xml:space="preserve">like BHP, the capital financing is more challenging for large scale investments, </w:t>
      </w:r>
      <w:r w:rsidR="00337975">
        <w:rPr>
          <w:rFonts w:cs="Times New Roman"/>
        </w:rPr>
        <w:t xml:space="preserve">and </w:t>
      </w:r>
      <w:r w:rsidR="00331634">
        <w:rPr>
          <w:rFonts w:cs="Times New Roman"/>
        </w:rPr>
        <w:t xml:space="preserve">so </w:t>
      </w:r>
      <w:r w:rsidR="00337975">
        <w:rPr>
          <w:rFonts w:cs="Times New Roman"/>
        </w:rPr>
        <w:t>i</w:t>
      </w:r>
      <w:r w:rsidR="00331634">
        <w:rPr>
          <w:rFonts w:cs="Times New Roman"/>
        </w:rPr>
        <w:t xml:space="preserve">s the dividend distribution, which would be the assessment concern of the author in this paper. </w:t>
      </w:r>
    </w:p>
    <w:p w14:paraId="4551FF34" w14:textId="23A90300" w:rsidR="008F084B" w:rsidRPr="00593718" w:rsidRDefault="00446E95" w:rsidP="005149AD">
      <w:pPr>
        <w:pStyle w:val="Heading1"/>
        <w:rPr>
          <w:rFonts w:cs="Times New Roman"/>
        </w:rPr>
      </w:pPr>
      <w:bookmarkStart w:id="1" w:name="_Toc100316808"/>
      <w:r w:rsidRPr="00593718">
        <w:rPr>
          <w:rFonts w:cs="Times New Roman"/>
        </w:rPr>
        <w:t>2</w:t>
      </w:r>
      <w:r w:rsidR="00C7445D" w:rsidRPr="00593718">
        <w:rPr>
          <w:rFonts w:cs="Times New Roman"/>
        </w:rPr>
        <w:t xml:space="preserve">.0 </w:t>
      </w:r>
      <w:r w:rsidR="00331634">
        <w:rPr>
          <w:rFonts w:cs="Times New Roman"/>
        </w:rPr>
        <w:t>Evaluating International Financial Management Strategy: BHP</w:t>
      </w:r>
      <w:bookmarkEnd w:id="1"/>
      <w:r w:rsidR="00331634">
        <w:rPr>
          <w:rFonts w:cs="Times New Roman"/>
        </w:rPr>
        <w:t xml:space="preserve">  </w:t>
      </w:r>
    </w:p>
    <w:p w14:paraId="5728CB46" w14:textId="34590D08" w:rsidR="00331634" w:rsidRDefault="00331634" w:rsidP="00331634">
      <w:pPr>
        <w:rPr>
          <w:rFonts w:cs="Times New Roman"/>
        </w:rPr>
      </w:pPr>
      <w:r>
        <w:rPr>
          <w:rFonts w:cs="Times New Roman"/>
        </w:rPr>
        <w:t xml:space="preserve">The international financial management framework broadly considers three key aspects, which would be aligned to the operational efficiency of BHP; </w:t>
      </w:r>
      <w:r w:rsidR="0057400D">
        <w:rPr>
          <w:rFonts w:cs="Times New Roman"/>
        </w:rPr>
        <w:t>financing</w:t>
      </w:r>
      <w:r>
        <w:rPr>
          <w:rFonts w:cs="Times New Roman"/>
        </w:rPr>
        <w:t xml:space="preserve">, investment appraisal and considerations in </w:t>
      </w:r>
      <w:r w:rsidR="00337975">
        <w:rPr>
          <w:rFonts w:cs="Times New Roman"/>
        </w:rPr>
        <w:t xml:space="preserve">the </w:t>
      </w:r>
      <w:r>
        <w:rPr>
          <w:rFonts w:cs="Times New Roman"/>
        </w:rPr>
        <w:t xml:space="preserve">market efficiency framework. </w:t>
      </w:r>
    </w:p>
    <w:p w14:paraId="46E035E5" w14:textId="578E00F4" w:rsidR="006E7A70" w:rsidRDefault="006E7A70" w:rsidP="006E7A70">
      <w:pPr>
        <w:jc w:val="center"/>
        <w:rPr>
          <w:rFonts w:cs="Times New Roman"/>
        </w:rPr>
      </w:pPr>
      <w:r>
        <w:rPr>
          <w:noProof/>
        </w:rPr>
        <w:drawing>
          <wp:inline distT="0" distB="0" distL="0" distR="0" wp14:anchorId="7DC77B43" wp14:editId="2217E5B4">
            <wp:extent cx="5467350" cy="3022899"/>
            <wp:effectExtent l="0" t="0" r="0" b="63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E400AB8" w14:textId="06FBBC1E" w:rsidR="00DC6015" w:rsidRDefault="00DC6015" w:rsidP="00DC6015">
      <w:pPr>
        <w:jc w:val="right"/>
        <w:rPr>
          <w:rFonts w:cs="Times New Roman"/>
        </w:rPr>
      </w:pPr>
      <w:r>
        <w:rPr>
          <w:rFonts w:cs="Times New Roman"/>
        </w:rPr>
        <w:t>(Korneev, 2020)</w:t>
      </w:r>
    </w:p>
    <w:p w14:paraId="1E60AB20" w14:textId="017C2C76" w:rsidR="00331634" w:rsidRPr="00331634" w:rsidRDefault="00331634" w:rsidP="00331634">
      <w:pPr>
        <w:pStyle w:val="Heading2"/>
      </w:pPr>
      <w:bookmarkStart w:id="2" w:name="_Toc100316809"/>
      <w:r>
        <w:t>2.1 Critical Evaluation of Dividend Distribution Policy</w:t>
      </w:r>
      <w:bookmarkEnd w:id="2"/>
    </w:p>
    <w:p w14:paraId="65F4C4AA" w14:textId="17119ACE" w:rsidR="0057400D" w:rsidRDefault="0057400D" w:rsidP="00490436">
      <w:pPr>
        <w:rPr>
          <w:rFonts w:cs="Times New Roman"/>
        </w:rPr>
      </w:pPr>
      <w:r>
        <w:rPr>
          <w:rFonts w:cs="Times New Roman"/>
        </w:rPr>
        <w:t xml:space="preserve">The dividend distribution policy of BHP entails a significant framework. </w:t>
      </w:r>
      <w:r w:rsidR="004B386A">
        <w:rPr>
          <w:rFonts w:cs="Times New Roman"/>
        </w:rPr>
        <w:t>The financing decision is quite significant for the large scale market participant, BHP. The dividend distribution is regarded as the leading proxy of financing decision</w:t>
      </w:r>
      <w:r w:rsidR="00337975">
        <w:rPr>
          <w:rFonts w:cs="Times New Roman"/>
        </w:rPr>
        <w:t>s</w:t>
      </w:r>
      <w:r w:rsidR="004B386A">
        <w:rPr>
          <w:rFonts w:cs="Times New Roman"/>
        </w:rPr>
        <w:t xml:space="preserve">, which has </w:t>
      </w:r>
      <w:r w:rsidR="00337975">
        <w:rPr>
          <w:rFonts w:cs="Times New Roman"/>
        </w:rPr>
        <w:t xml:space="preserve">a </w:t>
      </w:r>
      <w:r w:rsidR="004B386A">
        <w:rPr>
          <w:rFonts w:cs="Times New Roman"/>
        </w:rPr>
        <w:t>similar impact o</w:t>
      </w:r>
      <w:r w:rsidR="00337975">
        <w:rPr>
          <w:rFonts w:cs="Times New Roman"/>
        </w:rPr>
        <w:t>n</w:t>
      </w:r>
      <w:r w:rsidR="004B386A">
        <w:rPr>
          <w:rFonts w:cs="Times New Roman"/>
        </w:rPr>
        <w:t xml:space="preserve"> market performance as well as risk perception. </w:t>
      </w:r>
    </w:p>
    <w:p w14:paraId="3A800FF3" w14:textId="3F44CB3B" w:rsidR="004B386A" w:rsidRDefault="004B386A" w:rsidP="00490436">
      <w:pPr>
        <w:rPr>
          <w:rFonts w:cs="Times New Roman"/>
        </w:rPr>
      </w:pPr>
      <w:r w:rsidRPr="004B386A">
        <w:rPr>
          <w:rFonts w:cs="Times New Roman"/>
          <w:b/>
          <w:bCs/>
        </w:rPr>
        <w:t>Payout Ratio &amp; Retention</w:t>
      </w:r>
      <w:r>
        <w:rPr>
          <w:rFonts w:cs="Times New Roman"/>
        </w:rPr>
        <w:t>: If the MNC complies with a high payout, the indication states that it relies on external financing, thus incorporating more financial distress risk</w:t>
      </w:r>
      <w:r w:rsidR="00DC6015">
        <w:rPr>
          <w:rFonts w:cs="Times New Roman"/>
        </w:rPr>
        <w:t xml:space="preserve"> (Smart, 2017)</w:t>
      </w:r>
      <w:r>
        <w:rPr>
          <w:rFonts w:cs="Times New Roman"/>
        </w:rPr>
        <w:t>. A low payout (DP</w:t>
      </w:r>
      <w:r w:rsidR="00B11DB5">
        <w:rPr>
          <w:rFonts w:cs="Times New Roman"/>
        </w:rPr>
        <w:t xml:space="preserve">R) indicates a higher dependence on internal financing. On average, the dividend payout ratio is 50% for BHP. From early 2012 to 2021, BHP formulates the cash dividend distribution with a constant dividend framework. </w:t>
      </w:r>
    </w:p>
    <w:p w14:paraId="74723962" w14:textId="7A722EC9" w:rsidR="00B11DB5" w:rsidRDefault="00B11DB5" w:rsidP="00490436">
      <w:pPr>
        <w:rPr>
          <w:rFonts w:cs="Times New Roman"/>
        </w:rPr>
      </w:pPr>
      <w:r w:rsidRPr="00B11DB5">
        <w:rPr>
          <w:rFonts w:cs="Times New Roman"/>
          <w:b/>
          <w:bCs/>
        </w:rPr>
        <w:lastRenderedPageBreak/>
        <w:t>Dividend % Growth</w:t>
      </w:r>
      <w:r>
        <w:rPr>
          <w:rFonts w:cs="Times New Roman"/>
        </w:rPr>
        <w:t xml:space="preserve">: There is no subtle trend in </w:t>
      </w:r>
      <w:r w:rsidR="00337975">
        <w:rPr>
          <w:rFonts w:cs="Times New Roman"/>
        </w:rPr>
        <w:t xml:space="preserve">the </w:t>
      </w:r>
      <w:r>
        <w:rPr>
          <w:rFonts w:cs="Times New Roman"/>
        </w:rPr>
        <w:t xml:space="preserve">dividend growth of BHP. High EPS does not provide a high payout, which is evident in </w:t>
      </w:r>
      <w:r w:rsidR="00337975">
        <w:rPr>
          <w:rFonts w:cs="Times New Roman"/>
        </w:rPr>
        <w:t xml:space="preserve">the </w:t>
      </w:r>
      <w:r>
        <w:rPr>
          <w:rFonts w:cs="Times New Roman"/>
        </w:rPr>
        <w:t xml:space="preserve">early years until 2014. </w:t>
      </w:r>
      <w:r w:rsidR="00337975">
        <w:rPr>
          <w:rFonts w:cs="Times New Roman"/>
        </w:rPr>
        <w:t>Ano</w:t>
      </w:r>
      <w:r>
        <w:rPr>
          <w:rFonts w:cs="Times New Roman"/>
        </w:rPr>
        <w:t>ther hand, despite not having a high earning contribution, in 2015, BHP yielded the highest payout of 153%.</w:t>
      </w:r>
    </w:p>
    <w:p w14:paraId="438BE84E" w14:textId="3D038755" w:rsidR="006E7A70" w:rsidRDefault="006E7A70" w:rsidP="006E7A70">
      <w:pPr>
        <w:jc w:val="center"/>
        <w:rPr>
          <w:rFonts w:cs="Times New Roman"/>
        </w:rPr>
      </w:pPr>
      <w:r>
        <w:rPr>
          <w:noProof/>
        </w:rPr>
        <w:drawing>
          <wp:inline distT="0" distB="0" distL="0" distR="0" wp14:anchorId="4B6B944E" wp14:editId="28C753EA">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355D64" w14:textId="2289C487" w:rsidR="00DC6015" w:rsidRDefault="00DC6015" w:rsidP="00DC6015">
      <w:pPr>
        <w:jc w:val="right"/>
        <w:rPr>
          <w:rFonts w:cs="Times New Roman"/>
        </w:rPr>
      </w:pPr>
      <w:r>
        <w:rPr>
          <w:rFonts w:cs="Times New Roman"/>
        </w:rPr>
        <w:t>(Focus on Catalysts, 2020)</w:t>
      </w:r>
    </w:p>
    <w:p w14:paraId="28A272DB" w14:textId="1A453B66" w:rsidR="0087354B" w:rsidRPr="00593718" w:rsidRDefault="00B11DB5" w:rsidP="007652F0">
      <w:pPr>
        <w:rPr>
          <w:rFonts w:cs="Times New Roman"/>
        </w:rPr>
      </w:pPr>
      <w:r w:rsidRPr="00B11DB5">
        <w:rPr>
          <w:rFonts w:cs="Times New Roman"/>
          <w:b/>
          <w:bCs/>
        </w:rPr>
        <w:t>Dividend Financing</w:t>
      </w:r>
      <w:r>
        <w:rPr>
          <w:rFonts w:cs="Times New Roman"/>
        </w:rPr>
        <w:t xml:space="preserve">: The dividend growth and payout average provide crucial insights. In specific years, 2021, 2019 and 2018, there was the utmost payout growth, regardless </w:t>
      </w:r>
      <w:r w:rsidR="00337975">
        <w:rPr>
          <w:rFonts w:cs="Times New Roman"/>
        </w:rPr>
        <w:t xml:space="preserve">of </w:t>
      </w:r>
      <w:r>
        <w:rPr>
          <w:rFonts w:cs="Times New Roman"/>
        </w:rPr>
        <w:t xml:space="preserve">the earnings growth. This dividend distribution strategy was to increase the earning multiplier and market trading </w:t>
      </w:r>
      <w:r w:rsidR="00337975">
        <w:rPr>
          <w:rFonts w:cs="Times New Roman"/>
        </w:rPr>
        <w:t>o</w:t>
      </w:r>
      <w:r>
        <w:rPr>
          <w:rFonts w:cs="Times New Roman"/>
        </w:rPr>
        <w:t xml:space="preserve">n </w:t>
      </w:r>
      <w:r w:rsidR="00337975">
        <w:rPr>
          <w:rFonts w:cs="Times New Roman"/>
        </w:rPr>
        <w:t>a</w:t>
      </w:r>
      <w:r>
        <w:rPr>
          <w:rFonts w:cs="Times New Roman"/>
        </w:rPr>
        <w:t xml:space="preserve"> global scale to improve the enterprise value</w:t>
      </w:r>
      <w:r w:rsidR="00DC6015">
        <w:rPr>
          <w:rFonts w:cs="Times New Roman"/>
        </w:rPr>
        <w:t xml:space="preserve"> (Smart, 2017)</w:t>
      </w:r>
      <w:r>
        <w:rPr>
          <w:rFonts w:cs="Times New Roman"/>
        </w:rPr>
        <w:t xml:space="preserve">. But, the high payout caused the retention ratio to fall along with an increase in debt inclusion and cost of capital. </w:t>
      </w:r>
      <w:r w:rsidR="006E7A70">
        <w:rPr>
          <w:rFonts w:cs="Times New Roman"/>
        </w:rPr>
        <w:t>For BHP, the dividend distribution policy is taken as the crucial aspect for both risk</w:t>
      </w:r>
      <w:r w:rsidR="00337975">
        <w:rPr>
          <w:rFonts w:cs="Times New Roman"/>
        </w:rPr>
        <w:t>s</w:t>
      </w:r>
      <w:r w:rsidR="006E7A70">
        <w:rPr>
          <w:rFonts w:cs="Times New Roman"/>
        </w:rPr>
        <w:t xml:space="preserve"> and return</w:t>
      </w:r>
      <w:r w:rsidR="00337975">
        <w:rPr>
          <w:rFonts w:cs="Times New Roman"/>
        </w:rPr>
        <w:t>s</w:t>
      </w:r>
      <w:r w:rsidR="006E7A70">
        <w:rPr>
          <w:rFonts w:cs="Times New Roman"/>
        </w:rPr>
        <w:t xml:space="preserve"> along with stock market performance in the international market. </w:t>
      </w:r>
    </w:p>
    <w:p w14:paraId="79544E5B" w14:textId="6EB9AD26" w:rsidR="00446E95" w:rsidRDefault="00446E95" w:rsidP="00446E95">
      <w:pPr>
        <w:pStyle w:val="Heading2"/>
        <w:rPr>
          <w:rFonts w:cs="Times New Roman"/>
        </w:rPr>
      </w:pPr>
      <w:bookmarkStart w:id="3" w:name="_Toc100316810"/>
      <w:r w:rsidRPr="00593718">
        <w:rPr>
          <w:rFonts w:cs="Times New Roman"/>
        </w:rPr>
        <w:t xml:space="preserve">2.2 </w:t>
      </w:r>
      <w:r w:rsidR="00AB11DB">
        <w:rPr>
          <w:rFonts w:cs="Times New Roman"/>
        </w:rPr>
        <w:t>Capital Budgeting and Project Appraisals; BHP</w:t>
      </w:r>
      <w:bookmarkEnd w:id="3"/>
      <w:r w:rsidR="00AB11DB">
        <w:rPr>
          <w:rFonts w:cs="Times New Roman"/>
        </w:rPr>
        <w:t xml:space="preserve"> </w:t>
      </w:r>
    </w:p>
    <w:p w14:paraId="2DA4DD39" w14:textId="45B82728" w:rsidR="00493FD6" w:rsidRDefault="002F2970" w:rsidP="00493FD6">
      <w:r w:rsidRPr="002F2970">
        <w:rPr>
          <w:b/>
          <w:bCs/>
        </w:rPr>
        <w:t>Project Considerations:</w:t>
      </w:r>
      <w:r>
        <w:t xml:space="preserve"> </w:t>
      </w:r>
      <w:r w:rsidR="00493FD6">
        <w:t xml:space="preserve">The industry aspect plays a significant role in assessing the project appraisals of BHP. Due to having a broad capital requirement for mining functions, capital budgeting and investment appraisal are considered to be the most significant function of the MNC. BHP’s prevailing functions are for the advanced markets; the US, the UK, Canada, Malaysia as well as Australia entailing core mining products specializing </w:t>
      </w:r>
      <w:r w:rsidR="00337975">
        <w:t>in</w:t>
      </w:r>
      <w:r w:rsidR="00493FD6">
        <w:t xml:space="preserve"> copper, nickel and iron</w:t>
      </w:r>
      <w:r w:rsidR="00337975">
        <w:t xml:space="preserve"> </w:t>
      </w:r>
      <w:r w:rsidR="00493FD6">
        <w:t>ore</w:t>
      </w:r>
      <w:r w:rsidR="00DC6015">
        <w:t xml:space="preserve"> (Kondratyev, 2019)</w:t>
      </w:r>
      <w:r w:rsidR="00493FD6">
        <w:t>. For project appraisals, the considerations stand for:</w:t>
      </w:r>
    </w:p>
    <w:p w14:paraId="34DEB43C" w14:textId="2ED86FBD" w:rsidR="00493FD6" w:rsidRDefault="00493FD6" w:rsidP="00493FD6">
      <w:pPr>
        <w:pStyle w:val="ListParagraph"/>
        <w:numPr>
          <w:ilvl w:val="0"/>
          <w:numId w:val="4"/>
        </w:numPr>
      </w:pPr>
      <w:r>
        <w:lastRenderedPageBreak/>
        <w:t xml:space="preserve">Energy consumption in respective economies </w:t>
      </w:r>
      <w:r w:rsidR="00337975">
        <w:t>o</w:t>
      </w:r>
      <w:r>
        <w:t xml:space="preserve">n </w:t>
      </w:r>
      <w:r w:rsidR="00337975">
        <w:t xml:space="preserve">a </w:t>
      </w:r>
      <w:r>
        <w:t>global scale</w:t>
      </w:r>
      <w:r w:rsidR="002F2970">
        <w:t xml:space="preserve"> determines the cash flow</w:t>
      </w:r>
      <w:r>
        <w:t>.</w:t>
      </w:r>
    </w:p>
    <w:p w14:paraId="00FE99D9" w14:textId="286A28F0" w:rsidR="00493FD6" w:rsidRDefault="00493FD6" w:rsidP="00493FD6">
      <w:pPr>
        <w:pStyle w:val="ListParagraph"/>
        <w:numPr>
          <w:ilvl w:val="0"/>
          <w:numId w:val="4"/>
        </w:numPr>
      </w:pPr>
      <w:r>
        <w:t>Energy demand shifting trend in operative markets</w:t>
      </w:r>
      <w:r w:rsidR="002F2970">
        <w:t xml:space="preserve"> determines the revenue</w:t>
      </w:r>
      <w:r>
        <w:t>.</w:t>
      </w:r>
    </w:p>
    <w:p w14:paraId="1522FDDB" w14:textId="0BB13657" w:rsidR="00493FD6" w:rsidRDefault="00493FD6" w:rsidP="00493FD6">
      <w:pPr>
        <w:pStyle w:val="ListParagraph"/>
        <w:numPr>
          <w:ilvl w:val="0"/>
          <w:numId w:val="4"/>
        </w:numPr>
      </w:pPr>
      <w:r>
        <w:t>Industrialization growth</w:t>
      </w:r>
      <w:r w:rsidR="002F2970">
        <w:t xml:space="preserve"> defines the average cost of capital and business growth</w:t>
      </w:r>
      <w:r>
        <w:t>.</w:t>
      </w:r>
    </w:p>
    <w:p w14:paraId="3DE697F0" w14:textId="084CA12C" w:rsidR="002F2970" w:rsidRPr="00493FD6" w:rsidRDefault="002F2970" w:rsidP="002F2970">
      <w:r w:rsidRPr="002F2970">
        <w:rPr>
          <w:b/>
          <w:bCs/>
        </w:rPr>
        <w:t>Ongoing Projects &amp; Investments</w:t>
      </w:r>
      <w:r>
        <w:t xml:space="preserve">: Currently, </w:t>
      </w:r>
      <w:r w:rsidR="00337975">
        <w:t>in</w:t>
      </w:r>
      <w:r>
        <w:t xml:space="preserve"> </w:t>
      </w:r>
      <w:r w:rsidR="00337975">
        <w:t xml:space="preserve">the </w:t>
      </w:r>
      <w:r>
        <w:t xml:space="preserve">fiscal year 2020-2021, BHP schedules a large budget of 11626 million USD for the six specific projects. Here, the largest cash outlay is planned for </w:t>
      </w:r>
      <w:r w:rsidR="00337975">
        <w:t xml:space="preserve">the </w:t>
      </w:r>
      <w:r>
        <w:t xml:space="preserve">copper project </w:t>
      </w:r>
      <w:r w:rsidR="00337975">
        <w:t>in</w:t>
      </w:r>
      <w:r>
        <w:t xml:space="preserve"> Chile, iron ore projects and two specific petroleum projects. The capital schedule is targeted for </w:t>
      </w:r>
      <w:r w:rsidR="00CB52A8">
        <w:t xml:space="preserve">the leading product line. </w:t>
      </w:r>
    </w:p>
    <w:p w14:paraId="2EEEE124" w14:textId="1FB41DFD" w:rsidR="00AB11DB" w:rsidRDefault="002F2970" w:rsidP="002F2970">
      <w:pPr>
        <w:jc w:val="center"/>
      </w:pPr>
      <w:r>
        <w:rPr>
          <w:noProof/>
        </w:rPr>
        <w:drawing>
          <wp:inline distT="0" distB="0" distL="0" distR="0" wp14:anchorId="5BEF2BC8" wp14:editId="2A9B8FB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C310DB" w14:textId="597F5B5B" w:rsidR="00DC6015" w:rsidRPr="00AB11DB" w:rsidRDefault="00DC6015" w:rsidP="00DC6015">
      <w:pPr>
        <w:jc w:val="right"/>
      </w:pPr>
      <w:r>
        <w:t>(Focus on Catalysts, 2020)</w:t>
      </w:r>
    </w:p>
    <w:p w14:paraId="324EFBF6" w14:textId="453C054D" w:rsidR="00650F18" w:rsidRDefault="00CB52A8" w:rsidP="00650F18">
      <w:pPr>
        <w:rPr>
          <w:rFonts w:cs="Times New Roman"/>
        </w:rPr>
      </w:pPr>
      <w:r w:rsidRPr="00CB52A8">
        <w:rPr>
          <w:rFonts w:cs="Times New Roman"/>
          <w:b/>
          <w:bCs/>
        </w:rPr>
        <w:t>Project Appraisal</w:t>
      </w:r>
      <w:r>
        <w:rPr>
          <w:rFonts w:cs="Times New Roman"/>
        </w:rPr>
        <w:t xml:space="preserve">: The high cash outlay would lead </w:t>
      </w:r>
      <w:r w:rsidR="00337975">
        <w:rPr>
          <w:rFonts w:cs="Times New Roman"/>
        </w:rPr>
        <w:t xml:space="preserve">to </w:t>
      </w:r>
      <w:r>
        <w:rPr>
          <w:rFonts w:cs="Times New Roman"/>
        </w:rPr>
        <w:t xml:space="preserve">any of the following outcomes; negative cash flow, zero cash flow and positive cash flow. </w:t>
      </w:r>
      <w:r w:rsidR="00A672E0">
        <w:rPr>
          <w:rFonts w:cs="Times New Roman"/>
        </w:rPr>
        <w:t>The project appraisal considers three aspects; opportunity cost, cash flow and initial cash outflow. The project duration for BHP is quite lengthy and incorporates the global economic scope. That leads the entity to conduct the appraisal through multiple</w:t>
      </w:r>
      <w:r w:rsidR="00337975">
        <w:rPr>
          <w:rFonts w:cs="Times New Roman"/>
        </w:rPr>
        <w:t>-</w:t>
      </w:r>
      <w:r w:rsidR="00A672E0">
        <w:rPr>
          <w:rFonts w:cs="Times New Roman"/>
        </w:rPr>
        <w:t>step appraisal methods. For high</w:t>
      </w:r>
      <w:r w:rsidR="00337975">
        <w:rPr>
          <w:rFonts w:cs="Times New Roman"/>
        </w:rPr>
        <w:t>-</w:t>
      </w:r>
      <w:r w:rsidR="00A672E0">
        <w:rPr>
          <w:rFonts w:cs="Times New Roman"/>
        </w:rPr>
        <w:t xml:space="preserve">end markets (copper project </w:t>
      </w:r>
      <w:r w:rsidR="00337975">
        <w:rPr>
          <w:rFonts w:cs="Times New Roman"/>
        </w:rPr>
        <w:t>in</w:t>
      </w:r>
      <w:r w:rsidR="00A672E0">
        <w:rPr>
          <w:rFonts w:cs="Times New Roman"/>
        </w:rPr>
        <w:t xml:space="preserve"> Chile, petroleum project of Atlantic phase), the project appraisals are conducted through the </w:t>
      </w:r>
      <w:r w:rsidR="00A672E0" w:rsidRPr="00A672E0">
        <w:rPr>
          <w:rFonts w:cs="Times New Roman"/>
          <w:b/>
          <w:bCs/>
        </w:rPr>
        <w:t>pay-back period and NPV</w:t>
      </w:r>
      <w:r w:rsidR="00A672E0">
        <w:rPr>
          <w:rFonts w:cs="Times New Roman"/>
        </w:rPr>
        <w:t xml:space="preserve">. But, for large projects (South flank iron ore, Ruby petroleum project, and Jansen Potash project), the </w:t>
      </w:r>
      <w:r w:rsidR="00A672E0" w:rsidRPr="00A672E0">
        <w:rPr>
          <w:rFonts w:cs="Times New Roman"/>
          <w:b/>
          <w:bCs/>
        </w:rPr>
        <w:t>NPV method and IRR</w:t>
      </w:r>
      <w:r w:rsidR="001825FD">
        <w:rPr>
          <w:rFonts w:cs="Times New Roman"/>
        </w:rPr>
        <w:t xml:space="preserve"> are appraised. In the beginning, both high-end and large projects are appraised through </w:t>
      </w:r>
      <w:r w:rsidR="00337975">
        <w:rPr>
          <w:rFonts w:cs="Times New Roman"/>
        </w:rPr>
        <w:t xml:space="preserve">the </w:t>
      </w:r>
      <w:r w:rsidR="001825FD">
        <w:rPr>
          <w:rFonts w:cs="Times New Roman"/>
        </w:rPr>
        <w:t xml:space="preserve">NPV method. </w:t>
      </w:r>
      <w:r w:rsidR="005474A1">
        <w:rPr>
          <w:rFonts w:cs="Times New Roman"/>
        </w:rPr>
        <w:t>Here, the cash flow is forecasted as per the macroeconomic, industry-oriented and business considerations</w:t>
      </w:r>
      <w:r w:rsidR="00DC6015">
        <w:rPr>
          <w:rFonts w:cs="Times New Roman"/>
        </w:rPr>
        <w:t xml:space="preserve"> (Madura &amp; Schnusenberg, 2016)</w:t>
      </w:r>
      <w:r w:rsidR="005474A1">
        <w:rPr>
          <w:rFonts w:cs="Times New Roman"/>
        </w:rPr>
        <w:t xml:space="preserve">. </w:t>
      </w:r>
      <w:r w:rsidR="001825FD">
        <w:rPr>
          <w:rFonts w:cs="Times New Roman"/>
        </w:rPr>
        <w:t xml:space="preserve">If the NPV yields a positive value, the outcome is considered worthy for second step valuation. </w:t>
      </w:r>
      <w:r w:rsidR="005474A1">
        <w:rPr>
          <w:rFonts w:cs="Times New Roman"/>
        </w:rPr>
        <w:t xml:space="preserve">Specifically, each </w:t>
      </w:r>
      <w:r w:rsidR="005474A1">
        <w:rPr>
          <w:rFonts w:cs="Times New Roman"/>
        </w:rPr>
        <w:lastRenderedPageBreak/>
        <w:t xml:space="preserve">project is required to provide a value higher than the initial outlay. The copper project of Chile should convey </w:t>
      </w:r>
      <w:r w:rsidR="00337975">
        <w:rPr>
          <w:rFonts w:cs="Times New Roman"/>
        </w:rPr>
        <w:t>a</w:t>
      </w:r>
      <w:r w:rsidR="005474A1">
        <w:rPr>
          <w:rFonts w:cs="Times New Roman"/>
        </w:rPr>
        <w:t xml:space="preserve"> result higher than 2460 million USD. In the second step valuation, the large projects would be valued by </w:t>
      </w:r>
      <w:r w:rsidR="00337975">
        <w:rPr>
          <w:rFonts w:cs="Times New Roman"/>
        </w:rPr>
        <w:t xml:space="preserve">the </w:t>
      </w:r>
      <w:r w:rsidR="005474A1" w:rsidRPr="005474A1">
        <w:rPr>
          <w:rFonts w:cs="Times New Roman"/>
          <w:b/>
          <w:bCs/>
        </w:rPr>
        <w:t>IRR</w:t>
      </w:r>
      <w:r w:rsidR="005474A1">
        <w:rPr>
          <w:rFonts w:cs="Times New Roman"/>
        </w:rPr>
        <w:t xml:space="preserve"> method. </w:t>
      </w:r>
      <w:r w:rsidR="009E54CB">
        <w:rPr>
          <w:rFonts w:cs="Times New Roman"/>
        </w:rPr>
        <w:t xml:space="preserve">If the internal rate of return is above the cost of capital, after having a positive NPV, the project is accepted for further execution, as the large projects require high funding and more risk. </w:t>
      </w:r>
    </w:p>
    <w:p w14:paraId="101257BE" w14:textId="18DDC491" w:rsidR="00B47D33" w:rsidRPr="00593718" w:rsidRDefault="00D80670" w:rsidP="003F17C2">
      <w:pPr>
        <w:rPr>
          <w:rFonts w:cs="Times New Roman"/>
        </w:rPr>
      </w:pPr>
      <w:r>
        <w:rPr>
          <w:rFonts w:cs="Times New Roman"/>
        </w:rPr>
        <w:t>But, for the high</w:t>
      </w:r>
      <w:r w:rsidR="00337975">
        <w:rPr>
          <w:rFonts w:cs="Times New Roman"/>
        </w:rPr>
        <w:t>-</w:t>
      </w:r>
      <w:r>
        <w:rPr>
          <w:rFonts w:cs="Times New Roman"/>
        </w:rPr>
        <w:t xml:space="preserve">end market projects, for the second step </w:t>
      </w:r>
      <w:r w:rsidR="00337975">
        <w:rPr>
          <w:rFonts w:cs="Times New Roman"/>
        </w:rPr>
        <w:t xml:space="preserve">of </w:t>
      </w:r>
      <w:r>
        <w:rPr>
          <w:rFonts w:cs="Times New Roman"/>
        </w:rPr>
        <w:t xml:space="preserve">evaluation, the </w:t>
      </w:r>
      <w:r w:rsidRPr="00D80670">
        <w:rPr>
          <w:rFonts w:cs="Times New Roman"/>
          <w:b/>
          <w:bCs/>
        </w:rPr>
        <w:t>PBP (Pay-back period</w:t>
      </w:r>
      <w:r>
        <w:rPr>
          <w:rFonts w:cs="Times New Roman"/>
        </w:rPr>
        <w:t xml:space="preserve">) is regarded </w:t>
      </w:r>
      <w:r w:rsidR="00337975">
        <w:rPr>
          <w:rFonts w:cs="Times New Roman"/>
        </w:rPr>
        <w:t xml:space="preserve">as </w:t>
      </w:r>
      <w:r>
        <w:rPr>
          <w:rFonts w:cs="Times New Roman"/>
        </w:rPr>
        <w:t xml:space="preserve">crucial. </w:t>
      </w:r>
      <w:r w:rsidR="003F17C2">
        <w:rPr>
          <w:rFonts w:cs="Times New Roman"/>
        </w:rPr>
        <w:t>As the high</w:t>
      </w:r>
      <w:r w:rsidR="00337975">
        <w:rPr>
          <w:rFonts w:cs="Times New Roman"/>
        </w:rPr>
        <w:t>-</w:t>
      </w:r>
      <w:r w:rsidR="003F17C2">
        <w:rPr>
          <w:rFonts w:cs="Times New Roman"/>
        </w:rPr>
        <w:t xml:space="preserve">end market projects are subjected to rapid industrialization and </w:t>
      </w:r>
      <w:r w:rsidR="00337975">
        <w:rPr>
          <w:rFonts w:cs="Times New Roman"/>
        </w:rPr>
        <w:t xml:space="preserve">a </w:t>
      </w:r>
      <w:r w:rsidR="003F17C2">
        <w:rPr>
          <w:rFonts w:cs="Times New Roman"/>
        </w:rPr>
        <w:t xml:space="preserve">volatile economy, the higher the project completion period, the higher the risk. That introduces the necessity </w:t>
      </w:r>
      <w:r w:rsidR="00337975">
        <w:rPr>
          <w:rFonts w:cs="Times New Roman"/>
        </w:rPr>
        <w:t>for</w:t>
      </w:r>
      <w:r w:rsidR="003F17C2">
        <w:rPr>
          <w:rFonts w:cs="Times New Roman"/>
        </w:rPr>
        <w:t xml:space="preserve"> faster recovery. </w:t>
      </w:r>
      <w:r w:rsidR="003F17C2" w:rsidRPr="003F17C2">
        <w:rPr>
          <w:rFonts w:cs="Times New Roman"/>
          <w:b/>
          <w:bCs/>
        </w:rPr>
        <w:t>PBP</w:t>
      </w:r>
      <w:r w:rsidR="003F17C2">
        <w:rPr>
          <w:rFonts w:cs="Times New Roman"/>
        </w:rPr>
        <w:t xml:space="preserve"> evaluates, how fast the project functions would recover the initial outlay, the shorter the outlay, the more preferred the project in </w:t>
      </w:r>
      <w:r w:rsidR="00337975">
        <w:rPr>
          <w:rFonts w:cs="Times New Roman"/>
        </w:rPr>
        <w:t xml:space="preserve">the </w:t>
      </w:r>
      <w:r w:rsidR="003F17C2">
        <w:rPr>
          <w:rFonts w:cs="Times New Roman"/>
        </w:rPr>
        <w:t>high</w:t>
      </w:r>
      <w:r w:rsidR="00337975">
        <w:rPr>
          <w:rFonts w:cs="Times New Roman"/>
        </w:rPr>
        <w:t>-</w:t>
      </w:r>
      <w:r w:rsidR="003F17C2">
        <w:rPr>
          <w:rFonts w:cs="Times New Roman"/>
        </w:rPr>
        <w:t>end market</w:t>
      </w:r>
      <w:r w:rsidR="00DC6015">
        <w:rPr>
          <w:rFonts w:cs="Times New Roman"/>
        </w:rPr>
        <w:t xml:space="preserve"> (Pilbeam, 2013)</w:t>
      </w:r>
      <w:r w:rsidR="003F17C2">
        <w:rPr>
          <w:rFonts w:cs="Times New Roman"/>
        </w:rPr>
        <w:t>. Such high</w:t>
      </w:r>
      <w:r w:rsidR="00337975">
        <w:rPr>
          <w:rFonts w:cs="Times New Roman"/>
        </w:rPr>
        <w:t>-</w:t>
      </w:r>
      <w:r w:rsidR="003F17C2">
        <w:rPr>
          <w:rFonts w:cs="Times New Roman"/>
        </w:rPr>
        <w:t xml:space="preserve">end market projects require faster completion, as the return is subjected to more anomalies. </w:t>
      </w:r>
    </w:p>
    <w:p w14:paraId="6E2A10A3" w14:textId="77777777" w:rsidR="00AA1F13" w:rsidRDefault="00446E95" w:rsidP="005149AD">
      <w:pPr>
        <w:pStyle w:val="Heading1"/>
        <w:rPr>
          <w:rFonts w:cs="Times New Roman"/>
        </w:rPr>
      </w:pPr>
      <w:bookmarkStart w:id="4" w:name="_Toc100316811"/>
      <w:r w:rsidRPr="00593718">
        <w:rPr>
          <w:rFonts w:cs="Times New Roman"/>
        </w:rPr>
        <w:t>3</w:t>
      </w:r>
      <w:r w:rsidR="005149AD" w:rsidRPr="00593718">
        <w:rPr>
          <w:rFonts w:cs="Times New Roman"/>
        </w:rPr>
        <w:t xml:space="preserve">.0 </w:t>
      </w:r>
      <w:r w:rsidR="003F17C2">
        <w:rPr>
          <w:rFonts w:cs="Times New Roman"/>
        </w:rPr>
        <w:t>Efficient Market Strategy: BHP</w:t>
      </w:r>
      <w:bookmarkEnd w:id="4"/>
    </w:p>
    <w:p w14:paraId="5A11B6DB" w14:textId="483E73AF" w:rsidR="005149AD" w:rsidRPr="008F0F0E" w:rsidRDefault="00AA1F13" w:rsidP="00415A01">
      <w:r>
        <w:t>The global financial market assessment is a leading concern for BHP. Despite having a wider scope, there pr</w:t>
      </w:r>
      <w:r w:rsidR="00BE0202">
        <w:t xml:space="preserve">evail higher anomalies. Besides, for participating in divergent financial markets, there is a strategy gap for continual shifts in market efficiencies. Thus, for BHP, particularly, market framework depiction is beyond a necessity. </w:t>
      </w:r>
      <w:r w:rsidR="00AD1082">
        <w:t xml:space="preserve">The stock performance of BHP requires </w:t>
      </w:r>
      <w:r w:rsidR="00337975">
        <w:t xml:space="preserve">a </w:t>
      </w:r>
      <w:r w:rsidR="00AD1082">
        <w:t xml:space="preserve">fair valuation. The fair valuation diverges due to market inefficiencies across the functional areas. The stock market can range within three spheres of efficiencies; strong, semi-strong and weak. The domestic market Australia and Canada market render </w:t>
      </w:r>
      <w:r w:rsidR="00337975">
        <w:t>a</w:t>
      </w:r>
      <w:r w:rsidR="00AD1082">
        <w:t xml:space="preserve"> strong form of efficiency. But, Chile and the UK often behave in </w:t>
      </w:r>
      <w:r w:rsidR="00337975">
        <w:t xml:space="preserve">a </w:t>
      </w:r>
      <w:r w:rsidR="00AD1082">
        <w:t>weak form of efficiency.</w:t>
      </w:r>
      <w:r w:rsidR="00415A01">
        <w:t xml:space="preserve"> The leading functional span: the Australian, American and British stock markets are prominent concerns for BHP. Thus, the market efficiency in these markets would broadly impact the global market performance of BHP. </w:t>
      </w:r>
      <w:r w:rsidR="008F0F0E">
        <w:t>Both the UK and US strong market represents the past-record base stock performance and slow value growth for BHP</w:t>
      </w:r>
      <w:r w:rsidR="00DC6015">
        <w:t xml:space="preserve"> (Focus on Catalysts, 2020)</w:t>
      </w:r>
      <w:r w:rsidR="008F0F0E">
        <w:t>. But, the domestic market conveys a trend based stock market performance for BHP Plc. The past price reflection is the determiner of weak market efficiency, which prevents the performance growth of BHP in the American and British market</w:t>
      </w:r>
      <w:r w:rsidR="00337975">
        <w:t>s</w:t>
      </w:r>
      <w:r w:rsidR="008F0F0E">
        <w:t xml:space="preserve">. </w:t>
      </w:r>
    </w:p>
    <w:p w14:paraId="6588653F" w14:textId="77777777" w:rsidR="007857CD" w:rsidRPr="00593718" w:rsidRDefault="007857CD" w:rsidP="007857CD">
      <w:pPr>
        <w:jc w:val="center"/>
        <w:rPr>
          <w:rFonts w:cs="Times New Roman"/>
        </w:rPr>
      </w:pPr>
      <w:r w:rsidRPr="00593718">
        <w:rPr>
          <w:rFonts w:cs="Times New Roman"/>
          <w:noProof/>
        </w:rPr>
        <w:lastRenderedPageBreak/>
        <w:drawing>
          <wp:inline distT="0" distB="0" distL="0" distR="0" wp14:anchorId="2A756126" wp14:editId="20E5FE7B">
            <wp:extent cx="5849956" cy="2147570"/>
            <wp:effectExtent l="0" t="0" r="0"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6FDA0A" w14:textId="57EEDF19" w:rsidR="007857CD" w:rsidRDefault="00E34B2C" w:rsidP="00995B30">
      <w:pPr>
        <w:rPr>
          <w:rFonts w:cs="Times New Roman"/>
        </w:rPr>
      </w:pPr>
      <w:r w:rsidRPr="00E34B2C">
        <w:rPr>
          <w:rFonts w:cs="Times New Roman"/>
          <w:b/>
          <w:bCs/>
        </w:rPr>
        <w:t>High</w:t>
      </w:r>
      <w:r w:rsidR="00337975">
        <w:rPr>
          <w:rFonts w:cs="Times New Roman"/>
          <w:b/>
          <w:bCs/>
        </w:rPr>
        <w:t>-</w:t>
      </w:r>
      <w:r w:rsidRPr="00E34B2C">
        <w:rPr>
          <w:rFonts w:cs="Times New Roman"/>
          <w:b/>
          <w:bCs/>
        </w:rPr>
        <w:t>Risk Premium</w:t>
      </w:r>
      <w:r>
        <w:rPr>
          <w:rFonts w:cs="Times New Roman"/>
        </w:rPr>
        <w:t xml:space="preserve"> Challenge: </w:t>
      </w:r>
      <w:r w:rsidR="008F0F0E">
        <w:rPr>
          <w:rFonts w:cs="Times New Roman"/>
        </w:rPr>
        <w:t>Though there prevail m</w:t>
      </w:r>
      <w:r w:rsidR="00337975">
        <w:rPr>
          <w:rFonts w:cs="Times New Roman"/>
        </w:rPr>
        <w:t>any</w:t>
      </w:r>
      <w:r w:rsidR="008F0F0E">
        <w:rPr>
          <w:rFonts w:cs="Times New Roman"/>
        </w:rPr>
        <w:t xml:space="preserve"> inefficiencies, the </w:t>
      </w:r>
      <w:r w:rsidR="00195B13">
        <w:rPr>
          <w:rFonts w:cs="Times New Roman"/>
        </w:rPr>
        <w:t>stock markets move through both semi-strong and strong form</w:t>
      </w:r>
      <w:r w:rsidR="00337975">
        <w:rPr>
          <w:rFonts w:cs="Times New Roman"/>
        </w:rPr>
        <w:t>s</w:t>
      </w:r>
      <w:r w:rsidR="00195B13">
        <w:rPr>
          <w:rFonts w:cs="Times New Roman"/>
        </w:rPr>
        <w:t xml:space="preserve"> of efficiency. Thus, despite having a strong framework, the Australian market follows the random walk occasionally. </w:t>
      </w:r>
      <w:r w:rsidR="00337975">
        <w:rPr>
          <w:rFonts w:cs="Times New Roman"/>
        </w:rPr>
        <w:t>In t</w:t>
      </w:r>
      <w:r w:rsidR="00195B13">
        <w:rPr>
          <w:rFonts w:cs="Times New Roman"/>
        </w:rPr>
        <w:t xml:space="preserve">he large functional zones, Canadian and American markets most often behave in </w:t>
      </w:r>
      <w:r w:rsidR="00337975">
        <w:rPr>
          <w:rFonts w:cs="Times New Roman"/>
        </w:rPr>
        <w:t xml:space="preserve">a </w:t>
      </w:r>
      <w:r w:rsidR="00195B13">
        <w:rPr>
          <w:rFonts w:cs="Times New Roman"/>
        </w:rPr>
        <w:t xml:space="preserve">semi-strong to weak manner. Here, </w:t>
      </w:r>
      <w:r>
        <w:rPr>
          <w:rFonts w:cs="Times New Roman"/>
        </w:rPr>
        <w:t xml:space="preserve">BHP faces the challenge of </w:t>
      </w:r>
      <w:r w:rsidR="00337975">
        <w:rPr>
          <w:rFonts w:cs="Times New Roman"/>
        </w:rPr>
        <w:t xml:space="preserve">a </w:t>
      </w:r>
      <w:r>
        <w:rPr>
          <w:rFonts w:cs="Times New Roman"/>
        </w:rPr>
        <w:t xml:space="preserve">higher return premium for anomalies </w:t>
      </w:r>
      <w:r w:rsidR="00337975">
        <w:rPr>
          <w:rFonts w:cs="Times New Roman"/>
        </w:rPr>
        <w:t>that</w:t>
      </w:r>
      <w:r>
        <w:rPr>
          <w:rFonts w:cs="Times New Roman"/>
        </w:rPr>
        <w:t xml:space="preserve"> would impact the dividend strategy; the investors would require </w:t>
      </w:r>
      <w:r w:rsidR="00337975">
        <w:rPr>
          <w:rFonts w:cs="Times New Roman"/>
        </w:rPr>
        <w:t xml:space="preserve">a </w:t>
      </w:r>
      <w:r>
        <w:rPr>
          <w:rFonts w:cs="Times New Roman"/>
        </w:rPr>
        <w:t>high dividend, low retention and more external financing</w:t>
      </w:r>
      <w:r w:rsidR="00DC6015">
        <w:rPr>
          <w:rFonts w:cs="Times New Roman"/>
        </w:rPr>
        <w:t xml:space="preserve"> (Smart, 2017)</w:t>
      </w:r>
      <w:r>
        <w:rPr>
          <w:rFonts w:cs="Times New Roman"/>
        </w:rPr>
        <w:t xml:space="preserve">. </w:t>
      </w:r>
    </w:p>
    <w:p w14:paraId="52CF645B" w14:textId="09A75359" w:rsidR="00E34B2C" w:rsidRDefault="00E34B2C" w:rsidP="00995B30">
      <w:pPr>
        <w:rPr>
          <w:rFonts w:cs="Times New Roman"/>
        </w:rPr>
      </w:pPr>
      <w:r w:rsidRPr="00E34B2C">
        <w:rPr>
          <w:rFonts w:cs="Times New Roman"/>
          <w:b/>
          <w:bCs/>
        </w:rPr>
        <w:t>Project Downsize</w:t>
      </w:r>
      <w:r>
        <w:rPr>
          <w:rFonts w:cs="Times New Roman"/>
        </w:rPr>
        <w:t xml:space="preserve">: </w:t>
      </w:r>
      <w:r w:rsidR="0048053F">
        <w:rPr>
          <w:rFonts w:cs="Times New Roman"/>
        </w:rPr>
        <w:t xml:space="preserve">As the advanced market zones behave in </w:t>
      </w:r>
      <w:r w:rsidR="00337975">
        <w:rPr>
          <w:rFonts w:cs="Times New Roman"/>
        </w:rPr>
        <w:t xml:space="preserve">a </w:t>
      </w:r>
      <w:r w:rsidR="0048053F">
        <w:rPr>
          <w:rFonts w:cs="Times New Roman"/>
        </w:rPr>
        <w:t xml:space="preserve">strong to semi-strong manner, there would be </w:t>
      </w:r>
      <w:r w:rsidR="00337975">
        <w:rPr>
          <w:rFonts w:cs="Times New Roman"/>
        </w:rPr>
        <w:t xml:space="preserve">the </w:t>
      </w:r>
      <w:r w:rsidR="0048053F">
        <w:rPr>
          <w:rFonts w:cs="Times New Roman"/>
        </w:rPr>
        <w:t>market perception of high risk of the entity along with</w:t>
      </w:r>
      <w:r w:rsidR="00305166">
        <w:rPr>
          <w:rFonts w:cs="Times New Roman"/>
        </w:rPr>
        <w:t xml:space="preserve"> rapid absorptions of economic shocks. That may intend the stakeholders to bear a poor corporate perception, lack in investment demand and consequently deterioration in stock market performance due to heavy scale expansions of the projects. That often increase</w:t>
      </w:r>
      <w:r w:rsidR="00337975">
        <w:rPr>
          <w:rFonts w:cs="Times New Roman"/>
        </w:rPr>
        <w:t>s</w:t>
      </w:r>
      <w:r w:rsidR="00305166">
        <w:rPr>
          <w:rFonts w:cs="Times New Roman"/>
        </w:rPr>
        <w:t xml:space="preserve"> the risk of both failed projects and budget curtails. </w:t>
      </w:r>
    </w:p>
    <w:p w14:paraId="1899E8DE" w14:textId="5F512C0C" w:rsidR="00305166" w:rsidRPr="00593718" w:rsidRDefault="00305166" w:rsidP="00995B30">
      <w:pPr>
        <w:rPr>
          <w:rFonts w:cs="Times New Roman"/>
        </w:rPr>
      </w:pPr>
      <w:r w:rsidRPr="00305166">
        <w:rPr>
          <w:rFonts w:cs="Times New Roman"/>
          <w:b/>
          <w:bCs/>
        </w:rPr>
        <w:t>Broad Scale DPR Trend</w:t>
      </w:r>
      <w:r>
        <w:rPr>
          <w:rFonts w:cs="Times New Roman"/>
        </w:rPr>
        <w:t xml:space="preserve">: dividend is taken as different indications in different economies. In semi-strong and weak economies, </w:t>
      </w:r>
      <w:r w:rsidR="00337975">
        <w:rPr>
          <w:rFonts w:cs="Times New Roman"/>
        </w:rPr>
        <w:t>a</w:t>
      </w:r>
      <w:r>
        <w:rPr>
          <w:rFonts w:cs="Times New Roman"/>
        </w:rPr>
        <w:t xml:space="preserve"> high dividend is preferred, which lead</w:t>
      </w:r>
      <w:r w:rsidR="00337975">
        <w:rPr>
          <w:rFonts w:cs="Times New Roman"/>
        </w:rPr>
        <w:t>s</w:t>
      </w:r>
      <w:r>
        <w:rPr>
          <w:rFonts w:cs="Times New Roman"/>
        </w:rPr>
        <w:t xml:space="preserve"> the company to move for debt financing and high distress over projects. But, this would eventually flow to the strong market zones; Australia and Canada, where the low dividend policy is preferred. Thus, the high dividend performance in other economies would deter the corporate performance in strong markets and increase the default risk and reduce the enterprise value. But, moving for a low DPR-high retention policy would incur consequences of undervaluation in the global marketplace</w:t>
      </w:r>
      <w:r w:rsidR="00DC6015">
        <w:rPr>
          <w:rFonts w:cs="Times New Roman"/>
        </w:rPr>
        <w:t xml:space="preserve"> (Korneev, 2020)</w:t>
      </w:r>
      <w:r>
        <w:rPr>
          <w:rFonts w:cs="Times New Roman"/>
        </w:rPr>
        <w:t>. To be more precise, the UK, Canada and the Australian stock market</w:t>
      </w:r>
      <w:r w:rsidR="001C21C3">
        <w:rPr>
          <w:rFonts w:cs="Times New Roman"/>
        </w:rPr>
        <w:t xml:space="preserve">s incorporate the rapid information adaption, more market symmetry as well as sensitive stakeholders yielding a stock </w:t>
      </w:r>
      <w:r w:rsidR="001C21C3">
        <w:rPr>
          <w:rFonts w:cs="Times New Roman"/>
        </w:rPr>
        <w:lastRenderedPageBreak/>
        <w:t xml:space="preserve">market shock. Here, the market absorbs the project outlook and dividend strategy insights faster, which may build the ground for efficient performance valuation rather than sole dependence over random walks. </w:t>
      </w:r>
    </w:p>
    <w:p w14:paraId="7798C4D2" w14:textId="6E18C3EF" w:rsidR="00F00C66" w:rsidRDefault="00446E95" w:rsidP="00995B30">
      <w:pPr>
        <w:pStyle w:val="Heading1"/>
        <w:rPr>
          <w:rFonts w:cs="Times New Roman"/>
        </w:rPr>
      </w:pPr>
      <w:bookmarkStart w:id="5" w:name="_Toc100316812"/>
      <w:r w:rsidRPr="00593718">
        <w:rPr>
          <w:rFonts w:cs="Times New Roman"/>
        </w:rPr>
        <w:t>4</w:t>
      </w:r>
      <w:r w:rsidR="00F00C66" w:rsidRPr="00593718">
        <w:rPr>
          <w:rFonts w:cs="Times New Roman"/>
        </w:rPr>
        <w:t xml:space="preserve">.0 </w:t>
      </w:r>
      <w:r w:rsidR="001C21C3">
        <w:rPr>
          <w:rFonts w:cs="Times New Roman"/>
        </w:rPr>
        <w:t>Conclusions</w:t>
      </w:r>
      <w:bookmarkEnd w:id="5"/>
    </w:p>
    <w:p w14:paraId="60E93811" w14:textId="7B219265" w:rsidR="001C21C3" w:rsidRPr="001C21C3" w:rsidRDefault="001C21C3" w:rsidP="001C21C3">
      <w:r>
        <w:t xml:space="preserve">In </w:t>
      </w:r>
      <w:r w:rsidR="00337975">
        <w:t xml:space="preserve">the </w:t>
      </w:r>
      <w:r>
        <w:t>past decade, BHP has performed a smart strategy in formulating, shifting and adapting dividend policy with its investment and financing strategies. In 2021, lately, BHP has crossed the expansionary project completion in the macroeconomic turmoil of Covid-19. But, the issues ha</w:t>
      </w:r>
      <w:r w:rsidR="00337975">
        <w:t>ve</w:t>
      </w:r>
      <w:r>
        <w:t xml:space="preserve"> not ended as the ongoing projects are also scheduled </w:t>
      </w:r>
      <w:r w:rsidR="00337975">
        <w:t xml:space="preserve">for </w:t>
      </w:r>
      <w:r>
        <w:t xml:space="preserve">over 1 billion USD. For BHP, project appraisals are followed by higher cash flows and increased survival scope in </w:t>
      </w:r>
      <w:r w:rsidR="00337975">
        <w:t xml:space="preserve">the </w:t>
      </w:r>
      <w:r>
        <w:t xml:space="preserve">global market. Despite having a profitability fall, BHP goes for rising distribution and business expansions for facing the market challenges as well as continuing the stock performance trend. </w:t>
      </w:r>
    </w:p>
    <w:p w14:paraId="4440149A" w14:textId="77777777" w:rsidR="00EF5274" w:rsidRPr="00593718" w:rsidRDefault="00EF5274">
      <w:pPr>
        <w:spacing w:line="259" w:lineRule="auto"/>
        <w:jc w:val="left"/>
        <w:rPr>
          <w:rFonts w:eastAsiaTheme="majorEastAsia" w:cs="Times New Roman"/>
          <w:b/>
          <w:sz w:val="32"/>
          <w:szCs w:val="40"/>
        </w:rPr>
      </w:pPr>
      <w:r w:rsidRPr="00593718">
        <w:rPr>
          <w:rFonts w:cs="Times New Roman"/>
        </w:rPr>
        <w:br w:type="page"/>
      </w:r>
    </w:p>
    <w:p w14:paraId="7EC31AB1" w14:textId="142756F8" w:rsidR="00F00C66" w:rsidRPr="00593718" w:rsidRDefault="00446E95" w:rsidP="00727A3E">
      <w:pPr>
        <w:pStyle w:val="Heading1"/>
        <w:rPr>
          <w:rFonts w:cs="Times New Roman"/>
        </w:rPr>
      </w:pPr>
      <w:bookmarkStart w:id="6" w:name="_Toc100316813"/>
      <w:r w:rsidRPr="00593718">
        <w:rPr>
          <w:rFonts w:cs="Times New Roman"/>
        </w:rPr>
        <w:lastRenderedPageBreak/>
        <w:t>5</w:t>
      </w:r>
      <w:r w:rsidR="00F00C66" w:rsidRPr="00593718">
        <w:rPr>
          <w:rFonts w:cs="Times New Roman"/>
        </w:rPr>
        <w:t>.0 Referen</w:t>
      </w:r>
      <w:r w:rsidR="00727A3E" w:rsidRPr="00593718">
        <w:rPr>
          <w:rFonts w:cs="Times New Roman"/>
        </w:rPr>
        <w:t>ces</w:t>
      </w:r>
      <w:bookmarkEnd w:id="6"/>
    </w:p>
    <w:p w14:paraId="44175A3F" w14:textId="77777777" w:rsidR="00DC6015" w:rsidRPr="00DC6015" w:rsidRDefault="00DC6015" w:rsidP="00DC6015">
      <w:r w:rsidRPr="00DC6015">
        <w:rPr>
          <w:i/>
          <w:iCs/>
        </w:rPr>
        <w:t>Focus on Catalysts</w:t>
      </w:r>
      <w:r w:rsidRPr="00DC6015">
        <w:t>, 2020. BHP acquiring Norilsk's Australian nickel assets. 2020(11), p.5.</w:t>
      </w:r>
    </w:p>
    <w:p w14:paraId="4EEE038B" w14:textId="77777777" w:rsidR="00DC6015" w:rsidRPr="00DC6015" w:rsidRDefault="00DC6015" w:rsidP="00DC6015">
      <w:r w:rsidRPr="00DC6015">
        <w:t>Kondratyev, V., 2019. Global Mining Industry in 2018 and its Perspectives. </w:t>
      </w:r>
      <w:r w:rsidRPr="00DC6015">
        <w:rPr>
          <w:i/>
          <w:iCs/>
        </w:rPr>
        <w:t>Mining Industry Journal (</w:t>
      </w:r>
      <w:proofErr w:type="spellStart"/>
      <w:r w:rsidRPr="00DC6015">
        <w:rPr>
          <w:i/>
          <w:iCs/>
        </w:rPr>
        <w:t>Gornay</w:t>
      </w:r>
      <w:proofErr w:type="spellEnd"/>
      <w:r w:rsidRPr="00DC6015">
        <w:rPr>
          <w:i/>
          <w:iCs/>
        </w:rPr>
        <w:t xml:space="preserve"> </w:t>
      </w:r>
      <w:proofErr w:type="spellStart"/>
      <w:r w:rsidRPr="00DC6015">
        <w:rPr>
          <w:i/>
          <w:iCs/>
        </w:rPr>
        <w:t>Promishlennost</w:t>
      </w:r>
      <w:proofErr w:type="spellEnd"/>
      <w:r w:rsidRPr="00DC6015">
        <w:rPr>
          <w:i/>
          <w:iCs/>
        </w:rPr>
        <w:t>)</w:t>
      </w:r>
      <w:r w:rsidRPr="00DC6015">
        <w:t>, 143(1/2019), pp.14-22.</w:t>
      </w:r>
    </w:p>
    <w:p w14:paraId="1C0AD17A" w14:textId="77777777" w:rsidR="00DC6015" w:rsidRPr="00DC6015" w:rsidRDefault="00DC6015" w:rsidP="00DC6015">
      <w:r w:rsidRPr="00DC6015">
        <w:t>Korneev, S., 2020. BHP Billiton: assets optimization — scale quality or quality scale. </w:t>
      </w:r>
      <w:proofErr w:type="spellStart"/>
      <w:r w:rsidRPr="00DC6015">
        <w:rPr>
          <w:i/>
          <w:iCs/>
        </w:rPr>
        <w:t>Tsvetnye</w:t>
      </w:r>
      <w:proofErr w:type="spellEnd"/>
      <w:r w:rsidRPr="00DC6015">
        <w:rPr>
          <w:i/>
          <w:iCs/>
        </w:rPr>
        <w:t xml:space="preserve"> </w:t>
      </w:r>
      <w:proofErr w:type="spellStart"/>
      <w:r w:rsidRPr="00DC6015">
        <w:rPr>
          <w:i/>
          <w:iCs/>
        </w:rPr>
        <w:t>Metally</w:t>
      </w:r>
      <w:proofErr w:type="spellEnd"/>
      <w:r w:rsidRPr="00DC6015">
        <w:t>, pp.15-19.</w:t>
      </w:r>
    </w:p>
    <w:p w14:paraId="6612F0F6" w14:textId="77777777" w:rsidR="00DC6015" w:rsidRPr="00DC6015" w:rsidRDefault="00DC6015" w:rsidP="00DC6015">
      <w:r w:rsidRPr="00DC6015">
        <w:t>Madura, J. and Schnusenberg, O., 2016. </w:t>
      </w:r>
      <w:r w:rsidRPr="00DC6015">
        <w:rPr>
          <w:i/>
          <w:iCs/>
        </w:rPr>
        <w:t>International financial management</w:t>
      </w:r>
      <w:r w:rsidRPr="00DC6015">
        <w:t>. 7th ed. Mason, Ohio.: South Western.</w:t>
      </w:r>
    </w:p>
    <w:p w14:paraId="7FB2FDAE" w14:textId="77777777" w:rsidR="00DC6015" w:rsidRPr="00DC6015" w:rsidRDefault="00DC6015" w:rsidP="00DC6015">
      <w:r w:rsidRPr="00DC6015">
        <w:t>Pilbeam, K., 2013. </w:t>
      </w:r>
      <w:r w:rsidRPr="00DC6015">
        <w:rPr>
          <w:i/>
          <w:iCs/>
        </w:rPr>
        <w:t>International Finance</w:t>
      </w:r>
      <w:r w:rsidRPr="00DC6015">
        <w:t>. London: Palgrave Macmillan.</w:t>
      </w:r>
    </w:p>
    <w:p w14:paraId="10BB0722" w14:textId="77777777" w:rsidR="00DC6015" w:rsidRPr="00DC6015" w:rsidRDefault="00DC6015" w:rsidP="00DC6015">
      <w:r w:rsidRPr="00DC6015">
        <w:t>Smart, S., 2017. </w:t>
      </w:r>
      <w:r w:rsidRPr="00DC6015">
        <w:rPr>
          <w:i/>
          <w:iCs/>
        </w:rPr>
        <w:t>Corporate finance</w:t>
      </w:r>
      <w:r w:rsidRPr="00DC6015">
        <w:t>. [Place of publication not identified]: Cengage Learning.</w:t>
      </w:r>
    </w:p>
    <w:p w14:paraId="7FACFD11" w14:textId="77777777" w:rsidR="005149AD" w:rsidRPr="00593718" w:rsidRDefault="005149AD" w:rsidP="005149AD">
      <w:pPr>
        <w:rPr>
          <w:rFonts w:cs="Times New Roman"/>
        </w:rPr>
      </w:pPr>
    </w:p>
    <w:sectPr w:rsidR="005149AD" w:rsidRPr="00593718">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A395B" w14:textId="77777777" w:rsidR="006B7E30" w:rsidRDefault="006B7E30" w:rsidP="00A44578">
      <w:pPr>
        <w:spacing w:after="0" w:line="240" w:lineRule="auto"/>
      </w:pPr>
      <w:r>
        <w:separator/>
      </w:r>
    </w:p>
  </w:endnote>
  <w:endnote w:type="continuationSeparator" w:id="0">
    <w:p w14:paraId="45A62F2C" w14:textId="77777777" w:rsidR="006B7E30" w:rsidRDefault="006B7E30" w:rsidP="00A44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EE755" w14:textId="77777777" w:rsidR="00CB7EA9" w:rsidRDefault="00CB7E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36C0D" w14:textId="77777777" w:rsidR="00CB7EA9" w:rsidRDefault="00CB7E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F8EE4" w14:textId="77777777" w:rsidR="00CB7EA9" w:rsidRDefault="00CB7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89EF5" w14:textId="77777777" w:rsidR="006B7E30" w:rsidRDefault="006B7E30" w:rsidP="00A44578">
      <w:pPr>
        <w:spacing w:after="0" w:line="240" w:lineRule="auto"/>
      </w:pPr>
      <w:r>
        <w:separator/>
      </w:r>
    </w:p>
  </w:footnote>
  <w:footnote w:type="continuationSeparator" w:id="0">
    <w:p w14:paraId="3B857235" w14:textId="77777777" w:rsidR="006B7E30" w:rsidRDefault="006B7E30" w:rsidP="00A445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A3F2B" w14:textId="77777777" w:rsidR="00CB7EA9" w:rsidRDefault="00CB7E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EFE8F" w14:textId="77777777" w:rsidR="00CB7EA9" w:rsidRDefault="00CB7E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85DA" w14:textId="77777777" w:rsidR="00CB7EA9" w:rsidRDefault="00CB7E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51661"/>
    <w:multiLevelType w:val="hybridMultilevel"/>
    <w:tmpl w:val="78747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1E4AF6"/>
    <w:multiLevelType w:val="multilevel"/>
    <w:tmpl w:val="F2FC34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D9A4508"/>
    <w:multiLevelType w:val="hybridMultilevel"/>
    <w:tmpl w:val="132A8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B46977"/>
    <w:multiLevelType w:val="hybridMultilevel"/>
    <w:tmpl w:val="AC548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7476B4"/>
    <w:multiLevelType w:val="hybridMultilevel"/>
    <w:tmpl w:val="3F12E9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211489">
    <w:abstractNumId w:val="0"/>
  </w:num>
  <w:num w:numId="2" w16cid:durableId="1453208747">
    <w:abstractNumId w:val="2"/>
  </w:num>
  <w:num w:numId="3" w16cid:durableId="410465221">
    <w:abstractNumId w:val="4"/>
  </w:num>
  <w:num w:numId="4" w16cid:durableId="1223253281">
    <w:abstractNumId w:val="3"/>
  </w:num>
  <w:num w:numId="5" w16cid:durableId="1867710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0MLA0MLcwNDMxMLVU0lEKTi0uzszPAykwrAUApj7AkiwAAAA="/>
  </w:docVars>
  <w:rsids>
    <w:rsidRoot w:val="00AA608C"/>
    <w:rsid w:val="00006231"/>
    <w:rsid w:val="00060743"/>
    <w:rsid w:val="0009453B"/>
    <w:rsid w:val="000C019D"/>
    <w:rsid w:val="000C5599"/>
    <w:rsid w:val="00122D87"/>
    <w:rsid w:val="00132561"/>
    <w:rsid w:val="00142D21"/>
    <w:rsid w:val="001645D6"/>
    <w:rsid w:val="001808B3"/>
    <w:rsid w:val="001825FD"/>
    <w:rsid w:val="00195B13"/>
    <w:rsid w:val="001A7406"/>
    <w:rsid w:val="001C21C3"/>
    <w:rsid w:val="00217AC7"/>
    <w:rsid w:val="0027051F"/>
    <w:rsid w:val="002A5B21"/>
    <w:rsid w:val="002F2970"/>
    <w:rsid w:val="00305166"/>
    <w:rsid w:val="00331634"/>
    <w:rsid w:val="00337975"/>
    <w:rsid w:val="00366454"/>
    <w:rsid w:val="00377A19"/>
    <w:rsid w:val="003B6C05"/>
    <w:rsid w:val="003F17C2"/>
    <w:rsid w:val="004017B0"/>
    <w:rsid w:val="004077C7"/>
    <w:rsid w:val="00415A01"/>
    <w:rsid w:val="0043350F"/>
    <w:rsid w:val="00446E95"/>
    <w:rsid w:val="0048053F"/>
    <w:rsid w:val="00490436"/>
    <w:rsid w:val="00493FD6"/>
    <w:rsid w:val="004B0946"/>
    <w:rsid w:val="004B386A"/>
    <w:rsid w:val="004E2EB9"/>
    <w:rsid w:val="004E494C"/>
    <w:rsid w:val="00500673"/>
    <w:rsid w:val="00513CBC"/>
    <w:rsid w:val="005149AD"/>
    <w:rsid w:val="00530DF4"/>
    <w:rsid w:val="005416A3"/>
    <w:rsid w:val="005474A1"/>
    <w:rsid w:val="00555128"/>
    <w:rsid w:val="0057400D"/>
    <w:rsid w:val="00584654"/>
    <w:rsid w:val="00593718"/>
    <w:rsid w:val="005A6085"/>
    <w:rsid w:val="005D0845"/>
    <w:rsid w:val="00630910"/>
    <w:rsid w:val="00635C2D"/>
    <w:rsid w:val="00650F18"/>
    <w:rsid w:val="00685A56"/>
    <w:rsid w:val="006A22CE"/>
    <w:rsid w:val="006B7E30"/>
    <w:rsid w:val="006C1807"/>
    <w:rsid w:val="006C797C"/>
    <w:rsid w:val="006E7A70"/>
    <w:rsid w:val="00715A2C"/>
    <w:rsid w:val="0072797E"/>
    <w:rsid w:val="00727A3E"/>
    <w:rsid w:val="00733E25"/>
    <w:rsid w:val="007652F0"/>
    <w:rsid w:val="00772500"/>
    <w:rsid w:val="007857CD"/>
    <w:rsid w:val="007F4C81"/>
    <w:rsid w:val="008206BD"/>
    <w:rsid w:val="00822A9B"/>
    <w:rsid w:val="00851B8D"/>
    <w:rsid w:val="0087354B"/>
    <w:rsid w:val="008F084B"/>
    <w:rsid w:val="008F0F0E"/>
    <w:rsid w:val="00926A4C"/>
    <w:rsid w:val="009334C7"/>
    <w:rsid w:val="00952D94"/>
    <w:rsid w:val="009636D2"/>
    <w:rsid w:val="00995B30"/>
    <w:rsid w:val="009D6D8A"/>
    <w:rsid w:val="009E54CB"/>
    <w:rsid w:val="009E75B4"/>
    <w:rsid w:val="00A3029E"/>
    <w:rsid w:val="00A44578"/>
    <w:rsid w:val="00A672E0"/>
    <w:rsid w:val="00A7277D"/>
    <w:rsid w:val="00AA1F13"/>
    <w:rsid w:val="00AA608C"/>
    <w:rsid w:val="00AB00CC"/>
    <w:rsid w:val="00AB11DB"/>
    <w:rsid w:val="00AD1082"/>
    <w:rsid w:val="00AF6C2F"/>
    <w:rsid w:val="00B11DB5"/>
    <w:rsid w:val="00B31270"/>
    <w:rsid w:val="00B47D33"/>
    <w:rsid w:val="00B66158"/>
    <w:rsid w:val="00B712A9"/>
    <w:rsid w:val="00BD1D6E"/>
    <w:rsid w:val="00BE0202"/>
    <w:rsid w:val="00C7445D"/>
    <w:rsid w:val="00CA0318"/>
    <w:rsid w:val="00CA12B7"/>
    <w:rsid w:val="00CB52A8"/>
    <w:rsid w:val="00CB7EA9"/>
    <w:rsid w:val="00D12951"/>
    <w:rsid w:val="00D169BB"/>
    <w:rsid w:val="00D77DAE"/>
    <w:rsid w:val="00D80670"/>
    <w:rsid w:val="00D84785"/>
    <w:rsid w:val="00DC6015"/>
    <w:rsid w:val="00E34B2C"/>
    <w:rsid w:val="00E53C3E"/>
    <w:rsid w:val="00EC0D16"/>
    <w:rsid w:val="00EF5274"/>
    <w:rsid w:val="00F00C66"/>
    <w:rsid w:val="00F53DE2"/>
    <w:rsid w:val="00F74D2C"/>
    <w:rsid w:val="00F75E25"/>
    <w:rsid w:val="00FA5EEA"/>
    <w:rsid w:val="00FD4EDE"/>
    <w:rsid w:val="00FF2A33"/>
    <w:rsid w:val="00FF459F"/>
    <w:rsid w:val="00FF55B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CB59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A01"/>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CA12B7"/>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CA12B7"/>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2B7"/>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CA12B7"/>
    <w:rPr>
      <w:rFonts w:ascii="Times New Roman" w:eastAsiaTheme="majorEastAsia" w:hAnsi="Times New Roman" w:cstheme="majorBidi"/>
      <w:b/>
      <w:sz w:val="28"/>
      <w:szCs w:val="33"/>
    </w:rPr>
  </w:style>
  <w:style w:type="paragraph" w:styleId="TOCHeading">
    <w:name w:val="TOC Heading"/>
    <w:basedOn w:val="Heading1"/>
    <w:next w:val="Normal"/>
    <w:uiPriority w:val="39"/>
    <w:unhideWhenUsed/>
    <w:qFormat/>
    <w:rsid w:val="00727A3E"/>
    <w:pPr>
      <w:spacing w:line="259" w:lineRule="auto"/>
      <w:jc w:val="left"/>
      <w:outlineLvl w:val="9"/>
    </w:pPr>
    <w:rPr>
      <w:rFonts w:asciiTheme="majorHAnsi" w:hAnsiTheme="majorHAnsi"/>
      <w:b w:val="0"/>
      <w:color w:val="2E74B5" w:themeColor="accent1" w:themeShade="BF"/>
      <w:szCs w:val="32"/>
      <w:lang w:bidi="ar-SA"/>
    </w:rPr>
  </w:style>
  <w:style w:type="paragraph" w:styleId="TOC1">
    <w:name w:val="toc 1"/>
    <w:basedOn w:val="Normal"/>
    <w:next w:val="Normal"/>
    <w:autoRedefine/>
    <w:uiPriority w:val="39"/>
    <w:unhideWhenUsed/>
    <w:rsid w:val="00727A3E"/>
    <w:pPr>
      <w:spacing w:after="100"/>
    </w:pPr>
  </w:style>
  <w:style w:type="character" w:styleId="Hyperlink">
    <w:name w:val="Hyperlink"/>
    <w:basedOn w:val="DefaultParagraphFont"/>
    <w:uiPriority w:val="99"/>
    <w:unhideWhenUsed/>
    <w:rsid w:val="00727A3E"/>
    <w:rPr>
      <w:color w:val="0563C1" w:themeColor="hyperlink"/>
      <w:u w:val="single"/>
    </w:rPr>
  </w:style>
  <w:style w:type="table" w:styleId="TableGrid">
    <w:name w:val="Table Grid"/>
    <w:basedOn w:val="TableNormal"/>
    <w:uiPriority w:val="39"/>
    <w:rsid w:val="00873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453B"/>
    <w:pPr>
      <w:ind w:left="720"/>
      <w:contextualSpacing/>
    </w:pPr>
  </w:style>
  <w:style w:type="paragraph" w:styleId="TOC2">
    <w:name w:val="toc 2"/>
    <w:basedOn w:val="Normal"/>
    <w:next w:val="Normal"/>
    <w:autoRedefine/>
    <w:uiPriority w:val="39"/>
    <w:unhideWhenUsed/>
    <w:rsid w:val="00A44578"/>
    <w:pPr>
      <w:spacing w:after="100"/>
      <w:ind w:left="240"/>
    </w:pPr>
  </w:style>
  <w:style w:type="paragraph" w:styleId="Header">
    <w:name w:val="header"/>
    <w:basedOn w:val="Normal"/>
    <w:link w:val="HeaderChar"/>
    <w:uiPriority w:val="99"/>
    <w:unhideWhenUsed/>
    <w:rsid w:val="00A445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4578"/>
    <w:rPr>
      <w:rFonts w:ascii="Times New Roman" w:hAnsi="Times New Roman" w:cs="Vrinda"/>
      <w:sz w:val="24"/>
    </w:rPr>
  </w:style>
  <w:style w:type="paragraph" w:styleId="Footer">
    <w:name w:val="footer"/>
    <w:basedOn w:val="Normal"/>
    <w:link w:val="FooterChar"/>
    <w:uiPriority w:val="99"/>
    <w:unhideWhenUsed/>
    <w:rsid w:val="00A445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578"/>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214405">
      <w:bodyDiv w:val="1"/>
      <w:marLeft w:val="0"/>
      <w:marRight w:val="0"/>
      <w:marTop w:val="0"/>
      <w:marBottom w:val="0"/>
      <w:divBdr>
        <w:top w:val="none" w:sz="0" w:space="0" w:color="auto"/>
        <w:left w:val="none" w:sz="0" w:space="0" w:color="auto"/>
        <w:bottom w:val="none" w:sz="0" w:space="0" w:color="auto"/>
        <w:right w:val="none" w:sz="0" w:space="0" w:color="auto"/>
      </w:divBdr>
      <w:divsChild>
        <w:div w:id="61216210">
          <w:marLeft w:val="0"/>
          <w:marRight w:val="0"/>
          <w:marTop w:val="0"/>
          <w:marBottom w:val="0"/>
          <w:divBdr>
            <w:top w:val="none" w:sz="0" w:space="0" w:color="auto"/>
            <w:left w:val="none" w:sz="0" w:space="0" w:color="auto"/>
            <w:bottom w:val="none" w:sz="0" w:space="0" w:color="auto"/>
            <w:right w:val="none" w:sz="0" w:space="0" w:color="auto"/>
          </w:divBdr>
        </w:div>
      </w:divsChild>
    </w:div>
    <w:div w:id="1015572945">
      <w:bodyDiv w:val="1"/>
      <w:marLeft w:val="0"/>
      <w:marRight w:val="0"/>
      <w:marTop w:val="0"/>
      <w:marBottom w:val="0"/>
      <w:divBdr>
        <w:top w:val="none" w:sz="0" w:space="0" w:color="auto"/>
        <w:left w:val="none" w:sz="0" w:space="0" w:color="auto"/>
        <w:bottom w:val="none" w:sz="0" w:space="0" w:color="auto"/>
        <w:right w:val="none" w:sz="0" w:space="0" w:color="auto"/>
      </w:divBdr>
    </w:div>
    <w:div w:id="1023943064">
      <w:bodyDiv w:val="1"/>
      <w:marLeft w:val="0"/>
      <w:marRight w:val="0"/>
      <w:marTop w:val="0"/>
      <w:marBottom w:val="0"/>
      <w:divBdr>
        <w:top w:val="none" w:sz="0" w:space="0" w:color="auto"/>
        <w:left w:val="none" w:sz="0" w:space="0" w:color="auto"/>
        <w:bottom w:val="none" w:sz="0" w:space="0" w:color="auto"/>
        <w:right w:val="none" w:sz="0" w:space="0" w:color="auto"/>
      </w:divBdr>
      <w:divsChild>
        <w:div w:id="2094930006">
          <w:marLeft w:val="0"/>
          <w:marRight w:val="0"/>
          <w:marTop w:val="0"/>
          <w:marBottom w:val="0"/>
          <w:divBdr>
            <w:top w:val="none" w:sz="0" w:space="0" w:color="auto"/>
            <w:left w:val="none" w:sz="0" w:space="0" w:color="auto"/>
            <w:bottom w:val="none" w:sz="0" w:space="0" w:color="auto"/>
            <w:right w:val="none" w:sz="0" w:space="0" w:color="auto"/>
          </w:divBdr>
        </w:div>
      </w:divsChild>
    </w:div>
    <w:div w:id="1287354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Figure</a:t>
            </a:r>
            <a:r>
              <a:rPr lang="en-US" sz="1200" baseline="0">
                <a:latin typeface="Times New Roman" panose="02020603050405020304" pitchFamily="18" charset="0"/>
                <a:cs typeface="Times New Roman" panose="02020603050405020304" pitchFamily="18" charset="0"/>
              </a:rPr>
              <a:t> 1: Dividend policy of BHP</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stacked"/>
        <c:varyColors val="0"/>
        <c:ser>
          <c:idx val="0"/>
          <c:order val="0"/>
          <c:tx>
            <c:strRef>
              <c:f>Sheet2!$D$4</c:f>
              <c:strCache>
                <c:ptCount val="1"/>
                <c:pt idx="0">
                  <c:v>DPR</c:v>
                </c:pt>
              </c:strCache>
            </c:strRef>
          </c:tx>
          <c:spPr>
            <a:solidFill>
              <a:schemeClr val="accent1">
                <a:alpha val="70000"/>
              </a:schemeClr>
            </a:solidFill>
            <a:ln>
              <a:noFill/>
            </a:ln>
            <a:effectLst/>
          </c:spPr>
          <c:invertIfNegative val="0"/>
          <c:cat>
            <c:numRef>
              <c:f>Sheet2!$C$5:$C$14</c:f>
              <c:numCache>
                <c:formatCode>General</c:formatCode>
                <c:ptCount val="10"/>
                <c:pt idx="0">
                  <c:v>2021</c:v>
                </c:pt>
                <c:pt idx="1">
                  <c:v>2020</c:v>
                </c:pt>
                <c:pt idx="2">
                  <c:v>2019</c:v>
                </c:pt>
                <c:pt idx="3">
                  <c:v>2018</c:v>
                </c:pt>
                <c:pt idx="4">
                  <c:v>2017</c:v>
                </c:pt>
                <c:pt idx="5">
                  <c:v>2016</c:v>
                </c:pt>
                <c:pt idx="6">
                  <c:v>2015</c:v>
                </c:pt>
                <c:pt idx="7">
                  <c:v>2014</c:v>
                </c:pt>
                <c:pt idx="8">
                  <c:v>2013</c:v>
                </c:pt>
                <c:pt idx="9">
                  <c:v>2012</c:v>
                </c:pt>
              </c:numCache>
            </c:numRef>
          </c:cat>
          <c:val>
            <c:numRef>
              <c:f>Sheet2!$D$5:$D$14</c:f>
              <c:numCache>
                <c:formatCode>0%</c:formatCode>
                <c:ptCount val="10"/>
                <c:pt idx="0">
                  <c:v>0.65</c:v>
                </c:pt>
                <c:pt idx="1">
                  <c:v>0.39</c:v>
                </c:pt>
                <c:pt idx="2">
                  <c:v>0.87</c:v>
                </c:pt>
                <c:pt idx="3">
                  <c:v>0.85</c:v>
                </c:pt>
                <c:pt idx="4">
                  <c:v>0.4</c:v>
                </c:pt>
                <c:pt idx="5">
                  <c:v>-0.12</c:v>
                </c:pt>
                <c:pt idx="6">
                  <c:v>1.53</c:v>
                </c:pt>
                <c:pt idx="7">
                  <c:v>0.19</c:v>
                </c:pt>
                <c:pt idx="8">
                  <c:v>0.24</c:v>
                </c:pt>
                <c:pt idx="9">
                  <c:v>0.16</c:v>
                </c:pt>
              </c:numCache>
            </c:numRef>
          </c:val>
          <c:extLst>
            <c:ext xmlns:c16="http://schemas.microsoft.com/office/drawing/2014/chart" uri="{C3380CC4-5D6E-409C-BE32-E72D297353CC}">
              <c16:uniqueId val="{00000000-976B-45EF-A8C4-F1C93E35E0CD}"/>
            </c:ext>
          </c:extLst>
        </c:ser>
        <c:ser>
          <c:idx val="1"/>
          <c:order val="1"/>
          <c:tx>
            <c:strRef>
              <c:f>Sheet2!$E$4</c:f>
              <c:strCache>
                <c:ptCount val="1"/>
                <c:pt idx="0">
                  <c:v>b (retention ratio)</c:v>
                </c:pt>
              </c:strCache>
            </c:strRef>
          </c:tx>
          <c:spPr>
            <a:solidFill>
              <a:schemeClr val="accent2">
                <a:alpha val="70000"/>
              </a:schemeClr>
            </a:solidFill>
            <a:ln>
              <a:noFill/>
            </a:ln>
            <a:effectLst/>
          </c:spPr>
          <c:invertIfNegative val="0"/>
          <c:cat>
            <c:numRef>
              <c:f>Sheet2!$C$5:$C$14</c:f>
              <c:numCache>
                <c:formatCode>General</c:formatCode>
                <c:ptCount val="10"/>
                <c:pt idx="0">
                  <c:v>2021</c:v>
                </c:pt>
                <c:pt idx="1">
                  <c:v>2020</c:v>
                </c:pt>
                <c:pt idx="2">
                  <c:v>2019</c:v>
                </c:pt>
                <c:pt idx="3">
                  <c:v>2018</c:v>
                </c:pt>
                <c:pt idx="4">
                  <c:v>2017</c:v>
                </c:pt>
                <c:pt idx="5">
                  <c:v>2016</c:v>
                </c:pt>
                <c:pt idx="6">
                  <c:v>2015</c:v>
                </c:pt>
                <c:pt idx="7">
                  <c:v>2014</c:v>
                </c:pt>
                <c:pt idx="8">
                  <c:v>2013</c:v>
                </c:pt>
                <c:pt idx="9">
                  <c:v>2012</c:v>
                </c:pt>
              </c:numCache>
            </c:numRef>
          </c:cat>
          <c:val>
            <c:numRef>
              <c:f>Sheet2!$E$5:$E$14</c:f>
              <c:numCache>
                <c:formatCode>0%</c:formatCode>
                <c:ptCount val="10"/>
                <c:pt idx="0">
                  <c:v>0.34689999999999999</c:v>
                </c:pt>
                <c:pt idx="1">
                  <c:v>0.60970000000000002</c:v>
                </c:pt>
                <c:pt idx="2">
                  <c:v>0.13200000000000001</c:v>
                </c:pt>
                <c:pt idx="3">
                  <c:v>0.1467</c:v>
                </c:pt>
                <c:pt idx="4">
                  <c:v>0.60270000000000001</c:v>
                </c:pt>
                <c:pt idx="5">
                  <c:v>1.121</c:v>
                </c:pt>
                <c:pt idx="6">
                  <c:v>-0.53110000000000002</c:v>
                </c:pt>
                <c:pt idx="7">
                  <c:v>0.81059999999999999</c:v>
                </c:pt>
                <c:pt idx="8">
                  <c:v>0.7581</c:v>
                </c:pt>
                <c:pt idx="9">
                  <c:v>0.83730000000000004</c:v>
                </c:pt>
              </c:numCache>
            </c:numRef>
          </c:val>
          <c:extLst>
            <c:ext xmlns:c16="http://schemas.microsoft.com/office/drawing/2014/chart" uri="{C3380CC4-5D6E-409C-BE32-E72D297353CC}">
              <c16:uniqueId val="{00000001-976B-45EF-A8C4-F1C93E35E0CD}"/>
            </c:ext>
          </c:extLst>
        </c:ser>
        <c:dLbls>
          <c:showLegendKey val="0"/>
          <c:showVal val="0"/>
          <c:showCatName val="0"/>
          <c:showSerName val="0"/>
          <c:showPercent val="0"/>
          <c:showBubbleSize val="0"/>
        </c:dLbls>
        <c:gapWidth val="50"/>
        <c:overlap val="100"/>
        <c:axId val="977462800"/>
        <c:axId val="977461168"/>
      </c:barChart>
      <c:catAx>
        <c:axId val="977462800"/>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461168"/>
        <c:crosses val="autoZero"/>
        <c:auto val="1"/>
        <c:lblAlgn val="ctr"/>
        <c:lblOffset val="100"/>
        <c:noMultiLvlLbl val="0"/>
      </c:catAx>
      <c:valAx>
        <c:axId val="977461168"/>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77462800"/>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none" spc="50" normalizeH="0" baseline="0">
                <a:solidFill>
                  <a:sysClr val="windowText" lastClr="000000"/>
                </a:solidFill>
                <a:latin typeface="Times New Roman" panose="02020603050405020304" pitchFamily="18" charset="0"/>
                <a:ea typeface="+mj-ea"/>
                <a:cs typeface="Times New Roman" panose="02020603050405020304" pitchFamily="18" charset="0"/>
              </a:defRPr>
            </a:pPr>
            <a:r>
              <a:rPr lang="en-US" sz="1200">
                <a:solidFill>
                  <a:sysClr val="windowText" lastClr="000000"/>
                </a:solidFill>
                <a:latin typeface="Times New Roman" panose="02020603050405020304" pitchFamily="18" charset="0"/>
                <a:cs typeface="Times New Roman" panose="02020603050405020304" pitchFamily="18" charset="0"/>
              </a:rPr>
              <a:t>Figure 2: DPS and EPS Trend-BHP</a:t>
            </a:r>
          </a:p>
        </c:rich>
      </c:tx>
      <c:overlay val="0"/>
      <c:spPr>
        <a:noFill/>
        <a:ln>
          <a:noFill/>
        </a:ln>
        <a:effectLst/>
      </c:spPr>
      <c:txPr>
        <a:bodyPr rot="0" spcFirstLastPara="1" vertOverflow="ellipsis" vert="horz" wrap="square" anchor="ctr" anchorCtr="1"/>
        <a:lstStyle/>
        <a:p>
          <a:pPr>
            <a:defRPr sz="1200" b="0" i="0" u="none" strike="noStrike" kern="1200" cap="none" spc="50" normalizeH="0" baseline="0">
              <a:solidFill>
                <a:sysClr val="windowText" lastClr="000000"/>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Sheet3!$D$4</c:f>
              <c:strCache>
                <c:ptCount val="1"/>
                <c:pt idx="0">
                  <c:v>DPS (USD)</c:v>
                </c:pt>
              </c:strCache>
            </c:strRef>
          </c:tx>
          <c:spPr>
            <a:solidFill>
              <a:schemeClr val="accent1">
                <a:alpha val="70000"/>
              </a:schemeClr>
            </a:solidFill>
            <a:ln>
              <a:noFill/>
            </a:ln>
            <a:effectLst/>
          </c:spPr>
          <c:invertIfNegative val="0"/>
          <c:trendline>
            <c:spPr>
              <a:ln w="15875" cap="rnd">
                <a:solidFill>
                  <a:schemeClr val="accent1"/>
                </a:solidFill>
              </a:ln>
              <a:effectLst/>
            </c:spPr>
            <c:trendlineType val="linear"/>
            <c:dispRSqr val="0"/>
            <c:dispEq val="0"/>
          </c:trendline>
          <c:cat>
            <c:numRef>
              <c:f>Sheet3!$C$5:$C$14</c:f>
              <c:numCache>
                <c:formatCode>General</c:formatCode>
                <c:ptCount val="10"/>
                <c:pt idx="0">
                  <c:v>2021</c:v>
                </c:pt>
                <c:pt idx="1">
                  <c:v>2020</c:v>
                </c:pt>
                <c:pt idx="2">
                  <c:v>2019</c:v>
                </c:pt>
                <c:pt idx="3">
                  <c:v>2018</c:v>
                </c:pt>
                <c:pt idx="4">
                  <c:v>2017</c:v>
                </c:pt>
                <c:pt idx="5">
                  <c:v>2016</c:v>
                </c:pt>
                <c:pt idx="6">
                  <c:v>2015</c:v>
                </c:pt>
                <c:pt idx="7">
                  <c:v>2014</c:v>
                </c:pt>
                <c:pt idx="8">
                  <c:v>2013</c:v>
                </c:pt>
                <c:pt idx="9">
                  <c:v>2012</c:v>
                </c:pt>
              </c:numCache>
            </c:numRef>
          </c:cat>
          <c:val>
            <c:numRef>
              <c:f>Sheet3!$D$5:$D$14</c:f>
              <c:numCache>
                <c:formatCode>General</c:formatCode>
                <c:ptCount val="10"/>
                <c:pt idx="0">
                  <c:v>2.91</c:v>
                </c:pt>
                <c:pt idx="1">
                  <c:v>1.23</c:v>
                </c:pt>
                <c:pt idx="2">
                  <c:v>2.78</c:v>
                </c:pt>
                <c:pt idx="3">
                  <c:v>1.19</c:v>
                </c:pt>
                <c:pt idx="4">
                  <c:v>0.88</c:v>
                </c:pt>
                <c:pt idx="5">
                  <c:v>0.28999999999999998</c:v>
                </c:pt>
                <c:pt idx="6">
                  <c:v>1.1000000000000001</c:v>
                </c:pt>
                <c:pt idx="7">
                  <c:v>0.98</c:v>
                </c:pt>
                <c:pt idx="8">
                  <c:v>1.02</c:v>
                </c:pt>
                <c:pt idx="9">
                  <c:v>0.94</c:v>
                </c:pt>
              </c:numCache>
            </c:numRef>
          </c:val>
          <c:extLst>
            <c:ext xmlns:c16="http://schemas.microsoft.com/office/drawing/2014/chart" uri="{C3380CC4-5D6E-409C-BE32-E72D297353CC}">
              <c16:uniqueId val="{00000001-A777-4C04-B42A-8A7FE05D2DCB}"/>
            </c:ext>
          </c:extLst>
        </c:ser>
        <c:ser>
          <c:idx val="1"/>
          <c:order val="1"/>
          <c:tx>
            <c:strRef>
              <c:f>Sheet3!$E$4</c:f>
              <c:strCache>
                <c:ptCount val="1"/>
                <c:pt idx="0">
                  <c:v>EPS (USD)</c:v>
                </c:pt>
              </c:strCache>
            </c:strRef>
          </c:tx>
          <c:spPr>
            <a:solidFill>
              <a:schemeClr val="accent2">
                <a:alpha val="70000"/>
              </a:schemeClr>
            </a:solidFill>
            <a:ln>
              <a:noFill/>
            </a:ln>
            <a:effectLst/>
          </c:spPr>
          <c:invertIfNegative val="0"/>
          <c:trendline>
            <c:spPr>
              <a:ln w="15875" cap="rnd">
                <a:solidFill>
                  <a:schemeClr val="accent2"/>
                </a:solidFill>
              </a:ln>
              <a:effectLst/>
            </c:spPr>
            <c:trendlineType val="poly"/>
            <c:order val="2"/>
            <c:dispRSqr val="0"/>
            <c:dispEq val="0"/>
          </c:trendline>
          <c:cat>
            <c:numRef>
              <c:f>Sheet3!$C$5:$C$14</c:f>
              <c:numCache>
                <c:formatCode>General</c:formatCode>
                <c:ptCount val="10"/>
                <c:pt idx="0">
                  <c:v>2021</c:v>
                </c:pt>
                <c:pt idx="1">
                  <c:v>2020</c:v>
                </c:pt>
                <c:pt idx="2">
                  <c:v>2019</c:v>
                </c:pt>
                <c:pt idx="3">
                  <c:v>2018</c:v>
                </c:pt>
                <c:pt idx="4">
                  <c:v>2017</c:v>
                </c:pt>
                <c:pt idx="5">
                  <c:v>2016</c:v>
                </c:pt>
                <c:pt idx="6">
                  <c:v>2015</c:v>
                </c:pt>
                <c:pt idx="7">
                  <c:v>2014</c:v>
                </c:pt>
                <c:pt idx="8">
                  <c:v>2013</c:v>
                </c:pt>
                <c:pt idx="9">
                  <c:v>2012</c:v>
                </c:pt>
              </c:numCache>
            </c:numRef>
          </c:cat>
          <c:val>
            <c:numRef>
              <c:f>Sheet3!$E$5:$E$14</c:f>
              <c:numCache>
                <c:formatCode>General</c:formatCode>
                <c:ptCount val="10"/>
                <c:pt idx="0">
                  <c:v>4.46</c:v>
                </c:pt>
                <c:pt idx="1">
                  <c:v>3.15</c:v>
                </c:pt>
                <c:pt idx="2">
                  <c:v>3.2</c:v>
                </c:pt>
                <c:pt idx="3">
                  <c:v>1.39</c:v>
                </c:pt>
                <c:pt idx="4">
                  <c:v>2.21</c:v>
                </c:pt>
                <c:pt idx="5">
                  <c:v>-2.4</c:v>
                </c:pt>
                <c:pt idx="6">
                  <c:v>0.72</c:v>
                </c:pt>
                <c:pt idx="7">
                  <c:v>5.18</c:v>
                </c:pt>
                <c:pt idx="8">
                  <c:v>4.2</c:v>
                </c:pt>
                <c:pt idx="9">
                  <c:v>5.79</c:v>
                </c:pt>
              </c:numCache>
            </c:numRef>
          </c:val>
          <c:extLst>
            <c:ext xmlns:c16="http://schemas.microsoft.com/office/drawing/2014/chart" uri="{C3380CC4-5D6E-409C-BE32-E72D297353CC}">
              <c16:uniqueId val="{00000003-A777-4C04-B42A-8A7FE05D2DCB}"/>
            </c:ext>
          </c:extLst>
        </c:ser>
        <c:dLbls>
          <c:showLegendKey val="0"/>
          <c:showVal val="0"/>
          <c:showCatName val="0"/>
          <c:showSerName val="0"/>
          <c:showPercent val="0"/>
          <c:showBubbleSize val="0"/>
        </c:dLbls>
        <c:gapWidth val="80"/>
        <c:overlap val="25"/>
        <c:axId val="975700928"/>
        <c:axId val="975697120"/>
      </c:barChart>
      <c:catAx>
        <c:axId val="975700928"/>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975697120"/>
        <c:crosses val="autoZero"/>
        <c:auto val="1"/>
        <c:lblAlgn val="ctr"/>
        <c:lblOffset val="100"/>
        <c:noMultiLvlLbl val="0"/>
      </c:catAx>
      <c:valAx>
        <c:axId val="97569712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975700928"/>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872A-494D-8769-7473156C17AE}"/>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872A-494D-8769-7473156C17AE}"/>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872A-494D-8769-7473156C17AE}"/>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872A-494D-8769-7473156C17AE}"/>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872A-494D-8769-7473156C17AE}"/>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872A-494D-8769-7473156C17AE}"/>
              </c:ext>
            </c:extLst>
          </c:dPt>
          <c:dLbls>
            <c:spPr>
              <a:solidFill>
                <a:sysClr val="window" lastClr="FFFFFF"/>
              </a:solidFill>
              <a:ln>
                <a:solidFill>
                  <a:schemeClr val="bg1"/>
                </a:solid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Sheet4!$C$3:$C$8</c:f>
              <c:strCache>
                <c:ptCount val="6"/>
                <c:pt idx="0">
                  <c:v>1) Petroleum project : Atlantic phase</c:v>
                </c:pt>
                <c:pt idx="1">
                  <c:v>2) Copper project : Chile</c:v>
                </c:pt>
                <c:pt idx="2">
                  <c:v>3) South Flank Iron Ore</c:v>
                </c:pt>
                <c:pt idx="3">
                  <c:v>4) Petroleum project : Ruby</c:v>
                </c:pt>
                <c:pt idx="4">
                  <c:v>5) Petroleum : Mad Dog phase 2</c:v>
                </c:pt>
                <c:pt idx="5">
                  <c:v>6) Jansen Potash Project</c:v>
                </c:pt>
              </c:strCache>
            </c:strRef>
          </c:cat>
          <c:val>
            <c:numRef>
              <c:f>Sheet4!$D$3:$D$8</c:f>
              <c:numCache>
                <c:formatCode>General</c:formatCode>
                <c:ptCount val="6"/>
                <c:pt idx="0">
                  <c:v>696</c:v>
                </c:pt>
                <c:pt idx="1">
                  <c:v>2460</c:v>
                </c:pt>
                <c:pt idx="2">
                  <c:v>3061</c:v>
                </c:pt>
                <c:pt idx="3">
                  <c:v>283</c:v>
                </c:pt>
                <c:pt idx="4">
                  <c:v>2154</c:v>
                </c:pt>
                <c:pt idx="5">
                  <c:v>2972</c:v>
                </c:pt>
              </c:numCache>
            </c:numRef>
          </c:val>
          <c:extLst>
            <c:ext xmlns:c16="http://schemas.microsoft.com/office/drawing/2014/chart" uri="{C3380CC4-5D6E-409C-BE32-E72D297353CC}">
              <c16:uniqueId val="{0000000C-872A-494D-8769-7473156C17AE}"/>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54524431321084865"/>
          <c:y val="0.18062153689122193"/>
          <c:w val="0.43808902012248474"/>
          <c:h val="0.77083989501312333"/>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200" b="1" i="0" u="none" strike="noStrike" kern="1200" cap="none" spc="0" normalizeH="0" baseline="0">
                <a:solidFill>
                  <a:schemeClr val="tx1">
                    <a:lumMod val="65000"/>
                    <a:lumOff val="35000"/>
                  </a:schemeClr>
                </a:solidFill>
                <a:latin typeface="Times New Roman" panose="02020603050405020304" pitchFamily="18" charset="0"/>
                <a:ea typeface="+mj-ea"/>
                <a:cs typeface="Times New Roman" panose="02020603050405020304" pitchFamily="18" charset="0"/>
              </a:defRPr>
            </a:pPr>
            <a:r>
              <a:rPr lang="en-US" sz="1200" b="1">
                <a:latin typeface="Times New Roman" panose="02020603050405020304" pitchFamily="18" charset="0"/>
                <a:cs typeface="Times New Roman" panose="02020603050405020304" pitchFamily="18" charset="0"/>
              </a:rPr>
              <a:t>Figure 3: Stock performance trend of BHP</a:t>
            </a:r>
          </a:p>
        </c:rich>
      </c:tx>
      <c:layout>
        <c:manualLayout>
          <c:xMode val="edge"/>
          <c:yMode val="edge"/>
          <c:x val="0.3073707351930553"/>
          <c:y val="4.730928444707274E-2"/>
        </c:manualLayout>
      </c:layout>
      <c:overlay val="0"/>
      <c:spPr>
        <a:noFill/>
        <a:ln>
          <a:noFill/>
        </a:ln>
        <a:effectLst/>
      </c:spPr>
      <c:txPr>
        <a:bodyPr rot="0" spcFirstLastPara="1" vertOverflow="ellipsis" vert="horz" wrap="square" anchor="ctr" anchorCtr="1"/>
        <a:lstStyle/>
        <a:p>
          <a:pPr>
            <a:defRPr sz="1200" b="1" i="0" u="none" strike="noStrike" kern="1200" cap="none" spc="0" normalizeH="0" baseline="0">
              <a:solidFill>
                <a:schemeClr val="tx1">
                  <a:lumMod val="65000"/>
                  <a:lumOff val="35000"/>
                </a:schemeClr>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manualLayout>
          <c:layoutTarget val="inner"/>
          <c:xMode val="edge"/>
          <c:yMode val="edge"/>
          <c:x val="7.7692038495188118E-2"/>
          <c:y val="0.14294036162146398"/>
          <c:w val="0.90286351706036749"/>
          <c:h val="0.73577136191309422"/>
        </c:manualLayout>
      </c:layout>
      <c:barChart>
        <c:barDir val="col"/>
        <c:grouping val="clustered"/>
        <c:varyColors val="0"/>
        <c:ser>
          <c:idx val="0"/>
          <c:order val="0"/>
          <c:tx>
            <c:strRef>
              <c:f>Sheet5!$E$4</c:f>
              <c:strCache>
                <c:ptCount val="1"/>
                <c:pt idx="0">
                  <c:v>Australia (AUD)</c:v>
                </c:pt>
              </c:strCache>
            </c:strRef>
          </c:tx>
          <c:spPr>
            <a:solidFill>
              <a:schemeClr val="accent1">
                <a:shade val="65000"/>
              </a:schemeClr>
            </a:solidFill>
            <a:ln>
              <a:noFill/>
            </a:ln>
            <a:effectLst/>
          </c:spPr>
          <c:invertIfNegative val="0"/>
          <c:cat>
            <c:numRef>
              <c:f>Sheet5!$D$5:$D$9</c:f>
              <c:numCache>
                <c:formatCode>General</c:formatCode>
                <c:ptCount val="5"/>
                <c:pt idx="0">
                  <c:v>2017</c:v>
                </c:pt>
                <c:pt idx="1">
                  <c:v>2018</c:v>
                </c:pt>
                <c:pt idx="2">
                  <c:v>2019</c:v>
                </c:pt>
                <c:pt idx="3">
                  <c:v>2020</c:v>
                </c:pt>
                <c:pt idx="4">
                  <c:v>2021</c:v>
                </c:pt>
              </c:numCache>
            </c:numRef>
          </c:cat>
          <c:val>
            <c:numRef>
              <c:f>Sheet5!$E$5:$E$9</c:f>
              <c:numCache>
                <c:formatCode>General</c:formatCode>
                <c:ptCount val="5"/>
                <c:pt idx="0">
                  <c:v>25.06</c:v>
                </c:pt>
                <c:pt idx="1">
                  <c:v>30.58</c:v>
                </c:pt>
                <c:pt idx="2">
                  <c:v>33.380000000000003</c:v>
                </c:pt>
                <c:pt idx="3">
                  <c:v>39.15</c:v>
                </c:pt>
                <c:pt idx="4">
                  <c:v>46.82</c:v>
                </c:pt>
              </c:numCache>
            </c:numRef>
          </c:val>
          <c:extLst>
            <c:ext xmlns:c16="http://schemas.microsoft.com/office/drawing/2014/chart" uri="{C3380CC4-5D6E-409C-BE32-E72D297353CC}">
              <c16:uniqueId val="{00000000-321A-48CC-B922-D4FE2B4676C4}"/>
            </c:ext>
          </c:extLst>
        </c:ser>
        <c:ser>
          <c:idx val="1"/>
          <c:order val="1"/>
          <c:tx>
            <c:strRef>
              <c:f>Sheet5!$F$4</c:f>
              <c:strCache>
                <c:ptCount val="1"/>
                <c:pt idx="0">
                  <c:v>US (USD)</c:v>
                </c:pt>
              </c:strCache>
            </c:strRef>
          </c:tx>
          <c:spPr>
            <a:solidFill>
              <a:schemeClr val="accent1"/>
            </a:solidFill>
            <a:ln>
              <a:noFill/>
            </a:ln>
            <a:effectLst/>
          </c:spPr>
          <c:invertIfNegative val="0"/>
          <c:cat>
            <c:numRef>
              <c:f>Sheet5!$D$5:$D$9</c:f>
              <c:numCache>
                <c:formatCode>General</c:formatCode>
                <c:ptCount val="5"/>
                <c:pt idx="0">
                  <c:v>2017</c:v>
                </c:pt>
                <c:pt idx="1">
                  <c:v>2018</c:v>
                </c:pt>
                <c:pt idx="2">
                  <c:v>2019</c:v>
                </c:pt>
                <c:pt idx="3">
                  <c:v>2020</c:v>
                </c:pt>
                <c:pt idx="4">
                  <c:v>2021</c:v>
                </c:pt>
              </c:numCache>
            </c:numRef>
          </c:cat>
          <c:val>
            <c:numRef>
              <c:f>Sheet5!$F$5:$F$9</c:f>
              <c:numCache>
                <c:formatCode>General</c:formatCode>
                <c:ptCount val="5"/>
                <c:pt idx="0">
                  <c:v>35.78</c:v>
                </c:pt>
                <c:pt idx="1">
                  <c:v>48.14</c:v>
                </c:pt>
                <c:pt idx="2">
                  <c:v>49.22</c:v>
                </c:pt>
                <c:pt idx="3">
                  <c:v>54.55</c:v>
                </c:pt>
                <c:pt idx="4">
                  <c:v>73.459999999999994</c:v>
                </c:pt>
              </c:numCache>
            </c:numRef>
          </c:val>
          <c:extLst>
            <c:ext xmlns:c16="http://schemas.microsoft.com/office/drawing/2014/chart" uri="{C3380CC4-5D6E-409C-BE32-E72D297353CC}">
              <c16:uniqueId val="{00000001-321A-48CC-B922-D4FE2B4676C4}"/>
            </c:ext>
          </c:extLst>
        </c:ser>
        <c:ser>
          <c:idx val="2"/>
          <c:order val="2"/>
          <c:tx>
            <c:strRef>
              <c:f>Sheet5!$G$4</c:f>
              <c:strCache>
                <c:ptCount val="1"/>
                <c:pt idx="0">
                  <c:v>UK (Pound Sterling)</c:v>
                </c:pt>
              </c:strCache>
            </c:strRef>
          </c:tx>
          <c:spPr>
            <a:solidFill>
              <a:schemeClr val="accent1">
                <a:tint val="65000"/>
              </a:schemeClr>
            </a:solidFill>
            <a:ln>
              <a:noFill/>
            </a:ln>
            <a:effectLst/>
          </c:spPr>
          <c:invertIfNegative val="0"/>
          <c:cat>
            <c:numRef>
              <c:f>Sheet5!$D$5:$D$9</c:f>
              <c:numCache>
                <c:formatCode>General</c:formatCode>
                <c:ptCount val="5"/>
                <c:pt idx="0">
                  <c:v>2017</c:v>
                </c:pt>
                <c:pt idx="1">
                  <c:v>2018</c:v>
                </c:pt>
                <c:pt idx="2">
                  <c:v>2019</c:v>
                </c:pt>
                <c:pt idx="3">
                  <c:v>2020</c:v>
                </c:pt>
                <c:pt idx="4">
                  <c:v>2021</c:v>
                </c:pt>
              </c:numCache>
            </c:numRef>
          </c:cat>
          <c:val>
            <c:numRef>
              <c:f>Sheet5!$G$5:$G$9</c:f>
              <c:numCache>
                <c:formatCode>General</c:formatCode>
                <c:ptCount val="5"/>
                <c:pt idx="0">
                  <c:v>49.51</c:v>
                </c:pt>
                <c:pt idx="1">
                  <c:v>49.89</c:v>
                </c:pt>
                <c:pt idx="2">
                  <c:v>48.39</c:v>
                </c:pt>
                <c:pt idx="3">
                  <c:v>54.24</c:v>
                </c:pt>
                <c:pt idx="4">
                  <c:v>73.06</c:v>
                </c:pt>
              </c:numCache>
            </c:numRef>
          </c:val>
          <c:extLst>
            <c:ext xmlns:c16="http://schemas.microsoft.com/office/drawing/2014/chart" uri="{C3380CC4-5D6E-409C-BE32-E72D297353CC}">
              <c16:uniqueId val="{00000002-321A-48CC-B922-D4FE2B4676C4}"/>
            </c:ext>
          </c:extLst>
        </c:ser>
        <c:dLbls>
          <c:showLegendKey val="0"/>
          <c:showVal val="0"/>
          <c:showCatName val="0"/>
          <c:showSerName val="0"/>
          <c:showPercent val="0"/>
          <c:showBubbleSize val="0"/>
        </c:dLbls>
        <c:gapWidth val="199"/>
        <c:axId val="982961104"/>
        <c:axId val="982960560"/>
      </c:barChart>
      <c:catAx>
        <c:axId val="982961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982960560"/>
        <c:crosses val="autoZero"/>
        <c:auto val="1"/>
        <c:lblAlgn val="ctr"/>
        <c:lblOffset val="100"/>
        <c:noMultiLvlLbl val="0"/>
      </c:catAx>
      <c:valAx>
        <c:axId val="9829605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2961104"/>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dTable>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0FD8B-5A38-41AB-B816-8D8D00D41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1742</Words>
  <Characters>9934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2022-05-02T16:52:00Z</dcterms:created>
  <dcterms:modified xsi:type="dcterms:W3CDTF">2022-05-02T16:52:00Z</dcterms:modified>
</cp:coreProperties>
</file>