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05600" w14:textId="77777777" w:rsidR="00D5519A" w:rsidRDefault="00D5519A" w:rsidP="00D5519A">
      <w:pPr>
        <w:spacing w:line="360" w:lineRule="auto"/>
        <w:jc w:val="center"/>
        <w:rPr>
          <w:rFonts w:ascii="Arial" w:hAnsi="Arial" w:cs="Arial"/>
          <w:b/>
          <w:bCs/>
        </w:rPr>
      </w:pPr>
    </w:p>
    <w:p w14:paraId="3EDC3A30" w14:textId="77777777" w:rsidR="00D5519A" w:rsidRDefault="00D5519A" w:rsidP="00D5519A">
      <w:pPr>
        <w:spacing w:line="360" w:lineRule="auto"/>
        <w:jc w:val="center"/>
        <w:rPr>
          <w:rFonts w:ascii="Arial" w:hAnsi="Arial" w:cs="Arial"/>
          <w:b/>
          <w:bCs/>
        </w:rPr>
      </w:pPr>
    </w:p>
    <w:p w14:paraId="24C5470F" w14:textId="77777777" w:rsidR="00D5519A" w:rsidRDefault="00D5519A" w:rsidP="00D5519A">
      <w:pPr>
        <w:spacing w:line="360" w:lineRule="auto"/>
        <w:jc w:val="center"/>
        <w:rPr>
          <w:rFonts w:ascii="Arial" w:hAnsi="Arial" w:cs="Arial"/>
          <w:b/>
          <w:bCs/>
        </w:rPr>
      </w:pPr>
    </w:p>
    <w:p w14:paraId="27FBFAB0" w14:textId="77777777" w:rsidR="00D5519A" w:rsidRDefault="00D5519A" w:rsidP="00D5519A">
      <w:pPr>
        <w:spacing w:line="360" w:lineRule="auto"/>
        <w:jc w:val="center"/>
        <w:rPr>
          <w:rFonts w:ascii="Arial" w:hAnsi="Arial" w:cs="Arial"/>
          <w:b/>
          <w:bCs/>
        </w:rPr>
      </w:pPr>
    </w:p>
    <w:p w14:paraId="3D6381CD" w14:textId="77777777" w:rsidR="00D5519A" w:rsidRDefault="00D5519A" w:rsidP="00D5519A">
      <w:pPr>
        <w:spacing w:line="360" w:lineRule="auto"/>
        <w:jc w:val="center"/>
        <w:rPr>
          <w:rFonts w:ascii="Arial" w:hAnsi="Arial" w:cs="Arial"/>
          <w:b/>
          <w:bCs/>
        </w:rPr>
      </w:pPr>
    </w:p>
    <w:p w14:paraId="2157D6F0" w14:textId="0FAD2AC8" w:rsidR="00D5519A" w:rsidRPr="00D5519A" w:rsidRDefault="003F7511" w:rsidP="00D5519A">
      <w:pPr>
        <w:spacing w:line="360" w:lineRule="auto"/>
        <w:jc w:val="center"/>
        <w:rPr>
          <w:rFonts w:ascii="Arial" w:hAnsi="Arial" w:cs="Arial"/>
          <w:b/>
          <w:bCs/>
        </w:rPr>
      </w:pPr>
      <w:r w:rsidRPr="00D5519A">
        <w:rPr>
          <w:rFonts w:ascii="Arial" w:hAnsi="Arial" w:cs="Arial"/>
          <w:b/>
          <w:bCs/>
        </w:rPr>
        <w:t>PERSON-CENTRED CARE AND PARTNERSHIP WORKING IN HEALTH AND SOCIAL CARE</w:t>
      </w:r>
    </w:p>
    <w:p w14:paraId="133F8C3D" w14:textId="4D45F22F" w:rsidR="00D5519A" w:rsidRPr="00D5519A" w:rsidRDefault="003F7511" w:rsidP="00D5519A">
      <w:pPr>
        <w:spacing w:line="360" w:lineRule="auto"/>
        <w:jc w:val="center"/>
        <w:rPr>
          <w:rFonts w:ascii="Arial" w:hAnsi="Arial" w:cs="Arial"/>
          <w:b/>
          <w:bCs/>
        </w:rPr>
      </w:pPr>
      <w:r w:rsidRPr="00D5519A">
        <w:rPr>
          <w:rFonts w:ascii="Arial" w:hAnsi="Arial" w:cs="Arial"/>
          <w:b/>
          <w:bCs/>
        </w:rPr>
        <w:t>STUDENT NAME: PASCALINE NONO AMAGNA</w:t>
      </w:r>
    </w:p>
    <w:p w14:paraId="7C99166F" w14:textId="45AE036D" w:rsidR="00D5519A" w:rsidRPr="00D5519A" w:rsidRDefault="003F7511" w:rsidP="00D5519A">
      <w:pPr>
        <w:spacing w:line="360" w:lineRule="auto"/>
        <w:jc w:val="center"/>
        <w:rPr>
          <w:rFonts w:ascii="Arial" w:hAnsi="Arial" w:cs="Arial"/>
          <w:b/>
          <w:bCs/>
        </w:rPr>
      </w:pPr>
      <w:r w:rsidRPr="00D5519A">
        <w:rPr>
          <w:rFonts w:ascii="Arial" w:hAnsi="Arial" w:cs="Arial"/>
          <w:b/>
          <w:bCs/>
        </w:rPr>
        <w:t>STUDENT ID: 2424794</w:t>
      </w:r>
    </w:p>
    <w:p w14:paraId="70F09B3A" w14:textId="323EA2BE" w:rsidR="00FB75DA" w:rsidRPr="00D5519A" w:rsidRDefault="003F7511" w:rsidP="00D5519A">
      <w:pPr>
        <w:spacing w:line="360" w:lineRule="auto"/>
        <w:jc w:val="center"/>
        <w:rPr>
          <w:rFonts w:ascii="Arial" w:hAnsi="Arial" w:cs="Arial"/>
          <w:b/>
          <w:bCs/>
        </w:rPr>
      </w:pPr>
      <w:r w:rsidRPr="00D5519A">
        <w:rPr>
          <w:rFonts w:ascii="Arial" w:hAnsi="Arial" w:cs="Arial"/>
          <w:b/>
          <w:bCs/>
        </w:rPr>
        <w:t>MODULE NAME: PRINCIPLES OF HEALTH AND SOCIAL CARE PRACTICE</w:t>
      </w:r>
    </w:p>
    <w:p w14:paraId="327776E9" w14:textId="2994326D" w:rsidR="00FB75DA" w:rsidRPr="00D5519A" w:rsidRDefault="003F7511" w:rsidP="00D5519A">
      <w:pPr>
        <w:spacing w:line="360" w:lineRule="auto"/>
        <w:jc w:val="center"/>
        <w:rPr>
          <w:rFonts w:ascii="Arial" w:hAnsi="Arial" w:cs="Arial"/>
          <w:b/>
          <w:bCs/>
        </w:rPr>
      </w:pPr>
      <w:r w:rsidRPr="00D5519A">
        <w:rPr>
          <w:rFonts w:ascii="Arial" w:hAnsi="Arial" w:cs="Arial"/>
          <w:b/>
          <w:bCs/>
        </w:rPr>
        <w:t>MODULE CODE: BMHP5016</w:t>
      </w:r>
    </w:p>
    <w:p w14:paraId="09AB7A3D" w14:textId="1C72B848" w:rsidR="00FB75DA" w:rsidRPr="00D5519A" w:rsidRDefault="003F7511" w:rsidP="00D5519A">
      <w:pPr>
        <w:spacing w:line="360" w:lineRule="auto"/>
        <w:jc w:val="center"/>
        <w:rPr>
          <w:rFonts w:ascii="Arial" w:hAnsi="Arial" w:cs="Arial"/>
          <w:b/>
          <w:bCs/>
        </w:rPr>
      </w:pPr>
      <w:r w:rsidRPr="00D5519A">
        <w:rPr>
          <w:rFonts w:ascii="Arial" w:hAnsi="Arial" w:cs="Arial"/>
          <w:b/>
          <w:bCs/>
        </w:rPr>
        <w:t>ASSIGNMENT TITLE: COMPONENT 2: WRITTEN ASSIGNMENT (REPORT)</w:t>
      </w:r>
    </w:p>
    <w:p w14:paraId="31B3637E" w14:textId="436A4861" w:rsidR="00FB75DA" w:rsidRPr="00D5519A" w:rsidRDefault="003F7511" w:rsidP="00D5519A">
      <w:pPr>
        <w:spacing w:line="360" w:lineRule="auto"/>
        <w:jc w:val="center"/>
        <w:rPr>
          <w:rFonts w:ascii="Arial" w:hAnsi="Arial" w:cs="Arial"/>
          <w:b/>
          <w:bCs/>
        </w:rPr>
      </w:pPr>
      <w:r w:rsidRPr="00D5519A">
        <w:rPr>
          <w:rFonts w:ascii="Arial" w:hAnsi="Arial" w:cs="Arial"/>
          <w:b/>
          <w:bCs/>
        </w:rPr>
        <w:t>LECTURER NAME: DR MARK GALLAGHER-READ</w:t>
      </w:r>
    </w:p>
    <w:p w14:paraId="0F1160E2" w14:textId="234C448F" w:rsidR="00D5519A" w:rsidRPr="00D5519A" w:rsidRDefault="003F7511" w:rsidP="00D5519A">
      <w:pPr>
        <w:spacing w:line="360" w:lineRule="auto"/>
        <w:jc w:val="center"/>
        <w:rPr>
          <w:rFonts w:ascii="Arial" w:hAnsi="Arial" w:cs="Arial"/>
          <w:b/>
          <w:bCs/>
        </w:rPr>
      </w:pPr>
      <w:r w:rsidRPr="00D5519A">
        <w:rPr>
          <w:rFonts w:ascii="Arial" w:hAnsi="Arial" w:cs="Arial"/>
          <w:b/>
          <w:bCs/>
        </w:rPr>
        <w:t>UNIVERSITY OF WALES</w:t>
      </w:r>
    </w:p>
    <w:p w14:paraId="1E581206" w14:textId="1E0F3DA7" w:rsidR="00FB75DA" w:rsidRPr="00D5519A" w:rsidRDefault="003F7511" w:rsidP="003F7511">
      <w:pPr>
        <w:spacing w:line="360" w:lineRule="auto"/>
        <w:jc w:val="center"/>
        <w:rPr>
          <w:rFonts w:ascii="Arial" w:hAnsi="Arial" w:cs="Arial"/>
          <w:b/>
          <w:bCs/>
        </w:rPr>
      </w:pPr>
      <w:r w:rsidRPr="00D5519A">
        <w:rPr>
          <w:rFonts w:ascii="Arial" w:hAnsi="Arial" w:cs="Arial"/>
          <w:b/>
          <w:bCs/>
        </w:rPr>
        <w:t>SUBMISSION D</w:t>
      </w:r>
      <w:r>
        <w:rPr>
          <w:rFonts w:ascii="Arial" w:hAnsi="Arial" w:cs="Arial"/>
          <w:b/>
          <w:bCs/>
        </w:rPr>
        <w:t>ATE</w:t>
      </w:r>
      <w:r w:rsidRPr="00D5519A">
        <w:rPr>
          <w:rFonts w:ascii="Arial" w:hAnsi="Arial" w:cs="Arial"/>
          <w:b/>
          <w:bCs/>
        </w:rPr>
        <w:t xml:space="preserve">: </w:t>
      </w:r>
      <w:r>
        <w:rPr>
          <w:rFonts w:ascii="Arial" w:hAnsi="Arial" w:cs="Arial"/>
          <w:b/>
          <w:bCs/>
        </w:rPr>
        <w:t>1</w:t>
      </w:r>
      <w:r w:rsidRPr="003F7511">
        <w:rPr>
          <w:rFonts w:ascii="Arial" w:hAnsi="Arial" w:cs="Arial"/>
          <w:b/>
          <w:bCs/>
          <w:vertAlign w:val="superscript"/>
        </w:rPr>
        <w:t>ST</w:t>
      </w:r>
      <w:r>
        <w:rPr>
          <w:rFonts w:ascii="Arial" w:hAnsi="Arial" w:cs="Arial"/>
          <w:b/>
          <w:bCs/>
          <w:vertAlign w:val="superscript"/>
        </w:rPr>
        <w:t xml:space="preserve"> </w:t>
      </w:r>
      <w:proofErr w:type="gramStart"/>
      <w:r>
        <w:rPr>
          <w:rFonts w:ascii="Arial" w:hAnsi="Arial" w:cs="Arial"/>
          <w:b/>
          <w:bCs/>
        </w:rPr>
        <w:t xml:space="preserve">APRIL, </w:t>
      </w:r>
      <w:r w:rsidRPr="00D5519A">
        <w:rPr>
          <w:rFonts w:ascii="Arial" w:hAnsi="Arial" w:cs="Arial"/>
          <w:b/>
          <w:bCs/>
        </w:rPr>
        <w:t xml:space="preserve"> 2026</w:t>
      </w:r>
      <w:proofErr w:type="gramEnd"/>
    </w:p>
    <w:p w14:paraId="63120A4D" w14:textId="6E1DD737" w:rsidR="00D5519A" w:rsidRPr="00D5519A" w:rsidRDefault="003F7511" w:rsidP="00D5519A">
      <w:pPr>
        <w:spacing w:line="360" w:lineRule="auto"/>
        <w:jc w:val="both"/>
        <w:rPr>
          <w:rFonts w:ascii="Arial" w:hAnsi="Arial" w:cs="Arial"/>
          <w:b/>
          <w:bCs/>
        </w:rPr>
      </w:pPr>
      <w:r w:rsidRPr="00D5519A">
        <w:rPr>
          <w:rFonts w:ascii="Arial" w:hAnsi="Arial" w:cs="Arial"/>
          <w:b/>
          <w:bCs/>
        </w:rPr>
        <w:br w:type="page"/>
      </w:r>
    </w:p>
    <w:p w14:paraId="14CA0563" w14:textId="77777777" w:rsidR="00D5519A" w:rsidRPr="00D5519A" w:rsidRDefault="00D5519A" w:rsidP="00D5519A">
      <w:pPr>
        <w:spacing w:line="360" w:lineRule="auto"/>
        <w:jc w:val="both"/>
        <w:rPr>
          <w:rFonts w:ascii="Arial" w:hAnsi="Arial" w:cs="Arial"/>
        </w:rPr>
      </w:pPr>
    </w:p>
    <w:sdt>
      <w:sdtPr>
        <w:rPr>
          <w:rFonts w:ascii="Arial" w:eastAsiaTheme="minorHAnsi" w:hAnsi="Arial" w:cs="Arial"/>
          <w:color w:val="auto"/>
          <w:sz w:val="22"/>
          <w:szCs w:val="22"/>
          <w:lang w:val="en-GB"/>
        </w:rPr>
        <w:id w:val="-1269997180"/>
        <w:docPartObj>
          <w:docPartGallery w:val="Table of Contents"/>
          <w:docPartUnique/>
        </w:docPartObj>
      </w:sdtPr>
      <w:sdtEndPr>
        <w:rPr>
          <w:b/>
          <w:bCs/>
          <w:noProof/>
        </w:rPr>
      </w:sdtEndPr>
      <w:sdtContent>
        <w:p w14:paraId="609A04B9" w14:textId="3838126A" w:rsidR="00D5519A" w:rsidRPr="00D5519A" w:rsidRDefault="00D5519A" w:rsidP="00D5519A">
          <w:pPr>
            <w:pStyle w:val="TOCHeading"/>
            <w:spacing w:line="360" w:lineRule="auto"/>
            <w:jc w:val="both"/>
            <w:rPr>
              <w:rFonts w:ascii="Arial" w:hAnsi="Arial" w:cs="Arial"/>
              <w:sz w:val="22"/>
              <w:szCs w:val="22"/>
            </w:rPr>
          </w:pPr>
          <w:r w:rsidRPr="00D5519A">
            <w:rPr>
              <w:rFonts w:ascii="Arial" w:hAnsi="Arial" w:cs="Arial"/>
              <w:sz w:val="22"/>
              <w:szCs w:val="22"/>
            </w:rPr>
            <w:t>Contents</w:t>
          </w:r>
        </w:p>
        <w:p w14:paraId="1147712D" w14:textId="24B20634" w:rsidR="00D5519A" w:rsidRPr="00D5519A" w:rsidRDefault="00D5519A" w:rsidP="00D5519A">
          <w:pPr>
            <w:pStyle w:val="TOC1"/>
            <w:tabs>
              <w:tab w:val="right" w:leader="dot" w:pos="9016"/>
            </w:tabs>
            <w:spacing w:line="360" w:lineRule="auto"/>
            <w:jc w:val="both"/>
            <w:rPr>
              <w:rFonts w:ascii="Arial" w:hAnsi="Arial" w:cs="Arial"/>
              <w:noProof/>
            </w:rPr>
          </w:pPr>
          <w:r w:rsidRPr="00D5519A">
            <w:rPr>
              <w:rFonts w:ascii="Arial" w:hAnsi="Arial" w:cs="Arial"/>
            </w:rPr>
            <w:fldChar w:fldCharType="begin"/>
          </w:r>
          <w:r w:rsidRPr="00D5519A">
            <w:rPr>
              <w:rFonts w:ascii="Arial" w:hAnsi="Arial" w:cs="Arial"/>
            </w:rPr>
            <w:instrText xml:space="preserve"> TOC \o "1-3" \h \z \u </w:instrText>
          </w:r>
          <w:r w:rsidRPr="00D5519A">
            <w:rPr>
              <w:rFonts w:ascii="Arial" w:hAnsi="Arial" w:cs="Arial"/>
            </w:rPr>
            <w:fldChar w:fldCharType="separate"/>
          </w:r>
          <w:hyperlink w:anchor="_Toc225234463" w:history="1">
            <w:r w:rsidRPr="00D5519A">
              <w:rPr>
                <w:rStyle w:val="Hyperlink"/>
                <w:rFonts w:ascii="Arial" w:hAnsi="Arial" w:cs="Arial"/>
                <w:b/>
                <w:bCs/>
                <w:noProof/>
              </w:rPr>
              <w:t>1.0 Introduction</w:t>
            </w:r>
            <w:r w:rsidRPr="00D5519A">
              <w:rPr>
                <w:rFonts w:ascii="Arial" w:hAnsi="Arial" w:cs="Arial"/>
                <w:noProof/>
                <w:webHidden/>
              </w:rPr>
              <w:tab/>
            </w:r>
            <w:r w:rsidRPr="00D5519A">
              <w:rPr>
                <w:rFonts w:ascii="Arial" w:hAnsi="Arial" w:cs="Arial"/>
                <w:noProof/>
                <w:webHidden/>
              </w:rPr>
              <w:fldChar w:fldCharType="begin"/>
            </w:r>
            <w:r w:rsidRPr="00D5519A">
              <w:rPr>
                <w:rFonts w:ascii="Arial" w:hAnsi="Arial" w:cs="Arial"/>
                <w:noProof/>
                <w:webHidden/>
              </w:rPr>
              <w:instrText xml:space="preserve"> PAGEREF _Toc225234463 \h </w:instrText>
            </w:r>
            <w:r w:rsidRPr="00D5519A">
              <w:rPr>
                <w:rFonts w:ascii="Arial" w:hAnsi="Arial" w:cs="Arial"/>
                <w:noProof/>
                <w:webHidden/>
              </w:rPr>
            </w:r>
            <w:r w:rsidRPr="00D5519A">
              <w:rPr>
                <w:rFonts w:ascii="Arial" w:hAnsi="Arial" w:cs="Arial"/>
                <w:noProof/>
                <w:webHidden/>
              </w:rPr>
              <w:fldChar w:fldCharType="separate"/>
            </w:r>
            <w:r w:rsidRPr="00D5519A">
              <w:rPr>
                <w:rFonts w:ascii="Arial" w:hAnsi="Arial" w:cs="Arial"/>
                <w:noProof/>
                <w:webHidden/>
              </w:rPr>
              <w:t>1</w:t>
            </w:r>
            <w:r w:rsidRPr="00D5519A">
              <w:rPr>
                <w:rFonts w:ascii="Arial" w:hAnsi="Arial" w:cs="Arial"/>
                <w:noProof/>
                <w:webHidden/>
              </w:rPr>
              <w:fldChar w:fldCharType="end"/>
            </w:r>
          </w:hyperlink>
        </w:p>
        <w:p w14:paraId="7CCD777A" w14:textId="26949125" w:rsidR="00D5519A" w:rsidRPr="00D5519A" w:rsidRDefault="00000000" w:rsidP="00D5519A">
          <w:pPr>
            <w:pStyle w:val="TOC1"/>
            <w:tabs>
              <w:tab w:val="right" w:leader="dot" w:pos="9016"/>
            </w:tabs>
            <w:spacing w:line="360" w:lineRule="auto"/>
            <w:jc w:val="both"/>
            <w:rPr>
              <w:rFonts w:ascii="Arial" w:hAnsi="Arial" w:cs="Arial"/>
              <w:noProof/>
            </w:rPr>
          </w:pPr>
          <w:hyperlink w:anchor="_Toc225234464" w:history="1">
            <w:r w:rsidR="00D5519A" w:rsidRPr="00D5519A">
              <w:rPr>
                <w:rStyle w:val="Hyperlink"/>
                <w:rFonts w:ascii="Arial" w:hAnsi="Arial" w:cs="Arial"/>
                <w:b/>
                <w:bCs/>
                <w:noProof/>
              </w:rPr>
              <w:t>2.0 Person-Centred Care: Advantages and Shortcomings</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_Toc225234464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1</w:t>
            </w:r>
            <w:r w:rsidR="00D5519A" w:rsidRPr="00D5519A">
              <w:rPr>
                <w:rFonts w:ascii="Arial" w:hAnsi="Arial" w:cs="Arial"/>
                <w:noProof/>
                <w:webHidden/>
              </w:rPr>
              <w:fldChar w:fldCharType="end"/>
            </w:r>
          </w:hyperlink>
        </w:p>
        <w:p w14:paraId="716D82FF" w14:textId="0EDCD544" w:rsidR="00D5519A" w:rsidRPr="00D5519A" w:rsidRDefault="00000000" w:rsidP="00D5519A">
          <w:pPr>
            <w:pStyle w:val="TOC1"/>
            <w:tabs>
              <w:tab w:val="right" w:leader="dot" w:pos="9016"/>
            </w:tabs>
            <w:spacing w:line="360" w:lineRule="auto"/>
            <w:jc w:val="both"/>
            <w:rPr>
              <w:rFonts w:ascii="Arial" w:hAnsi="Arial" w:cs="Arial"/>
              <w:noProof/>
            </w:rPr>
          </w:pPr>
          <w:hyperlink w:anchor="_Toc225234465" w:history="1">
            <w:r w:rsidR="00D5519A" w:rsidRPr="00D5519A">
              <w:rPr>
                <w:rStyle w:val="Hyperlink"/>
                <w:rFonts w:ascii="Arial" w:hAnsi="Arial" w:cs="Arial"/>
                <w:b/>
                <w:bCs/>
                <w:noProof/>
              </w:rPr>
              <w:t>3.0 Theoretical Foundation: The Person-Centred Nursing Framework</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_Toc225234465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2</w:t>
            </w:r>
            <w:r w:rsidR="00D5519A" w:rsidRPr="00D5519A">
              <w:rPr>
                <w:rFonts w:ascii="Arial" w:hAnsi="Arial" w:cs="Arial"/>
                <w:noProof/>
                <w:webHidden/>
              </w:rPr>
              <w:fldChar w:fldCharType="end"/>
            </w:r>
          </w:hyperlink>
        </w:p>
        <w:p w14:paraId="11475E43" w14:textId="062C876F" w:rsidR="00D5519A" w:rsidRPr="00D5519A" w:rsidRDefault="00000000" w:rsidP="00D5519A">
          <w:pPr>
            <w:pStyle w:val="TOC1"/>
            <w:tabs>
              <w:tab w:val="right" w:leader="dot" w:pos="9016"/>
            </w:tabs>
            <w:spacing w:line="360" w:lineRule="auto"/>
            <w:jc w:val="both"/>
            <w:rPr>
              <w:rFonts w:ascii="Arial" w:hAnsi="Arial" w:cs="Arial"/>
              <w:noProof/>
            </w:rPr>
          </w:pPr>
          <w:hyperlink w:anchor="_Toc225234466" w:history="1">
            <w:r w:rsidR="00D5519A" w:rsidRPr="00D5519A">
              <w:rPr>
                <w:rStyle w:val="Hyperlink"/>
                <w:rFonts w:ascii="Arial" w:hAnsi="Arial" w:cs="Arial"/>
                <w:b/>
                <w:bCs/>
                <w:noProof/>
              </w:rPr>
              <w:t>4.0 Ethical fundamentals of health and social care</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_Toc225234466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2</w:t>
            </w:r>
            <w:r w:rsidR="00D5519A" w:rsidRPr="00D5519A">
              <w:rPr>
                <w:rFonts w:ascii="Arial" w:hAnsi="Arial" w:cs="Arial"/>
                <w:noProof/>
                <w:webHidden/>
              </w:rPr>
              <w:fldChar w:fldCharType="end"/>
            </w:r>
          </w:hyperlink>
        </w:p>
        <w:p w14:paraId="79F7D9EC" w14:textId="61957876" w:rsidR="00D5519A" w:rsidRPr="00D5519A" w:rsidRDefault="00000000" w:rsidP="00D5519A">
          <w:pPr>
            <w:pStyle w:val="TOC1"/>
            <w:tabs>
              <w:tab w:val="right" w:leader="dot" w:pos="9016"/>
            </w:tabs>
            <w:spacing w:line="360" w:lineRule="auto"/>
            <w:jc w:val="both"/>
            <w:rPr>
              <w:rFonts w:ascii="Arial" w:hAnsi="Arial" w:cs="Arial"/>
              <w:noProof/>
            </w:rPr>
          </w:pPr>
          <w:hyperlink w:anchor="_Toc225234467" w:history="1">
            <w:r w:rsidR="00D5519A" w:rsidRPr="00D5519A">
              <w:rPr>
                <w:rStyle w:val="Hyperlink"/>
                <w:rFonts w:ascii="Arial" w:hAnsi="Arial" w:cs="Arial"/>
                <w:b/>
                <w:bCs/>
                <w:noProof/>
              </w:rPr>
              <w:t>5.0 Evaluating partnership working in health and social care</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_Toc225234467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3</w:t>
            </w:r>
            <w:r w:rsidR="00D5519A" w:rsidRPr="00D5519A">
              <w:rPr>
                <w:rFonts w:ascii="Arial" w:hAnsi="Arial" w:cs="Arial"/>
                <w:noProof/>
                <w:webHidden/>
              </w:rPr>
              <w:fldChar w:fldCharType="end"/>
            </w:r>
          </w:hyperlink>
        </w:p>
        <w:p w14:paraId="34702BAB" w14:textId="4AAD8482" w:rsidR="00D5519A" w:rsidRPr="00D5519A" w:rsidRDefault="00000000" w:rsidP="00D5519A">
          <w:pPr>
            <w:pStyle w:val="TOC1"/>
            <w:tabs>
              <w:tab w:val="right" w:leader="dot" w:pos="9016"/>
            </w:tabs>
            <w:spacing w:line="360" w:lineRule="auto"/>
            <w:jc w:val="both"/>
            <w:rPr>
              <w:rFonts w:ascii="Arial" w:hAnsi="Arial" w:cs="Arial"/>
              <w:noProof/>
            </w:rPr>
          </w:pPr>
          <w:hyperlink w:anchor="_Toc225234468" w:history="1">
            <w:r w:rsidR="00D5519A" w:rsidRPr="00D5519A">
              <w:rPr>
                <w:rStyle w:val="Hyperlink"/>
                <w:rFonts w:ascii="Arial" w:hAnsi="Arial" w:cs="Arial"/>
                <w:b/>
                <w:bCs/>
                <w:noProof/>
              </w:rPr>
              <w:t>6.0 Partnership Working in Practice: Mental Health Services.</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_Toc225234468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4</w:t>
            </w:r>
            <w:r w:rsidR="00D5519A" w:rsidRPr="00D5519A">
              <w:rPr>
                <w:rFonts w:ascii="Arial" w:hAnsi="Arial" w:cs="Arial"/>
                <w:noProof/>
                <w:webHidden/>
              </w:rPr>
              <w:fldChar w:fldCharType="end"/>
            </w:r>
          </w:hyperlink>
        </w:p>
        <w:p w14:paraId="4E481F8E" w14:textId="08E88C00" w:rsidR="00D5519A" w:rsidRPr="00D5519A" w:rsidRDefault="00000000" w:rsidP="00D5519A">
          <w:pPr>
            <w:pStyle w:val="TOC1"/>
            <w:tabs>
              <w:tab w:val="right" w:leader="dot" w:pos="9016"/>
            </w:tabs>
            <w:spacing w:line="360" w:lineRule="auto"/>
            <w:jc w:val="both"/>
            <w:rPr>
              <w:rFonts w:ascii="Arial" w:hAnsi="Arial" w:cs="Arial"/>
              <w:noProof/>
            </w:rPr>
          </w:pPr>
          <w:hyperlink w:anchor="_Toc225234469" w:history="1">
            <w:r w:rsidR="00D5519A" w:rsidRPr="00D5519A">
              <w:rPr>
                <w:rStyle w:val="Hyperlink"/>
                <w:rFonts w:ascii="Arial" w:hAnsi="Arial" w:cs="Arial"/>
                <w:b/>
                <w:bCs/>
                <w:noProof/>
              </w:rPr>
              <w:t>7.0 Policy and Legislation</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_Toc225234469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4</w:t>
            </w:r>
            <w:r w:rsidR="00D5519A" w:rsidRPr="00D5519A">
              <w:rPr>
                <w:rFonts w:ascii="Arial" w:hAnsi="Arial" w:cs="Arial"/>
                <w:noProof/>
                <w:webHidden/>
              </w:rPr>
              <w:fldChar w:fldCharType="end"/>
            </w:r>
          </w:hyperlink>
        </w:p>
        <w:p w14:paraId="3FEF5BA9" w14:textId="4328DC95" w:rsidR="00D5519A" w:rsidRPr="00D5519A" w:rsidRDefault="00000000" w:rsidP="00D5519A">
          <w:pPr>
            <w:pStyle w:val="TOC1"/>
            <w:tabs>
              <w:tab w:val="right" w:leader="dot" w:pos="9016"/>
            </w:tabs>
            <w:spacing w:line="360" w:lineRule="auto"/>
            <w:jc w:val="both"/>
            <w:rPr>
              <w:rFonts w:ascii="Arial" w:hAnsi="Arial" w:cs="Arial"/>
              <w:noProof/>
            </w:rPr>
          </w:pPr>
          <w:hyperlink w:anchor="_Toc225234470" w:history="1">
            <w:r w:rsidR="00D5519A" w:rsidRPr="00D5519A">
              <w:rPr>
                <w:rStyle w:val="Hyperlink"/>
                <w:rFonts w:ascii="Arial" w:hAnsi="Arial" w:cs="Arial"/>
                <w:b/>
                <w:bCs/>
                <w:noProof/>
              </w:rPr>
              <w:t>8.0 Future Development Recommendations</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_Toc225234470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5</w:t>
            </w:r>
            <w:r w:rsidR="00D5519A" w:rsidRPr="00D5519A">
              <w:rPr>
                <w:rFonts w:ascii="Arial" w:hAnsi="Arial" w:cs="Arial"/>
                <w:noProof/>
                <w:webHidden/>
              </w:rPr>
              <w:fldChar w:fldCharType="end"/>
            </w:r>
          </w:hyperlink>
        </w:p>
        <w:p w14:paraId="5C9C2A66" w14:textId="0088B71C" w:rsidR="00D5519A" w:rsidRPr="00D5519A" w:rsidRDefault="00000000" w:rsidP="00D5519A">
          <w:pPr>
            <w:pStyle w:val="TOC1"/>
            <w:tabs>
              <w:tab w:val="right" w:leader="dot" w:pos="9016"/>
            </w:tabs>
            <w:spacing w:line="360" w:lineRule="auto"/>
            <w:jc w:val="both"/>
            <w:rPr>
              <w:rFonts w:ascii="Arial" w:hAnsi="Arial" w:cs="Arial"/>
              <w:noProof/>
            </w:rPr>
          </w:pPr>
          <w:hyperlink w:anchor="_Toc225234471" w:history="1">
            <w:r w:rsidR="00D5519A" w:rsidRPr="00D5519A">
              <w:rPr>
                <w:rStyle w:val="Hyperlink"/>
                <w:rFonts w:ascii="Arial" w:hAnsi="Arial" w:cs="Arial"/>
                <w:b/>
                <w:bCs/>
                <w:noProof/>
              </w:rPr>
              <w:t>9.0 Conclusion</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_Toc225234471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5</w:t>
            </w:r>
            <w:r w:rsidR="00D5519A" w:rsidRPr="00D5519A">
              <w:rPr>
                <w:rFonts w:ascii="Arial" w:hAnsi="Arial" w:cs="Arial"/>
                <w:noProof/>
                <w:webHidden/>
              </w:rPr>
              <w:fldChar w:fldCharType="end"/>
            </w:r>
          </w:hyperlink>
        </w:p>
        <w:p w14:paraId="6E137A3F" w14:textId="550C2AEB" w:rsidR="00D5519A" w:rsidRPr="00D5519A" w:rsidRDefault="00000000" w:rsidP="00D5519A">
          <w:pPr>
            <w:pStyle w:val="TOC1"/>
            <w:tabs>
              <w:tab w:val="right" w:leader="dot" w:pos="9016"/>
            </w:tabs>
            <w:spacing w:line="360" w:lineRule="auto"/>
            <w:jc w:val="both"/>
            <w:rPr>
              <w:rFonts w:ascii="Arial" w:hAnsi="Arial" w:cs="Arial"/>
              <w:noProof/>
            </w:rPr>
          </w:pPr>
          <w:hyperlink w:anchor="_Toc225234472" w:history="1">
            <w:r w:rsidR="00D5519A" w:rsidRPr="00D5519A">
              <w:rPr>
                <w:rStyle w:val="Hyperlink"/>
                <w:rFonts w:ascii="Arial" w:hAnsi="Arial" w:cs="Arial"/>
                <w:b/>
                <w:bCs/>
                <w:noProof/>
              </w:rPr>
              <w:t>10.0 List of references</w:t>
            </w:r>
            <w:r w:rsidR="00D5519A" w:rsidRPr="00D5519A">
              <w:rPr>
                <w:rFonts w:ascii="Arial" w:hAnsi="Arial" w:cs="Arial"/>
                <w:noProof/>
                <w:webHidden/>
              </w:rPr>
              <w:tab/>
            </w:r>
            <w:r w:rsidR="00D5519A" w:rsidRPr="00D5519A">
              <w:rPr>
                <w:rFonts w:ascii="Arial" w:hAnsi="Arial" w:cs="Arial"/>
                <w:noProof/>
                <w:webHidden/>
              </w:rPr>
              <w:fldChar w:fldCharType="begin"/>
            </w:r>
            <w:r w:rsidR="00D5519A" w:rsidRPr="00D5519A">
              <w:rPr>
                <w:rFonts w:ascii="Arial" w:hAnsi="Arial" w:cs="Arial"/>
                <w:noProof/>
                <w:webHidden/>
              </w:rPr>
              <w:instrText xml:space="preserve"> PAGEREF _Toc225234472 \h </w:instrText>
            </w:r>
            <w:r w:rsidR="00D5519A" w:rsidRPr="00D5519A">
              <w:rPr>
                <w:rFonts w:ascii="Arial" w:hAnsi="Arial" w:cs="Arial"/>
                <w:noProof/>
                <w:webHidden/>
              </w:rPr>
            </w:r>
            <w:r w:rsidR="00D5519A" w:rsidRPr="00D5519A">
              <w:rPr>
                <w:rFonts w:ascii="Arial" w:hAnsi="Arial" w:cs="Arial"/>
                <w:noProof/>
                <w:webHidden/>
              </w:rPr>
              <w:fldChar w:fldCharType="separate"/>
            </w:r>
            <w:r w:rsidR="00D5519A" w:rsidRPr="00D5519A">
              <w:rPr>
                <w:rFonts w:ascii="Arial" w:hAnsi="Arial" w:cs="Arial"/>
                <w:noProof/>
                <w:webHidden/>
              </w:rPr>
              <w:t>7</w:t>
            </w:r>
            <w:r w:rsidR="00D5519A" w:rsidRPr="00D5519A">
              <w:rPr>
                <w:rFonts w:ascii="Arial" w:hAnsi="Arial" w:cs="Arial"/>
                <w:noProof/>
                <w:webHidden/>
              </w:rPr>
              <w:fldChar w:fldCharType="end"/>
            </w:r>
          </w:hyperlink>
        </w:p>
        <w:p w14:paraId="0FB428B1" w14:textId="4ED76485" w:rsidR="00D5519A" w:rsidRPr="00D5519A" w:rsidRDefault="00D5519A" w:rsidP="00D5519A">
          <w:pPr>
            <w:spacing w:line="360" w:lineRule="auto"/>
            <w:jc w:val="both"/>
            <w:rPr>
              <w:rFonts w:ascii="Arial" w:hAnsi="Arial" w:cs="Arial"/>
            </w:rPr>
          </w:pPr>
          <w:r w:rsidRPr="00D5519A">
            <w:rPr>
              <w:rFonts w:ascii="Arial" w:hAnsi="Arial" w:cs="Arial"/>
              <w:b/>
              <w:bCs/>
              <w:noProof/>
            </w:rPr>
            <w:fldChar w:fldCharType="end"/>
          </w:r>
        </w:p>
      </w:sdtContent>
    </w:sdt>
    <w:p w14:paraId="23C9DCC7" w14:textId="77777777" w:rsidR="00D5519A" w:rsidRPr="00D5519A" w:rsidRDefault="00D5519A" w:rsidP="00D5519A">
      <w:pPr>
        <w:spacing w:line="360" w:lineRule="auto"/>
        <w:jc w:val="both"/>
        <w:rPr>
          <w:rFonts w:ascii="Arial" w:hAnsi="Arial" w:cs="Arial"/>
        </w:rPr>
      </w:pPr>
    </w:p>
    <w:p w14:paraId="406CB413" w14:textId="254504B0" w:rsidR="00FB75DA" w:rsidRPr="00D5519A" w:rsidRDefault="00D5519A" w:rsidP="00D5519A">
      <w:pPr>
        <w:spacing w:line="360" w:lineRule="auto"/>
        <w:jc w:val="both"/>
        <w:rPr>
          <w:rFonts w:ascii="Arial" w:hAnsi="Arial" w:cs="Arial"/>
        </w:rPr>
      </w:pPr>
      <w:r w:rsidRPr="00D5519A">
        <w:rPr>
          <w:rFonts w:ascii="Arial" w:hAnsi="Arial" w:cs="Arial"/>
        </w:rPr>
        <w:br w:type="page"/>
      </w:r>
    </w:p>
    <w:p w14:paraId="00791F32" w14:textId="33B8381D" w:rsidR="004B7334" w:rsidRPr="00D5519A" w:rsidRDefault="004B7334" w:rsidP="00D5519A">
      <w:pPr>
        <w:pStyle w:val="Heading1"/>
        <w:spacing w:line="360" w:lineRule="auto"/>
        <w:jc w:val="both"/>
        <w:rPr>
          <w:rFonts w:ascii="Arial" w:hAnsi="Arial" w:cs="Arial"/>
          <w:b/>
          <w:bCs/>
          <w:color w:val="auto"/>
          <w:sz w:val="22"/>
          <w:szCs w:val="22"/>
        </w:rPr>
      </w:pPr>
      <w:bookmarkStart w:id="0" w:name="_Toc225234463"/>
      <w:r w:rsidRPr="00D5519A">
        <w:rPr>
          <w:rFonts w:ascii="Arial" w:hAnsi="Arial" w:cs="Arial"/>
          <w:b/>
          <w:bCs/>
          <w:color w:val="auto"/>
          <w:sz w:val="22"/>
          <w:szCs w:val="22"/>
        </w:rPr>
        <w:lastRenderedPageBreak/>
        <w:t>1.0 Introduction</w:t>
      </w:r>
      <w:bookmarkEnd w:id="0"/>
    </w:p>
    <w:p w14:paraId="41AE716B" w14:textId="5662137D" w:rsidR="004B7334" w:rsidRPr="00D5519A" w:rsidRDefault="004B7334" w:rsidP="00D5519A">
      <w:pPr>
        <w:spacing w:line="360" w:lineRule="auto"/>
        <w:jc w:val="both"/>
        <w:rPr>
          <w:rFonts w:ascii="Arial" w:hAnsi="Arial" w:cs="Arial"/>
        </w:rPr>
      </w:pPr>
      <w:r w:rsidRPr="00D5519A">
        <w:rPr>
          <w:rFonts w:ascii="Arial" w:hAnsi="Arial" w:cs="Arial"/>
        </w:rPr>
        <w:t>The two principles that are becoming more relevant to the provision of high-quality health and social care in the United Kingdom are the principles of person-centred care (PCC) and partnership working (PW). These measures have revolutionised the professional practise whereby paternalistic and</w:t>
      </w:r>
      <w:r w:rsidR="00FE1349" w:rsidRPr="00D5519A">
        <w:rPr>
          <w:rFonts w:ascii="Arial" w:hAnsi="Arial" w:cs="Arial"/>
        </w:rPr>
        <w:t xml:space="preserve"> </w:t>
      </w:r>
      <w:r w:rsidRPr="00D5519A">
        <w:rPr>
          <w:rFonts w:ascii="Arial" w:hAnsi="Arial" w:cs="Arial"/>
        </w:rPr>
        <w:t>disease-centred models have been replaced with models that are less focused on the individual, but one that appreciates the individual as the central part of service delivery. The theoretical, ethical, and legislative aspects of PCC and PW are critically analysed in this report with respect to their applicability to mental health services. The report, based on a broad literature review, policy reports, and legislative sources, analyses the interaction of these principles</w:t>
      </w:r>
      <w:r w:rsidR="00970B48" w:rsidRPr="00D5519A">
        <w:rPr>
          <w:rFonts w:ascii="Arial" w:hAnsi="Arial" w:cs="Arial"/>
        </w:rPr>
        <w:t xml:space="preserve">, </w:t>
      </w:r>
      <w:r w:rsidRPr="00D5519A">
        <w:rPr>
          <w:rFonts w:ascii="Arial" w:hAnsi="Arial" w:cs="Arial"/>
        </w:rPr>
        <w:t>the</w:t>
      </w:r>
      <w:r w:rsidR="00970B48" w:rsidRPr="00D5519A">
        <w:rPr>
          <w:rFonts w:ascii="Arial" w:hAnsi="Arial" w:cs="Arial"/>
        </w:rPr>
        <w:t>ir</w:t>
      </w:r>
      <w:r w:rsidRPr="00D5519A">
        <w:rPr>
          <w:rFonts w:ascii="Arial" w:hAnsi="Arial" w:cs="Arial"/>
        </w:rPr>
        <w:t xml:space="preserve"> limitatio</w:t>
      </w:r>
      <w:r w:rsidR="00970B48" w:rsidRPr="00D5519A">
        <w:rPr>
          <w:rFonts w:ascii="Arial" w:hAnsi="Arial" w:cs="Arial"/>
        </w:rPr>
        <w:t>ns</w:t>
      </w:r>
      <w:r w:rsidRPr="00D5519A">
        <w:rPr>
          <w:rFonts w:ascii="Arial" w:hAnsi="Arial" w:cs="Arial"/>
        </w:rPr>
        <w:t>, and provides evidence-based recommendations for improving them across the United Kingdom.</w:t>
      </w:r>
    </w:p>
    <w:p w14:paraId="687377CE" w14:textId="76F2673C" w:rsidR="004B7334" w:rsidRPr="00D5519A" w:rsidRDefault="004B7334" w:rsidP="00D5519A">
      <w:pPr>
        <w:pStyle w:val="Heading1"/>
        <w:spacing w:line="360" w:lineRule="auto"/>
        <w:jc w:val="both"/>
        <w:rPr>
          <w:rFonts w:ascii="Arial" w:hAnsi="Arial" w:cs="Arial"/>
          <w:b/>
          <w:bCs/>
          <w:color w:val="auto"/>
          <w:sz w:val="22"/>
          <w:szCs w:val="22"/>
        </w:rPr>
      </w:pPr>
      <w:bookmarkStart w:id="1" w:name="_Toc225234464"/>
      <w:r w:rsidRPr="00D5519A">
        <w:rPr>
          <w:rFonts w:ascii="Arial" w:hAnsi="Arial" w:cs="Arial"/>
          <w:b/>
          <w:bCs/>
          <w:color w:val="auto"/>
          <w:sz w:val="22"/>
          <w:szCs w:val="22"/>
        </w:rPr>
        <w:t>2.0 Person-Centred Care: Advantages and Shortcomings</w:t>
      </w:r>
      <w:bookmarkEnd w:id="1"/>
    </w:p>
    <w:p w14:paraId="30C7F64C" w14:textId="0B9278F5" w:rsidR="004B7334" w:rsidRPr="00D5519A" w:rsidRDefault="004B7334" w:rsidP="00D5519A">
      <w:pPr>
        <w:spacing w:line="360" w:lineRule="auto"/>
        <w:jc w:val="both"/>
        <w:rPr>
          <w:rFonts w:ascii="Arial" w:hAnsi="Arial" w:cs="Arial"/>
        </w:rPr>
      </w:pPr>
      <w:r w:rsidRPr="00D5519A">
        <w:rPr>
          <w:rFonts w:ascii="Arial" w:hAnsi="Arial" w:cs="Arial"/>
        </w:rPr>
        <w:t>Person-centred care can be characterised as a treatment that puts the person at the heart of their health and appreciates their values, interests, and life experience without imposing their preferences or views</w:t>
      </w:r>
      <w:r w:rsidR="00970B48" w:rsidRPr="00D5519A">
        <w:rPr>
          <w:rFonts w:ascii="Arial" w:hAnsi="Arial" w:cs="Arial"/>
        </w:rPr>
        <w:t>,</w:t>
      </w:r>
      <w:r w:rsidRPr="00D5519A">
        <w:rPr>
          <w:rFonts w:ascii="Arial" w:hAnsi="Arial" w:cs="Arial"/>
        </w:rPr>
        <w:t xml:space="preserve"> but allowing them to actively be involved in deciding on their health. According to McCormack and McCance (2017), PCC is a multidimensional concept that involves practitioners to interact honestly and offer holistic care that takes into account the entire individual rather than the presenting illness only. According to the Health Foundation (2016), PCC is based on four main principles</w:t>
      </w:r>
      <w:r w:rsidR="00FE1349" w:rsidRPr="00D5519A">
        <w:rPr>
          <w:rFonts w:ascii="Arial" w:hAnsi="Arial" w:cs="Arial"/>
        </w:rPr>
        <w:t>,</w:t>
      </w:r>
      <w:r w:rsidRPr="00D5519A">
        <w:rPr>
          <w:rFonts w:ascii="Arial" w:hAnsi="Arial" w:cs="Arial"/>
        </w:rPr>
        <w:t xml:space="preserve"> namely the affordability of dignity and compassion, coordinated care, personalised support, and empowering people to identify and build their own strength and abilities.</w:t>
      </w:r>
    </w:p>
    <w:p w14:paraId="046D12E2" w14:textId="113927F0" w:rsidR="004B7334" w:rsidRPr="00D5519A" w:rsidRDefault="004B7334" w:rsidP="00D5519A">
      <w:pPr>
        <w:spacing w:line="360" w:lineRule="auto"/>
        <w:jc w:val="both"/>
        <w:rPr>
          <w:rFonts w:ascii="Arial" w:hAnsi="Arial" w:cs="Arial"/>
        </w:rPr>
      </w:pPr>
      <w:r w:rsidRPr="00D5519A">
        <w:rPr>
          <w:rFonts w:ascii="Arial" w:hAnsi="Arial" w:cs="Arial"/>
        </w:rPr>
        <w:t>The advantages of PCC have been demonstrated in the literature significantly. As Tao et al. (2021) prove, person-centred approaches are related to the increased patient satisfaction levels, adherence to treatment regimes, and quality of life. Organisationally, PCC also minimises unnecessary interventions and repeat usage of the service</w:t>
      </w:r>
      <w:r w:rsidR="00970B48" w:rsidRPr="00D5519A">
        <w:rPr>
          <w:rFonts w:ascii="Arial" w:hAnsi="Arial" w:cs="Arial"/>
        </w:rPr>
        <w:t>,</w:t>
      </w:r>
      <w:r w:rsidRPr="00D5519A">
        <w:rPr>
          <w:rFonts w:ascii="Arial" w:hAnsi="Arial" w:cs="Arial"/>
        </w:rPr>
        <w:t xml:space="preserve"> which helps streamline the use of resources (The Health Foundation, 2016). However, there are major shortcomings. McCormack and McCance (2006) are right in admitting that authentic PCC requires systemic and cultural change in organisations- a gradual, costly and unequally distributed process of change in practise environments. At the point where staffing is rapidly sparse (or time urgent), the richness of genuine PCC cannot be sustained</w:t>
      </w:r>
      <w:r w:rsidR="00970B48" w:rsidRPr="00D5519A">
        <w:rPr>
          <w:rFonts w:ascii="Arial" w:hAnsi="Arial" w:cs="Arial"/>
        </w:rPr>
        <w:t>,</w:t>
      </w:r>
      <w:r w:rsidRPr="00D5519A">
        <w:rPr>
          <w:rFonts w:ascii="Arial" w:hAnsi="Arial" w:cs="Arial"/>
        </w:rPr>
        <w:t xml:space="preserve"> indicating that its uniform and just practise is majorly in question in relation to its use in a wide variety of healthcare settings.</w:t>
      </w:r>
    </w:p>
    <w:p w14:paraId="677A1D13" w14:textId="5EF983D6" w:rsidR="004B7334" w:rsidRPr="00D5519A" w:rsidRDefault="004B7334" w:rsidP="00D5519A">
      <w:pPr>
        <w:pStyle w:val="Heading1"/>
        <w:spacing w:line="360" w:lineRule="auto"/>
        <w:jc w:val="both"/>
        <w:rPr>
          <w:rFonts w:ascii="Arial" w:hAnsi="Arial" w:cs="Arial"/>
          <w:b/>
          <w:bCs/>
          <w:color w:val="auto"/>
          <w:sz w:val="22"/>
          <w:szCs w:val="22"/>
        </w:rPr>
      </w:pPr>
      <w:bookmarkStart w:id="2" w:name="_Toc225234465"/>
      <w:r w:rsidRPr="00D5519A">
        <w:rPr>
          <w:rFonts w:ascii="Arial" w:hAnsi="Arial" w:cs="Arial"/>
          <w:b/>
          <w:bCs/>
          <w:color w:val="auto"/>
          <w:sz w:val="22"/>
          <w:szCs w:val="22"/>
        </w:rPr>
        <w:t>3.0 Theoretical Foundation: The Person-Centred Nursing Framework</w:t>
      </w:r>
      <w:bookmarkEnd w:id="2"/>
    </w:p>
    <w:p w14:paraId="52BA62D8" w14:textId="77777777" w:rsidR="004B7334" w:rsidRPr="00D5519A" w:rsidRDefault="004B7334" w:rsidP="00D5519A">
      <w:pPr>
        <w:spacing w:line="360" w:lineRule="auto"/>
        <w:jc w:val="both"/>
        <w:rPr>
          <w:rFonts w:ascii="Arial" w:hAnsi="Arial" w:cs="Arial"/>
        </w:rPr>
      </w:pPr>
      <w:r w:rsidRPr="00D5519A">
        <w:rPr>
          <w:rFonts w:ascii="Arial" w:hAnsi="Arial" w:cs="Arial"/>
        </w:rPr>
        <w:t xml:space="preserve">One of the most commonly applied theory models, as far as the understanding of PCC is concerned in health care practise, is referred to as Person-Centred Nursing (PCN) Framework developed by McCormack and McCance (2006) and later refined (McCance and McCormack, </w:t>
      </w:r>
      <w:r w:rsidRPr="00D5519A">
        <w:rPr>
          <w:rFonts w:ascii="Arial" w:hAnsi="Arial" w:cs="Arial"/>
        </w:rPr>
        <w:lastRenderedPageBreak/>
        <w:t>2025). These constructs are four interrelated frameworks namely; prerequisites, which focus on professional competence and self-awareness of the practitioner; the care environment, which involves organisational culture, skill mix, and systems; person-centred processes, which also involve how care is provided in alignment with the values of the patients; and person-centred outcomes that include patient satisfaction, involvement in care, and sense of wellbeing. Most importantly, the framework has been criticised due to its strong emphasis on nursing situations, which can be counter-transferable in the context of the broader multi-disciplinary workforce.</w:t>
      </w:r>
    </w:p>
    <w:p w14:paraId="5EB4C4CA" w14:textId="787AF4EF" w:rsidR="004B7334" w:rsidRPr="00D5519A" w:rsidRDefault="004B7334" w:rsidP="00D5519A">
      <w:pPr>
        <w:spacing w:line="360" w:lineRule="auto"/>
        <w:jc w:val="both"/>
        <w:rPr>
          <w:rFonts w:ascii="Arial" w:hAnsi="Arial" w:cs="Arial"/>
        </w:rPr>
      </w:pPr>
      <w:r w:rsidRPr="00D5519A">
        <w:rPr>
          <w:rFonts w:ascii="Arial" w:hAnsi="Arial" w:cs="Arial"/>
        </w:rPr>
        <w:t xml:space="preserve">McCance and McCormack (2025) recognise that the framework has developed to be more relational and contextual, which the </w:t>
      </w:r>
      <w:r w:rsidR="00FE1349" w:rsidRPr="00D5519A">
        <w:rPr>
          <w:rFonts w:ascii="Arial" w:hAnsi="Arial" w:cs="Arial"/>
        </w:rPr>
        <w:t>previous</w:t>
      </w:r>
      <w:r w:rsidRPr="00D5519A">
        <w:rPr>
          <w:rFonts w:ascii="Arial" w:hAnsi="Arial" w:cs="Arial"/>
        </w:rPr>
        <w:t xml:space="preserve"> versions did not previously consider. However, the major shortcoming is that the prerequisites construct puts a lot of pressure on individual practitioners, which suppresses the marginalisation of systemic and structural impediments, including poor staffing ratios and resource restrictions, that are out of the control of an individual. Although the PCN Framework offered an excellent structured model to critically assess practising environments and to find aspects in which improvements can be made, it has to be coupled with genuine considerations of these larger organisational limitations in order to become a true source of change and significant change.</w:t>
      </w:r>
    </w:p>
    <w:p w14:paraId="57EE6E6B" w14:textId="7EB0C2D2" w:rsidR="004B7334" w:rsidRPr="00D5519A" w:rsidRDefault="004B7334" w:rsidP="00D5519A">
      <w:pPr>
        <w:pStyle w:val="Heading1"/>
        <w:spacing w:line="360" w:lineRule="auto"/>
        <w:jc w:val="both"/>
        <w:rPr>
          <w:rFonts w:ascii="Arial" w:hAnsi="Arial" w:cs="Arial"/>
          <w:b/>
          <w:bCs/>
          <w:color w:val="auto"/>
          <w:sz w:val="22"/>
          <w:szCs w:val="22"/>
        </w:rPr>
      </w:pPr>
      <w:bookmarkStart w:id="3" w:name="_Toc225234466"/>
      <w:r w:rsidRPr="00D5519A">
        <w:rPr>
          <w:rFonts w:ascii="Arial" w:hAnsi="Arial" w:cs="Arial"/>
          <w:b/>
          <w:bCs/>
          <w:color w:val="auto"/>
          <w:sz w:val="22"/>
          <w:szCs w:val="22"/>
        </w:rPr>
        <w:t>4.0 Ethical fundamentals of health and social care</w:t>
      </w:r>
      <w:bookmarkEnd w:id="3"/>
    </w:p>
    <w:p w14:paraId="710EF46E" w14:textId="77777777" w:rsidR="004B7334" w:rsidRPr="00D5519A" w:rsidRDefault="004B7334" w:rsidP="00D5519A">
      <w:pPr>
        <w:spacing w:line="360" w:lineRule="auto"/>
        <w:jc w:val="both"/>
        <w:rPr>
          <w:rFonts w:ascii="Arial" w:hAnsi="Arial" w:cs="Arial"/>
        </w:rPr>
      </w:pPr>
      <w:r w:rsidRPr="00D5519A">
        <w:rPr>
          <w:rFonts w:ascii="Arial" w:hAnsi="Arial" w:cs="Arial"/>
        </w:rPr>
        <w:t>Both partnership working and PCC are based on ethical practise. Beauchamp and Childress (2019) mull over four principles of health and social care ethics: autonomy, in which the right of the service user to an informed decision-making is the prerequisite; beneficence, when the care provider is obligated to act in their best interest; non-maleficence, when the care provider is likely to harm the service user; and justice, when the health care is distributed fairly and justly. These maxims are directly operationalised in PCC, but they too cause great tension in terms of professional relationships, especially where the autonomous desire of an individual clashes with the issue of clinical safety, or where the allocation of resources organically fails the principle of justice.</w:t>
      </w:r>
    </w:p>
    <w:p w14:paraId="300A1D52" w14:textId="32590EEF" w:rsidR="004B7334" w:rsidRPr="00D5519A" w:rsidRDefault="004B7334" w:rsidP="00D5519A">
      <w:pPr>
        <w:spacing w:line="360" w:lineRule="auto"/>
        <w:jc w:val="both"/>
        <w:rPr>
          <w:rFonts w:ascii="Arial" w:hAnsi="Arial" w:cs="Arial"/>
        </w:rPr>
      </w:pPr>
      <w:r w:rsidRPr="00D5519A">
        <w:rPr>
          <w:rFonts w:ascii="Arial" w:hAnsi="Arial" w:cs="Arial"/>
        </w:rPr>
        <w:t xml:space="preserve">The Nursing and Midwifery Council (2018) underlines all such ethical requirements in the code of practise that </w:t>
      </w:r>
      <w:r w:rsidR="00FE19A1" w:rsidRPr="00D5519A">
        <w:rPr>
          <w:rFonts w:ascii="Arial" w:hAnsi="Arial" w:cs="Arial"/>
        </w:rPr>
        <w:t>demand</w:t>
      </w:r>
      <w:r w:rsidRPr="00D5519A">
        <w:rPr>
          <w:rFonts w:ascii="Arial" w:hAnsi="Arial" w:cs="Arial"/>
        </w:rPr>
        <w:t xml:space="preserve"> practitioners to care about the </w:t>
      </w:r>
      <w:r w:rsidR="00970B48" w:rsidRPr="00D5519A">
        <w:rPr>
          <w:rFonts w:ascii="Arial" w:hAnsi="Arial" w:cs="Arial"/>
        </w:rPr>
        <w:t>interests</w:t>
      </w:r>
      <w:r w:rsidRPr="00D5519A">
        <w:rPr>
          <w:rFonts w:ascii="Arial" w:hAnsi="Arial" w:cs="Arial"/>
        </w:rPr>
        <w:t xml:space="preserve"> of people, be ethical in every action and maintain safety and dignity. Tao et al. (2021) state that ethical practise and PCC cannot be defined independently of each other</w:t>
      </w:r>
      <w:r w:rsidR="00970B48" w:rsidRPr="00D5519A">
        <w:rPr>
          <w:rFonts w:ascii="Arial" w:hAnsi="Arial" w:cs="Arial"/>
        </w:rPr>
        <w:t>,</w:t>
      </w:r>
      <w:r w:rsidRPr="00D5519A">
        <w:rPr>
          <w:rFonts w:ascii="Arial" w:hAnsi="Arial" w:cs="Arial"/>
        </w:rPr>
        <w:t xml:space="preserve"> as true person-centredness is the practical reflection of the bioethical principles presented by Beauchamp and Childress. Because the nature of mental health care is that people can be influenced by varying </w:t>
      </w:r>
      <w:r w:rsidR="00970B48" w:rsidRPr="00D5519A">
        <w:rPr>
          <w:rFonts w:ascii="Arial" w:hAnsi="Arial" w:cs="Arial"/>
        </w:rPr>
        <w:t>capacities</w:t>
      </w:r>
      <w:r w:rsidRPr="00D5519A">
        <w:rPr>
          <w:rFonts w:ascii="Arial" w:hAnsi="Arial" w:cs="Arial"/>
        </w:rPr>
        <w:t xml:space="preserve"> or by complex vulnerabilities, there is a lot of ethical complexity involved in balancing autonomy and ensuring safety. Such decisions are regulated by the Mental Capacity Act 2005 (HM </w:t>
      </w:r>
      <w:r w:rsidRPr="00D5519A">
        <w:rPr>
          <w:rFonts w:ascii="Arial" w:hAnsi="Arial" w:cs="Arial"/>
        </w:rPr>
        <w:lastRenderedPageBreak/>
        <w:t xml:space="preserve">Government, 2005), which is a legislative framework </w:t>
      </w:r>
      <w:r w:rsidR="00970B48" w:rsidRPr="00D5519A">
        <w:rPr>
          <w:rFonts w:ascii="Arial" w:hAnsi="Arial" w:cs="Arial"/>
        </w:rPr>
        <w:t>for</w:t>
      </w:r>
      <w:r w:rsidRPr="00D5519A">
        <w:rPr>
          <w:rFonts w:ascii="Arial" w:hAnsi="Arial" w:cs="Arial"/>
        </w:rPr>
        <w:t xml:space="preserve"> their application, but their implementation should require a highly professional judgement and prolonged critical thinking.</w:t>
      </w:r>
    </w:p>
    <w:p w14:paraId="0F13922F" w14:textId="6EA8B4B7" w:rsidR="004B7334" w:rsidRPr="00D5519A" w:rsidRDefault="004B7334" w:rsidP="00D5519A">
      <w:pPr>
        <w:pStyle w:val="Heading1"/>
        <w:spacing w:line="360" w:lineRule="auto"/>
        <w:jc w:val="both"/>
        <w:rPr>
          <w:rFonts w:ascii="Arial" w:hAnsi="Arial" w:cs="Arial"/>
          <w:b/>
          <w:bCs/>
          <w:color w:val="auto"/>
          <w:sz w:val="22"/>
          <w:szCs w:val="22"/>
        </w:rPr>
      </w:pPr>
      <w:bookmarkStart w:id="4" w:name="_Toc225234467"/>
      <w:r w:rsidRPr="00D5519A">
        <w:rPr>
          <w:rFonts w:ascii="Arial" w:hAnsi="Arial" w:cs="Arial"/>
          <w:b/>
          <w:bCs/>
          <w:color w:val="auto"/>
          <w:sz w:val="22"/>
          <w:szCs w:val="22"/>
        </w:rPr>
        <w:t>5.0 Evaluating partnership working in health and social care</w:t>
      </w:r>
      <w:bookmarkEnd w:id="4"/>
    </w:p>
    <w:p w14:paraId="7CDBBBCF" w14:textId="513EE189" w:rsidR="004B7334" w:rsidRPr="00D5519A" w:rsidRDefault="004B7334" w:rsidP="00D5519A">
      <w:pPr>
        <w:spacing w:line="360" w:lineRule="auto"/>
        <w:jc w:val="both"/>
        <w:rPr>
          <w:rFonts w:ascii="Arial" w:hAnsi="Arial" w:cs="Arial"/>
        </w:rPr>
      </w:pPr>
      <w:r w:rsidRPr="00D5519A">
        <w:rPr>
          <w:rFonts w:ascii="Arial" w:hAnsi="Arial" w:cs="Arial"/>
        </w:rPr>
        <w:t xml:space="preserve">According to Glasby and Dickinson (2014), partnership working is a type of </w:t>
      </w:r>
      <w:r w:rsidR="00970B48" w:rsidRPr="00D5519A">
        <w:rPr>
          <w:rFonts w:ascii="Arial" w:hAnsi="Arial" w:cs="Arial"/>
        </w:rPr>
        <w:t>collaboration</w:t>
      </w:r>
      <w:r w:rsidRPr="00D5519A">
        <w:rPr>
          <w:rFonts w:ascii="Arial" w:hAnsi="Arial" w:cs="Arial"/>
        </w:rPr>
        <w:t xml:space="preserve"> whereby parties engage each other in seeking common objectives where there is trust, shared responsibility</w:t>
      </w:r>
      <w:r w:rsidR="00970B48" w:rsidRPr="00D5519A">
        <w:rPr>
          <w:rFonts w:ascii="Arial" w:hAnsi="Arial" w:cs="Arial"/>
        </w:rPr>
        <w:t>,</w:t>
      </w:r>
      <w:r w:rsidRPr="00D5519A">
        <w:rPr>
          <w:rFonts w:ascii="Arial" w:hAnsi="Arial" w:cs="Arial"/>
        </w:rPr>
        <w:t xml:space="preserve"> </w:t>
      </w:r>
      <w:r w:rsidR="00F8574C" w:rsidRPr="00D5519A">
        <w:rPr>
          <w:rFonts w:ascii="Arial" w:hAnsi="Arial" w:cs="Arial"/>
        </w:rPr>
        <w:t>and</w:t>
      </w:r>
      <w:r w:rsidRPr="00D5519A">
        <w:rPr>
          <w:rFonts w:ascii="Arial" w:hAnsi="Arial" w:cs="Arial"/>
        </w:rPr>
        <w:t xml:space="preserve"> effective communication. Regarding health and social care, PW can bring on board NHS trusts, local authorities, voluntary sector organisations, service users and carers</w:t>
      </w:r>
      <w:r w:rsidR="00970B48" w:rsidRPr="00D5519A">
        <w:rPr>
          <w:rFonts w:ascii="Arial" w:hAnsi="Arial" w:cs="Arial"/>
        </w:rPr>
        <w:t>,</w:t>
      </w:r>
      <w:r w:rsidRPr="00D5519A">
        <w:rPr>
          <w:rFonts w:ascii="Arial" w:hAnsi="Arial" w:cs="Arial"/>
        </w:rPr>
        <w:t xml:space="preserve"> all bringing different levels of expertise and resources in the care relationship. As demonstrated by Grone and Garcia-Barbero (2001), people-centred service models are important in decreasing the disintegration and redundancy among the care pathways</w:t>
      </w:r>
      <w:r w:rsidR="00970B48" w:rsidRPr="00D5519A">
        <w:rPr>
          <w:rFonts w:ascii="Arial" w:hAnsi="Arial" w:cs="Arial"/>
        </w:rPr>
        <w:t>,</w:t>
      </w:r>
      <w:r w:rsidRPr="00D5519A">
        <w:rPr>
          <w:rFonts w:ascii="Arial" w:hAnsi="Arial" w:cs="Arial"/>
        </w:rPr>
        <w:t xml:space="preserve"> leading to better clinical outcomes and patient experience. </w:t>
      </w:r>
      <w:proofErr w:type="spellStart"/>
      <w:r w:rsidRPr="00D5519A">
        <w:rPr>
          <w:rFonts w:ascii="Arial" w:hAnsi="Arial" w:cs="Arial"/>
        </w:rPr>
        <w:t>Leathard</w:t>
      </w:r>
      <w:proofErr w:type="spellEnd"/>
      <w:r w:rsidRPr="00D5519A">
        <w:rPr>
          <w:rFonts w:ascii="Arial" w:hAnsi="Arial" w:cs="Arial"/>
        </w:rPr>
        <w:t xml:space="preserve"> (2003) also notes that interprofessional collaboration helps to improve professional learning, decrease the chance of an error, and respond to complex needs in a holistic manner that an individual agency would have never dealt with on its own.</w:t>
      </w:r>
    </w:p>
    <w:p w14:paraId="48E5CB2B" w14:textId="6BF5FCC8" w:rsidR="004B7334" w:rsidRPr="00D5519A" w:rsidRDefault="004B7334" w:rsidP="00D5519A">
      <w:pPr>
        <w:spacing w:line="360" w:lineRule="auto"/>
        <w:jc w:val="both"/>
        <w:rPr>
          <w:rFonts w:ascii="Arial" w:hAnsi="Arial" w:cs="Arial"/>
        </w:rPr>
      </w:pPr>
      <w:r w:rsidRPr="00D5519A">
        <w:rPr>
          <w:rFonts w:ascii="Arial" w:hAnsi="Arial" w:cs="Arial"/>
        </w:rPr>
        <w:t>Glasby and Dickinson (2014)</w:t>
      </w:r>
      <w:r w:rsidR="00FE19A1" w:rsidRPr="00D5519A">
        <w:rPr>
          <w:rFonts w:ascii="Arial" w:hAnsi="Arial" w:cs="Arial"/>
        </w:rPr>
        <w:t>,</w:t>
      </w:r>
      <w:r w:rsidRPr="00D5519A">
        <w:rPr>
          <w:rFonts w:ascii="Arial" w:hAnsi="Arial" w:cs="Arial"/>
        </w:rPr>
        <w:t xml:space="preserve"> however, take caution that partnerships are complex in nature and are prone to professional tribalism, competition of resource and poor governance structures. Good PW thus does not only require goodwill but formal structural arrangements such as </w:t>
      </w:r>
      <w:r w:rsidR="00970B48" w:rsidRPr="00D5519A">
        <w:rPr>
          <w:rFonts w:ascii="Arial" w:hAnsi="Arial" w:cs="Arial"/>
        </w:rPr>
        <w:t xml:space="preserve">a </w:t>
      </w:r>
      <w:r w:rsidRPr="00D5519A">
        <w:rPr>
          <w:rFonts w:ascii="Arial" w:hAnsi="Arial" w:cs="Arial"/>
        </w:rPr>
        <w:t>shared system of information, joint training schemes, and co-produced care plans</w:t>
      </w:r>
      <w:r w:rsidR="00970B48" w:rsidRPr="00D5519A">
        <w:rPr>
          <w:rFonts w:ascii="Arial" w:hAnsi="Arial" w:cs="Arial"/>
        </w:rPr>
        <w:t>,</w:t>
      </w:r>
      <w:r w:rsidRPr="00D5519A">
        <w:rPr>
          <w:rFonts w:ascii="Arial" w:hAnsi="Arial" w:cs="Arial"/>
        </w:rPr>
        <w:t xml:space="preserve"> which maintain collaboration in the long run. One thing that Curreri (2019) rightly points out is that authentic partnership should not confine itself to inter-agency coordination but rather incorporate service users themselves as active participants in the design and provision of care to them, which is often the gap between policy ambition and policy reality.</w:t>
      </w:r>
    </w:p>
    <w:p w14:paraId="32B00BE3" w14:textId="5E3224A3" w:rsidR="004B7334" w:rsidRPr="00D5519A" w:rsidRDefault="004B7334" w:rsidP="00D5519A">
      <w:pPr>
        <w:pStyle w:val="Heading1"/>
        <w:spacing w:line="360" w:lineRule="auto"/>
        <w:jc w:val="both"/>
        <w:rPr>
          <w:rFonts w:ascii="Arial" w:hAnsi="Arial" w:cs="Arial"/>
          <w:b/>
          <w:bCs/>
          <w:color w:val="auto"/>
          <w:sz w:val="22"/>
          <w:szCs w:val="22"/>
        </w:rPr>
      </w:pPr>
      <w:bookmarkStart w:id="5" w:name="_Toc225234468"/>
      <w:r w:rsidRPr="00D5519A">
        <w:rPr>
          <w:rFonts w:ascii="Arial" w:hAnsi="Arial" w:cs="Arial"/>
          <w:b/>
          <w:bCs/>
          <w:color w:val="auto"/>
          <w:sz w:val="22"/>
          <w:szCs w:val="22"/>
        </w:rPr>
        <w:t xml:space="preserve">6.0 Partnership Working in </w:t>
      </w:r>
      <w:r w:rsidR="00970B48" w:rsidRPr="00D5519A">
        <w:rPr>
          <w:rFonts w:ascii="Arial" w:hAnsi="Arial" w:cs="Arial"/>
          <w:b/>
          <w:bCs/>
          <w:color w:val="auto"/>
          <w:sz w:val="22"/>
          <w:szCs w:val="22"/>
        </w:rPr>
        <w:t>Practice:</w:t>
      </w:r>
      <w:r w:rsidRPr="00D5519A">
        <w:rPr>
          <w:rFonts w:ascii="Arial" w:hAnsi="Arial" w:cs="Arial"/>
          <w:b/>
          <w:bCs/>
          <w:color w:val="auto"/>
          <w:sz w:val="22"/>
          <w:szCs w:val="22"/>
        </w:rPr>
        <w:t xml:space="preserve"> Mental </w:t>
      </w:r>
      <w:r w:rsidR="00970B48" w:rsidRPr="00D5519A">
        <w:rPr>
          <w:rFonts w:ascii="Arial" w:hAnsi="Arial" w:cs="Arial"/>
          <w:b/>
          <w:bCs/>
          <w:color w:val="auto"/>
          <w:sz w:val="22"/>
          <w:szCs w:val="22"/>
        </w:rPr>
        <w:t>Health Services</w:t>
      </w:r>
      <w:r w:rsidRPr="00D5519A">
        <w:rPr>
          <w:rFonts w:ascii="Arial" w:hAnsi="Arial" w:cs="Arial"/>
          <w:b/>
          <w:bCs/>
          <w:color w:val="auto"/>
          <w:sz w:val="22"/>
          <w:szCs w:val="22"/>
        </w:rPr>
        <w:t>.</w:t>
      </w:r>
      <w:bookmarkEnd w:id="5"/>
    </w:p>
    <w:p w14:paraId="26C4C015" w14:textId="0BB6267A" w:rsidR="004B7334" w:rsidRPr="00D5519A" w:rsidRDefault="004B7334" w:rsidP="00D5519A">
      <w:pPr>
        <w:spacing w:line="360" w:lineRule="auto"/>
        <w:jc w:val="both"/>
        <w:rPr>
          <w:rFonts w:ascii="Arial" w:hAnsi="Arial" w:cs="Arial"/>
        </w:rPr>
      </w:pPr>
      <w:r w:rsidRPr="00D5519A">
        <w:rPr>
          <w:rFonts w:ascii="Arial" w:hAnsi="Arial" w:cs="Arial"/>
        </w:rPr>
        <w:t>The services of mental health give a very interesting background to analyse the partnership working in practise. Mental health population patients often need primary care, community mental health teams, housing, social care, and the voluntary sector to provide their input</w:t>
      </w:r>
      <w:r w:rsidR="00970B48" w:rsidRPr="00D5519A">
        <w:rPr>
          <w:rFonts w:ascii="Arial" w:hAnsi="Arial" w:cs="Arial"/>
        </w:rPr>
        <w:t>,</w:t>
      </w:r>
      <w:r w:rsidRPr="00D5519A">
        <w:rPr>
          <w:rFonts w:ascii="Arial" w:hAnsi="Arial" w:cs="Arial"/>
        </w:rPr>
        <w:t xml:space="preserve"> and the functionality of these services in cooperation is vital to good outcomes. The NHS Long Term Plan (NHS England, 2019) explicitly promises to increase mental health provision within communities and reinforce integrated care pathways, as it is clear that service fragmentation is one of the main forces </w:t>
      </w:r>
      <w:r w:rsidR="00970B48" w:rsidRPr="00D5519A">
        <w:rPr>
          <w:rFonts w:ascii="Arial" w:hAnsi="Arial" w:cs="Arial"/>
        </w:rPr>
        <w:t>contributing</w:t>
      </w:r>
      <w:r w:rsidRPr="00D5519A">
        <w:rPr>
          <w:rFonts w:ascii="Arial" w:hAnsi="Arial" w:cs="Arial"/>
        </w:rPr>
        <w:t xml:space="preserve"> to the poor outcomes of this population segment. The concept of partnership is operationalised in practise through multi-Disciplinary Team meetings, Care Programme Approach reviews and shared electronic records</w:t>
      </w:r>
      <w:r w:rsidR="00970B48" w:rsidRPr="00D5519A">
        <w:rPr>
          <w:rFonts w:ascii="Arial" w:hAnsi="Arial" w:cs="Arial"/>
        </w:rPr>
        <w:t>,</w:t>
      </w:r>
      <w:r w:rsidRPr="00D5519A">
        <w:rPr>
          <w:rFonts w:ascii="Arial" w:hAnsi="Arial" w:cs="Arial"/>
        </w:rPr>
        <w:t xml:space="preserve"> all being structural mechanisms through which the concept of partnership is realised in practise. According to Glasby and Dickinson (2014), the most successful collaborations in mental health </w:t>
      </w:r>
      <w:r w:rsidRPr="00D5519A">
        <w:rPr>
          <w:rFonts w:ascii="Arial" w:hAnsi="Arial" w:cs="Arial"/>
        </w:rPr>
        <w:lastRenderedPageBreak/>
        <w:t>entail sufficiently elastic professional demarcations that make it possible to respond to the needs of the whole person in a holistic, person-centred way.</w:t>
      </w:r>
    </w:p>
    <w:p w14:paraId="41B593C2" w14:textId="65EEDD6D" w:rsidR="004B7334" w:rsidRPr="00D5519A" w:rsidRDefault="004B7334" w:rsidP="00D5519A">
      <w:pPr>
        <w:spacing w:line="360" w:lineRule="auto"/>
        <w:jc w:val="both"/>
        <w:rPr>
          <w:rFonts w:ascii="Arial" w:hAnsi="Arial" w:cs="Arial"/>
        </w:rPr>
      </w:pPr>
      <w:r w:rsidRPr="00D5519A">
        <w:rPr>
          <w:rFonts w:ascii="Arial" w:hAnsi="Arial" w:cs="Arial"/>
        </w:rPr>
        <w:t>According to the World Health Organisation (2016), people-centred integrated health services must have governance systems that actively promote the boundary-spanning work practises and long-term investment in collective workforce development. In spite of these dreams, some major problems still exist. Personnel shortages, financial strains between the NHS and the local authority, and sectoral disunity of digital systems all remain barriers to effective information-sharing and cooperative practise. Curreri (2019) finds that structural integration has developed significantly, but cultural integration, the real dissemination of professional values, linguistic vocabulary and identity between organisations</w:t>
      </w:r>
      <w:r w:rsidR="00970B48" w:rsidRPr="00D5519A">
        <w:rPr>
          <w:rFonts w:ascii="Arial" w:hAnsi="Arial" w:cs="Arial"/>
        </w:rPr>
        <w:t>,</w:t>
      </w:r>
      <w:r w:rsidRPr="00D5519A">
        <w:rPr>
          <w:rFonts w:ascii="Arial" w:hAnsi="Arial" w:cs="Arial"/>
        </w:rPr>
        <w:t xml:space="preserve"> is a continuous issue which demands visible and committed leadership on all levels of the system.</w:t>
      </w:r>
    </w:p>
    <w:p w14:paraId="6DF24F0B" w14:textId="52BD6A1B" w:rsidR="004B7334" w:rsidRPr="00D5519A" w:rsidRDefault="004B7334" w:rsidP="00D5519A">
      <w:pPr>
        <w:pStyle w:val="Heading1"/>
        <w:spacing w:line="360" w:lineRule="auto"/>
        <w:jc w:val="both"/>
        <w:rPr>
          <w:rFonts w:ascii="Arial" w:hAnsi="Arial" w:cs="Arial"/>
          <w:b/>
          <w:bCs/>
          <w:color w:val="auto"/>
          <w:sz w:val="22"/>
          <w:szCs w:val="22"/>
        </w:rPr>
      </w:pPr>
      <w:bookmarkStart w:id="6" w:name="_Toc225234469"/>
      <w:r w:rsidRPr="00D5519A">
        <w:rPr>
          <w:rFonts w:ascii="Arial" w:hAnsi="Arial" w:cs="Arial"/>
          <w:b/>
          <w:bCs/>
          <w:color w:val="auto"/>
          <w:sz w:val="22"/>
          <w:szCs w:val="22"/>
        </w:rPr>
        <w:t>7.0 Policy and Legislation</w:t>
      </w:r>
      <w:bookmarkEnd w:id="6"/>
    </w:p>
    <w:p w14:paraId="03CF4379" w14:textId="025325A4" w:rsidR="004B7334" w:rsidRPr="00D5519A" w:rsidRDefault="004B7334" w:rsidP="00D5519A">
      <w:pPr>
        <w:spacing w:line="360" w:lineRule="auto"/>
        <w:jc w:val="both"/>
        <w:rPr>
          <w:rFonts w:ascii="Arial" w:hAnsi="Arial" w:cs="Arial"/>
        </w:rPr>
      </w:pPr>
      <w:r w:rsidRPr="00D5519A">
        <w:rPr>
          <w:rFonts w:ascii="Arial" w:hAnsi="Arial" w:cs="Arial"/>
        </w:rPr>
        <w:t xml:space="preserve">Many decades of reform can be traced in the UK legislative framework to ensure the embedded PCC and PW in statutory practise. The Care Act 2014 (HM Government, 2014) is </w:t>
      </w:r>
      <w:r w:rsidR="00970B48" w:rsidRPr="00D5519A">
        <w:rPr>
          <w:rFonts w:ascii="Arial" w:hAnsi="Arial" w:cs="Arial"/>
        </w:rPr>
        <w:t>a</w:t>
      </w:r>
      <w:r w:rsidRPr="00D5519A">
        <w:rPr>
          <w:rFonts w:ascii="Arial" w:hAnsi="Arial" w:cs="Arial"/>
        </w:rPr>
        <w:t xml:space="preserve"> historic piece of legislation; it makes the encouragement of personal wellbeing the central focus of the local </w:t>
      </w:r>
      <w:r w:rsidR="00970B48" w:rsidRPr="00D5519A">
        <w:rPr>
          <w:rFonts w:ascii="Arial" w:hAnsi="Arial" w:cs="Arial"/>
        </w:rPr>
        <w:t>authority's</w:t>
      </w:r>
      <w:r w:rsidRPr="00D5519A">
        <w:rPr>
          <w:rFonts w:ascii="Arial" w:hAnsi="Arial" w:cs="Arial"/>
        </w:rPr>
        <w:t xml:space="preserve"> adult social care responsibilities and creates a statutory obligation of strength-based and person-centred assessment. These duties are operationalised through the Care and Support Statutory Guidance (Department of Health, 2016) that focuses on ensuring that local authorities consider the principles of PCC in the process of assessment and care planning. The Health and Social Care Act 2012 (HM Government, 2012) has reshaped the NHS to encourage integration of health and social care boundaries</w:t>
      </w:r>
      <w:r w:rsidR="00970B48" w:rsidRPr="00D5519A">
        <w:rPr>
          <w:rFonts w:ascii="Arial" w:hAnsi="Arial" w:cs="Arial"/>
        </w:rPr>
        <w:t>,</w:t>
      </w:r>
      <w:r w:rsidRPr="00D5519A">
        <w:rPr>
          <w:rFonts w:ascii="Arial" w:hAnsi="Arial" w:cs="Arial"/>
        </w:rPr>
        <w:t xml:space="preserve"> but the Mental Capacity Act 2005 (HM Government, 2005) has tightened the autonomous and best interest principles of complex clinical situations.</w:t>
      </w:r>
    </w:p>
    <w:p w14:paraId="08C82880" w14:textId="37C20F4A" w:rsidR="004B7334" w:rsidRPr="00D5519A" w:rsidRDefault="004B7334" w:rsidP="00D5519A">
      <w:pPr>
        <w:spacing w:line="360" w:lineRule="auto"/>
        <w:jc w:val="both"/>
        <w:rPr>
          <w:rFonts w:ascii="Arial" w:hAnsi="Arial" w:cs="Arial"/>
        </w:rPr>
      </w:pPr>
      <w:r w:rsidRPr="00D5519A">
        <w:rPr>
          <w:rFonts w:ascii="Arial" w:hAnsi="Arial" w:cs="Arial"/>
        </w:rPr>
        <w:t xml:space="preserve">The Welsh Government has developed a statutory framework of truly consistent laws and regulations that incorporate both concepts of PCC and PW in the health and social care system of Wales under </w:t>
      </w:r>
      <w:r w:rsidR="00970B48" w:rsidRPr="00D5519A">
        <w:rPr>
          <w:rFonts w:ascii="Arial" w:hAnsi="Arial" w:cs="Arial"/>
        </w:rPr>
        <w:t xml:space="preserve">the </w:t>
      </w:r>
      <w:r w:rsidRPr="00D5519A">
        <w:rPr>
          <w:rFonts w:ascii="Arial" w:hAnsi="Arial" w:cs="Arial"/>
        </w:rPr>
        <w:t xml:space="preserve">Social Services and Well-being (Wales) Act 2014 (Welsh Government, 2014). The Act, introducing a legislative co-production responsibility on local authorities and health boards, also essentially reforms the relationship between citizens and the state, limiting service provision to that of joint responsibility (Social Care Wales, 2022). It is a significantly forward-looking Welsh strategy, as opposed to the more fragmented policy context in England, and shows how devolved policy can promote a more unified, holistic and person-centred practise more effectively than a programme of national reform in bits. The NHS Long Term Plan (NHS England, 2019) continues the integration with the help of the Integrated </w:t>
      </w:r>
      <w:r w:rsidR="00970B48" w:rsidRPr="00D5519A">
        <w:rPr>
          <w:rFonts w:ascii="Arial" w:hAnsi="Arial" w:cs="Arial"/>
        </w:rPr>
        <w:t>Care</w:t>
      </w:r>
      <w:r w:rsidRPr="00D5519A">
        <w:rPr>
          <w:rFonts w:ascii="Arial" w:hAnsi="Arial" w:cs="Arial"/>
        </w:rPr>
        <w:t xml:space="preserve"> Systems, but the lack of the statutory duty of co-production, following the example of the Welsh Act</w:t>
      </w:r>
      <w:r w:rsidR="00F8574C" w:rsidRPr="00D5519A">
        <w:rPr>
          <w:rFonts w:ascii="Arial" w:hAnsi="Arial" w:cs="Arial"/>
        </w:rPr>
        <w:t>,</w:t>
      </w:r>
      <w:r w:rsidRPr="00D5519A">
        <w:rPr>
          <w:rFonts w:ascii="Arial" w:hAnsi="Arial" w:cs="Arial"/>
        </w:rPr>
        <w:t xml:space="preserve"> is a significant policy gap in the English context.</w:t>
      </w:r>
    </w:p>
    <w:p w14:paraId="01C660B0" w14:textId="1CBD70E6" w:rsidR="004B7334" w:rsidRPr="00D5519A" w:rsidRDefault="004B7334" w:rsidP="00D5519A">
      <w:pPr>
        <w:pStyle w:val="Heading1"/>
        <w:spacing w:line="360" w:lineRule="auto"/>
        <w:jc w:val="both"/>
        <w:rPr>
          <w:rFonts w:ascii="Arial" w:hAnsi="Arial" w:cs="Arial"/>
          <w:b/>
          <w:bCs/>
          <w:color w:val="auto"/>
          <w:sz w:val="22"/>
          <w:szCs w:val="22"/>
        </w:rPr>
      </w:pPr>
      <w:bookmarkStart w:id="7" w:name="_Toc225234470"/>
      <w:r w:rsidRPr="00D5519A">
        <w:rPr>
          <w:rFonts w:ascii="Arial" w:hAnsi="Arial" w:cs="Arial"/>
          <w:b/>
          <w:bCs/>
          <w:color w:val="auto"/>
          <w:sz w:val="22"/>
          <w:szCs w:val="22"/>
        </w:rPr>
        <w:lastRenderedPageBreak/>
        <w:t>8.0 Future Development Recommendations</w:t>
      </w:r>
      <w:bookmarkEnd w:id="7"/>
    </w:p>
    <w:p w14:paraId="3277FD88" w14:textId="5BE49B5F" w:rsidR="004B7334" w:rsidRPr="00D5519A" w:rsidRDefault="004B7334" w:rsidP="00D5519A">
      <w:pPr>
        <w:spacing w:line="360" w:lineRule="auto"/>
        <w:jc w:val="both"/>
        <w:rPr>
          <w:rFonts w:ascii="Arial" w:hAnsi="Arial" w:cs="Arial"/>
        </w:rPr>
      </w:pPr>
      <w:r w:rsidRPr="00D5519A">
        <w:rPr>
          <w:rFonts w:ascii="Arial" w:hAnsi="Arial" w:cs="Arial"/>
        </w:rPr>
        <w:t>The future development of PCC and partnership working in the United Kingdom is evidence-based</w:t>
      </w:r>
      <w:r w:rsidR="00F8574C" w:rsidRPr="00D5519A">
        <w:rPr>
          <w:rFonts w:ascii="Arial" w:hAnsi="Arial" w:cs="Arial"/>
        </w:rPr>
        <w:t>,</w:t>
      </w:r>
      <w:r w:rsidRPr="00D5519A">
        <w:rPr>
          <w:rFonts w:ascii="Arial" w:hAnsi="Arial" w:cs="Arial"/>
        </w:rPr>
        <w:t xml:space="preserve"> with three recommendations made. To begin with, it is necessary to sustain the investment in the workforce development. According to the </w:t>
      </w:r>
      <w:r w:rsidR="00F8574C" w:rsidRPr="00D5519A">
        <w:rPr>
          <w:rFonts w:ascii="Arial" w:hAnsi="Arial" w:cs="Arial"/>
        </w:rPr>
        <w:t>King's</w:t>
      </w:r>
      <w:r w:rsidRPr="00D5519A">
        <w:rPr>
          <w:rFonts w:ascii="Arial" w:hAnsi="Arial" w:cs="Arial"/>
        </w:rPr>
        <w:t xml:space="preserve"> Fund (2023), the main structural limitation of progressing to integrated forms of care is workforce capacity; they advise shared </w:t>
      </w:r>
      <w:r w:rsidR="00F8574C" w:rsidRPr="00D5519A">
        <w:rPr>
          <w:rFonts w:ascii="Arial" w:hAnsi="Arial" w:cs="Arial"/>
        </w:rPr>
        <w:t>training</w:t>
      </w:r>
      <w:r w:rsidRPr="00D5519A">
        <w:rPr>
          <w:rFonts w:ascii="Arial" w:hAnsi="Arial" w:cs="Arial"/>
        </w:rPr>
        <w:t xml:space="preserve"> programmes with the development of interprofessional competencies and principles of PCC</w:t>
      </w:r>
      <w:r w:rsidR="00F8574C" w:rsidRPr="00D5519A">
        <w:rPr>
          <w:rFonts w:ascii="Arial" w:hAnsi="Arial" w:cs="Arial"/>
        </w:rPr>
        <w:t>,</w:t>
      </w:r>
      <w:r w:rsidRPr="00D5519A">
        <w:rPr>
          <w:rFonts w:ascii="Arial" w:hAnsi="Arial" w:cs="Arial"/>
        </w:rPr>
        <w:t xml:space="preserve"> </w:t>
      </w:r>
      <w:r w:rsidR="00F8574C" w:rsidRPr="00D5519A">
        <w:rPr>
          <w:rFonts w:ascii="Arial" w:hAnsi="Arial" w:cs="Arial"/>
        </w:rPr>
        <w:t>including those</w:t>
      </w:r>
      <w:r w:rsidRPr="00D5519A">
        <w:rPr>
          <w:rFonts w:ascii="Arial" w:hAnsi="Arial" w:cs="Arial"/>
        </w:rPr>
        <w:t xml:space="preserve"> embedded in the pre-registration education framework and continuing professional development framework. Second, the model of co-production embedded in the Social Services and Well-being (Wales) Act of 2014 ( Welsh Government, 2014) ought to be further implemented throughout the UK in general. Social Care Wales (2022) </w:t>
      </w:r>
      <w:r w:rsidR="00F8574C" w:rsidRPr="00D5519A">
        <w:rPr>
          <w:rFonts w:ascii="Arial" w:hAnsi="Arial" w:cs="Arial"/>
        </w:rPr>
        <w:t>shows</w:t>
      </w:r>
      <w:r w:rsidRPr="00D5519A">
        <w:rPr>
          <w:rFonts w:ascii="Arial" w:hAnsi="Arial" w:cs="Arial"/>
        </w:rPr>
        <w:t xml:space="preserve"> that authentic </w:t>
      </w:r>
      <w:r w:rsidR="00F8574C" w:rsidRPr="00D5519A">
        <w:rPr>
          <w:rFonts w:ascii="Arial" w:hAnsi="Arial" w:cs="Arial"/>
        </w:rPr>
        <w:t>service</w:t>
      </w:r>
      <w:r w:rsidRPr="00D5519A">
        <w:rPr>
          <w:rFonts w:ascii="Arial" w:hAnsi="Arial" w:cs="Arial"/>
        </w:rPr>
        <w:t xml:space="preserve"> user engagement as co-producers of care is better and can help to be more resourceful</w:t>
      </w:r>
      <w:r w:rsidR="00F8574C" w:rsidRPr="00D5519A">
        <w:rPr>
          <w:rFonts w:ascii="Arial" w:hAnsi="Arial" w:cs="Arial"/>
        </w:rPr>
        <w:t>,</w:t>
      </w:r>
      <w:r w:rsidRPr="00D5519A">
        <w:rPr>
          <w:rFonts w:ascii="Arial" w:hAnsi="Arial" w:cs="Arial"/>
        </w:rPr>
        <w:t xml:space="preserve"> and generalisation of analogous co-production responsibilities under health services in England would offer structural underpinnings to this necessary cultural transformation. Third, interoperable digital infrastructure, as it is developed, is essential. The World Health Organisation (2016) stresses that the people-based integrated systems need common information platforms, available to all partners, and even to the users of services. In practise, further disaggregation of NHS, local authority and voluntary sector data systems is a major and largely unsolved obstacle towards good partnership working.</w:t>
      </w:r>
    </w:p>
    <w:p w14:paraId="59EFDB57" w14:textId="20C65793" w:rsidR="004B7334" w:rsidRPr="00D5519A" w:rsidRDefault="004B7334" w:rsidP="00D5519A">
      <w:pPr>
        <w:pStyle w:val="Heading1"/>
        <w:spacing w:line="360" w:lineRule="auto"/>
        <w:jc w:val="both"/>
        <w:rPr>
          <w:rFonts w:ascii="Arial" w:hAnsi="Arial" w:cs="Arial"/>
          <w:b/>
          <w:bCs/>
          <w:color w:val="auto"/>
          <w:sz w:val="22"/>
          <w:szCs w:val="22"/>
        </w:rPr>
      </w:pPr>
      <w:bookmarkStart w:id="8" w:name="_Toc225234471"/>
      <w:r w:rsidRPr="00D5519A">
        <w:rPr>
          <w:rFonts w:ascii="Arial" w:hAnsi="Arial" w:cs="Arial"/>
          <w:b/>
          <w:bCs/>
          <w:color w:val="auto"/>
          <w:sz w:val="22"/>
          <w:szCs w:val="22"/>
        </w:rPr>
        <w:t>9.0 Conclusion</w:t>
      </w:r>
      <w:bookmarkEnd w:id="8"/>
    </w:p>
    <w:p w14:paraId="212B9575" w14:textId="5C3D229C" w:rsidR="00666549" w:rsidRPr="00D5519A" w:rsidRDefault="004B7334" w:rsidP="00D5519A">
      <w:pPr>
        <w:spacing w:line="360" w:lineRule="auto"/>
        <w:jc w:val="both"/>
        <w:rPr>
          <w:rFonts w:ascii="Arial" w:hAnsi="Arial" w:cs="Arial"/>
        </w:rPr>
      </w:pPr>
      <w:r w:rsidRPr="00D5519A">
        <w:rPr>
          <w:rFonts w:ascii="Arial" w:hAnsi="Arial" w:cs="Arial"/>
        </w:rPr>
        <w:t>Th</w:t>
      </w:r>
      <w:r w:rsidR="00F8574C" w:rsidRPr="00D5519A">
        <w:rPr>
          <w:rFonts w:ascii="Arial" w:hAnsi="Arial" w:cs="Arial"/>
        </w:rPr>
        <w:t>is</w:t>
      </w:r>
      <w:r w:rsidRPr="00D5519A">
        <w:rPr>
          <w:rFonts w:ascii="Arial" w:hAnsi="Arial" w:cs="Arial"/>
        </w:rPr>
        <w:t xml:space="preserve"> report has critically discussed both PCC and PW on theoretical, ethical, legislative and practical grounds</w:t>
      </w:r>
      <w:r w:rsidR="00F8574C" w:rsidRPr="00D5519A">
        <w:rPr>
          <w:rFonts w:ascii="Arial" w:hAnsi="Arial" w:cs="Arial"/>
        </w:rPr>
        <w:t>,</w:t>
      </w:r>
      <w:r w:rsidRPr="00D5519A">
        <w:rPr>
          <w:rFonts w:ascii="Arial" w:hAnsi="Arial" w:cs="Arial"/>
        </w:rPr>
        <w:t xml:space="preserve"> which have shown that not only are these two principles dependent on each other</w:t>
      </w:r>
      <w:r w:rsidR="00F8574C" w:rsidRPr="00D5519A">
        <w:rPr>
          <w:rFonts w:ascii="Arial" w:hAnsi="Arial" w:cs="Arial"/>
        </w:rPr>
        <w:t>,</w:t>
      </w:r>
      <w:r w:rsidRPr="00D5519A">
        <w:rPr>
          <w:rFonts w:ascii="Arial" w:hAnsi="Arial" w:cs="Arial"/>
        </w:rPr>
        <w:t xml:space="preserve"> but are also reinforcing. The PCN Framework (McCormack and McCance, 2006; McCance and McCormack, 2025) offers a solid and situationally limited theoretical background; Beauchamp and Childress (2019) base the practise of professionals on long-held bioethical standards; and the Care Act 2014, Mental Capacity Act 2005 and Social Services and Well-being (Wales) Act 2014 give them their legal power. Partnership working, as defined by Glasby and Dickinson (2014) and in line with the NHS Long Term Plan (NHS England, 2019), is the context of structure, relationship in which PCC is best achieved at the point of care. The long-term development will require co-production, investment in the workforce, and digital integration that takes place in a consistent and equal manner in all settings of the UK health and social care.</w:t>
      </w:r>
    </w:p>
    <w:p w14:paraId="2C287C47" w14:textId="728FA637" w:rsidR="00FE19A1" w:rsidRPr="00D5519A" w:rsidRDefault="00FE19A1" w:rsidP="00D5519A">
      <w:pPr>
        <w:pStyle w:val="Heading1"/>
        <w:spacing w:line="360" w:lineRule="auto"/>
        <w:jc w:val="both"/>
        <w:rPr>
          <w:rFonts w:ascii="Arial" w:hAnsi="Arial" w:cs="Arial"/>
          <w:b/>
          <w:bCs/>
          <w:color w:val="auto"/>
          <w:sz w:val="22"/>
          <w:szCs w:val="22"/>
        </w:rPr>
      </w:pPr>
      <w:r w:rsidRPr="00D5519A">
        <w:rPr>
          <w:rFonts w:ascii="Arial" w:hAnsi="Arial" w:cs="Arial"/>
          <w:b/>
          <w:bCs/>
          <w:color w:val="auto"/>
          <w:sz w:val="22"/>
          <w:szCs w:val="22"/>
        </w:rPr>
        <w:br w:type="page"/>
      </w:r>
      <w:bookmarkStart w:id="9" w:name="_Toc225234472"/>
      <w:r w:rsidR="00FB75DA" w:rsidRPr="00D5519A">
        <w:rPr>
          <w:rFonts w:ascii="Arial" w:hAnsi="Arial" w:cs="Arial"/>
          <w:b/>
          <w:bCs/>
          <w:color w:val="auto"/>
          <w:sz w:val="22"/>
          <w:szCs w:val="22"/>
        </w:rPr>
        <w:lastRenderedPageBreak/>
        <w:t xml:space="preserve">10.0 </w:t>
      </w:r>
      <w:r w:rsidRPr="00D5519A">
        <w:rPr>
          <w:rFonts w:ascii="Arial" w:hAnsi="Arial" w:cs="Arial"/>
          <w:b/>
          <w:bCs/>
          <w:color w:val="auto"/>
          <w:sz w:val="22"/>
          <w:szCs w:val="22"/>
        </w:rPr>
        <w:t>List of references</w:t>
      </w:r>
      <w:bookmarkEnd w:id="9"/>
    </w:p>
    <w:p w14:paraId="7E8D0A19"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McCormack, B. and McCance, T. (2017) </w:t>
      </w:r>
      <w:r w:rsidRPr="00D5519A">
        <w:rPr>
          <w:rStyle w:val="Emphasis"/>
          <w:rFonts w:ascii="Arial" w:hAnsi="Arial" w:cs="Arial"/>
          <w:sz w:val="22"/>
          <w:szCs w:val="22"/>
        </w:rPr>
        <w:t>Person-centred practice in nursing and health care: theory and practice</w:t>
      </w:r>
      <w:r w:rsidRPr="00D5519A">
        <w:rPr>
          <w:rFonts w:ascii="Arial" w:hAnsi="Arial" w:cs="Arial"/>
          <w:sz w:val="22"/>
          <w:szCs w:val="22"/>
        </w:rPr>
        <w:t xml:space="preserve">. 2nd </w:t>
      </w:r>
      <w:proofErr w:type="spellStart"/>
      <w:r w:rsidRPr="00D5519A">
        <w:rPr>
          <w:rFonts w:ascii="Arial" w:hAnsi="Arial" w:cs="Arial"/>
          <w:sz w:val="22"/>
          <w:szCs w:val="22"/>
        </w:rPr>
        <w:t>edn</w:t>
      </w:r>
      <w:proofErr w:type="spellEnd"/>
      <w:r w:rsidRPr="00D5519A">
        <w:rPr>
          <w:rFonts w:ascii="Arial" w:hAnsi="Arial" w:cs="Arial"/>
          <w:sz w:val="22"/>
          <w:szCs w:val="22"/>
        </w:rPr>
        <w:t>. Oxford: Wiley-Blackwell.</w:t>
      </w:r>
    </w:p>
    <w:p w14:paraId="03C9646F" w14:textId="4E56C2CF"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The Health Foundation (2016). </w:t>
      </w:r>
      <w:r w:rsidRPr="00D5519A">
        <w:rPr>
          <w:rStyle w:val="Emphasis"/>
          <w:rFonts w:ascii="Arial" w:hAnsi="Arial" w:cs="Arial"/>
          <w:sz w:val="22"/>
          <w:szCs w:val="22"/>
        </w:rPr>
        <w:t>Person-centred care made simple: what everyone should know about person-centred care</w:t>
      </w:r>
      <w:r w:rsidRPr="00D5519A">
        <w:rPr>
          <w:rFonts w:ascii="Arial" w:hAnsi="Arial" w:cs="Arial"/>
          <w:sz w:val="22"/>
          <w:szCs w:val="22"/>
        </w:rPr>
        <w:t xml:space="preserve">. London: The Health Foundation. </w:t>
      </w:r>
      <w:hyperlink r:id="rId7" w:tgtFrame="_new" w:history="1">
        <w:r w:rsidRPr="00D5519A">
          <w:rPr>
            <w:rStyle w:val="Hyperlink"/>
            <w:rFonts w:ascii="Arial" w:hAnsi="Arial" w:cs="Arial"/>
            <w:sz w:val="22"/>
            <w:szCs w:val="22"/>
          </w:rPr>
          <w:t>https://www.health.org.uk/sites/default/files/PersonCentredCareMadeSimple.pdf</w:t>
        </w:r>
      </w:hyperlink>
    </w:p>
    <w:p w14:paraId="685EAE66" w14:textId="2C66618A" w:rsidR="00FE19A1" w:rsidRPr="00D5519A" w:rsidRDefault="00FE19A1" w:rsidP="00D5519A">
      <w:pPr>
        <w:pStyle w:val="NormalWeb"/>
        <w:spacing w:line="360" w:lineRule="auto"/>
        <w:jc w:val="both"/>
        <w:rPr>
          <w:rFonts w:ascii="Arial" w:hAnsi="Arial" w:cs="Arial"/>
          <w:sz w:val="22"/>
          <w:szCs w:val="22"/>
          <w:lang w:val="en-US"/>
        </w:rPr>
      </w:pPr>
      <w:r w:rsidRPr="00D5519A">
        <w:rPr>
          <w:rFonts w:ascii="Arial" w:hAnsi="Arial" w:cs="Arial"/>
          <w:sz w:val="22"/>
          <w:szCs w:val="22"/>
        </w:rPr>
        <w:t xml:space="preserve">McCance, T. and McCormack, B. (2025) 'The person-centred nursing framework: a mid-range theory for nursing practice', </w:t>
      </w:r>
      <w:r w:rsidRPr="00D5519A">
        <w:rPr>
          <w:rStyle w:val="Emphasis"/>
          <w:rFonts w:ascii="Arial" w:hAnsi="Arial" w:cs="Arial"/>
          <w:sz w:val="22"/>
          <w:szCs w:val="22"/>
        </w:rPr>
        <w:t>Nursing Philosophy</w:t>
      </w:r>
      <w:r w:rsidRPr="00D5519A">
        <w:rPr>
          <w:rFonts w:ascii="Arial" w:hAnsi="Arial" w:cs="Arial"/>
          <w:sz w:val="22"/>
          <w:szCs w:val="22"/>
        </w:rPr>
        <w:t>, 26(1).</w:t>
      </w:r>
      <w:r w:rsidR="00FB75DA" w:rsidRPr="00D5519A">
        <w:rPr>
          <w:rFonts w:ascii="Arial" w:hAnsi="Arial" w:cs="Arial"/>
          <w:sz w:val="22"/>
          <w:szCs w:val="22"/>
          <w:lang w:val="en-US"/>
        </w:rPr>
        <w:t xml:space="preserve"> </w:t>
      </w:r>
      <w:hyperlink r:id="rId8" w:history="1">
        <w:r w:rsidR="00FB75DA" w:rsidRPr="00D5519A">
          <w:rPr>
            <w:rStyle w:val="Hyperlink"/>
            <w:rFonts w:ascii="Arial" w:hAnsi="Arial" w:cs="Arial"/>
            <w:sz w:val="22"/>
            <w:szCs w:val="22"/>
            <w:lang w:val="en-US"/>
          </w:rPr>
          <w:t>https://journals.sagepub.com/doi/full/10.1177/17449871241281428</w:t>
        </w:r>
      </w:hyperlink>
    </w:p>
    <w:p w14:paraId="15CC1379" w14:textId="0FA3AD44" w:rsidR="00FE19A1" w:rsidRPr="00D5519A" w:rsidRDefault="00FE19A1" w:rsidP="00D5519A">
      <w:pPr>
        <w:pStyle w:val="NormalWeb"/>
        <w:spacing w:line="360" w:lineRule="auto"/>
        <w:jc w:val="both"/>
        <w:rPr>
          <w:rFonts w:ascii="Arial" w:hAnsi="Arial" w:cs="Arial"/>
          <w:sz w:val="22"/>
          <w:szCs w:val="22"/>
          <w:lang w:val="en-US"/>
        </w:rPr>
      </w:pPr>
      <w:r w:rsidRPr="00D5519A">
        <w:rPr>
          <w:rFonts w:ascii="Arial" w:hAnsi="Arial" w:cs="Arial"/>
          <w:sz w:val="22"/>
          <w:szCs w:val="22"/>
        </w:rPr>
        <w:t xml:space="preserve">McCormack, B. and McCance, T. (2006) 'Development of a framework for person-centred nursing', </w:t>
      </w:r>
      <w:r w:rsidRPr="00D5519A">
        <w:rPr>
          <w:rStyle w:val="Emphasis"/>
          <w:rFonts w:ascii="Arial" w:hAnsi="Arial" w:cs="Arial"/>
          <w:sz w:val="22"/>
          <w:szCs w:val="22"/>
        </w:rPr>
        <w:t>Journal of Advanced Nursing</w:t>
      </w:r>
      <w:r w:rsidRPr="00D5519A">
        <w:rPr>
          <w:rFonts w:ascii="Arial" w:hAnsi="Arial" w:cs="Arial"/>
          <w:sz w:val="22"/>
          <w:szCs w:val="22"/>
        </w:rPr>
        <w:t>, 56(5), pp. 472–479</w:t>
      </w:r>
      <w:r w:rsidR="00FB75DA" w:rsidRPr="00D5519A">
        <w:rPr>
          <w:rFonts w:ascii="Arial" w:hAnsi="Arial" w:cs="Arial"/>
          <w:sz w:val="22"/>
          <w:szCs w:val="22"/>
          <w:lang w:val="en-US"/>
        </w:rPr>
        <w:t xml:space="preserve">. </w:t>
      </w:r>
      <w:hyperlink r:id="rId9" w:history="1">
        <w:r w:rsidR="00FB75DA" w:rsidRPr="00D5519A">
          <w:rPr>
            <w:rStyle w:val="Hyperlink"/>
            <w:rFonts w:ascii="Arial" w:hAnsi="Arial" w:cs="Arial"/>
            <w:sz w:val="22"/>
            <w:szCs w:val="22"/>
            <w:lang w:val="en-US"/>
          </w:rPr>
          <w:t>https://pubmed.ncbi.nlm.nih.gov/17078823/</w:t>
        </w:r>
      </w:hyperlink>
    </w:p>
    <w:p w14:paraId="5113BC6F" w14:textId="092B6AEC"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Tao, H. et al. (2021) 'Person-centred care: a definition and essential elements', </w:t>
      </w:r>
      <w:r w:rsidRPr="00D5519A">
        <w:rPr>
          <w:rStyle w:val="Emphasis"/>
          <w:rFonts w:ascii="Arial" w:hAnsi="Arial" w:cs="Arial"/>
          <w:sz w:val="22"/>
          <w:szCs w:val="22"/>
        </w:rPr>
        <w:t>Journal of Nursing Scholarship</w:t>
      </w:r>
      <w:r w:rsidRPr="00D5519A">
        <w:rPr>
          <w:rFonts w:ascii="Arial" w:hAnsi="Arial" w:cs="Arial"/>
          <w:sz w:val="22"/>
          <w:szCs w:val="22"/>
        </w:rPr>
        <w:t xml:space="preserve">, 53(6), pp. 660–670. </w:t>
      </w:r>
      <w:hyperlink r:id="rId10" w:history="1">
        <w:r w:rsidR="00FB75DA" w:rsidRPr="00D5519A">
          <w:rPr>
            <w:rStyle w:val="Hyperlink"/>
            <w:rFonts w:ascii="Arial" w:hAnsi="Arial" w:cs="Arial"/>
            <w:sz w:val="22"/>
            <w:szCs w:val="22"/>
          </w:rPr>
          <w:t>https://pubmed.ncbi.nlm.nih.gov/34409724/</w:t>
        </w:r>
      </w:hyperlink>
    </w:p>
    <w:p w14:paraId="7D30BFFE" w14:textId="717C5956"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Beauchamp, T.L. and Childress, J.F. (2019). </w:t>
      </w:r>
      <w:r w:rsidRPr="00D5519A">
        <w:rPr>
          <w:rStyle w:val="Emphasis"/>
          <w:rFonts w:ascii="Arial" w:hAnsi="Arial" w:cs="Arial"/>
          <w:sz w:val="22"/>
          <w:szCs w:val="22"/>
        </w:rPr>
        <w:t>Principles of biomedical ethics</w:t>
      </w:r>
      <w:r w:rsidRPr="00D5519A">
        <w:rPr>
          <w:rFonts w:ascii="Arial" w:hAnsi="Arial" w:cs="Arial"/>
          <w:sz w:val="22"/>
          <w:szCs w:val="22"/>
        </w:rPr>
        <w:t xml:space="preserve">. 8th </w:t>
      </w:r>
      <w:proofErr w:type="spellStart"/>
      <w:r w:rsidRPr="00D5519A">
        <w:rPr>
          <w:rFonts w:ascii="Arial" w:hAnsi="Arial" w:cs="Arial"/>
          <w:sz w:val="22"/>
          <w:szCs w:val="22"/>
        </w:rPr>
        <w:t>edn</w:t>
      </w:r>
      <w:proofErr w:type="spellEnd"/>
      <w:r w:rsidRPr="00D5519A">
        <w:rPr>
          <w:rFonts w:ascii="Arial" w:hAnsi="Arial" w:cs="Arial"/>
          <w:sz w:val="22"/>
          <w:szCs w:val="22"/>
        </w:rPr>
        <w:t>. New York: Oxford University Press.</w:t>
      </w:r>
    </w:p>
    <w:p w14:paraId="52427306" w14:textId="4A7C25C9"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Nursing and Midwifery Council (2018). </w:t>
      </w:r>
      <w:r w:rsidRPr="00D5519A">
        <w:rPr>
          <w:rStyle w:val="Emphasis"/>
          <w:rFonts w:ascii="Arial" w:hAnsi="Arial" w:cs="Arial"/>
          <w:sz w:val="22"/>
          <w:szCs w:val="22"/>
        </w:rPr>
        <w:t>The code: professional standards of practice and behaviour for nurses, midwives and nursing associates</w:t>
      </w:r>
      <w:r w:rsidRPr="00D5519A">
        <w:rPr>
          <w:rFonts w:ascii="Arial" w:hAnsi="Arial" w:cs="Arial"/>
          <w:sz w:val="22"/>
          <w:szCs w:val="22"/>
        </w:rPr>
        <w:t xml:space="preserve">. London: NMC. </w:t>
      </w:r>
      <w:hyperlink r:id="rId11" w:tgtFrame="_new" w:history="1">
        <w:r w:rsidRPr="00D5519A">
          <w:rPr>
            <w:rStyle w:val="Hyperlink"/>
            <w:rFonts w:ascii="Arial" w:hAnsi="Arial" w:cs="Arial"/>
            <w:sz w:val="22"/>
            <w:szCs w:val="22"/>
          </w:rPr>
          <w:t>https://www.nmc.org.uk/globalassets/sitedocuments/nmc-publications/nmc-code.pdf</w:t>
        </w:r>
      </w:hyperlink>
    </w:p>
    <w:p w14:paraId="5A43A1D7"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HM Government (2005) </w:t>
      </w:r>
      <w:r w:rsidRPr="00D5519A">
        <w:rPr>
          <w:rStyle w:val="Emphasis"/>
          <w:rFonts w:ascii="Arial" w:hAnsi="Arial" w:cs="Arial"/>
          <w:sz w:val="22"/>
          <w:szCs w:val="22"/>
        </w:rPr>
        <w:t>Mental Capacity Act 2005</w:t>
      </w:r>
      <w:r w:rsidRPr="00D5519A">
        <w:rPr>
          <w:rFonts w:ascii="Arial" w:hAnsi="Arial" w:cs="Arial"/>
          <w:sz w:val="22"/>
          <w:szCs w:val="22"/>
        </w:rPr>
        <w:t xml:space="preserve">. London: HMSO. </w:t>
      </w:r>
      <w:hyperlink r:id="rId12" w:tgtFrame="_new" w:history="1">
        <w:r w:rsidRPr="00D5519A">
          <w:rPr>
            <w:rStyle w:val="Hyperlink"/>
            <w:rFonts w:ascii="Arial" w:hAnsi="Arial" w:cs="Arial"/>
            <w:sz w:val="22"/>
            <w:szCs w:val="22"/>
          </w:rPr>
          <w:t>https://www.legislation.gov.uk/ukpga/2005/9/contents</w:t>
        </w:r>
      </w:hyperlink>
    </w:p>
    <w:p w14:paraId="6FA4AE30" w14:textId="5D024DB1" w:rsidR="00FE19A1" w:rsidRPr="00D5519A" w:rsidRDefault="00FE19A1" w:rsidP="00D5519A">
      <w:pPr>
        <w:pStyle w:val="NormalWeb"/>
        <w:spacing w:line="360" w:lineRule="auto"/>
        <w:jc w:val="both"/>
        <w:rPr>
          <w:rFonts w:ascii="Arial" w:hAnsi="Arial" w:cs="Arial"/>
          <w:sz w:val="22"/>
          <w:szCs w:val="22"/>
          <w:lang w:val="en-US"/>
        </w:rPr>
      </w:pPr>
      <w:r w:rsidRPr="00D5519A">
        <w:rPr>
          <w:rFonts w:ascii="Arial" w:hAnsi="Arial" w:cs="Arial"/>
          <w:sz w:val="22"/>
          <w:szCs w:val="22"/>
        </w:rPr>
        <w:t xml:space="preserve">Glasby, J. and Dickinson, H. (2014) </w:t>
      </w:r>
      <w:r w:rsidRPr="00D5519A">
        <w:rPr>
          <w:rStyle w:val="Emphasis"/>
          <w:rFonts w:ascii="Arial" w:hAnsi="Arial" w:cs="Arial"/>
          <w:sz w:val="22"/>
          <w:szCs w:val="22"/>
        </w:rPr>
        <w:t>Partnership working in health and social care: what is integrated care and how can we deliver it?</w:t>
      </w:r>
      <w:r w:rsidRPr="00D5519A">
        <w:rPr>
          <w:rFonts w:ascii="Arial" w:hAnsi="Arial" w:cs="Arial"/>
          <w:sz w:val="22"/>
          <w:szCs w:val="22"/>
        </w:rPr>
        <w:t xml:space="preserve"> 2nd </w:t>
      </w:r>
      <w:proofErr w:type="spellStart"/>
      <w:r w:rsidRPr="00D5519A">
        <w:rPr>
          <w:rFonts w:ascii="Arial" w:hAnsi="Arial" w:cs="Arial"/>
          <w:sz w:val="22"/>
          <w:szCs w:val="22"/>
        </w:rPr>
        <w:t>edn</w:t>
      </w:r>
      <w:proofErr w:type="spellEnd"/>
      <w:r w:rsidRPr="00D5519A">
        <w:rPr>
          <w:rFonts w:ascii="Arial" w:hAnsi="Arial" w:cs="Arial"/>
          <w:sz w:val="22"/>
          <w:szCs w:val="22"/>
        </w:rPr>
        <w:t>. Bristol: Policy Press.</w:t>
      </w:r>
      <w:r w:rsidR="00FB75DA" w:rsidRPr="00D5519A">
        <w:rPr>
          <w:rFonts w:ascii="Arial" w:hAnsi="Arial" w:cs="Arial"/>
          <w:sz w:val="22"/>
          <w:szCs w:val="22"/>
          <w:lang w:val="en-US"/>
        </w:rPr>
        <w:t xml:space="preserve"> </w:t>
      </w:r>
      <w:hyperlink r:id="rId13" w:history="1">
        <w:r w:rsidR="00FB75DA" w:rsidRPr="00D5519A">
          <w:rPr>
            <w:rStyle w:val="Hyperlink"/>
            <w:rFonts w:ascii="Arial" w:hAnsi="Arial" w:cs="Arial"/>
            <w:sz w:val="22"/>
            <w:szCs w:val="22"/>
            <w:lang w:val="en-US"/>
          </w:rPr>
          <w:t>https://policy.bristoluniversitypress.co.uk/partnership-working-in-health-and-social-care-second-edition</w:t>
        </w:r>
      </w:hyperlink>
    </w:p>
    <w:p w14:paraId="1BBB55A9"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Curreri, N.A. (2019) 'Partnership working in health and social care', </w:t>
      </w:r>
      <w:r w:rsidRPr="00D5519A">
        <w:rPr>
          <w:rStyle w:val="Emphasis"/>
          <w:rFonts w:ascii="Arial" w:hAnsi="Arial" w:cs="Arial"/>
          <w:sz w:val="22"/>
          <w:szCs w:val="22"/>
        </w:rPr>
        <w:t>International Journal of Integrated Care</w:t>
      </w:r>
      <w:r w:rsidRPr="00D5519A">
        <w:rPr>
          <w:rFonts w:ascii="Arial" w:hAnsi="Arial" w:cs="Arial"/>
          <w:sz w:val="22"/>
          <w:szCs w:val="22"/>
        </w:rPr>
        <w:t xml:space="preserve">, 19(2). </w:t>
      </w:r>
      <w:proofErr w:type="spellStart"/>
      <w:r w:rsidRPr="00D5519A">
        <w:rPr>
          <w:rFonts w:ascii="Arial" w:hAnsi="Arial" w:cs="Arial"/>
          <w:sz w:val="22"/>
          <w:szCs w:val="22"/>
        </w:rPr>
        <w:t>doi</w:t>
      </w:r>
      <w:proofErr w:type="spellEnd"/>
      <w:r w:rsidRPr="00D5519A">
        <w:rPr>
          <w:rFonts w:ascii="Arial" w:hAnsi="Arial" w:cs="Arial"/>
          <w:sz w:val="22"/>
          <w:szCs w:val="22"/>
        </w:rPr>
        <w:t xml:space="preserve">: 10.5334/ijic.4565. </w:t>
      </w:r>
      <w:hyperlink r:id="rId14" w:tgtFrame="_new" w:history="1">
        <w:r w:rsidRPr="00D5519A">
          <w:rPr>
            <w:rStyle w:val="Hyperlink"/>
            <w:rFonts w:ascii="Arial" w:hAnsi="Arial" w:cs="Arial"/>
            <w:sz w:val="22"/>
            <w:szCs w:val="22"/>
          </w:rPr>
          <w:t>https://pmc.ncbi.nlm.nih.gov/articles/PMC6611481/</w:t>
        </w:r>
      </w:hyperlink>
    </w:p>
    <w:p w14:paraId="7CD1EF5C" w14:textId="77777777" w:rsidR="00FE19A1" w:rsidRPr="00D5519A" w:rsidRDefault="00FE19A1" w:rsidP="00D5519A">
      <w:pPr>
        <w:pStyle w:val="NormalWeb"/>
        <w:spacing w:line="360" w:lineRule="auto"/>
        <w:jc w:val="both"/>
        <w:rPr>
          <w:rFonts w:ascii="Arial" w:hAnsi="Arial" w:cs="Arial"/>
          <w:sz w:val="22"/>
          <w:szCs w:val="22"/>
        </w:rPr>
      </w:pPr>
      <w:proofErr w:type="spellStart"/>
      <w:r w:rsidRPr="00D5519A">
        <w:rPr>
          <w:rFonts w:ascii="Arial" w:hAnsi="Arial" w:cs="Arial"/>
          <w:sz w:val="22"/>
          <w:szCs w:val="22"/>
        </w:rPr>
        <w:lastRenderedPageBreak/>
        <w:t>Leathard</w:t>
      </w:r>
      <w:proofErr w:type="spellEnd"/>
      <w:r w:rsidRPr="00D5519A">
        <w:rPr>
          <w:rFonts w:ascii="Arial" w:hAnsi="Arial" w:cs="Arial"/>
          <w:sz w:val="22"/>
          <w:szCs w:val="22"/>
        </w:rPr>
        <w:t xml:space="preserve">, A. (ed.) (2003) </w:t>
      </w:r>
      <w:r w:rsidRPr="00D5519A">
        <w:rPr>
          <w:rStyle w:val="Emphasis"/>
          <w:rFonts w:ascii="Arial" w:hAnsi="Arial" w:cs="Arial"/>
          <w:sz w:val="22"/>
          <w:szCs w:val="22"/>
        </w:rPr>
        <w:t>Interprofessional collaboration: from policy to practice in health and social care</w:t>
      </w:r>
      <w:r w:rsidRPr="00D5519A">
        <w:rPr>
          <w:rFonts w:ascii="Arial" w:hAnsi="Arial" w:cs="Arial"/>
          <w:sz w:val="22"/>
          <w:szCs w:val="22"/>
        </w:rPr>
        <w:t>. Hove: Brunner-Routledge.</w:t>
      </w:r>
    </w:p>
    <w:p w14:paraId="1CD89AC1" w14:textId="77777777" w:rsidR="00FE19A1" w:rsidRPr="00D5519A" w:rsidRDefault="00FE19A1" w:rsidP="00D5519A">
      <w:pPr>
        <w:pStyle w:val="NormalWeb"/>
        <w:spacing w:line="360" w:lineRule="auto"/>
        <w:jc w:val="both"/>
        <w:rPr>
          <w:rFonts w:ascii="Arial" w:hAnsi="Arial" w:cs="Arial"/>
          <w:sz w:val="22"/>
          <w:szCs w:val="22"/>
        </w:rPr>
      </w:pPr>
      <w:proofErr w:type="spellStart"/>
      <w:r w:rsidRPr="00D5519A">
        <w:rPr>
          <w:rFonts w:ascii="Arial" w:hAnsi="Arial" w:cs="Arial"/>
          <w:sz w:val="22"/>
          <w:szCs w:val="22"/>
        </w:rPr>
        <w:t>Gröne</w:t>
      </w:r>
      <w:proofErr w:type="spellEnd"/>
      <w:r w:rsidRPr="00D5519A">
        <w:rPr>
          <w:rFonts w:ascii="Arial" w:hAnsi="Arial" w:cs="Arial"/>
          <w:sz w:val="22"/>
          <w:szCs w:val="22"/>
        </w:rPr>
        <w:t xml:space="preserve">, O. and Garcia-Barbero, M. (2001) 'Integrated care: a position paper of the WHO European Office for Integrated Health Care Services', </w:t>
      </w:r>
      <w:r w:rsidRPr="00D5519A">
        <w:rPr>
          <w:rStyle w:val="Emphasis"/>
          <w:rFonts w:ascii="Arial" w:hAnsi="Arial" w:cs="Arial"/>
          <w:sz w:val="22"/>
          <w:szCs w:val="22"/>
        </w:rPr>
        <w:t>International Journal of Integrated Care</w:t>
      </w:r>
      <w:r w:rsidRPr="00D5519A">
        <w:rPr>
          <w:rFonts w:ascii="Arial" w:hAnsi="Arial" w:cs="Arial"/>
          <w:sz w:val="22"/>
          <w:szCs w:val="22"/>
        </w:rPr>
        <w:t xml:space="preserve">, 1(1). </w:t>
      </w:r>
      <w:hyperlink r:id="rId15" w:tgtFrame="_new" w:history="1">
        <w:r w:rsidRPr="00D5519A">
          <w:rPr>
            <w:rStyle w:val="Hyperlink"/>
            <w:rFonts w:ascii="Arial" w:hAnsi="Arial" w:cs="Arial"/>
            <w:sz w:val="22"/>
            <w:szCs w:val="22"/>
          </w:rPr>
          <w:t>https://pmc.ncbi.nlm.nih.gov/articles/PMC1484411/</w:t>
        </w:r>
      </w:hyperlink>
    </w:p>
    <w:p w14:paraId="3CB59B2E"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HM Government (2014) </w:t>
      </w:r>
      <w:r w:rsidRPr="00D5519A">
        <w:rPr>
          <w:rStyle w:val="Emphasis"/>
          <w:rFonts w:ascii="Arial" w:hAnsi="Arial" w:cs="Arial"/>
          <w:sz w:val="22"/>
          <w:szCs w:val="22"/>
        </w:rPr>
        <w:t>Care Act 2014</w:t>
      </w:r>
      <w:r w:rsidRPr="00D5519A">
        <w:rPr>
          <w:rFonts w:ascii="Arial" w:hAnsi="Arial" w:cs="Arial"/>
          <w:sz w:val="22"/>
          <w:szCs w:val="22"/>
        </w:rPr>
        <w:t xml:space="preserve">. London: HMSO. </w:t>
      </w:r>
      <w:hyperlink r:id="rId16" w:tgtFrame="_new" w:history="1">
        <w:r w:rsidRPr="00D5519A">
          <w:rPr>
            <w:rStyle w:val="Hyperlink"/>
            <w:rFonts w:ascii="Arial" w:hAnsi="Arial" w:cs="Arial"/>
            <w:sz w:val="22"/>
            <w:szCs w:val="22"/>
          </w:rPr>
          <w:t>https://www.legislation.gov.uk/ukpga/2014/23/contents</w:t>
        </w:r>
      </w:hyperlink>
    </w:p>
    <w:p w14:paraId="1E0F0EFA"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Department of Health (2016) </w:t>
      </w:r>
      <w:r w:rsidRPr="00D5519A">
        <w:rPr>
          <w:rStyle w:val="Emphasis"/>
          <w:rFonts w:ascii="Arial" w:hAnsi="Arial" w:cs="Arial"/>
          <w:sz w:val="22"/>
          <w:szCs w:val="22"/>
        </w:rPr>
        <w:t>Care and support statutory guidance issued under the Care Act 2014</w:t>
      </w:r>
      <w:r w:rsidRPr="00D5519A">
        <w:rPr>
          <w:rFonts w:ascii="Arial" w:hAnsi="Arial" w:cs="Arial"/>
          <w:sz w:val="22"/>
          <w:szCs w:val="22"/>
        </w:rPr>
        <w:t xml:space="preserve">. London: Department of Health. </w:t>
      </w:r>
      <w:hyperlink r:id="rId17" w:tgtFrame="_new" w:history="1">
        <w:r w:rsidRPr="00D5519A">
          <w:rPr>
            <w:rStyle w:val="Hyperlink"/>
            <w:rFonts w:ascii="Arial" w:hAnsi="Arial" w:cs="Arial"/>
            <w:sz w:val="22"/>
            <w:szCs w:val="22"/>
          </w:rPr>
          <w:t>https://www.gov.uk/government/publications/care-act-statutory-guidance/care-and-support-statutory-guidance</w:t>
        </w:r>
      </w:hyperlink>
    </w:p>
    <w:p w14:paraId="42BE4970"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HM Government (2012) </w:t>
      </w:r>
      <w:r w:rsidRPr="00D5519A">
        <w:rPr>
          <w:rStyle w:val="Emphasis"/>
          <w:rFonts w:ascii="Arial" w:hAnsi="Arial" w:cs="Arial"/>
          <w:sz w:val="22"/>
          <w:szCs w:val="22"/>
        </w:rPr>
        <w:t>Health and Social Care Act 2012</w:t>
      </w:r>
      <w:r w:rsidRPr="00D5519A">
        <w:rPr>
          <w:rFonts w:ascii="Arial" w:hAnsi="Arial" w:cs="Arial"/>
          <w:sz w:val="22"/>
          <w:szCs w:val="22"/>
        </w:rPr>
        <w:t xml:space="preserve">. London: HMSO. </w:t>
      </w:r>
      <w:hyperlink r:id="rId18" w:tgtFrame="_new" w:history="1">
        <w:r w:rsidRPr="00D5519A">
          <w:rPr>
            <w:rStyle w:val="Hyperlink"/>
            <w:rFonts w:ascii="Arial" w:hAnsi="Arial" w:cs="Arial"/>
            <w:sz w:val="22"/>
            <w:szCs w:val="22"/>
          </w:rPr>
          <w:t>https://www.legislation.gov.uk/ukpga/2012/7/contents</w:t>
        </w:r>
      </w:hyperlink>
    </w:p>
    <w:p w14:paraId="19142582"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Welsh Government (2014) </w:t>
      </w:r>
      <w:r w:rsidRPr="00D5519A">
        <w:rPr>
          <w:rStyle w:val="Emphasis"/>
          <w:rFonts w:ascii="Arial" w:hAnsi="Arial" w:cs="Arial"/>
          <w:sz w:val="22"/>
          <w:szCs w:val="22"/>
        </w:rPr>
        <w:t>Social Services and Well-being (Wales) Act 2014</w:t>
      </w:r>
      <w:r w:rsidRPr="00D5519A">
        <w:rPr>
          <w:rFonts w:ascii="Arial" w:hAnsi="Arial" w:cs="Arial"/>
          <w:sz w:val="22"/>
          <w:szCs w:val="22"/>
        </w:rPr>
        <w:t xml:space="preserve">. Cardiff: Welsh Government. </w:t>
      </w:r>
      <w:hyperlink r:id="rId19" w:tgtFrame="_new" w:history="1">
        <w:r w:rsidRPr="00D5519A">
          <w:rPr>
            <w:rStyle w:val="Hyperlink"/>
            <w:rFonts w:ascii="Arial" w:hAnsi="Arial" w:cs="Arial"/>
            <w:sz w:val="22"/>
            <w:szCs w:val="22"/>
          </w:rPr>
          <w:t>https://www.legislation.gov.uk/anaw/2014/4/contents</w:t>
        </w:r>
      </w:hyperlink>
    </w:p>
    <w:p w14:paraId="34EF9B35"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Social Care Wales (2022) </w:t>
      </w:r>
      <w:r w:rsidRPr="00D5519A">
        <w:rPr>
          <w:rStyle w:val="Emphasis"/>
          <w:rFonts w:ascii="Arial" w:hAnsi="Arial" w:cs="Arial"/>
          <w:sz w:val="22"/>
          <w:szCs w:val="22"/>
        </w:rPr>
        <w:t>Getting in on the Act: Social Services and Well-being (Wales) Act 2014 — information and learning hub</w:t>
      </w:r>
      <w:r w:rsidRPr="00D5519A">
        <w:rPr>
          <w:rFonts w:ascii="Arial" w:hAnsi="Arial" w:cs="Arial"/>
          <w:sz w:val="22"/>
          <w:szCs w:val="22"/>
        </w:rPr>
        <w:t xml:space="preserve">. Cardiff: Social Care Wales. </w:t>
      </w:r>
      <w:hyperlink r:id="rId20" w:tgtFrame="_new" w:history="1">
        <w:r w:rsidRPr="00D5519A">
          <w:rPr>
            <w:rStyle w:val="Hyperlink"/>
            <w:rFonts w:ascii="Arial" w:hAnsi="Arial" w:cs="Arial"/>
            <w:sz w:val="22"/>
            <w:szCs w:val="22"/>
          </w:rPr>
          <w:t>https://socialcare.wales/resources-guidance/information-and-learning-hub/sswbact/overview</w:t>
        </w:r>
      </w:hyperlink>
    </w:p>
    <w:p w14:paraId="672215D2"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NHS England (2019) </w:t>
      </w:r>
      <w:r w:rsidRPr="00D5519A">
        <w:rPr>
          <w:rStyle w:val="Emphasis"/>
          <w:rFonts w:ascii="Arial" w:hAnsi="Arial" w:cs="Arial"/>
          <w:sz w:val="22"/>
          <w:szCs w:val="22"/>
        </w:rPr>
        <w:t>The NHS long term plan</w:t>
      </w:r>
      <w:r w:rsidRPr="00D5519A">
        <w:rPr>
          <w:rFonts w:ascii="Arial" w:hAnsi="Arial" w:cs="Arial"/>
          <w:sz w:val="22"/>
          <w:szCs w:val="22"/>
        </w:rPr>
        <w:t xml:space="preserve">. Leeds: NHS England. </w:t>
      </w:r>
      <w:hyperlink r:id="rId21" w:tgtFrame="_new" w:history="1">
        <w:r w:rsidRPr="00D5519A">
          <w:rPr>
            <w:rStyle w:val="Hyperlink"/>
            <w:rFonts w:ascii="Arial" w:hAnsi="Arial" w:cs="Arial"/>
            <w:sz w:val="22"/>
            <w:szCs w:val="22"/>
          </w:rPr>
          <w:t>https://www.longtermplan.nhs.uk/</w:t>
        </w:r>
      </w:hyperlink>
    </w:p>
    <w:p w14:paraId="21AC03C4"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World Health Organization (2016) </w:t>
      </w:r>
      <w:r w:rsidRPr="00D5519A">
        <w:rPr>
          <w:rStyle w:val="Emphasis"/>
          <w:rFonts w:ascii="Arial" w:hAnsi="Arial" w:cs="Arial"/>
          <w:sz w:val="22"/>
          <w:szCs w:val="22"/>
        </w:rPr>
        <w:t>Framework on integrated, people-centred health services</w:t>
      </w:r>
      <w:r w:rsidRPr="00D5519A">
        <w:rPr>
          <w:rFonts w:ascii="Arial" w:hAnsi="Arial" w:cs="Arial"/>
          <w:sz w:val="22"/>
          <w:szCs w:val="22"/>
        </w:rPr>
        <w:t xml:space="preserve">. Geneva: WHO. </w:t>
      </w:r>
      <w:hyperlink r:id="rId22" w:tgtFrame="_new" w:history="1">
        <w:r w:rsidRPr="00D5519A">
          <w:rPr>
            <w:rStyle w:val="Hyperlink"/>
            <w:rFonts w:ascii="Arial" w:hAnsi="Arial" w:cs="Arial"/>
            <w:sz w:val="22"/>
            <w:szCs w:val="22"/>
          </w:rPr>
          <w:t>https://apps.who.int/gb/ebwha/pdf_files/wha69/a69_39-en.pdf</w:t>
        </w:r>
      </w:hyperlink>
    </w:p>
    <w:p w14:paraId="5F192DF3" w14:textId="77777777" w:rsidR="00FE19A1" w:rsidRPr="00D5519A" w:rsidRDefault="00FE19A1" w:rsidP="00D5519A">
      <w:pPr>
        <w:pStyle w:val="NormalWeb"/>
        <w:spacing w:line="360" w:lineRule="auto"/>
        <w:jc w:val="both"/>
        <w:rPr>
          <w:rFonts w:ascii="Arial" w:hAnsi="Arial" w:cs="Arial"/>
          <w:sz w:val="22"/>
          <w:szCs w:val="22"/>
        </w:rPr>
      </w:pPr>
      <w:r w:rsidRPr="00D5519A">
        <w:rPr>
          <w:rFonts w:ascii="Arial" w:hAnsi="Arial" w:cs="Arial"/>
          <w:sz w:val="22"/>
          <w:szCs w:val="22"/>
        </w:rPr>
        <w:t xml:space="preserve">The King's Fund (2023) </w:t>
      </w:r>
      <w:r w:rsidRPr="00D5519A">
        <w:rPr>
          <w:rStyle w:val="Emphasis"/>
          <w:rFonts w:ascii="Arial" w:hAnsi="Arial" w:cs="Arial"/>
          <w:sz w:val="22"/>
          <w:szCs w:val="22"/>
        </w:rPr>
        <w:t>Integrated care systems: what do they do and how are they performing?</w:t>
      </w:r>
      <w:r w:rsidRPr="00D5519A">
        <w:rPr>
          <w:rFonts w:ascii="Arial" w:hAnsi="Arial" w:cs="Arial"/>
          <w:sz w:val="22"/>
          <w:szCs w:val="22"/>
        </w:rPr>
        <w:t xml:space="preserve"> London: The King's Fund. </w:t>
      </w:r>
      <w:hyperlink r:id="rId23" w:tgtFrame="_new" w:history="1">
        <w:r w:rsidRPr="00D5519A">
          <w:rPr>
            <w:rStyle w:val="Hyperlink"/>
            <w:rFonts w:ascii="Arial" w:hAnsi="Arial" w:cs="Arial"/>
            <w:sz w:val="22"/>
            <w:szCs w:val="22"/>
          </w:rPr>
          <w:t>https://www.kingsfund.org.uk/insight-and-analysis/long-reads/integrated-care-systems-explained</w:t>
        </w:r>
      </w:hyperlink>
    </w:p>
    <w:p w14:paraId="30659569" w14:textId="507824CC" w:rsidR="00FE19A1" w:rsidRPr="00D5519A" w:rsidRDefault="00FE19A1" w:rsidP="00D5519A">
      <w:pPr>
        <w:spacing w:line="360" w:lineRule="auto"/>
        <w:jc w:val="both"/>
        <w:rPr>
          <w:rFonts w:ascii="Arial" w:hAnsi="Arial" w:cs="Arial"/>
        </w:rPr>
      </w:pPr>
      <w:r w:rsidRPr="00D5519A">
        <w:rPr>
          <w:rFonts w:ascii="Arial" w:hAnsi="Arial" w:cs="Arial"/>
        </w:rPr>
        <w:t xml:space="preserve"> </w:t>
      </w:r>
    </w:p>
    <w:sectPr w:rsidR="00FE19A1" w:rsidRPr="00D5519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2193B" w14:textId="77777777" w:rsidR="00652D2F" w:rsidRDefault="00652D2F" w:rsidP="00FB75DA">
      <w:pPr>
        <w:spacing w:after="0" w:line="240" w:lineRule="auto"/>
      </w:pPr>
      <w:r>
        <w:separator/>
      </w:r>
    </w:p>
  </w:endnote>
  <w:endnote w:type="continuationSeparator" w:id="0">
    <w:p w14:paraId="5E758BBB" w14:textId="77777777" w:rsidR="00652D2F" w:rsidRDefault="00652D2F" w:rsidP="00FB7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030369"/>
      <w:docPartObj>
        <w:docPartGallery w:val="Page Numbers (Bottom of Page)"/>
        <w:docPartUnique/>
      </w:docPartObj>
    </w:sdtPr>
    <w:sdtContent>
      <w:sdt>
        <w:sdtPr>
          <w:id w:val="-1705238520"/>
          <w:docPartObj>
            <w:docPartGallery w:val="Page Numbers (Top of Page)"/>
            <w:docPartUnique/>
          </w:docPartObj>
        </w:sdtPr>
        <w:sdtContent>
          <w:p w14:paraId="04BB8D37" w14:textId="6DA9E9E2" w:rsidR="00FB75DA" w:rsidRDefault="00FB75DA">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3B6980F" w14:textId="77777777" w:rsidR="00FB75DA" w:rsidRDefault="00FB7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A8E74" w14:textId="77777777" w:rsidR="00652D2F" w:rsidRDefault="00652D2F" w:rsidP="00FB75DA">
      <w:pPr>
        <w:spacing w:after="0" w:line="240" w:lineRule="auto"/>
      </w:pPr>
      <w:r>
        <w:separator/>
      </w:r>
    </w:p>
  </w:footnote>
  <w:footnote w:type="continuationSeparator" w:id="0">
    <w:p w14:paraId="55EFE8C9" w14:textId="77777777" w:rsidR="00652D2F" w:rsidRDefault="00652D2F" w:rsidP="00FB75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334"/>
    <w:rsid w:val="00306581"/>
    <w:rsid w:val="003F7511"/>
    <w:rsid w:val="00420295"/>
    <w:rsid w:val="004B7334"/>
    <w:rsid w:val="00652D2F"/>
    <w:rsid w:val="00666549"/>
    <w:rsid w:val="00970B48"/>
    <w:rsid w:val="00AC4830"/>
    <w:rsid w:val="00D5519A"/>
    <w:rsid w:val="00F8574C"/>
    <w:rsid w:val="00FB75DA"/>
    <w:rsid w:val="00FE1349"/>
    <w:rsid w:val="00FE19A1"/>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73A35"/>
  <w15:chartTrackingRefBased/>
  <w15:docId w15:val="{31B28675-63E4-46DB-A16A-D192A7F42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B73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334"/>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semiHidden/>
    <w:unhideWhenUsed/>
    <w:rsid w:val="00FE19A1"/>
    <w:pPr>
      <w:spacing w:before="100" w:beforeAutospacing="1" w:after="100" w:afterAutospacing="1" w:line="240" w:lineRule="auto"/>
    </w:pPr>
    <w:rPr>
      <w:rFonts w:ascii="Times New Roman" w:eastAsia="Times New Roman" w:hAnsi="Times New Roman" w:cs="Times New Roman"/>
      <w:sz w:val="24"/>
      <w:szCs w:val="24"/>
      <w:lang w:val="en-KE" w:eastAsia="en-KE"/>
    </w:rPr>
  </w:style>
  <w:style w:type="character" w:styleId="Emphasis">
    <w:name w:val="Emphasis"/>
    <w:basedOn w:val="DefaultParagraphFont"/>
    <w:uiPriority w:val="20"/>
    <w:qFormat/>
    <w:rsid w:val="00FE19A1"/>
    <w:rPr>
      <w:i/>
      <w:iCs/>
    </w:rPr>
  </w:style>
  <w:style w:type="character" w:styleId="Hyperlink">
    <w:name w:val="Hyperlink"/>
    <w:basedOn w:val="DefaultParagraphFont"/>
    <w:uiPriority w:val="99"/>
    <w:unhideWhenUsed/>
    <w:rsid w:val="00FE19A1"/>
    <w:rPr>
      <w:color w:val="0000FF"/>
      <w:u w:val="single"/>
    </w:rPr>
  </w:style>
  <w:style w:type="character" w:styleId="UnresolvedMention">
    <w:name w:val="Unresolved Mention"/>
    <w:basedOn w:val="DefaultParagraphFont"/>
    <w:uiPriority w:val="99"/>
    <w:semiHidden/>
    <w:unhideWhenUsed/>
    <w:rsid w:val="00FB75DA"/>
    <w:rPr>
      <w:color w:val="605E5C"/>
      <w:shd w:val="clear" w:color="auto" w:fill="E1DFDD"/>
    </w:rPr>
  </w:style>
  <w:style w:type="paragraph" w:styleId="Header">
    <w:name w:val="header"/>
    <w:basedOn w:val="Normal"/>
    <w:link w:val="HeaderChar"/>
    <w:uiPriority w:val="99"/>
    <w:unhideWhenUsed/>
    <w:rsid w:val="00FB7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5DA"/>
    <w:rPr>
      <w:lang w:val="en-GB"/>
    </w:rPr>
  </w:style>
  <w:style w:type="paragraph" w:styleId="Footer">
    <w:name w:val="footer"/>
    <w:basedOn w:val="Normal"/>
    <w:link w:val="FooterChar"/>
    <w:uiPriority w:val="99"/>
    <w:unhideWhenUsed/>
    <w:rsid w:val="00FB7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5DA"/>
    <w:rPr>
      <w:lang w:val="en-GB"/>
    </w:rPr>
  </w:style>
  <w:style w:type="paragraph" w:styleId="TOCHeading">
    <w:name w:val="TOC Heading"/>
    <w:basedOn w:val="Heading1"/>
    <w:next w:val="Normal"/>
    <w:uiPriority w:val="39"/>
    <w:unhideWhenUsed/>
    <w:qFormat/>
    <w:rsid w:val="00D5519A"/>
    <w:pPr>
      <w:outlineLvl w:val="9"/>
    </w:pPr>
    <w:rPr>
      <w:lang w:val="en-US"/>
    </w:rPr>
  </w:style>
  <w:style w:type="paragraph" w:styleId="TOC1">
    <w:name w:val="toc 1"/>
    <w:basedOn w:val="Normal"/>
    <w:next w:val="Normal"/>
    <w:autoRedefine/>
    <w:uiPriority w:val="39"/>
    <w:unhideWhenUsed/>
    <w:rsid w:val="00D551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068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7449871241281428" TargetMode="External"/><Relationship Id="rId13" Type="http://schemas.openxmlformats.org/officeDocument/2006/relationships/hyperlink" Target="https://policy.bristoluniversitypress.co.uk/partnership-working-in-health-and-social-care-second-edition" TargetMode="External"/><Relationship Id="rId18" Type="http://schemas.openxmlformats.org/officeDocument/2006/relationships/hyperlink" Target="https://www.legislation.gov.uk/ukpga/2012/7/content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ongtermplan.nhs.uk/" TargetMode="External"/><Relationship Id="rId7" Type="http://schemas.openxmlformats.org/officeDocument/2006/relationships/hyperlink" Target="https://www.health.org.uk/sites/default/files/PersonCentredCareMadeSimple.pdf" TargetMode="External"/><Relationship Id="rId12" Type="http://schemas.openxmlformats.org/officeDocument/2006/relationships/hyperlink" Target="https://www.legislation.gov.uk/ukpga/2005/9/contents" TargetMode="External"/><Relationship Id="rId17" Type="http://schemas.openxmlformats.org/officeDocument/2006/relationships/hyperlink" Target="https://www.gov.uk/government/publications/care-act-statutory-guidance/care-and-support-statutory-guidanc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4/23/contents" TargetMode="External"/><Relationship Id="rId20" Type="http://schemas.openxmlformats.org/officeDocument/2006/relationships/hyperlink" Target="https://socialcare.wales/resources-guidance/information-and-learning-hub/sswbact/overview"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mc.org.uk/globalassets/sitedocuments/nmc-publications/nmc-code.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mc.ncbi.nlm.nih.gov/articles/PMC1484411/" TargetMode="External"/><Relationship Id="rId23" Type="http://schemas.openxmlformats.org/officeDocument/2006/relationships/hyperlink" Target="https://www.kingsfund.org.uk/insight-and-analysis/long-reads/integrated-care-systems-explained" TargetMode="External"/><Relationship Id="rId10" Type="http://schemas.openxmlformats.org/officeDocument/2006/relationships/hyperlink" Target="https://pubmed.ncbi.nlm.nih.gov/34409724/" TargetMode="External"/><Relationship Id="rId19" Type="http://schemas.openxmlformats.org/officeDocument/2006/relationships/hyperlink" Target="https://www.legislation.gov.uk/anaw/2014/4/contents" TargetMode="External"/><Relationship Id="rId4" Type="http://schemas.openxmlformats.org/officeDocument/2006/relationships/webSettings" Target="webSettings.xml"/><Relationship Id="rId9" Type="http://schemas.openxmlformats.org/officeDocument/2006/relationships/hyperlink" Target="https://pubmed.ncbi.nlm.nih.gov/17078823/" TargetMode="External"/><Relationship Id="rId14" Type="http://schemas.openxmlformats.org/officeDocument/2006/relationships/hyperlink" Target="https://pmc.ncbi.nlm.nih.gov/articles/PMC6611481/" TargetMode="External"/><Relationship Id="rId22" Type="http://schemas.openxmlformats.org/officeDocument/2006/relationships/hyperlink" Target="https://apps.who.int/gb/ebwha/pdf_files/wha69/a69_39-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8856C-4132-4DB3-BC68-17F1331B4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3147</Words>
  <Characters>17942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2026-04-01T10:00:00Z</dcterms:created>
  <dcterms:modified xsi:type="dcterms:W3CDTF">2026-04-01T10:01:00Z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9681d94f-f223-4209-b7a3-346ed2a0814d</vt:lpwstr>
  </property>
</Properties>
</file>