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DB739" w14:textId="77777777" w:rsidR="0092250F" w:rsidRDefault="0092250F">
      <w:pPr>
        <w:spacing w:after="80"/>
      </w:pPr>
    </w:p>
    <w:p w14:paraId="68EAE90F" w14:textId="77777777" w:rsidR="0092250F" w:rsidRDefault="0092250F">
      <w:pPr>
        <w:spacing w:after="80"/>
      </w:pPr>
    </w:p>
    <w:p w14:paraId="16FBDF1C" w14:textId="77777777" w:rsidR="0092250F" w:rsidRDefault="0092250F">
      <w:pPr>
        <w:spacing w:after="80"/>
      </w:pPr>
    </w:p>
    <w:p w14:paraId="57AAF5E9" w14:textId="77777777" w:rsidR="0092250F" w:rsidRDefault="00000000">
      <w:pPr>
        <w:spacing w:before="80" w:after="80"/>
        <w:jc w:val="center"/>
      </w:pPr>
      <w:r>
        <w:rPr>
          <w:b/>
          <w:bCs/>
          <w:color w:val="1F3864"/>
        </w:rPr>
        <w:t>BA (Hons) Leadership and Management Skills for the Workplace</w:t>
      </w:r>
    </w:p>
    <w:p w14:paraId="54A8C316" w14:textId="77777777" w:rsidR="0092250F" w:rsidRDefault="0092250F">
      <w:pPr>
        <w:spacing w:after="80"/>
      </w:pPr>
    </w:p>
    <w:p w14:paraId="6950FBDB" w14:textId="77777777" w:rsidR="0092250F" w:rsidRDefault="00000000">
      <w:pPr>
        <w:spacing w:before="80" w:after="80"/>
        <w:jc w:val="center"/>
      </w:pPr>
      <w:r>
        <w:rPr>
          <w:color w:val="CCCCCC"/>
        </w:rPr>
        <w:t>─────────────────────────────────────────────</w:t>
      </w:r>
    </w:p>
    <w:p w14:paraId="62DAEABB" w14:textId="77777777" w:rsidR="0092250F" w:rsidRDefault="0092250F">
      <w:pPr>
        <w:spacing w:after="80"/>
      </w:pPr>
    </w:p>
    <w:p w14:paraId="036BF08A" w14:textId="77777777" w:rsidR="0092250F" w:rsidRDefault="00000000">
      <w:pPr>
        <w:spacing w:before="80" w:after="80"/>
        <w:jc w:val="center"/>
      </w:pPr>
      <w:r>
        <w:rPr>
          <w:b/>
          <w:bCs/>
          <w:color w:val="1F3864"/>
          <w:sz w:val="36"/>
          <w:szCs w:val="36"/>
        </w:rPr>
        <w:t>INDIVIDUAL REPORT</w:t>
      </w:r>
    </w:p>
    <w:p w14:paraId="5EF7811F" w14:textId="77777777" w:rsidR="0092250F" w:rsidRDefault="0092250F">
      <w:pPr>
        <w:spacing w:after="80"/>
      </w:pPr>
    </w:p>
    <w:p w14:paraId="58217BCB" w14:textId="77777777" w:rsidR="0092250F" w:rsidRDefault="00000000">
      <w:pPr>
        <w:spacing w:before="80" w:after="80"/>
        <w:jc w:val="center"/>
      </w:pPr>
      <w:r>
        <w:rPr>
          <w:color w:val="2C5F8A"/>
          <w:sz w:val="24"/>
          <w:szCs w:val="24"/>
        </w:rPr>
        <w:t>Component 2</w:t>
      </w:r>
    </w:p>
    <w:p w14:paraId="17970C6A" w14:textId="77777777" w:rsidR="0092250F" w:rsidRDefault="0092250F">
      <w:pPr>
        <w:spacing w:after="80"/>
      </w:pPr>
    </w:p>
    <w:p w14:paraId="18C4070B" w14:textId="77777777" w:rsidR="0092250F" w:rsidRDefault="00000000">
      <w:pPr>
        <w:spacing w:before="80" w:after="80"/>
        <w:jc w:val="center"/>
      </w:pPr>
      <w:r>
        <w:rPr>
          <w:color w:val="CCCCCC"/>
        </w:rPr>
        <w:t>─────────────────────────────────────────────</w:t>
      </w:r>
    </w:p>
    <w:p w14:paraId="334EDDE1" w14:textId="77777777" w:rsidR="0092250F" w:rsidRDefault="0092250F">
      <w:pPr>
        <w:spacing w:after="80"/>
      </w:pPr>
    </w:p>
    <w:p w14:paraId="73A2D302" w14:textId="77777777" w:rsidR="0092250F" w:rsidRDefault="0092250F">
      <w:pPr>
        <w:spacing w:after="80"/>
      </w:pPr>
    </w:p>
    <w:p w14:paraId="4885DE80" w14:textId="77777777" w:rsidR="0092250F" w:rsidRDefault="00000000">
      <w:pPr>
        <w:jc w:val="center"/>
      </w:pPr>
      <w:r>
        <w:rPr>
          <w:b/>
          <w:bCs/>
          <w:color w:val="333333"/>
        </w:rPr>
        <w:t>Module Title:</w:t>
      </w:r>
    </w:p>
    <w:p w14:paraId="52B5A832" w14:textId="77777777" w:rsidR="0092250F" w:rsidRDefault="00000000">
      <w:pPr>
        <w:spacing w:before="80" w:after="80"/>
        <w:jc w:val="center"/>
      </w:pPr>
      <w:r>
        <w:rPr>
          <w:color w:val="333333"/>
        </w:rPr>
        <w:t>Developing and Managing Individuals and Teams</w:t>
      </w:r>
    </w:p>
    <w:p w14:paraId="1E025BE2" w14:textId="77777777" w:rsidR="0092250F" w:rsidRDefault="0092250F">
      <w:pPr>
        <w:spacing w:after="80"/>
      </w:pPr>
    </w:p>
    <w:p w14:paraId="5B8BBF26" w14:textId="77777777" w:rsidR="0092250F" w:rsidRDefault="00000000">
      <w:pPr>
        <w:jc w:val="center"/>
      </w:pPr>
      <w:r>
        <w:rPr>
          <w:b/>
          <w:bCs/>
          <w:color w:val="333333"/>
        </w:rPr>
        <w:t>Module Code:</w:t>
      </w:r>
    </w:p>
    <w:p w14:paraId="1B30EAAD" w14:textId="77777777" w:rsidR="0092250F" w:rsidRDefault="00000000">
      <w:pPr>
        <w:spacing w:before="80" w:after="80"/>
        <w:jc w:val="center"/>
      </w:pPr>
      <w:r>
        <w:rPr>
          <w:color w:val="333333"/>
        </w:rPr>
        <w:t>LCLM5002</w:t>
      </w:r>
    </w:p>
    <w:p w14:paraId="3EA7A878" w14:textId="77777777" w:rsidR="0092250F" w:rsidRDefault="0092250F">
      <w:pPr>
        <w:spacing w:after="80"/>
      </w:pPr>
    </w:p>
    <w:p w14:paraId="57C53213" w14:textId="5BDA68FA" w:rsidR="0092250F" w:rsidRDefault="00BE76A2">
      <w:pPr>
        <w:spacing w:before="80" w:after="80"/>
        <w:jc w:val="center"/>
      </w:pPr>
      <w:r>
        <w:rPr>
          <w:b/>
          <w:bCs/>
          <w:color w:val="333333"/>
        </w:rPr>
        <w:t>VINETA DIDZUS</w:t>
      </w:r>
    </w:p>
    <w:p w14:paraId="431EEFD9" w14:textId="77777777" w:rsidR="0092250F" w:rsidRDefault="0092250F">
      <w:pPr>
        <w:spacing w:after="80"/>
      </w:pPr>
    </w:p>
    <w:p w14:paraId="14E435B8" w14:textId="77777777" w:rsidR="0092250F" w:rsidRDefault="00000000">
      <w:pPr>
        <w:jc w:val="center"/>
      </w:pPr>
      <w:r>
        <w:rPr>
          <w:b/>
          <w:bCs/>
          <w:color w:val="333333"/>
        </w:rPr>
        <w:t>Submission Deadline:</w:t>
      </w:r>
    </w:p>
    <w:p w14:paraId="11ED9E2D" w14:textId="77777777" w:rsidR="0092250F" w:rsidRDefault="00000000">
      <w:pPr>
        <w:spacing w:before="80" w:after="80"/>
        <w:jc w:val="center"/>
      </w:pPr>
      <w:r>
        <w:rPr>
          <w:color w:val="333333"/>
        </w:rPr>
        <w:t>30 March 2026</w:t>
      </w:r>
    </w:p>
    <w:p w14:paraId="63D9DF04" w14:textId="77777777" w:rsidR="0092250F" w:rsidRDefault="0092250F">
      <w:pPr>
        <w:spacing w:after="80"/>
      </w:pPr>
    </w:p>
    <w:p w14:paraId="384D7EE9" w14:textId="77777777" w:rsidR="0092250F" w:rsidRDefault="0092250F">
      <w:pPr>
        <w:spacing w:after="80"/>
      </w:pPr>
    </w:p>
    <w:p w14:paraId="100A7E0C" w14:textId="77777777" w:rsidR="0092250F" w:rsidRDefault="00000000">
      <w:pPr>
        <w:jc w:val="center"/>
      </w:pPr>
      <w:r>
        <w:rPr>
          <w:i/>
          <w:iCs/>
          <w:color w:val="666666"/>
          <w:sz w:val="20"/>
          <w:szCs w:val="20"/>
        </w:rPr>
        <w:t>Word Count: 2,000 (±10%)</w:t>
      </w:r>
    </w:p>
    <w:p w14:paraId="7D925E2F" w14:textId="77777777" w:rsidR="0092250F" w:rsidRDefault="0092250F">
      <w:pPr>
        <w:spacing w:after="80"/>
      </w:pPr>
    </w:p>
    <w:p w14:paraId="73342A61" w14:textId="77777777" w:rsidR="0092250F" w:rsidRDefault="0092250F">
      <w:pPr>
        <w:spacing w:after="80"/>
      </w:pPr>
    </w:p>
    <w:p w14:paraId="334ACE70" w14:textId="77777777" w:rsidR="0092250F" w:rsidRDefault="00000000">
      <w:pPr>
        <w:spacing w:before="80" w:after="80"/>
        <w:jc w:val="center"/>
      </w:pPr>
      <w:r>
        <w:rPr>
          <w:color w:val="CCCCCC"/>
        </w:rPr>
        <w:t>─────────────────────────────────────────────</w:t>
      </w:r>
    </w:p>
    <w:p w14:paraId="57DE7AA0" w14:textId="77777777" w:rsidR="0092250F" w:rsidRDefault="0092250F">
      <w:pPr>
        <w:spacing w:after="80"/>
      </w:pPr>
    </w:p>
    <w:p w14:paraId="0D132119" w14:textId="77777777" w:rsidR="0092250F" w:rsidRDefault="00000000">
      <w:pPr>
        <w:jc w:val="center"/>
      </w:pPr>
      <w:r>
        <w:rPr>
          <w:b/>
          <w:bCs/>
          <w:color w:val="1F3864"/>
          <w:sz w:val="24"/>
          <w:szCs w:val="24"/>
        </w:rPr>
        <w:t>Selected Organisation:  Tesco PLC</w:t>
      </w:r>
    </w:p>
    <w:p w14:paraId="31E96ECF" w14:textId="77777777" w:rsidR="0092250F" w:rsidRDefault="0092250F">
      <w:pPr>
        <w:spacing w:after="80"/>
      </w:pPr>
    </w:p>
    <w:p w14:paraId="634CD3EA" w14:textId="77777777" w:rsidR="0092250F" w:rsidRDefault="00000000">
      <w:pPr>
        <w:spacing w:before="80" w:after="80"/>
        <w:jc w:val="center"/>
      </w:pPr>
      <w:r>
        <w:rPr>
          <w:color w:val="CCCCCC"/>
        </w:rPr>
        <w:t>─────────────────────────────────────────────</w:t>
      </w:r>
    </w:p>
    <w:p w14:paraId="156A943F" w14:textId="77777777" w:rsidR="0092250F" w:rsidRDefault="00000000">
      <w:r>
        <w:br w:type="page"/>
      </w:r>
    </w:p>
    <w:p w14:paraId="34C5FF5E" w14:textId="77777777" w:rsidR="0092250F" w:rsidRDefault="00000000" w:rsidP="00BE76A2">
      <w:pPr>
        <w:pStyle w:val="Heading1"/>
        <w:pBdr>
          <w:bottom w:val="single" w:sz="4" w:space="4" w:color="1F3864"/>
        </w:pBdr>
        <w:spacing w:line="360" w:lineRule="auto"/>
      </w:pPr>
      <w:r>
        <w:lastRenderedPageBreak/>
        <w:t>1. Introduction</w:t>
      </w:r>
    </w:p>
    <w:p w14:paraId="49BBE10E" w14:textId="77777777" w:rsidR="00BE76A2" w:rsidRDefault="00BE76A2" w:rsidP="00BE76A2">
      <w:pPr>
        <w:pStyle w:val="NormalWeb"/>
        <w:spacing w:line="360" w:lineRule="auto"/>
        <w:rPr>
          <w:color w:val="000000"/>
        </w:rPr>
      </w:pPr>
      <w:r>
        <w:rPr>
          <w:color w:val="000000"/>
        </w:rPr>
        <w:t xml:space="preserve">This report </w:t>
      </w:r>
      <w:proofErr w:type="spellStart"/>
      <w:r>
        <w:rPr>
          <w:color w:val="000000"/>
        </w:rPr>
        <w:t>analyzes</w:t>
      </w:r>
      <w:proofErr w:type="spellEnd"/>
      <w:r>
        <w:rPr>
          <w:color w:val="000000"/>
        </w:rPr>
        <w:t xml:space="preserve"> the major people (human resource (HR)) issues faced by Tesco PLC, one of UK's largest private-sector employers, employing more than 300,000 people in retail settings internationally and online fulfilment through logistics operations within and outside UK (Tesco PLC, 2023) With the modern-day business landscape becoming more complex at a high speed, HR departments have to contend with greater technological change, competition for skilled talent and ever-escalating organisational expectations in terms of diversity, equity and inclusion (DEI).</w:t>
      </w:r>
    </w:p>
    <w:p w14:paraId="47B5B672" w14:textId="77777777" w:rsidR="00BE76A2" w:rsidRDefault="00BE76A2" w:rsidP="00BE76A2">
      <w:pPr>
        <w:pStyle w:val="NormalWeb"/>
        <w:spacing w:line="360" w:lineRule="auto"/>
        <w:rPr>
          <w:color w:val="000000"/>
        </w:rPr>
      </w:pPr>
      <w:r>
        <w:rPr>
          <w:color w:val="000000"/>
        </w:rPr>
        <w:t>The report is organized around three core areas. It is to provide a detailed overview of the underlying factors that are causing challenges in terms of technological progress, talent acquisition and retention, and DEI at Tesco within the operational context. Second, it reviews various contemporary HR practices intended to tackle each of these challenges. Third, it has a critical look at how departmental managers can ensure embedding of these practices, and their enacted urgency throughout the firm. The report finishes with key recommendations based on theoretical frameworks and contemporary literature.</w:t>
      </w:r>
    </w:p>
    <w:p w14:paraId="2124FD85" w14:textId="77777777" w:rsidR="00BE76A2" w:rsidRDefault="00BE76A2" w:rsidP="00BE76A2">
      <w:pPr>
        <w:pStyle w:val="NormalWeb"/>
        <w:spacing w:line="360" w:lineRule="auto"/>
        <w:rPr>
          <w:color w:val="000000"/>
        </w:rPr>
      </w:pPr>
      <w:r>
        <w:rPr>
          <w:color w:val="000000"/>
        </w:rPr>
        <w:t xml:space="preserve">Given the scale of its operations and types of work, Tesco provides a valuable case study to explore how large UK-based employers can align HR strategy with wider organisational goals and extra workforce and societal expectations. According to the Chartered Institute of Personnel and Development (CIPD, 2022), HR functions that focus on sustainability, gain order through </w:t>
      </w:r>
      <w:proofErr w:type="gramStart"/>
      <w:r>
        <w:rPr>
          <w:color w:val="000000"/>
        </w:rPr>
        <w:t>complexity</w:t>
      </w:r>
      <w:proofErr w:type="gramEnd"/>
      <w:r>
        <w:rPr>
          <w:color w:val="000000"/>
        </w:rPr>
        <w:t xml:space="preserve"> and provide solutions to systemic workforce challenges are better able to drive sustainable business performance.</w:t>
      </w:r>
    </w:p>
    <w:p w14:paraId="231EA372" w14:textId="77777777" w:rsidR="00BE76A2" w:rsidRPr="00BE76A2" w:rsidRDefault="00BE76A2" w:rsidP="00BE76A2">
      <w:pPr>
        <w:pStyle w:val="NormalWeb"/>
        <w:spacing w:line="360" w:lineRule="auto"/>
        <w:rPr>
          <w:b/>
          <w:bCs/>
          <w:color w:val="000000"/>
        </w:rPr>
      </w:pPr>
      <w:r w:rsidRPr="00BE76A2">
        <w:rPr>
          <w:b/>
          <w:bCs/>
          <w:color w:val="000000"/>
        </w:rPr>
        <w:t>Drivers related to Major HR Challenges</w:t>
      </w:r>
    </w:p>
    <w:p w14:paraId="697114DE" w14:textId="77777777" w:rsidR="00BE76A2" w:rsidRPr="00BE76A2" w:rsidRDefault="00BE76A2" w:rsidP="00BE76A2">
      <w:pPr>
        <w:pStyle w:val="NormalWeb"/>
        <w:spacing w:line="360" w:lineRule="auto"/>
        <w:rPr>
          <w:b/>
          <w:bCs/>
          <w:color w:val="000000"/>
        </w:rPr>
      </w:pPr>
      <w:r w:rsidRPr="00BE76A2">
        <w:rPr>
          <w:b/>
          <w:bCs/>
          <w:color w:val="000000"/>
        </w:rPr>
        <w:t>2.1 Meeting Technological Advancement</w:t>
      </w:r>
    </w:p>
    <w:p w14:paraId="323A7B4A" w14:textId="77777777" w:rsidR="00BE76A2" w:rsidRDefault="00BE76A2" w:rsidP="00BE76A2">
      <w:pPr>
        <w:pStyle w:val="NormalWeb"/>
        <w:spacing w:line="360" w:lineRule="auto"/>
        <w:rPr>
          <w:color w:val="000000"/>
        </w:rPr>
      </w:pPr>
      <w:r>
        <w:rPr>
          <w:color w:val="000000"/>
        </w:rPr>
        <w:t xml:space="preserve">The second challenge with the most structural implications for Tesco’s HR function is the pace of technological change. It has invested heavily across automation, artificial intelligence (AI), and data analytics to streamline its supply chain, tailored the customer experience through the Clubcard loyalty programme, and sharpened staffing levels throughout its retail estate. But these advancements also exhibit overlapping requirements for </w:t>
      </w:r>
      <w:proofErr w:type="spellStart"/>
      <w:r>
        <w:rPr>
          <w:color w:val="000000"/>
        </w:rPr>
        <w:t>labor</w:t>
      </w:r>
      <w:proofErr w:type="spellEnd"/>
      <w:r>
        <w:rPr>
          <w:color w:val="000000"/>
        </w:rPr>
        <w:t>, requiring a substantial increase in digital and technical skills at all levels (People,2021).</w:t>
      </w:r>
    </w:p>
    <w:p w14:paraId="08989C47" w14:textId="77777777" w:rsidR="00BE76A2" w:rsidRDefault="00BE76A2" w:rsidP="00BE76A2">
      <w:pPr>
        <w:pStyle w:val="NormalWeb"/>
        <w:spacing w:line="360" w:lineRule="auto"/>
        <w:rPr>
          <w:color w:val="000000"/>
        </w:rPr>
      </w:pPr>
      <w:r>
        <w:rPr>
          <w:color w:val="000000"/>
        </w:rPr>
        <w:lastRenderedPageBreak/>
        <w:t>A major concern is the growing skills gap between what employees can currently do and what they need to do as technologies emerge, operate, and collaborate around them. With the growing marketplace of self-service technology and robotics being evolved, many frontline workers (checkout operatives; warehouse staff) will find themselves having either to confidently modify their role or even face displaced as machines enhance processes. According to the World Economic Forum (2023) 44% of workers' core skills will be disrupted over the next five years, creating urgency for HR to fairly design and deliver timely reskilling and upskilling interventions.</w:t>
      </w:r>
    </w:p>
    <w:p w14:paraId="61B013D3" w14:textId="77777777" w:rsidR="00BE76A2" w:rsidRDefault="00BE76A2" w:rsidP="00BE76A2">
      <w:pPr>
        <w:pStyle w:val="NormalWeb"/>
        <w:spacing w:line="360" w:lineRule="auto"/>
        <w:rPr>
          <w:color w:val="000000"/>
        </w:rPr>
      </w:pPr>
      <w:r>
        <w:rPr>
          <w:color w:val="000000"/>
        </w:rPr>
        <w:t>Additionally, the forced or accelerated transition to hybrid working models called for during and after the COVID-19 pandemic has helped set expectations around digital flexibility, remote communication tools, and technology-enabled performance management. The implication of this is that HR needs to now focus not only on filling technical skills gaps but also managing the cultural and organisation change required for successful digital transformation, encapsulated as ensuring employees feel supported rather than threatened by technological evolution (Gratton 2022)</w:t>
      </w:r>
    </w:p>
    <w:p w14:paraId="3AF58328" w14:textId="77777777" w:rsidR="00BE76A2" w:rsidRPr="00BE76A2" w:rsidRDefault="00BE76A2" w:rsidP="00BE76A2">
      <w:pPr>
        <w:pStyle w:val="NormalWeb"/>
        <w:spacing w:line="360" w:lineRule="auto"/>
        <w:rPr>
          <w:b/>
          <w:bCs/>
          <w:color w:val="000000"/>
        </w:rPr>
      </w:pPr>
      <w:r w:rsidRPr="00BE76A2">
        <w:rPr>
          <w:b/>
          <w:bCs/>
          <w:color w:val="000000"/>
        </w:rPr>
        <w:t>2.2 Talent Acquisition and Retention</w:t>
      </w:r>
    </w:p>
    <w:p w14:paraId="77B578E2" w14:textId="77777777" w:rsidR="00BE76A2" w:rsidRDefault="00BE76A2" w:rsidP="00BE76A2">
      <w:pPr>
        <w:pStyle w:val="NormalWeb"/>
        <w:spacing w:line="360" w:lineRule="auto"/>
        <w:rPr>
          <w:color w:val="000000"/>
        </w:rPr>
      </w:pPr>
      <w:r>
        <w:rPr>
          <w:color w:val="000000"/>
        </w:rPr>
        <w:t xml:space="preserve">Tesco finds itself sitting in one of the most competitive labour markets within the UK retail world, fighting rivals from Sainsbury's to ASDA to Amazon and now Dominican-style discounters like Lidl &amp; Aldi. The post-pandemic era has been marked by severe shortages of workers in logistics, </w:t>
      </w:r>
      <w:proofErr w:type="gramStart"/>
      <w:r>
        <w:rPr>
          <w:color w:val="000000"/>
        </w:rPr>
        <w:t>delivery</w:t>
      </w:r>
      <w:proofErr w:type="gramEnd"/>
      <w:r>
        <w:rPr>
          <w:color w:val="000000"/>
        </w:rPr>
        <w:t xml:space="preserve"> and customer-facing jobs, which have been compounded by the shrinking EU labour force after Brexit (CIPD, 2021). This competitive landscape has amplified the difficulty for organizations in obtaining and keeping top talent.</w:t>
      </w:r>
    </w:p>
    <w:p w14:paraId="07EB70C3" w14:textId="77777777" w:rsidR="00BE76A2" w:rsidRDefault="00BE76A2" w:rsidP="00BE76A2">
      <w:pPr>
        <w:pStyle w:val="NormalWeb"/>
        <w:spacing w:line="360" w:lineRule="auto"/>
        <w:rPr>
          <w:color w:val="000000"/>
        </w:rPr>
      </w:pPr>
      <w:r>
        <w:rPr>
          <w:color w:val="000000"/>
        </w:rPr>
        <w:t>While employee turnover in retail has always been high, rising pressures from the cost-of-living crisis, falling real wages and employees searching for more meaning, flexibility and pay in their work have seen attrition rates climb higher still. Younger workers, especially Gen Zs value purpose, progress, and flexibility over remuneration-in-money alone and cause HR to reimagine the organisation's employee value proposition (EVP) (Deloitte 2023).</w:t>
      </w:r>
    </w:p>
    <w:p w14:paraId="6E51A9A6" w14:textId="77777777" w:rsidR="00BE76A2" w:rsidRDefault="00BE76A2" w:rsidP="00BE76A2">
      <w:pPr>
        <w:pStyle w:val="NormalWeb"/>
        <w:spacing w:line="360" w:lineRule="auto"/>
        <w:rPr>
          <w:color w:val="000000"/>
        </w:rPr>
      </w:pPr>
      <w:r>
        <w:rPr>
          <w:color w:val="000000"/>
        </w:rPr>
        <w:t xml:space="preserve">Even beyond frontline roles, competition for specialist talent in digital, data and supply chain functions </w:t>
      </w:r>
      <w:proofErr w:type="gramStart"/>
      <w:r>
        <w:rPr>
          <w:color w:val="000000"/>
        </w:rPr>
        <w:t>is</w:t>
      </w:r>
      <w:proofErr w:type="gramEnd"/>
      <w:r>
        <w:rPr>
          <w:color w:val="000000"/>
        </w:rPr>
        <w:t xml:space="preserve"> especially strong. Tesco competes worldwide for those skills with technology companies that in many cases can provide far more enticing compensation and working </w:t>
      </w:r>
      <w:r>
        <w:rPr>
          <w:color w:val="000000"/>
        </w:rPr>
        <w:lastRenderedPageBreak/>
        <w:t>environments. As a result, talent acquisition strategies need to be sharply targeted and retention initiatives need to meet an employee spectrum from financial wellbeing through career development to organisational purpose.</w:t>
      </w:r>
    </w:p>
    <w:p w14:paraId="4DE64A14" w14:textId="77777777" w:rsidR="00BE76A2" w:rsidRPr="00BE76A2" w:rsidRDefault="00BE76A2" w:rsidP="00BE76A2">
      <w:pPr>
        <w:pStyle w:val="NormalWeb"/>
        <w:spacing w:line="360" w:lineRule="auto"/>
        <w:rPr>
          <w:b/>
          <w:bCs/>
          <w:color w:val="000000"/>
        </w:rPr>
      </w:pPr>
      <w:r w:rsidRPr="00BE76A2">
        <w:rPr>
          <w:b/>
          <w:bCs/>
          <w:color w:val="000000"/>
        </w:rPr>
        <w:t xml:space="preserve">2.3 Diversity, </w:t>
      </w:r>
      <w:proofErr w:type="gramStart"/>
      <w:r w:rsidRPr="00BE76A2">
        <w:rPr>
          <w:b/>
          <w:bCs/>
          <w:color w:val="000000"/>
        </w:rPr>
        <w:t>Equity</w:t>
      </w:r>
      <w:proofErr w:type="gramEnd"/>
      <w:r w:rsidRPr="00BE76A2">
        <w:rPr>
          <w:b/>
          <w:bCs/>
          <w:color w:val="000000"/>
        </w:rPr>
        <w:t xml:space="preserve"> and Inclusion (DEI)</w:t>
      </w:r>
    </w:p>
    <w:p w14:paraId="16B4B603" w14:textId="77777777" w:rsidR="00BE76A2" w:rsidRDefault="00BE76A2" w:rsidP="00BE76A2">
      <w:pPr>
        <w:pStyle w:val="NormalWeb"/>
        <w:spacing w:line="360" w:lineRule="auto"/>
        <w:rPr>
          <w:color w:val="000000"/>
        </w:rPr>
      </w:pPr>
      <w:r>
        <w:rPr>
          <w:color w:val="000000"/>
        </w:rPr>
        <w:t>As a large and geographically diverse employer, Tesco has an ethical as well as commercial imperative to develop a workforce that is genuinely inclusive. While progress has been made in recent years, there are still many challenges ahead when it comes to gender pay gap reporting, the representation of ethnic minorities in senior leadership positions, and psychological safety for disabled people and those from marginalised communities (McKinsey and Company, 2023).</w:t>
      </w:r>
    </w:p>
    <w:p w14:paraId="2DB75547" w14:textId="77777777" w:rsidR="00BE76A2" w:rsidRDefault="00BE76A2" w:rsidP="00BE76A2">
      <w:pPr>
        <w:pStyle w:val="NormalWeb"/>
        <w:spacing w:line="360" w:lineRule="auto"/>
        <w:rPr>
          <w:color w:val="000000"/>
        </w:rPr>
      </w:pPr>
      <w:r>
        <w:rPr>
          <w:color w:val="000000"/>
        </w:rPr>
        <w:t>There are specific legislative requirements, such as those set out in the Equality Act 2010 and mandatory gender pay gap reporting introduced under the PSED Regulations (as amended) 6 that provide a formal framework for accountability. Yet compliance-driven DEI initiatives are being realised more and more as ineffectual; organisations need to transform the culture of operations, along with strategic decisions in a way that reflects DEI principles, if they want to see sustainable impact (Noon and Ogbonna, 2021).</w:t>
      </w:r>
    </w:p>
    <w:p w14:paraId="6D4F4381" w14:textId="77777777" w:rsidR="00BE76A2" w:rsidRDefault="00BE76A2" w:rsidP="00BE76A2">
      <w:pPr>
        <w:pStyle w:val="NormalWeb"/>
        <w:spacing w:line="360" w:lineRule="auto"/>
        <w:rPr>
          <w:color w:val="000000"/>
        </w:rPr>
      </w:pPr>
      <w:r>
        <w:rPr>
          <w:color w:val="000000"/>
        </w:rPr>
        <w:t xml:space="preserve">Moreover, unconscious bias in recruitment, promotion and performance management processes continues to disadvantage underrepresented groups. With consumers, </w:t>
      </w:r>
      <w:proofErr w:type="gramStart"/>
      <w:r>
        <w:rPr>
          <w:color w:val="000000"/>
        </w:rPr>
        <w:t>investors</w:t>
      </w:r>
      <w:proofErr w:type="gramEnd"/>
      <w:r>
        <w:rPr>
          <w:color w:val="000000"/>
        </w:rPr>
        <w:t xml:space="preserve"> and policymakers increasingly demanding adherence to environmental, social and governance (ESG) standards, visible progress on DEI is now not just an internal HR problem but a reputational asset — or liability — for Tesco’s senior management.</w:t>
      </w:r>
    </w:p>
    <w:p w14:paraId="14DDAD58" w14:textId="77777777" w:rsidR="00BE76A2" w:rsidRPr="00BE76A2" w:rsidRDefault="00BE76A2" w:rsidP="00BE76A2">
      <w:pPr>
        <w:pStyle w:val="NormalWeb"/>
        <w:spacing w:line="360" w:lineRule="auto"/>
        <w:rPr>
          <w:b/>
          <w:bCs/>
          <w:color w:val="000000"/>
        </w:rPr>
      </w:pPr>
      <w:r w:rsidRPr="00BE76A2">
        <w:rPr>
          <w:b/>
          <w:bCs/>
          <w:color w:val="000000"/>
        </w:rPr>
        <w:t>Evaluation of Contemporary HR Practices</w:t>
      </w:r>
    </w:p>
    <w:p w14:paraId="174FB7A7" w14:textId="77777777" w:rsidR="00BE76A2" w:rsidRPr="00BE76A2" w:rsidRDefault="00BE76A2" w:rsidP="00BE76A2">
      <w:pPr>
        <w:pStyle w:val="NormalWeb"/>
        <w:spacing w:line="360" w:lineRule="auto"/>
        <w:rPr>
          <w:b/>
          <w:bCs/>
          <w:color w:val="000000"/>
        </w:rPr>
      </w:pPr>
      <w:r w:rsidRPr="00BE76A2">
        <w:rPr>
          <w:b/>
          <w:bCs/>
          <w:color w:val="000000"/>
        </w:rPr>
        <w:t>3.1 Digital Upskilling and Workforce Development</w:t>
      </w:r>
    </w:p>
    <w:p w14:paraId="68453B5C" w14:textId="77777777" w:rsidR="00BE76A2" w:rsidRDefault="00BE76A2" w:rsidP="00BE76A2">
      <w:pPr>
        <w:pStyle w:val="NormalWeb"/>
        <w:spacing w:line="360" w:lineRule="auto"/>
        <w:rPr>
          <w:color w:val="000000"/>
        </w:rPr>
      </w:pPr>
      <w:r>
        <w:rPr>
          <w:color w:val="000000"/>
        </w:rPr>
        <w:t>In response to this challenge of technological advancement, companies like Tesco and similar large employers have increasingly adopted blended learn technology models that blend digital platforms, microlearning with on-the-job coaching. Tesco's investment in the 'Tesco Academy' and partnerships with providers of e-learning reflects a wider shift across the industry towards continuous, self-directed development (Armstrong and Taylor, 2020) rather than episodic, classroom-based training.</w:t>
      </w:r>
    </w:p>
    <w:p w14:paraId="43033361" w14:textId="77777777" w:rsidR="00BE76A2" w:rsidRDefault="00BE76A2" w:rsidP="00BE76A2">
      <w:pPr>
        <w:pStyle w:val="NormalWeb"/>
        <w:spacing w:line="360" w:lineRule="auto"/>
        <w:rPr>
          <w:color w:val="000000"/>
        </w:rPr>
      </w:pPr>
      <w:r>
        <w:rPr>
          <w:color w:val="000000"/>
        </w:rPr>
        <w:lastRenderedPageBreak/>
        <w:t xml:space="preserve">When paired with learning management systems (LMS) or AI-driven content recommendation tools, contemporary research highlights the strength of personalised learning pathways. These approaches enable HR to align development interventions with skills gaps and career aspirations at an individual level, resulting in greater engagement levels and enhanced knowledge retention than traditional one-size-fits-all training (CIPD, 2022). But they only work if there is a quality needs analysis before the tool is implemented and line managers are </w:t>
      </w:r>
      <w:proofErr w:type="gramStart"/>
      <w:r>
        <w:rPr>
          <w:color w:val="000000"/>
        </w:rPr>
        <w:t>actually committed</w:t>
      </w:r>
      <w:proofErr w:type="gramEnd"/>
      <w:r>
        <w:rPr>
          <w:color w:val="000000"/>
        </w:rPr>
        <w:t xml:space="preserve"> to supporting learning in the flow of work.</w:t>
      </w:r>
    </w:p>
    <w:p w14:paraId="6CD6ECD9" w14:textId="77777777" w:rsidR="00BE76A2" w:rsidRDefault="00BE76A2" w:rsidP="00BE76A2">
      <w:pPr>
        <w:pStyle w:val="NormalWeb"/>
        <w:spacing w:line="360" w:lineRule="auto"/>
        <w:rPr>
          <w:color w:val="000000"/>
        </w:rPr>
      </w:pPr>
      <w:r>
        <w:rPr>
          <w:color w:val="000000"/>
        </w:rPr>
        <w:t>The ability to deliver digital upskilling programmes at scale is a pivotal strength for large organisations such as Tesco with distributed workforces. Alternatively, a downside is the danger of digital exclusion among older or less digitally confident employees who would need more intensive support. HR must therefore seamlessly embed accessibility principles into the design of all learning interventions to avoid inadvertently exacerbating intra-organisational skills inequalities.</w:t>
      </w:r>
    </w:p>
    <w:p w14:paraId="0C492E28" w14:textId="77777777" w:rsidR="00BE76A2" w:rsidRPr="00BE76A2" w:rsidRDefault="00BE76A2" w:rsidP="00BE76A2">
      <w:pPr>
        <w:pStyle w:val="NormalWeb"/>
        <w:spacing w:line="360" w:lineRule="auto"/>
        <w:rPr>
          <w:b/>
          <w:bCs/>
          <w:color w:val="000000"/>
        </w:rPr>
      </w:pPr>
      <w:r w:rsidRPr="00BE76A2">
        <w:rPr>
          <w:b/>
          <w:bCs/>
          <w:color w:val="000000"/>
        </w:rPr>
        <w:t>3.2 Talent Attraction, Retention and Flexible Working Practices</w:t>
      </w:r>
    </w:p>
    <w:p w14:paraId="6E7C689B" w14:textId="77777777" w:rsidR="00BE76A2" w:rsidRDefault="00BE76A2" w:rsidP="00BE76A2">
      <w:pPr>
        <w:pStyle w:val="NormalWeb"/>
        <w:spacing w:line="360" w:lineRule="auto"/>
        <w:rPr>
          <w:color w:val="000000"/>
        </w:rPr>
      </w:pPr>
      <w:r>
        <w:rPr>
          <w:color w:val="000000"/>
        </w:rPr>
        <w:t>As a result of the pressures on the talent market, many of the UK’s leading employers have begun to embrace a set of evidence-based retention strategies. Flexible and hybrid working arrangements represent one of the most effective retention levers of all, and especially so for professional and managerial employees. Tesco’s gradual expansion of flexible working into store management and head office functions, reflects the wider change in expectations from employees of employers within a post-pandemic labour market (Gratton, 2022).</w:t>
      </w:r>
    </w:p>
    <w:p w14:paraId="35C5E55D" w14:textId="77777777" w:rsidR="00BE76A2" w:rsidRDefault="00BE76A2" w:rsidP="00BE76A2">
      <w:pPr>
        <w:pStyle w:val="NormalWeb"/>
        <w:spacing w:line="360" w:lineRule="auto"/>
        <w:rPr>
          <w:color w:val="000000"/>
        </w:rPr>
      </w:pPr>
      <w:r>
        <w:rPr>
          <w:color w:val="000000"/>
        </w:rPr>
        <w:t>All of this is framed by competitive and transparent compensation strategies, including pay benchmarking, commitments to living wage standards and the provision of non-financial rewards such as employee assistance programmes (EAPs), mental health support and discounted colleague discounts. According to Deloitte (2023), potential employees are increasingly considering wellbeing support in their choice of new role, alongside values alignment and skills development opportunities, making a holistic EVP important for attraction as well as retention.</w:t>
      </w:r>
    </w:p>
    <w:p w14:paraId="03FCFF93" w14:textId="77777777" w:rsidR="00BE76A2" w:rsidRDefault="00BE76A2" w:rsidP="00BE76A2">
      <w:pPr>
        <w:pStyle w:val="NormalWeb"/>
        <w:spacing w:line="360" w:lineRule="auto"/>
        <w:rPr>
          <w:color w:val="000000"/>
        </w:rPr>
      </w:pPr>
      <w:r>
        <w:rPr>
          <w:color w:val="000000"/>
        </w:rPr>
        <w:t xml:space="preserve">Structured onboarding programmes are also an important but often overlooked retention practice. Research shows that employees on the receiving end of great onboarding are more likely to stay with an organisation for longer than a year (CIPD, 2021). For Tesco, which employs a very diverse workforce across various functions, making these investments around culturally sensitive </w:t>
      </w:r>
      <w:r>
        <w:rPr>
          <w:color w:val="000000"/>
        </w:rPr>
        <w:lastRenderedPageBreak/>
        <w:t>and role specific onboarding can materially require early attrition costs that is perched as one of the biggest direct indirect cost drivers for the business.</w:t>
      </w:r>
    </w:p>
    <w:p w14:paraId="51C95667" w14:textId="77777777" w:rsidR="00BE76A2" w:rsidRDefault="00BE76A2" w:rsidP="00BE76A2">
      <w:pPr>
        <w:pStyle w:val="NormalWeb"/>
        <w:spacing w:line="360" w:lineRule="auto"/>
        <w:rPr>
          <w:color w:val="000000"/>
        </w:rPr>
      </w:pPr>
      <w:r>
        <w:rPr>
          <w:color w:val="000000"/>
        </w:rPr>
        <w:t>3.3 Contemporary DEI Practices</w:t>
      </w:r>
    </w:p>
    <w:p w14:paraId="34048C5A" w14:textId="77777777" w:rsidR="00BE76A2" w:rsidRDefault="00BE76A2" w:rsidP="00BE76A2">
      <w:pPr>
        <w:pStyle w:val="NormalWeb"/>
        <w:spacing w:line="360" w:lineRule="auto"/>
        <w:rPr>
          <w:color w:val="000000"/>
        </w:rPr>
      </w:pPr>
      <w:r>
        <w:rPr>
          <w:color w:val="000000"/>
        </w:rPr>
        <w:t xml:space="preserve">True contemporary DEI practice evolves from compliance to inclusion that spans the entire employee lifecycle. Methods such as anonymised applications, structured interviews and diverse shortlisting panels can mitigate unconscious bias in recruitment </w:t>
      </w:r>
      <w:proofErr w:type="gramStart"/>
      <w:r>
        <w:rPr>
          <w:color w:val="000000"/>
        </w:rPr>
        <w:t>and also</w:t>
      </w:r>
      <w:proofErr w:type="gramEnd"/>
      <w:r>
        <w:rPr>
          <w:color w:val="000000"/>
        </w:rPr>
        <w:t xml:space="preserve"> improve the representativeness of candidate pools (Noon and Ogbonna, 2021). It is encouraging to see Tesco engaging with programs like the BITC Race at Work Charter, but we need to weigh their impact on data around how members of your workforce are represented within the larger employee base.</w:t>
      </w:r>
    </w:p>
    <w:p w14:paraId="2D8937DB" w14:textId="77777777" w:rsidR="00BE76A2" w:rsidRDefault="00BE76A2" w:rsidP="00BE76A2">
      <w:pPr>
        <w:pStyle w:val="NormalWeb"/>
        <w:spacing w:line="360" w:lineRule="auto"/>
        <w:rPr>
          <w:color w:val="000000"/>
        </w:rPr>
      </w:pPr>
      <w:r>
        <w:rPr>
          <w:color w:val="000000"/>
        </w:rPr>
        <w:t xml:space="preserve">ERGs across areas like women in leadership, LGBTQ+, and ethnic and racial background work offer crucial spaces for eliciting lived experience to guide HR policy and practice. Indeed, organisations supported by active </w:t>
      </w:r>
      <w:proofErr w:type="spellStart"/>
      <w:r>
        <w:rPr>
          <w:color w:val="000000"/>
        </w:rPr>
        <w:t>ERGsand</w:t>
      </w:r>
      <w:proofErr w:type="spellEnd"/>
      <w:r>
        <w:rPr>
          <w:color w:val="000000"/>
        </w:rPr>
        <w:t xml:space="preserve"> senior-level sponsorship of DEI are all demonstrating stronger progress on representation metrics while their employees from marginalised groups report higher levels of inclusion (McKinsey and Company, 2023).</w:t>
      </w:r>
    </w:p>
    <w:p w14:paraId="04309A43" w14:textId="77777777" w:rsidR="00BE76A2" w:rsidRDefault="00BE76A2" w:rsidP="00BE76A2">
      <w:pPr>
        <w:pStyle w:val="NormalWeb"/>
        <w:spacing w:line="360" w:lineRule="auto"/>
        <w:rPr>
          <w:color w:val="000000"/>
        </w:rPr>
      </w:pPr>
      <w:r>
        <w:rPr>
          <w:color w:val="000000"/>
        </w:rPr>
        <w:t xml:space="preserve">However, DEI programmes are often accused of over-focusing on the awareness-training end of the spectrum without necessarily making any inroads into dismantling structural barriers (like unequal access to sponsorship, informal </w:t>
      </w:r>
      <w:proofErr w:type="gramStart"/>
      <w:r>
        <w:rPr>
          <w:color w:val="000000"/>
        </w:rPr>
        <w:t>networks</w:t>
      </w:r>
      <w:proofErr w:type="gramEnd"/>
      <w:r>
        <w:rPr>
          <w:color w:val="000000"/>
        </w:rPr>
        <w:t xml:space="preserve"> and flexible working) that uphold inequalities. From an HR perspective, however, for maximum impact, Tesco's DEI strategy should be integrated into succession planning and performance calibration as well as leadership development and not be considered a separate initiative.</w:t>
      </w:r>
    </w:p>
    <w:p w14:paraId="579ABDAD" w14:textId="77777777" w:rsidR="00BE76A2" w:rsidRDefault="00BE76A2" w:rsidP="00BE76A2">
      <w:pPr>
        <w:pStyle w:val="NormalWeb"/>
        <w:spacing w:line="360" w:lineRule="auto"/>
        <w:rPr>
          <w:color w:val="000000"/>
        </w:rPr>
      </w:pPr>
      <w:r>
        <w:rPr>
          <w:color w:val="000000"/>
        </w:rPr>
        <w:t>THE ASSESSMENT: DEPARTMENTAL MANAGERS</w:t>
      </w:r>
    </w:p>
    <w:p w14:paraId="666B7EAC" w14:textId="77777777" w:rsidR="00BE76A2" w:rsidRDefault="00BE76A2" w:rsidP="00BE76A2">
      <w:pPr>
        <w:pStyle w:val="NormalWeb"/>
        <w:spacing w:line="360" w:lineRule="auto"/>
        <w:rPr>
          <w:color w:val="000000"/>
        </w:rPr>
      </w:pPr>
      <w:r>
        <w:rPr>
          <w:color w:val="000000"/>
        </w:rPr>
        <w:t>Although HR departments develop and own the policies and frameworks discussed in this report, it is the capability, commitment and accountability of line managers that ultimately determines if modern HR practices are implemented. Time and again research shows that the line manager represents the connective tissue between HR strategy and employee experience (Purcell and Hutchinson, 2022) and thus is ultimately key to the success or failure of transformation initiatives.</w:t>
      </w:r>
    </w:p>
    <w:p w14:paraId="44E76ABF" w14:textId="77777777" w:rsidR="00BE76A2" w:rsidRDefault="00BE76A2" w:rsidP="00BE76A2">
      <w:pPr>
        <w:pStyle w:val="NormalWeb"/>
        <w:spacing w:line="360" w:lineRule="auto"/>
        <w:rPr>
          <w:color w:val="000000"/>
        </w:rPr>
      </w:pPr>
      <w:r>
        <w:rPr>
          <w:color w:val="000000"/>
        </w:rPr>
        <w:t>4.1 Technology and Change Management</w:t>
      </w:r>
    </w:p>
    <w:p w14:paraId="7CF6E831" w14:textId="77777777" w:rsidR="00BE76A2" w:rsidRDefault="00BE76A2" w:rsidP="00BE76A2">
      <w:pPr>
        <w:pStyle w:val="NormalWeb"/>
        <w:spacing w:line="360" w:lineRule="auto"/>
        <w:rPr>
          <w:color w:val="000000"/>
        </w:rPr>
      </w:pPr>
      <w:r>
        <w:rPr>
          <w:color w:val="000000"/>
        </w:rPr>
        <w:lastRenderedPageBreak/>
        <w:t xml:space="preserve">Tesco’s departmental managers are uniquely positioned to assess which employees need upskilling, and in what areas and urgency. However, for this to happen, managers themselves need the right technological literacy and understanding of the technologies being introduced. A disconnect to commonly warp the technology transformation programmes is when it is assumed that managers will, indeed, promote digital change with little or no development themselves (PwC, 2021). HR should therefore invest in management development alongside with upskilling the front </w:t>
      </w:r>
      <w:proofErr w:type="gramStart"/>
      <w:r>
        <w:rPr>
          <w:color w:val="000000"/>
        </w:rPr>
        <w:t>line, and</w:t>
      </w:r>
      <w:proofErr w:type="gramEnd"/>
      <w:r>
        <w:rPr>
          <w:color w:val="000000"/>
        </w:rPr>
        <w:t xml:space="preserve"> embed digital capability as a core element of management competency — for all allied to performance review.</w:t>
      </w:r>
    </w:p>
    <w:p w14:paraId="27369298" w14:textId="77777777" w:rsidR="00BE76A2" w:rsidRDefault="00BE76A2" w:rsidP="00BE76A2">
      <w:pPr>
        <w:pStyle w:val="NormalWeb"/>
        <w:spacing w:line="360" w:lineRule="auto"/>
        <w:rPr>
          <w:color w:val="000000"/>
        </w:rPr>
      </w:pPr>
      <w:r>
        <w:rPr>
          <w:color w:val="000000"/>
        </w:rPr>
        <w:t xml:space="preserve">More importantly, managers </w:t>
      </w:r>
      <w:proofErr w:type="gramStart"/>
      <w:r>
        <w:rPr>
          <w:color w:val="000000"/>
        </w:rPr>
        <w:t>have to</w:t>
      </w:r>
      <w:proofErr w:type="gramEnd"/>
      <w:r>
        <w:rPr>
          <w:color w:val="000000"/>
        </w:rPr>
        <w:t xml:space="preserve"> play a psychological safety role during technological changes and be instrumental in forming a team where concerns can be openly shared, mistakes made, and the need for help expressed without fear of negative consequences. Neglecting to do so risks resistance, </w:t>
      </w:r>
      <w:proofErr w:type="gramStart"/>
      <w:r>
        <w:rPr>
          <w:color w:val="000000"/>
        </w:rPr>
        <w:t>disengagement</w:t>
      </w:r>
      <w:proofErr w:type="gramEnd"/>
      <w:r>
        <w:rPr>
          <w:color w:val="000000"/>
        </w:rPr>
        <w:t xml:space="preserve"> and accelerated attrition at precisely that moment when stable, experienced employees are most needed. That requires intentional and sustained coaching of managers in change messaging, and empathy-based leadership, which HR must both resource and oversee.</w:t>
      </w:r>
    </w:p>
    <w:p w14:paraId="73A28F2E" w14:textId="77777777" w:rsidR="00BE76A2" w:rsidRDefault="00BE76A2" w:rsidP="00BE76A2">
      <w:pPr>
        <w:pStyle w:val="NormalWeb"/>
        <w:spacing w:line="360" w:lineRule="auto"/>
        <w:rPr>
          <w:color w:val="000000"/>
        </w:rPr>
      </w:pPr>
      <w:r>
        <w:rPr>
          <w:color w:val="000000"/>
        </w:rPr>
        <w:t>4.2 Talent Management and Retention</w:t>
      </w:r>
    </w:p>
    <w:p w14:paraId="3E5BE03B" w14:textId="77777777" w:rsidR="00BE76A2" w:rsidRDefault="00BE76A2" w:rsidP="00BE76A2">
      <w:pPr>
        <w:pStyle w:val="NormalWeb"/>
        <w:spacing w:line="360" w:lineRule="auto"/>
        <w:rPr>
          <w:color w:val="000000"/>
        </w:rPr>
      </w:pPr>
      <w:r>
        <w:rPr>
          <w:color w:val="000000"/>
        </w:rPr>
        <w:t xml:space="preserve">Retaining talent is not simply the responsibility of HR, it revolves more around the day in and day out quality of your relationship with your manager. Gallup (2023) states that managers are responsible for at least 70% of the variance in employee engagement scores, highlighting how important management behaviour is to retention outcomes. Hence managers at Tesco Departments must be trained to conduct meaningful and consistent one-to-one conversations, give relevant and timely </w:t>
      </w:r>
      <w:proofErr w:type="gramStart"/>
      <w:r>
        <w:rPr>
          <w:color w:val="000000"/>
        </w:rPr>
        <w:t>feedbacks</w:t>
      </w:r>
      <w:proofErr w:type="gramEnd"/>
      <w:r>
        <w:rPr>
          <w:color w:val="000000"/>
        </w:rPr>
        <w:t>, pre-emptively spot potential high-potential employees for development opportunities and critically hold them accountable for all the above.</w:t>
      </w:r>
    </w:p>
    <w:p w14:paraId="65B60F53" w14:textId="77777777" w:rsidR="00BE76A2" w:rsidRDefault="00BE76A2" w:rsidP="00BE76A2">
      <w:pPr>
        <w:pStyle w:val="NormalWeb"/>
        <w:spacing w:line="360" w:lineRule="auto"/>
        <w:rPr>
          <w:color w:val="000000"/>
        </w:rPr>
      </w:pPr>
      <w:r>
        <w:rPr>
          <w:color w:val="000000"/>
        </w:rPr>
        <w:t xml:space="preserve">However, an important challenge is how far managers are afforded the time and organisational space to engage in these activities in a workplace where short-term productivity targets frequently rule. It is also important that senior </w:t>
      </w:r>
      <w:proofErr w:type="gramStart"/>
      <w:r>
        <w:rPr>
          <w:color w:val="000000"/>
        </w:rPr>
        <w:t>leaders</w:t>
      </w:r>
      <w:proofErr w:type="gramEnd"/>
      <w:r>
        <w:rPr>
          <w:color w:val="000000"/>
        </w:rPr>
        <w:t xml:space="preserve"> partner with HR to make sure that they formally include people management responsibilities in both role profiles and performance expectations, as opposed to regarding them as discretionary ‘add-ons’ after the jobs done (Armstrong and Taylor, 2020). Without structural reinforcement, the threat is that retention-focused practices remain aspirational instead of ingrained.</w:t>
      </w:r>
    </w:p>
    <w:p w14:paraId="1476BF78" w14:textId="77777777" w:rsidR="00BE76A2" w:rsidRDefault="00BE76A2" w:rsidP="00BE76A2">
      <w:pPr>
        <w:pStyle w:val="NormalWeb"/>
        <w:spacing w:line="360" w:lineRule="auto"/>
        <w:rPr>
          <w:color w:val="000000"/>
        </w:rPr>
      </w:pPr>
      <w:r>
        <w:rPr>
          <w:color w:val="000000"/>
        </w:rPr>
        <w:lastRenderedPageBreak/>
        <w:t>4.3 DEI as a Way of Management Practice</w:t>
      </w:r>
    </w:p>
    <w:p w14:paraId="2A9C09AE" w14:textId="77777777" w:rsidR="00BE76A2" w:rsidRDefault="00BE76A2" w:rsidP="00BE76A2">
      <w:pPr>
        <w:pStyle w:val="NormalWeb"/>
        <w:spacing w:line="360" w:lineRule="auto"/>
        <w:rPr>
          <w:color w:val="000000"/>
        </w:rPr>
      </w:pPr>
      <w:r>
        <w:rPr>
          <w:color w:val="000000"/>
        </w:rPr>
        <w:t>The real embedding of DEI principles into the day-to-day decision-making process of departmental managers is perhaps the most difficult challenge in implementation. Although compulsory unconscious bias training presents a foundation in human resources (HR) practices, academic literature contests its efficacy in shaping actual behaviour, with research indicating that such nominal or reactive diversity discrimination training may produce reactance—a counterproductive resistance to perceived coercion—especially from those managers who do not see DEI as relative to their core role (Noon &amp; Ogbonna, 2021).</w:t>
      </w:r>
    </w:p>
    <w:p w14:paraId="3F2C1CB2" w14:textId="77777777" w:rsidR="00BE76A2" w:rsidRDefault="00BE76A2" w:rsidP="00BE76A2">
      <w:pPr>
        <w:pStyle w:val="NormalWeb"/>
        <w:spacing w:line="360" w:lineRule="auto"/>
        <w:rPr>
          <w:color w:val="000000"/>
        </w:rPr>
      </w:pPr>
      <w:r>
        <w:rPr>
          <w:color w:val="000000"/>
        </w:rPr>
        <w:t xml:space="preserve">A better way is to embed DEI metrics into management accountability frameworks. To illustrate, if team inclusion scores, promotion rate parity and flexible working uptake were part of the departmental KPIs at Tesco, managers would be structurally incentivised to prioritise inclusive behaviours. HR must also define clear escalation routes, as well as psychological safety protocols for employees who experience discrimination or microaggressions, ensuring departmental managers are aware of their responsibilities not only under internal policy but also the Equality Act 2010. Importantly, senior leaders need to model inclusive behaviours both visible and consistently as research has shown that cultural norms are largely transmitted through the perceived behaviour of those at or near the top of hierarchical organisation </w:t>
      </w:r>
      <w:proofErr w:type="gramStart"/>
      <w:r>
        <w:rPr>
          <w:color w:val="000000"/>
        </w:rPr>
        <w:t>( McKinsey</w:t>
      </w:r>
      <w:proofErr w:type="gramEnd"/>
      <w:r>
        <w:rPr>
          <w:color w:val="000000"/>
        </w:rPr>
        <w:t xml:space="preserve"> </w:t>
      </w:r>
      <w:proofErr w:type="spellStart"/>
      <w:r>
        <w:rPr>
          <w:color w:val="000000"/>
        </w:rPr>
        <w:t>andreCompany</w:t>
      </w:r>
      <w:proofErr w:type="spellEnd"/>
      <w:r>
        <w:rPr>
          <w:color w:val="000000"/>
        </w:rPr>
        <w:t xml:space="preserve"> 2023).</w:t>
      </w:r>
    </w:p>
    <w:p w14:paraId="1A55B341" w14:textId="77777777" w:rsidR="00BE76A2" w:rsidRDefault="00BE76A2" w:rsidP="00BE76A2">
      <w:pPr>
        <w:pStyle w:val="NormalWeb"/>
        <w:spacing w:line="360" w:lineRule="auto"/>
        <w:rPr>
          <w:color w:val="000000"/>
        </w:rPr>
      </w:pPr>
      <w:r>
        <w:rPr>
          <w:color w:val="000000"/>
        </w:rPr>
        <w:t>Conclusion and Recommendations</w:t>
      </w:r>
    </w:p>
    <w:p w14:paraId="64CA8F3D" w14:textId="77777777" w:rsidR="00BE76A2" w:rsidRDefault="00BE76A2" w:rsidP="00BE76A2">
      <w:pPr>
        <w:pStyle w:val="NormalWeb"/>
        <w:spacing w:line="360" w:lineRule="auto"/>
        <w:rPr>
          <w:color w:val="000000"/>
        </w:rPr>
      </w:pPr>
      <w:r>
        <w:rPr>
          <w:color w:val="000000"/>
        </w:rPr>
        <w:t>This report has shown that tech adoption, talent attraction and retention and DEI are intersecting, urgent HR challenges for Tesco PLC — as they are for so many large employers in the UK. Modern HR practices, such as digital upskilling and holistic EVPs, inclusive recruitment and ERGs can provide evidence-based answers to these questions. But they can only be effective if the departmental managers play an active accountability role, backed up with HR systems that build people management practice into these core performance expectations.</w:t>
      </w:r>
    </w:p>
    <w:p w14:paraId="49E61411" w14:textId="77777777" w:rsidR="00BE76A2" w:rsidRDefault="00BE76A2" w:rsidP="00BE76A2">
      <w:pPr>
        <w:pStyle w:val="NormalWeb"/>
        <w:spacing w:line="360" w:lineRule="auto"/>
        <w:rPr>
          <w:color w:val="000000"/>
        </w:rPr>
      </w:pPr>
      <w:r>
        <w:rPr>
          <w:color w:val="000000"/>
        </w:rPr>
        <w:t>Here are recommendations to be presented to Tesco HR top Management:</w:t>
      </w:r>
    </w:p>
    <w:p w14:paraId="1A9CA226" w14:textId="77777777" w:rsidR="00BE76A2" w:rsidRDefault="00BE76A2" w:rsidP="00BE76A2">
      <w:pPr>
        <w:pStyle w:val="NormalWeb"/>
        <w:spacing w:line="360" w:lineRule="auto"/>
        <w:rPr>
          <w:color w:val="000000"/>
        </w:rPr>
      </w:pPr>
      <w:r>
        <w:rPr>
          <w:color w:val="000000"/>
        </w:rPr>
        <w:t>• A formalised Digital Skills Academy with progressive learning pathways available to all employee grades alongside a network of dedicated ‘Digital Champions’ supporting each department.</w:t>
      </w:r>
    </w:p>
    <w:p w14:paraId="06055AB5" w14:textId="77777777" w:rsidR="00BE76A2" w:rsidRDefault="00BE76A2" w:rsidP="00BE76A2">
      <w:pPr>
        <w:pStyle w:val="NormalWeb"/>
        <w:spacing w:line="360" w:lineRule="auto"/>
        <w:rPr>
          <w:color w:val="000000"/>
        </w:rPr>
      </w:pPr>
      <w:r>
        <w:rPr>
          <w:color w:val="000000"/>
        </w:rPr>
        <w:lastRenderedPageBreak/>
        <w:t xml:space="preserve">• Update EVP to be more heavily focused on wellbeing, career development, and alignment with organizational </w:t>
      </w:r>
      <w:proofErr w:type="spellStart"/>
      <w:proofErr w:type="gramStart"/>
      <w:r>
        <w:rPr>
          <w:color w:val="000000"/>
        </w:rPr>
        <w:t>values;Ensure</w:t>
      </w:r>
      <w:proofErr w:type="spellEnd"/>
      <w:proofErr w:type="gramEnd"/>
      <w:r>
        <w:rPr>
          <w:color w:val="000000"/>
        </w:rPr>
        <w:t xml:space="preserve"> consistent communication of the EVP across recruitment sources and onboarding documents</w:t>
      </w:r>
    </w:p>
    <w:p w14:paraId="16758F7F" w14:textId="77777777" w:rsidR="00BE76A2" w:rsidRDefault="00BE76A2" w:rsidP="00BE76A2">
      <w:pPr>
        <w:pStyle w:val="NormalWeb"/>
        <w:spacing w:line="360" w:lineRule="auto"/>
        <w:rPr>
          <w:color w:val="000000"/>
        </w:rPr>
      </w:pPr>
      <w:r>
        <w:rPr>
          <w:color w:val="000000"/>
        </w:rPr>
        <w:t>• Embed DEI goals into department performance scorecards, providing quarterly updates on agreed representation, pay equity and inclusion metrics.</w:t>
      </w:r>
    </w:p>
    <w:p w14:paraId="370EC863" w14:textId="77777777" w:rsidR="00BE76A2" w:rsidRDefault="00BE76A2" w:rsidP="00BE76A2">
      <w:pPr>
        <w:pStyle w:val="NormalWeb"/>
        <w:spacing w:line="360" w:lineRule="auto"/>
        <w:rPr>
          <w:color w:val="000000"/>
        </w:rPr>
      </w:pPr>
      <w:r>
        <w:rPr>
          <w:color w:val="000000"/>
        </w:rPr>
        <w:t>• Develop structured line manager development programmes focused on digital change leadership, coaching skills and inclusive management behaviours and link completion to management progression criteria.</w:t>
      </w:r>
    </w:p>
    <w:p w14:paraId="4D2A6238" w14:textId="77777777" w:rsidR="00BE76A2" w:rsidRDefault="00BE76A2" w:rsidP="00BE76A2">
      <w:pPr>
        <w:pStyle w:val="NormalWeb"/>
        <w:spacing w:line="360" w:lineRule="auto"/>
        <w:rPr>
          <w:color w:val="000000"/>
        </w:rPr>
      </w:pPr>
      <w:r>
        <w:rPr>
          <w:color w:val="000000"/>
        </w:rPr>
        <w:t>• Conduct biannual protected characteristic-disaggregated employee engagement surveys to identify differential experiences across workforce segments and track impact from DEI interventions.</w:t>
      </w:r>
    </w:p>
    <w:p w14:paraId="6E06D987" w14:textId="77777777" w:rsidR="00BE76A2" w:rsidRDefault="00BE76A2" w:rsidP="00BE76A2">
      <w:pPr>
        <w:pStyle w:val="NormalWeb"/>
        <w:spacing w:line="360" w:lineRule="auto"/>
        <w:rPr>
          <w:color w:val="000000"/>
        </w:rPr>
      </w:pPr>
      <w:r>
        <w:rPr>
          <w:color w:val="000000"/>
        </w:rPr>
        <w:t>By synchronizing its HR strategy with operational accountability structures and by investing in the development of departmental managers as the key agents of change, Tesco PLC can achieve significant and sustainable progress across all three areas of challenge identified within this report.</w:t>
      </w:r>
    </w:p>
    <w:p w14:paraId="3CE75FC9" w14:textId="77777777" w:rsidR="0092250F" w:rsidRDefault="00000000">
      <w:r>
        <w:br w:type="page"/>
      </w:r>
    </w:p>
    <w:p w14:paraId="13526D67" w14:textId="77777777" w:rsidR="0092250F" w:rsidRDefault="00000000">
      <w:pPr>
        <w:pStyle w:val="Heading1"/>
        <w:pBdr>
          <w:bottom w:val="single" w:sz="4" w:space="4" w:color="1F3864"/>
        </w:pBdr>
      </w:pPr>
      <w:r>
        <w:lastRenderedPageBreak/>
        <w:t>References</w:t>
      </w:r>
    </w:p>
    <w:p w14:paraId="5C3BB18D" w14:textId="77777777" w:rsidR="0092250F" w:rsidRDefault="00000000">
      <w:pPr>
        <w:spacing w:after="160"/>
        <w:jc w:val="both"/>
      </w:pPr>
      <w:r>
        <w:t xml:space="preserve">Armstrong, M. and Taylor, S. (2020) Armstrong's Handbook of Human Resource Management Practice. 15th </w:t>
      </w:r>
      <w:proofErr w:type="spellStart"/>
      <w:r>
        <w:t>edn</w:t>
      </w:r>
      <w:proofErr w:type="spellEnd"/>
      <w:r>
        <w:t>. London: Kogan Page.</w:t>
      </w:r>
    </w:p>
    <w:p w14:paraId="791763B5" w14:textId="77777777" w:rsidR="0092250F" w:rsidRDefault="00000000">
      <w:pPr>
        <w:spacing w:after="160"/>
        <w:jc w:val="both"/>
      </w:pPr>
      <w:r>
        <w:t>CIPD (Chartered Institute of Personnel and Development) (2021) Resourcing and Talent Planning Survey 2021. London: CIPD. Available at: https://www.cipd.co.uk (Accessed: 15 March 2026).</w:t>
      </w:r>
    </w:p>
    <w:p w14:paraId="11590FC4" w14:textId="77777777" w:rsidR="0092250F" w:rsidRDefault="00000000">
      <w:pPr>
        <w:spacing w:after="160"/>
        <w:jc w:val="both"/>
      </w:pPr>
      <w:r>
        <w:t>CIPD (Chartered Institute of Personnel and Development) (2022) Learning and Development at Work 2022. London: CIPD. Available at: https://www.cipd.co.uk (Accessed: 15 March 2026).</w:t>
      </w:r>
    </w:p>
    <w:p w14:paraId="20BE932B" w14:textId="77777777" w:rsidR="0092250F" w:rsidRDefault="00000000">
      <w:pPr>
        <w:spacing w:after="160"/>
        <w:jc w:val="both"/>
      </w:pPr>
      <w:r>
        <w:t>Deloitte (2023) 2023 Global Millennial and Gen Z Survey. London: Deloitte. Available at: https://www.deloitte.com (Accessed: 15 March 2026).</w:t>
      </w:r>
    </w:p>
    <w:p w14:paraId="4A209E9B" w14:textId="77777777" w:rsidR="0092250F" w:rsidRDefault="00000000">
      <w:pPr>
        <w:spacing w:after="160"/>
        <w:jc w:val="both"/>
      </w:pPr>
      <w:r>
        <w:t>Gallup (2023) State of the Global Workplace: 2023 Report. Washington, DC: Gallup. Available at: https://www.gallup.com (Accessed: 15 March 2026).</w:t>
      </w:r>
    </w:p>
    <w:p w14:paraId="60716CCF" w14:textId="77777777" w:rsidR="0092250F" w:rsidRDefault="00000000">
      <w:pPr>
        <w:spacing w:after="160"/>
        <w:jc w:val="both"/>
      </w:pPr>
      <w:r>
        <w:t>Gratton, L. (2022) Redesigning Work: How to Transform Your Organisation and Make Hybrid Work for Everyone. London: Penguin Business.</w:t>
      </w:r>
    </w:p>
    <w:p w14:paraId="7A682C7E" w14:textId="77777777" w:rsidR="0092250F" w:rsidRDefault="00000000">
      <w:pPr>
        <w:spacing w:after="160"/>
        <w:jc w:val="both"/>
      </w:pPr>
      <w:r>
        <w:t>McKinsey and Company (2023) Diversity Wins: How Inclusion Matters. New York: McKinsey and Company. Available at: https://www.mckinsey.com (Accessed: 15 March 2026).</w:t>
      </w:r>
    </w:p>
    <w:p w14:paraId="097FE22D" w14:textId="77777777" w:rsidR="0092250F" w:rsidRDefault="00000000">
      <w:pPr>
        <w:spacing w:after="160"/>
        <w:jc w:val="both"/>
      </w:pPr>
      <w:r>
        <w:t>Noon, M. and Ogbonna, E. (2021) 'Controlling management to deliver diversity and inclusion: prospects and limits', Human Resource Management Journal, 31(3), pp. 619–638.</w:t>
      </w:r>
    </w:p>
    <w:p w14:paraId="0A148A54" w14:textId="77777777" w:rsidR="0092250F" w:rsidRDefault="00000000">
      <w:pPr>
        <w:spacing w:after="160"/>
        <w:jc w:val="both"/>
      </w:pPr>
      <w:r>
        <w:t>Purcell, J. and Hutchinson, S. (2022) Front-Line Managers as Agents in the HRM–Performance Causal Chain: Theory, Analysis and Evidence. Bradford: Emerald Publishing.</w:t>
      </w:r>
    </w:p>
    <w:p w14:paraId="510B71E9" w14:textId="77777777" w:rsidR="0092250F" w:rsidRDefault="00000000">
      <w:pPr>
        <w:spacing w:after="160"/>
        <w:jc w:val="both"/>
      </w:pPr>
      <w:r>
        <w:t>PwC (PricewaterhouseCoopers) (2021) Workforce of the Future: The Competing Forces Shaping 2030. London: PwC. Available at: https://www.pwc.co.uk (Accessed: 15 March 2026).</w:t>
      </w:r>
    </w:p>
    <w:p w14:paraId="3F1DD6BB" w14:textId="77777777" w:rsidR="0092250F" w:rsidRDefault="00000000">
      <w:pPr>
        <w:spacing w:after="160"/>
        <w:jc w:val="both"/>
      </w:pPr>
      <w:r>
        <w:t>Tesco PLC (2023) Tesco Annual Report and Financial Statements 2023. Welwyn Garden City: Tesco PLC. Available at: https://www.tescoplc.com (Accessed: 15 March 2026).</w:t>
      </w:r>
    </w:p>
    <w:p w14:paraId="76C38AAA" w14:textId="77777777" w:rsidR="0092250F" w:rsidRDefault="00000000">
      <w:pPr>
        <w:spacing w:after="160"/>
        <w:jc w:val="both"/>
      </w:pPr>
      <w:r>
        <w:t>World Economic Forum (2023) Future of Jobs Report 2023. Geneva: World Economic Forum. Available at: https://www.weforum.org (Accessed: 15 March 2026).</w:t>
      </w:r>
    </w:p>
    <w:sectPr w:rsidR="0092250F">
      <w:headerReference w:type="default" r:id="rId7"/>
      <w:footerReference w:type="default" r:id="rId8"/>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2219C" w14:textId="77777777" w:rsidR="00FC452A" w:rsidRDefault="00FC452A">
      <w:r>
        <w:separator/>
      </w:r>
    </w:p>
  </w:endnote>
  <w:endnote w:type="continuationSeparator" w:id="0">
    <w:p w14:paraId="4C807BAF" w14:textId="77777777" w:rsidR="00FC452A" w:rsidRDefault="00FC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1329E" w14:textId="77777777" w:rsidR="0092250F" w:rsidRDefault="00000000">
    <w:pPr>
      <w:jc w:val="cente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BE76A2">
      <w:rPr>
        <w:noProof/>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NUMPAGES</w:instrText>
    </w:r>
    <w:r>
      <w:rPr>
        <w:color w:val="666666"/>
        <w:sz w:val="18"/>
        <w:szCs w:val="18"/>
      </w:rPr>
      <w:fldChar w:fldCharType="separate"/>
    </w:r>
    <w:r w:rsidR="00BE76A2">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DD95C" w14:textId="77777777" w:rsidR="00FC452A" w:rsidRDefault="00FC452A">
      <w:r>
        <w:separator/>
      </w:r>
    </w:p>
  </w:footnote>
  <w:footnote w:type="continuationSeparator" w:id="0">
    <w:p w14:paraId="20091595" w14:textId="77777777" w:rsidR="00FC452A" w:rsidRDefault="00FC4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93048" w14:textId="77777777" w:rsidR="0092250F" w:rsidRDefault="00000000">
    <w:pPr>
      <w:pBdr>
        <w:bottom w:val="single" w:sz="4" w:space="4" w:color="CCCCCC"/>
      </w:pBdr>
      <w:spacing w:after="120"/>
      <w:jc w:val="right"/>
    </w:pPr>
    <w:r>
      <w:rPr>
        <w:color w:val="666666"/>
        <w:sz w:val="18"/>
        <w:szCs w:val="18"/>
      </w:rPr>
      <w:t xml:space="preserve">Developing and Managing Individuals and </w:t>
    </w:r>
    <w:proofErr w:type="gramStart"/>
    <w:r>
      <w:rPr>
        <w:color w:val="666666"/>
        <w:sz w:val="18"/>
        <w:szCs w:val="18"/>
      </w:rPr>
      <w:t>Teams  |</w:t>
    </w:r>
    <w:proofErr w:type="gramEnd"/>
    <w:r>
      <w:rPr>
        <w:color w:val="666666"/>
        <w:sz w:val="18"/>
        <w:szCs w:val="18"/>
      </w:rPr>
      <w:t xml:space="preserve">  LCLM5002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C470D"/>
    <w:multiLevelType w:val="hybridMultilevel"/>
    <w:tmpl w:val="276E2DD6"/>
    <w:lvl w:ilvl="0" w:tplc="D0FA86E8">
      <w:start w:val="1"/>
      <w:numFmt w:val="bullet"/>
      <w:lvlText w:val="●"/>
      <w:lvlJc w:val="left"/>
      <w:pPr>
        <w:ind w:left="720" w:hanging="360"/>
      </w:pPr>
    </w:lvl>
    <w:lvl w:ilvl="1" w:tplc="05B2E0E0">
      <w:start w:val="1"/>
      <w:numFmt w:val="bullet"/>
      <w:lvlText w:val="○"/>
      <w:lvlJc w:val="left"/>
      <w:pPr>
        <w:ind w:left="1440" w:hanging="360"/>
      </w:pPr>
    </w:lvl>
    <w:lvl w:ilvl="2" w:tplc="8262532C">
      <w:start w:val="1"/>
      <w:numFmt w:val="bullet"/>
      <w:lvlText w:val="■"/>
      <w:lvlJc w:val="left"/>
      <w:pPr>
        <w:ind w:left="2160" w:hanging="360"/>
      </w:pPr>
    </w:lvl>
    <w:lvl w:ilvl="3" w:tplc="1A882938">
      <w:start w:val="1"/>
      <w:numFmt w:val="bullet"/>
      <w:lvlText w:val="●"/>
      <w:lvlJc w:val="left"/>
      <w:pPr>
        <w:ind w:left="2880" w:hanging="360"/>
      </w:pPr>
    </w:lvl>
    <w:lvl w:ilvl="4" w:tplc="98ACA626">
      <w:start w:val="1"/>
      <w:numFmt w:val="bullet"/>
      <w:lvlText w:val="○"/>
      <w:lvlJc w:val="left"/>
      <w:pPr>
        <w:ind w:left="3600" w:hanging="360"/>
      </w:pPr>
    </w:lvl>
    <w:lvl w:ilvl="5" w:tplc="6B2AC7AE">
      <w:start w:val="1"/>
      <w:numFmt w:val="bullet"/>
      <w:lvlText w:val="■"/>
      <w:lvlJc w:val="left"/>
      <w:pPr>
        <w:ind w:left="4320" w:hanging="360"/>
      </w:pPr>
    </w:lvl>
    <w:lvl w:ilvl="6" w:tplc="D1F2E886">
      <w:start w:val="1"/>
      <w:numFmt w:val="bullet"/>
      <w:lvlText w:val="●"/>
      <w:lvlJc w:val="left"/>
      <w:pPr>
        <w:ind w:left="5040" w:hanging="360"/>
      </w:pPr>
    </w:lvl>
    <w:lvl w:ilvl="7" w:tplc="1500F2A6">
      <w:start w:val="1"/>
      <w:numFmt w:val="bullet"/>
      <w:lvlText w:val="●"/>
      <w:lvlJc w:val="left"/>
      <w:pPr>
        <w:ind w:left="5760" w:hanging="360"/>
      </w:pPr>
    </w:lvl>
    <w:lvl w:ilvl="8" w:tplc="5EA09A06">
      <w:start w:val="1"/>
      <w:numFmt w:val="bullet"/>
      <w:lvlText w:val="●"/>
      <w:lvlJc w:val="left"/>
      <w:pPr>
        <w:ind w:left="6480" w:hanging="360"/>
      </w:pPr>
    </w:lvl>
  </w:abstractNum>
  <w:abstractNum w:abstractNumId="1" w15:restartNumberingAfterBreak="0">
    <w:nsid w:val="6607766C"/>
    <w:multiLevelType w:val="hybridMultilevel"/>
    <w:tmpl w:val="DC9603C4"/>
    <w:lvl w:ilvl="0" w:tplc="B630DD80">
      <w:start w:val="1"/>
      <w:numFmt w:val="bullet"/>
      <w:lvlText w:val="•"/>
      <w:lvlJc w:val="left"/>
      <w:pPr>
        <w:spacing w:after="80"/>
        <w:ind w:left="720" w:hanging="360"/>
      </w:pPr>
    </w:lvl>
    <w:lvl w:ilvl="1" w:tplc="FA506E52">
      <w:numFmt w:val="decimal"/>
      <w:lvlText w:val=""/>
      <w:lvlJc w:val="left"/>
    </w:lvl>
    <w:lvl w:ilvl="2" w:tplc="B51EEC6E">
      <w:numFmt w:val="decimal"/>
      <w:lvlText w:val=""/>
      <w:lvlJc w:val="left"/>
    </w:lvl>
    <w:lvl w:ilvl="3" w:tplc="CB8A17FE">
      <w:numFmt w:val="decimal"/>
      <w:lvlText w:val=""/>
      <w:lvlJc w:val="left"/>
    </w:lvl>
    <w:lvl w:ilvl="4" w:tplc="EA74E490">
      <w:numFmt w:val="decimal"/>
      <w:lvlText w:val=""/>
      <w:lvlJc w:val="left"/>
    </w:lvl>
    <w:lvl w:ilvl="5" w:tplc="199A6E46">
      <w:numFmt w:val="decimal"/>
      <w:lvlText w:val=""/>
      <w:lvlJc w:val="left"/>
    </w:lvl>
    <w:lvl w:ilvl="6" w:tplc="F844FB98">
      <w:numFmt w:val="decimal"/>
      <w:lvlText w:val=""/>
      <w:lvlJc w:val="left"/>
    </w:lvl>
    <w:lvl w:ilvl="7" w:tplc="A70CFC68">
      <w:numFmt w:val="decimal"/>
      <w:lvlText w:val=""/>
      <w:lvlJc w:val="left"/>
    </w:lvl>
    <w:lvl w:ilvl="8" w:tplc="B22823A2">
      <w:numFmt w:val="decimal"/>
      <w:lvlText w:val=""/>
      <w:lvlJc w:val="left"/>
    </w:lvl>
  </w:abstractNum>
  <w:num w:numId="1" w16cid:durableId="1496187602">
    <w:abstractNumId w:val="0"/>
    <w:lvlOverride w:ilvl="0">
      <w:startOverride w:val="1"/>
    </w:lvlOverride>
  </w:num>
  <w:num w:numId="2" w16cid:durableId="205901272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50F"/>
    <w:rsid w:val="0092250F"/>
    <w:rsid w:val="00BE76A2"/>
    <w:rsid w:val="00FC4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38629F"/>
  <w15:docId w15:val="{78B13950-5F65-2F40-8E70-DC3A207C4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F3864"/>
      <w:sz w:val="26"/>
      <w:szCs w:val="26"/>
    </w:rPr>
  </w:style>
  <w:style w:type="paragraph" w:styleId="Heading2">
    <w:name w:val="heading 2"/>
    <w:uiPriority w:val="9"/>
    <w:unhideWhenUsed/>
    <w:qFormat/>
    <w:pPr>
      <w:spacing w:before="240" w:after="120"/>
      <w:outlineLvl w:val="1"/>
    </w:pPr>
    <w:rPr>
      <w:b/>
      <w:bCs/>
      <w:color w:val="2C5F8A"/>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BE76A2"/>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497192">
      <w:bodyDiv w:val="1"/>
      <w:marLeft w:val="0"/>
      <w:marRight w:val="0"/>
      <w:marTop w:val="0"/>
      <w:marBottom w:val="0"/>
      <w:divBdr>
        <w:top w:val="none" w:sz="0" w:space="0" w:color="auto"/>
        <w:left w:val="none" w:sz="0" w:space="0" w:color="auto"/>
        <w:bottom w:val="none" w:sz="0" w:space="0" w:color="auto"/>
        <w:right w:val="none" w:sz="0" w:space="0" w:color="auto"/>
      </w:divBdr>
    </w:div>
    <w:div w:id="2106413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3016</Words>
  <Characters>17193</Characters>
  <Application>Microsoft Office Word</Application>
  <DocSecurity>0</DocSecurity>
  <Lines>143</Lines>
  <Paragraphs>40</Paragraphs>
  <ScaleCrop>false</ScaleCrop>
  <Company/>
  <LinksUpToDate>false</LinksUpToDate>
  <CharactersWithSpaces>20169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2026-03-30T12:06:00Z</dcterms:created>
  <dcterms:modified xsi:type="dcterms:W3CDTF">2026-03-30T12:06:00Z</dcterms:modified>
</cp:coreProperties>
</file>