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EE70BF" w14:textId="6D3CA703" w:rsidR="00E6496C" w:rsidRDefault="00E6496C" w:rsidP="00971FF6">
      <w:pPr>
        <w:pStyle w:val="ListParagraph"/>
        <w:spacing w:after="0" w:line="240" w:lineRule="auto"/>
        <w:ind w:left="0"/>
        <w:jc w:val="center"/>
        <w:rPr>
          <w:rFonts w:ascii="Arial" w:hAnsi="Arial" w:cs="Arial"/>
          <w:bCs/>
          <w:color w:val="000000" w:themeColor="text1"/>
          <w:sz w:val="32"/>
          <w:szCs w:val="32"/>
          <w:u w:val="single"/>
        </w:rPr>
      </w:pPr>
      <w:r w:rsidRPr="00971FF6">
        <w:rPr>
          <w:rFonts w:ascii="Arial" w:hAnsi="Arial" w:cs="Arial"/>
          <w:bCs/>
          <w:color w:val="000000" w:themeColor="text1"/>
          <w:sz w:val="32"/>
          <w:szCs w:val="32"/>
          <w:u w:val="single"/>
        </w:rPr>
        <w:t>Is it reasonable to describe the modern UK as a fully democratic state?</w:t>
      </w:r>
    </w:p>
    <w:p w14:paraId="4AE00DA8" w14:textId="1078D1B5" w:rsidR="00E651E8" w:rsidRDefault="00E651E8" w:rsidP="00971FF6">
      <w:pPr>
        <w:pStyle w:val="ListParagraph"/>
        <w:spacing w:after="0" w:line="240" w:lineRule="auto"/>
        <w:ind w:left="0"/>
        <w:jc w:val="center"/>
        <w:rPr>
          <w:rFonts w:ascii="Arial" w:hAnsi="Arial" w:cs="Arial"/>
          <w:bCs/>
          <w:color w:val="000000" w:themeColor="text1"/>
          <w:sz w:val="32"/>
          <w:szCs w:val="32"/>
          <w:u w:val="single"/>
        </w:rPr>
      </w:pPr>
    </w:p>
    <w:p w14:paraId="0611C0E8" w14:textId="02D0EBC4" w:rsidR="00E651E8" w:rsidRPr="00E651E8" w:rsidRDefault="00E651E8" w:rsidP="00971FF6">
      <w:pPr>
        <w:pStyle w:val="ListParagraph"/>
        <w:spacing w:after="0" w:line="240" w:lineRule="auto"/>
        <w:ind w:left="0"/>
        <w:jc w:val="center"/>
        <w:rPr>
          <w:rFonts w:ascii="Arial" w:hAnsi="Arial" w:cs="Arial"/>
          <w:bCs/>
          <w:color w:val="000000" w:themeColor="text1"/>
          <w:sz w:val="28"/>
          <w:szCs w:val="28"/>
          <w:u w:val="single"/>
        </w:rPr>
      </w:pPr>
      <w:r>
        <w:rPr>
          <w:rFonts w:ascii="Arial" w:hAnsi="Arial" w:cs="Arial"/>
          <w:bCs/>
          <w:color w:val="000000" w:themeColor="text1"/>
          <w:sz w:val="28"/>
          <w:szCs w:val="28"/>
          <w:u w:val="single"/>
        </w:rPr>
        <w:t>The Working-Class and democracy in Britain, how their struggle</w:t>
      </w:r>
      <w:r w:rsidR="009E19B2">
        <w:rPr>
          <w:rFonts w:ascii="Arial" w:hAnsi="Arial" w:cs="Arial"/>
          <w:bCs/>
          <w:color w:val="000000" w:themeColor="text1"/>
          <w:sz w:val="28"/>
          <w:szCs w:val="28"/>
          <w:u w:val="single"/>
        </w:rPr>
        <w:t xml:space="preserve">s </w:t>
      </w:r>
      <w:r>
        <w:rPr>
          <w:rFonts w:ascii="Arial" w:hAnsi="Arial" w:cs="Arial"/>
          <w:bCs/>
          <w:color w:val="000000" w:themeColor="text1"/>
          <w:sz w:val="28"/>
          <w:szCs w:val="28"/>
          <w:u w:val="single"/>
        </w:rPr>
        <w:t>changed and is continu</w:t>
      </w:r>
      <w:r w:rsidR="009E19B2">
        <w:rPr>
          <w:rFonts w:ascii="Arial" w:hAnsi="Arial" w:cs="Arial"/>
          <w:bCs/>
          <w:color w:val="000000" w:themeColor="text1"/>
          <w:sz w:val="28"/>
          <w:szCs w:val="28"/>
          <w:u w:val="single"/>
        </w:rPr>
        <w:t>ing to</w:t>
      </w:r>
      <w:r>
        <w:rPr>
          <w:rFonts w:ascii="Arial" w:hAnsi="Arial" w:cs="Arial"/>
          <w:bCs/>
          <w:color w:val="000000" w:themeColor="text1"/>
          <w:sz w:val="28"/>
          <w:szCs w:val="28"/>
          <w:u w:val="single"/>
        </w:rPr>
        <w:t xml:space="preserve"> chang</w:t>
      </w:r>
      <w:r w:rsidR="009E19B2">
        <w:rPr>
          <w:rFonts w:ascii="Arial" w:hAnsi="Arial" w:cs="Arial"/>
          <w:bCs/>
          <w:color w:val="000000" w:themeColor="text1"/>
          <w:sz w:val="28"/>
          <w:szCs w:val="28"/>
          <w:u w:val="single"/>
        </w:rPr>
        <w:t>e</w:t>
      </w:r>
      <w:r>
        <w:rPr>
          <w:rFonts w:ascii="Arial" w:hAnsi="Arial" w:cs="Arial"/>
          <w:bCs/>
          <w:color w:val="000000" w:themeColor="text1"/>
          <w:sz w:val="28"/>
          <w:szCs w:val="28"/>
          <w:u w:val="single"/>
        </w:rPr>
        <w:t xml:space="preserve"> democracy as we know it.</w:t>
      </w:r>
    </w:p>
    <w:p w14:paraId="680893C9" w14:textId="2C1A7A03" w:rsidR="00971FF6" w:rsidRDefault="00971FF6" w:rsidP="00971FF6">
      <w:pPr>
        <w:pStyle w:val="ListParagraph"/>
        <w:spacing w:after="0" w:line="240" w:lineRule="auto"/>
        <w:ind w:left="0"/>
        <w:jc w:val="center"/>
        <w:rPr>
          <w:rFonts w:ascii="Arial" w:hAnsi="Arial" w:cs="Arial"/>
          <w:bCs/>
          <w:color w:val="000000" w:themeColor="text1"/>
          <w:sz w:val="32"/>
          <w:szCs w:val="32"/>
          <w:u w:val="single"/>
        </w:rPr>
      </w:pPr>
    </w:p>
    <w:p w14:paraId="3294791E" w14:textId="0347BF26" w:rsidR="00857C60" w:rsidRPr="00C23F6F" w:rsidRDefault="00C23F6F">
      <w:pPr>
        <w:rPr>
          <w:rFonts w:ascii="Arial" w:hAnsi="Arial" w:cs="Arial"/>
          <w:sz w:val="24"/>
          <w:szCs w:val="24"/>
        </w:rPr>
      </w:pPr>
      <w:r>
        <w:rPr>
          <w:rFonts w:ascii="Arial" w:hAnsi="Arial" w:cs="Arial"/>
          <w:sz w:val="24"/>
          <w:szCs w:val="24"/>
        </w:rPr>
        <w:t xml:space="preserve">Democracy has sparks differing ideas in different theologists, historians, political commentators, and the general publics minds. The UK on the outside can be seen as a democratic state but how democratic is it truly? And what processes did the people of the United Kingdom have to go through in order to reach the point they are at now. In order to discuss and understand how democracy works and whether or not the term </w:t>
      </w:r>
      <w:r>
        <w:rPr>
          <w:rFonts w:ascii="Arial" w:hAnsi="Arial" w:cs="Arial"/>
          <w:i/>
          <w:iCs/>
          <w:sz w:val="24"/>
          <w:szCs w:val="24"/>
        </w:rPr>
        <w:t>‘Fully Democratic’</w:t>
      </w:r>
      <w:r>
        <w:rPr>
          <w:rFonts w:ascii="Arial" w:hAnsi="Arial" w:cs="Arial"/>
          <w:sz w:val="24"/>
          <w:szCs w:val="24"/>
        </w:rPr>
        <w:t xml:space="preserve"> can be applied to the UK it is important to discuss what is meant by the term democracy in general and the history behind the term and idea as well as understand how you go as far as to measure how democratic a state is and what characteristics a democratic state upholds. The working-class is a group of people who have felt the wrath of the UK’s ever changing political tide and its is important to acknowledge the struggles they went through to get Britain to the place it is politically today. Finally it is necessary to discuss the </w:t>
      </w:r>
      <w:r w:rsidR="00221EA4">
        <w:rPr>
          <w:rFonts w:ascii="Arial" w:hAnsi="Arial" w:cs="Arial"/>
          <w:sz w:val="24"/>
          <w:szCs w:val="24"/>
        </w:rPr>
        <w:t>goals</w:t>
      </w:r>
      <w:r>
        <w:rPr>
          <w:rFonts w:ascii="Arial" w:hAnsi="Arial" w:cs="Arial"/>
          <w:sz w:val="24"/>
          <w:szCs w:val="24"/>
        </w:rPr>
        <w:t xml:space="preserve"> that activists and campaigners are currently working</w:t>
      </w:r>
      <w:r w:rsidR="00221EA4">
        <w:rPr>
          <w:rFonts w:ascii="Arial" w:hAnsi="Arial" w:cs="Arial"/>
          <w:sz w:val="24"/>
          <w:szCs w:val="24"/>
        </w:rPr>
        <w:t xml:space="preserve"> towards in order to make the UK more democratic in their eyes, these struggles are ones that often can mirror the struggles the working classes of our past.</w:t>
      </w:r>
    </w:p>
    <w:p w14:paraId="3099F214" w14:textId="77777777" w:rsidR="003F4B93" w:rsidRDefault="00857C60" w:rsidP="00954DC3">
      <w:pPr>
        <w:ind w:firstLine="720"/>
        <w:rPr>
          <w:rFonts w:ascii="Arial" w:hAnsi="Arial" w:cs="Arial"/>
          <w:sz w:val="24"/>
          <w:szCs w:val="24"/>
        </w:rPr>
      </w:pPr>
      <w:r>
        <w:rPr>
          <w:rFonts w:ascii="Arial" w:hAnsi="Arial" w:cs="Arial"/>
          <w:sz w:val="24"/>
          <w:szCs w:val="24"/>
        </w:rPr>
        <w:t xml:space="preserve">According to Daniel J. Fiorino </w:t>
      </w:r>
      <w:r w:rsidR="00C62748">
        <w:rPr>
          <w:rFonts w:ascii="Arial" w:hAnsi="Arial" w:cs="Arial"/>
          <w:sz w:val="24"/>
          <w:szCs w:val="24"/>
        </w:rPr>
        <w:t xml:space="preserve">the director of the Centre for Environmental Policy at American University’s School of Public Affairs, </w:t>
      </w:r>
      <w:r w:rsidR="00B553B1">
        <w:rPr>
          <w:rFonts w:ascii="Arial" w:hAnsi="Arial" w:cs="Arial"/>
          <w:sz w:val="24"/>
          <w:szCs w:val="24"/>
        </w:rPr>
        <w:t>“</w:t>
      </w:r>
      <w:r w:rsidR="00C62748" w:rsidRPr="00B553B1">
        <w:rPr>
          <w:rFonts w:ascii="Arial" w:hAnsi="Arial" w:cs="Arial"/>
          <w:i/>
          <w:iCs/>
          <w:sz w:val="24"/>
          <w:szCs w:val="24"/>
        </w:rPr>
        <w:t>democracy as a form of governance can usually be distinguished from other forms by a certain set of characteristics: free and fair elections, majority rule by representative institutions</w:t>
      </w:r>
      <w:r w:rsidR="00B553B1" w:rsidRPr="00B553B1">
        <w:rPr>
          <w:rFonts w:ascii="Arial" w:hAnsi="Arial" w:cs="Arial"/>
          <w:i/>
          <w:iCs/>
          <w:sz w:val="24"/>
          <w:szCs w:val="24"/>
        </w:rPr>
        <w:t>, limits on governmental power and protection of individual and minority rights</w:t>
      </w:r>
      <w:r w:rsidR="00B553B1">
        <w:rPr>
          <w:rFonts w:ascii="Arial" w:hAnsi="Arial" w:cs="Arial"/>
          <w:sz w:val="24"/>
          <w:szCs w:val="24"/>
        </w:rPr>
        <w:t>”</w:t>
      </w:r>
      <w:r w:rsidR="00B553B1">
        <w:rPr>
          <w:rStyle w:val="FootnoteReference"/>
          <w:rFonts w:ascii="Arial" w:hAnsi="Arial" w:cs="Arial"/>
          <w:sz w:val="24"/>
          <w:szCs w:val="24"/>
        </w:rPr>
        <w:footnoteReference w:id="1"/>
      </w:r>
      <w:r w:rsidR="00B553B1">
        <w:rPr>
          <w:rFonts w:ascii="Arial" w:hAnsi="Arial" w:cs="Arial"/>
          <w:sz w:val="24"/>
          <w:szCs w:val="24"/>
        </w:rPr>
        <w:t>.</w:t>
      </w:r>
      <w:r w:rsidR="00281F55">
        <w:rPr>
          <w:rFonts w:ascii="Arial" w:hAnsi="Arial" w:cs="Arial"/>
          <w:sz w:val="24"/>
          <w:szCs w:val="24"/>
        </w:rPr>
        <w:t xml:space="preserve"> Fiorino believes that this form of democracy allows for authority to lie in the hands of those who have consented to govern rather than a collection of a few elites</w:t>
      </w:r>
      <w:r w:rsidR="00694128">
        <w:rPr>
          <w:rStyle w:val="FootnoteReference"/>
          <w:rFonts w:ascii="Arial" w:hAnsi="Arial" w:cs="Arial"/>
          <w:sz w:val="24"/>
          <w:szCs w:val="24"/>
        </w:rPr>
        <w:footnoteReference w:id="2"/>
      </w:r>
      <w:r w:rsidR="00694128">
        <w:rPr>
          <w:rFonts w:ascii="Arial" w:hAnsi="Arial" w:cs="Arial"/>
          <w:sz w:val="24"/>
          <w:szCs w:val="24"/>
        </w:rPr>
        <w:t>. These democracies are also usually operated on a basis of fundamental law which comes in the form of a constitution as well as an independent judiciary with distinctions among legislative and executive authorities and political freedoms</w:t>
      </w:r>
      <w:r w:rsidR="00694128">
        <w:rPr>
          <w:rStyle w:val="FootnoteReference"/>
          <w:rFonts w:ascii="Arial" w:hAnsi="Arial" w:cs="Arial"/>
          <w:sz w:val="24"/>
          <w:szCs w:val="24"/>
        </w:rPr>
        <w:footnoteReference w:id="3"/>
      </w:r>
      <w:r w:rsidR="00694128">
        <w:rPr>
          <w:rFonts w:ascii="Arial" w:hAnsi="Arial" w:cs="Arial"/>
          <w:sz w:val="24"/>
          <w:szCs w:val="24"/>
        </w:rPr>
        <w:t>.</w:t>
      </w:r>
      <w:r w:rsidR="00052D87">
        <w:rPr>
          <w:rFonts w:ascii="Arial" w:hAnsi="Arial" w:cs="Arial"/>
          <w:sz w:val="24"/>
          <w:szCs w:val="24"/>
        </w:rPr>
        <w:t xml:space="preserve"> In Fiorino’s book </w:t>
      </w:r>
      <w:r w:rsidR="00052D87">
        <w:rPr>
          <w:rFonts w:ascii="Arial" w:hAnsi="Arial" w:cs="Arial"/>
          <w:i/>
          <w:iCs/>
          <w:sz w:val="24"/>
          <w:szCs w:val="24"/>
        </w:rPr>
        <w:t>“Can democracy handle climate change”</w:t>
      </w:r>
      <w:r w:rsidR="00052D87">
        <w:rPr>
          <w:rFonts w:ascii="Arial" w:hAnsi="Arial" w:cs="Arial"/>
          <w:sz w:val="24"/>
          <w:szCs w:val="24"/>
        </w:rPr>
        <w:t xml:space="preserve"> he considers the 3 different forms of democracy that the Economist Intelligence Unit (EIU) acknowledges, the EIU uses a ‘thicker’ definition of democracy that reflects political responsibility, political </w:t>
      </w:r>
      <w:r w:rsidR="002A76FA">
        <w:rPr>
          <w:rFonts w:ascii="Arial" w:hAnsi="Arial" w:cs="Arial"/>
          <w:sz w:val="24"/>
          <w:szCs w:val="24"/>
        </w:rPr>
        <w:t>culture,</w:t>
      </w:r>
      <w:r w:rsidR="00052D87">
        <w:rPr>
          <w:rFonts w:ascii="Arial" w:hAnsi="Arial" w:cs="Arial"/>
          <w:sz w:val="24"/>
          <w:szCs w:val="24"/>
        </w:rPr>
        <w:t xml:space="preserve"> and the functioning of government</w:t>
      </w:r>
      <w:r w:rsidR="00052D87">
        <w:rPr>
          <w:rStyle w:val="FootnoteReference"/>
          <w:rFonts w:ascii="Arial" w:hAnsi="Arial" w:cs="Arial"/>
          <w:sz w:val="24"/>
          <w:szCs w:val="24"/>
        </w:rPr>
        <w:footnoteReference w:id="4"/>
      </w:r>
      <w:r w:rsidR="00A945F0">
        <w:rPr>
          <w:rFonts w:ascii="Arial" w:hAnsi="Arial" w:cs="Arial"/>
          <w:sz w:val="24"/>
          <w:szCs w:val="24"/>
        </w:rPr>
        <w:t xml:space="preserve">. The 3 different forms Fiorino mentions are known as </w:t>
      </w:r>
      <w:r w:rsidR="00A945F0">
        <w:rPr>
          <w:rFonts w:ascii="Arial" w:hAnsi="Arial" w:cs="Arial"/>
          <w:i/>
          <w:iCs/>
          <w:sz w:val="24"/>
          <w:szCs w:val="24"/>
        </w:rPr>
        <w:t>“Full Democracies”</w:t>
      </w:r>
      <w:r w:rsidR="00A945F0">
        <w:rPr>
          <w:rFonts w:ascii="Arial" w:hAnsi="Arial" w:cs="Arial"/>
          <w:sz w:val="24"/>
          <w:szCs w:val="24"/>
        </w:rPr>
        <w:t xml:space="preserve">, </w:t>
      </w:r>
      <w:r w:rsidR="00A945F0">
        <w:rPr>
          <w:rFonts w:ascii="Arial" w:hAnsi="Arial" w:cs="Arial"/>
          <w:i/>
          <w:iCs/>
          <w:sz w:val="24"/>
          <w:szCs w:val="24"/>
        </w:rPr>
        <w:t>“Flawed Democracies”</w:t>
      </w:r>
      <w:r w:rsidR="00A945F0">
        <w:rPr>
          <w:rFonts w:ascii="Arial" w:hAnsi="Arial" w:cs="Arial"/>
          <w:sz w:val="24"/>
          <w:szCs w:val="24"/>
        </w:rPr>
        <w:t xml:space="preserve"> and </w:t>
      </w:r>
      <w:r w:rsidR="00A945F0">
        <w:rPr>
          <w:rFonts w:ascii="Arial" w:hAnsi="Arial" w:cs="Arial"/>
          <w:i/>
          <w:iCs/>
          <w:sz w:val="24"/>
          <w:szCs w:val="24"/>
        </w:rPr>
        <w:t>“Hybrid Regimes”</w:t>
      </w:r>
      <w:r w:rsidR="006C682D">
        <w:rPr>
          <w:rStyle w:val="FootnoteReference"/>
          <w:rFonts w:ascii="Arial" w:hAnsi="Arial" w:cs="Arial"/>
          <w:i/>
          <w:iCs/>
          <w:sz w:val="24"/>
          <w:szCs w:val="24"/>
        </w:rPr>
        <w:footnoteReference w:id="5"/>
      </w:r>
      <w:r w:rsidR="00A945F0">
        <w:rPr>
          <w:rFonts w:ascii="Arial" w:hAnsi="Arial" w:cs="Arial"/>
          <w:sz w:val="24"/>
          <w:szCs w:val="24"/>
        </w:rPr>
        <w:t xml:space="preserve">. </w:t>
      </w:r>
      <w:r w:rsidR="00496F06">
        <w:rPr>
          <w:rFonts w:ascii="Arial" w:hAnsi="Arial" w:cs="Arial"/>
          <w:sz w:val="24"/>
          <w:szCs w:val="24"/>
        </w:rPr>
        <w:t xml:space="preserve">But </w:t>
      </w:r>
      <w:r w:rsidR="00496F06">
        <w:rPr>
          <w:rFonts w:ascii="Arial" w:hAnsi="Arial" w:cs="Arial"/>
          <w:sz w:val="24"/>
          <w:szCs w:val="24"/>
        </w:rPr>
        <w:lastRenderedPageBreak/>
        <w:t>Fiorino’s definition is a modern one and in order to discuss Britain and its democracy it is important to know the history of the term and where the idea of democracy originated.</w:t>
      </w:r>
    </w:p>
    <w:p w14:paraId="6CF1AD37" w14:textId="5784D456" w:rsidR="005E1538" w:rsidRDefault="00496F06" w:rsidP="00954DC3">
      <w:pPr>
        <w:ind w:firstLine="720"/>
        <w:rPr>
          <w:rFonts w:ascii="Arial" w:hAnsi="Arial" w:cs="Arial"/>
          <w:sz w:val="24"/>
          <w:szCs w:val="24"/>
        </w:rPr>
      </w:pPr>
      <w:r>
        <w:rPr>
          <w:rFonts w:ascii="Arial" w:hAnsi="Arial" w:cs="Arial"/>
          <w:sz w:val="24"/>
          <w:szCs w:val="24"/>
        </w:rPr>
        <w:t>Some historians claim that the idea of democracy originates from the ancient Greeks as their use of democracy is well documents and can be considered common knowledge</w:t>
      </w:r>
      <w:r>
        <w:rPr>
          <w:rStyle w:val="FootnoteReference"/>
          <w:rFonts w:ascii="Arial" w:hAnsi="Arial" w:cs="Arial"/>
          <w:sz w:val="24"/>
          <w:szCs w:val="24"/>
        </w:rPr>
        <w:footnoteReference w:id="6"/>
      </w:r>
      <w:r>
        <w:rPr>
          <w:rFonts w:ascii="Arial" w:hAnsi="Arial" w:cs="Arial"/>
          <w:sz w:val="24"/>
          <w:szCs w:val="24"/>
        </w:rPr>
        <w:t xml:space="preserve">. </w:t>
      </w:r>
      <w:r w:rsidR="00B7242C">
        <w:rPr>
          <w:rFonts w:ascii="Arial" w:hAnsi="Arial" w:cs="Arial"/>
          <w:sz w:val="24"/>
          <w:szCs w:val="24"/>
        </w:rPr>
        <w:t xml:space="preserve">However, </w:t>
      </w:r>
      <w:r w:rsidR="00BE335F">
        <w:rPr>
          <w:rFonts w:ascii="Arial" w:hAnsi="Arial" w:cs="Arial"/>
          <w:sz w:val="24"/>
          <w:szCs w:val="24"/>
        </w:rPr>
        <w:t xml:space="preserve">anthropologists have found that the idea of democracy can be traced back to as far as </w:t>
      </w:r>
      <w:r w:rsidR="00950573">
        <w:rPr>
          <w:rFonts w:ascii="Arial" w:hAnsi="Arial" w:cs="Arial"/>
          <w:sz w:val="24"/>
          <w:szCs w:val="24"/>
        </w:rPr>
        <w:t>indigenous</w:t>
      </w:r>
      <w:r w:rsidR="00BE335F">
        <w:rPr>
          <w:rFonts w:ascii="Arial" w:hAnsi="Arial" w:cs="Arial"/>
          <w:sz w:val="24"/>
          <w:szCs w:val="24"/>
        </w:rPr>
        <w:t xml:space="preserve"> </w:t>
      </w:r>
      <w:r w:rsidR="00950573">
        <w:rPr>
          <w:rFonts w:ascii="Arial" w:hAnsi="Arial" w:cs="Arial"/>
          <w:sz w:val="24"/>
          <w:szCs w:val="24"/>
        </w:rPr>
        <w:t xml:space="preserve">settlements, these settlements are often attributed to have </w:t>
      </w:r>
      <w:r w:rsidR="00A83433">
        <w:rPr>
          <w:rFonts w:ascii="Arial" w:hAnsi="Arial" w:cs="Arial"/>
          <w:sz w:val="24"/>
          <w:szCs w:val="24"/>
        </w:rPr>
        <w:t xml:space="preserve">the same </w:t>
      </w:r>
      <w:r w:rsidR="00950573">
        <w:rPr>
          <w:rFonts w:ascii="Arial" w:hAnsi="Arial" w:cs="Arial"/>
          <w:sz w:val="24"/>
          <w:szCs w:val="24"/>
        </w:rPr>
        <w:t xml:space="preserve">morals and ideals that would later be known </w:t>
      </w:r>
      <w:r w:rsidR="00825986">
        <w:rPr>
          <w:rFonts w:ascii="Arial" w:hAnsi="Arial" w:cs="Arial"/>
          <w:sz w:val="24"/>
          <w:szCs w:val="24"/>
        </w:rPr>
        <w:t>throughout</w:t>
      </w:r>
      <w:r w:rsidR="00950573">
        <w:rPr>
          <w:rFonts w:ascii="Arial" w:hAnsi="Arial" w:cs="Arial"/>
          <w:sz w:val="24"/>
          <w:szCs w:val="24"/>
        </w:rPr>
        <w:t xml:space="preserve"> the Greek and Roman empires</w:t>
      </w:r>
      <w:r w:rsidR="00BE335F">
        <w:rPr>
          <w:rStyle w:val="FootnoteReference"/>
          <w:rFonts w:ascii="Arial" w:hAnsi="Arial" w:cs="Arial"/>
          <w:sz w:val="24"/>
          <w:szCs w:val="24"/>
        </w:rPr>
        <w:footnoteReference w:id="7"/>
      </w:r>
      <w:r w:rsidR="00950573">
        <w:rPr>
          <w:rFonts w:ascii="Arial" w:hAnsi="Arial" w:cs="Arial"/>
          <w:sz w:val="24"/>
          <w:szCs w:val="24"/>
        </w:rPr>
        <w:t>.</w:t>
      </w:r>
      <w:r w:rsidR="00A83433">
        <w:rPr>
          <w:rFonts w:ascii="Arial" w:hAnsi="Arial" w:cs="Arial"/>
          <w:sz w:val="24"/>
          <w:szCs w:val="24"/>
        </w:rPr>
        <w:t xml:space="preserve"> According to anthropological research they have found that </w:t>
      </w:r>
      <w:r w:rsidR="00A83433">
        <w:rPr>
          <w:rFonts w:ascii="Arial" w:hAnsi="Arial" w:cs="Arial"/>
          <w:i/>
          <w:iCs/>
          <w:sz w:val="24"/>
          <w:szCs w:val="24"/>
        </w:rPr>
        <w:t>“The most primitive tribes normally maintain peace and order by voluntary agreement, and that to some extent what Tacitus, Caesar and other classical writers had observed from among the less advanced Germanic tribes”</w:t>
      </w:r>
      <w:r w:rsidR="00F252DB">
        <w:rPr>
          <w:rStyle w:val="FootnoteReference"/>
          <w:rFonts w:ascii="Arial" w:hAnsi="Arial" w:cs="Arial"/>
          <w:i/>
          <w:iCs/>
          <w:sz w:val="24"/>
          <w:szCs w:val="24"/>
        </w:rPr>
        <w:footnoteReference w:id="8"/>
      </w:r>
      <w:r w:rsidR="002E771D">
        <w:rPr>
          <w:rFonts w:ascii="Arial" w:hAnsi="Arial" w:cs="Arial"/>
          <w:i/>
          <w:iCs/>
          <w:sz w:val="24"/>
          <w:szCs w:val="24"/>
        </w:rPr>
        <w:t xml:space="preserve">. </w:t>
      </w:r>
      <w:r w:rsidR="002E771D" w:rsidRPr="002E771D">
        <w:rPr>
          <w:rFonts w:ascii="Arial" w:hAnsi="Arial" w:cs="Arial"/>
          <w:sz w:val="24"/>
          <w:szCs w:val="24"/>
        </w:rPr>
        <w:t>These settlements are noted for</w:t>
      </w:r>
      <w:r w:rsidR="002E771D">
        <w:rPr>
          <w:rFonts w:ascii="Arial" w:hAnsi="Arial" w:cs="Arial"/>
          <w:i/>
          <w:iCs/>
          <w:sz w:val="24"/>
          <w:szCs w:val="24"/>
        </w:rPr>
        <w:t xml:space="preserve"> </w:t>
      </w:r>
      <w:r w:rsidR="00D56B73">
        <w:rPr>
          <w:rFonts w:ascii="Arial" w:hAnsi="Arial" w:cs="Arial"/>
          <w:sz w:val="24"/>
          <w:szCs w:val="24"/>
        </w:rPr>
        <w:t>making important decisions by collective consensus and are often accredited for having not chief</w:t>
      </w:r>
      <w:r w:rsidR="0030282B">
        <w:rPr>
          <w:rFonts w:ascii="Arial" w:hAnsi="Arial" w:cs="Arial"/>
          <w:sz w:val="24"/>
          <w:szCs w:val="24"/>
        </w:rPr>
        <w:t>s and if a disagreement occurs then the settlement may split but again these new settlements also make decisions by unanimous consent</w:t>
      </w:r>
      <w:r w:rsidR="0030282B">
        <w:rPr>
          <w:rStyle w:val="FootnoteReference"/>
          <w:rFonts w:ascii="Arial" w:hAnsi="Arial" w:cs="Arial"/>
          <w:sz w:val="24"/>
          <w:szCs w:val="24"/>
        </w:rPr>
        <w:footnoteReference w:id="9"/>
      </w:r>
      <w:r w:rsidR="0030282B">
        <w:rPr>
          <w:rFonts w:ascii="Arial" w:hAnsi="Arial" w:cs="Arial"/>
          <w:sz w:val="24"/>
          <w:szCs w:val="24"/>
        </w:rPr>
        <w:t>.</w:t>
      </w:r>
      <w:r w:rsidR="00C70766">
        <w:rPr>
          <w:rFonts w:ascii="Arial" w:hAnsi="Arial" w:cs="Arial"/>
          <w:sz w:val="24"/>
          <w:szCs w:val="24"/>
        </w:rPr>
        <w:t xml:space="preserve"> From these studies from anthropologists and historians alike it is safe to assume that democracy as an idea can be traced back far further that we initially thought</w:t>
      </w:r>
      <w:r w:rsidR="009E465D">
        <w:rPr>
          <w:rStyle w:val="FootnoteReference"/>
          <w:rFonts w:ascii="Arial" w:hAnsi="Arial" w:cs="Arial"/>
          <w:sz w:val="24"/>
          <w:szCs w:val="24"/>
        </w:rPr>
        <w:footnoteReference w:id="10"/>
      </w:r>
      <w:r w:rsidR="009E465D">
        <w:rPr>
          <w:rFonts w:ascii="Arial" w:hAnsi="Arial" w:cs="Arial"/>
          <w:sz w:val="24"/>
          <w:szCs w:val="24"/>
        </w:rPr>
        <w:t>.</w:t>
      </w:r>
      <w:r w:rsidR="005E1538">
        <w:rPr>
          <w:rFonts w:ascii="Arial" w:hAnsi="Arial" w:cs="Arial"/>
          <w:sz w:val="24"/>
          <w:szCs w:val="24"/>
        </w:rPr>
        <w:t xml:space="preserve"> Democracy has been influenced by history geographically and it is important to mention how democracy as an idea has been changed not only in Britain but across the world by key historical events</w:t>
      </w:r>
      <w:r w:rsidR="005E1538">
        <w:rPr>
          <w:rStyle w:val="FootnoteReference"/>
          <w:rFonts w:ascii="Arial" w:hAnsi="Arial" w:cs="Arial"/>
          <w:sz w:val="24"/>
          <w:szCs w:val="24"/>
        </w:rPr>
        <w:footnoteReference w:id="11"/>
      </w:r>
      <w:r w:rsidR="00206FC7">
        <w:rPr>
          <w:rFonts w:ascii="Arial" w:hAnsi="Arial" w:cs="Arial"/>
          <w:sz w:val="24"/>
          <w:szCs w:val="24"/>
        </w:rPr>
        <w:t>. Examples of this can be seen within America’s continuing struggle for democracy from the American Civil war to the current idea of felony disenfranchisement</w:t>
      </w:r>
      <w:r w:rsidR="00206FC7">
        <w:rPr>
          <w:rStyle w:val="FootnoteReference"/>
          <w:rFonts w:ascii="Arial" w:hAnsi="Arial" w:cs="Arial"/>
          <w:sz w:val="24"/>
          <w:szCs w:val="24"/>
        </w:rPr>
        <w:footnoteReference w:id="12"/>
      </w:r>
      <w:r w:rsidR="001964E3">
        <w:rPr>
          <w:rFonts w:ascii="Arial" w:hAnsi="Arial" w:cs="Arial"/>
          <w:sz w:val="24"/>
          <w:szCs w:val="24"/>
        </w:rPr>
        <w:t>. Examples of how history has shaped democracy in the UK can be seen through the struggles Britain faced during the changes from the Magna Carter to our ‘modern’ democracy</w:t>
      </w:r>
      <w:r w:rsidR="001964E3">
        <w:rPr>
          <w:rStyle w:val="FootnoteReference"/>
          <w:rFonts w:ascii="Arial" w:hAnsi="Arial" w:cs="Arial"/>
          <w:sz w:val="24"/>
          <w:szCs w:val="24"/>
        </w:rPr>
        <w:footnoteReference w:id="13"/>
      </w:r>
      <w:r w:rsidR="003F4B93">
        <w:rPr>
          <w:rFonts w:ascii="Arial" w:hAnsi="Arial" w:cs="Arial"/>
          <w:sz w:val="24"/>
          <w:szCs w:val="24"/>
        </w:rPr>
        <w:t>.</w:t>
      </w:r>
    </w:p>
    <w:p w14:paraId="1DD2C761" w14:textId="3A378970" w:rsidR="001F4B4F" w:rsidRDefault="001F4B4F">
      <w:pPr>
        <w:rPr>
          <w:rFonts w:ascii="Arial" w:hAnsi="Arial" w:cs="Arial"/>
          <w:sz w:val="24"/>
          <w:szCs w:val="24"/>
        </w:rPr>
      </w:pPr>
    </w:p>
    <w:p w14:paraId="7FA0662D" w14:textId="4ABD7650" w:rsidR="001F4B4F" w:rsidRDefault="001F4B4F">
      <w:pPr>
        <w:rPr>
          <w:rFonts w:ascii="Arial" w:hAnsi="Arial" w:cs="Arial"/>
          <w:sz w:val="24"/>
          <w:szCs w:val="24"/>
        </w:rPr>
      </w:pPr>
      <w:r>
        <w:rPr>
          <w:rFonts w:ascii="Arial" w:hAnsi="Arial" w:cs="Arial"/>
          <w:sz w:val="24"/>
          <w:szCs w:val="24"/>
        </w:rPr>
        <w:tab/>
        <w:t xml:space="preserve">The working class has struggled immensely with becoming franchised in Britain, and in order to understand Britain’s relationship with democracy as well as discussing whether or not it is a fully democratic state it is necessary to understand and bring light too the struggles the majority of British people have faced to become franchised. </w:t>
      </w:r>
      <w:r w:rsidR="002450BC">
        <w:rPr>
          <w:rFonts w:ascii="Arial" w:hAnsi="Arial" w:cs="Arial"/>
          <w:sz w:val="24"/>
          <w:szCs w:val="24"/>
        </w:rPr>
        <w:t xml:space="preserve">While you could argue the start of the working class struggle began as </w:t>
      </w:r>
      <w:r w:rsidR="002450BC">
        <w:rPr>
          <w:rFonts w:ascii="Arial" w:hAnsi="Arial" w:cs="Arial"/>
          <w:sz w:val="24"/>
          <w:szCs w:val="24"/>
        </w:rPr>
        <w:lastRenderedPageBreak/>
        <w:t xml:space="preserve">soon as social classes began for the sake of the word count on this essay, it is easier to start the discussion of the working class struggle in </w:t>
      </w:r>
      <w:r w:rsidR="00B6146F">
        <w:rPr>
          <w:rFonts w:ascii="Arial" w:hAnsi="Arial" w:cs="Arial"/>
          <w:sz w:val="24"/>
          <w:szCs w:val="24"/>
        </w:rPr>
        <w:t xml:space="preserve">1832 with the introduction of a reform act famously known as the </w:t>
      </w:r>
      <w:r w:rsidR="00B6146F">
        <w:rPr>
          <w:rFonts w:ascii="Arial" w:hAnsi="Arial" w:cs="Arial"/>
          <w:i/>
          <w:iCs/>
          <w:sz w:val="24"/>
          <w:szCs w:val="24"/>
        </w:rPr>
        <w:t>“The Representation of the People Act of 1832”</w:t>
      </w:r>
      <w:r w:rsidR="00E0591E">
        <w:rPr>
          <w:rFonts w:ascii="Arial" w:hAnsi="Arial" w:cs="Arial"/>
          <w:i/>
          <w:iCs/>
          <w:sz w:val="24"/>
          <w:szCs w:val="24"/>
        </w:rPr>
        <w:t xml:space="preserve"> </w:t>
      </w:r>
      <w:r w:rsidR="00E0591E">
        <w:rPr>
          <w:rFonts w:ascii="Arial" w:hAnsi="Arial" w:cs="Arial"/>
          <w:sz w:val="24"/>
          <w:szCs w:val="24"/>
        </w:rPr>
        <w:t>as well as the first Reform Act or The Great Reform Act</w:t>
      </w:r>
      <w:r w:rsidR="00E0591E">
        <w:rPr>
          <w:rStyle w:val="FootnoteReference"/>
          <w:rFonts w:ascii="Arial" w:hAnsi="Arial" w:cs="Arial"/>
          <w:sz w:val="24"/>
          <w:szCs w:val="24"/>
        </w:rPr>
        <w:footnoteReference w:id="14"/>
      </w:r>
      <w:r w:rsidR="00B32F4F">
        <w:rPr>
          <w:rFonts w:ascii="Arial" w:hAnsi="Arial" w:cs="Arial"/>
          <w:sz w:val="24"/>
          <w:szCs w:val="24"/>
        </w:rPr>
        <w:t>. This reform act could be described at the first of its kind and began the slow but sure progression to becoming franchised for men, this act did however take away privileges for women as there had been cases of women being able to vote before the act was introduced</w:t>
      </w:r>
      <w:r w:rsidR="00B32F4F">
        <w:rPr>
          <w:rStyle w:val="FootnoteReference"/>
          <w:rFonts w:ascii="Arial" w:hAnsi="Arial" w:cs="Arial"/>
          <w:sz w:val="24"/>
          <w:szCs w:val="24"/>
        </w:rPr>
        <w:footnoteReference w:id="15"/>
      </w:r>
      <w:r w:rsidR="00B32F4F">
        <w:rPr>
          <w:rFonts w:ascii="Arial" w:hAnsi="Arial" w:cs="Arial"/>
          <w:sz w:val="24"/>
          <w:szCs w:val="24"/>
        </w:rPr>
        <w:t>.</w:t>
      </w:r>
      <w:r w:rsidR="00E0591E">
        <w:rPr>
          <w:rFonts w:ascii="Arial" w:hAnsi="Arial" w:cs="Arial"/>
          <w:sz w:val="24"/>
          <w:szCs w:val="24"/>
        </w:rPr>
        <w:t xml:space="preserve"> The Representation of the People Act changed the following:</w:t>
      </w:r>
      <w:r w:rsidR="001A7E41">
        <w:rPr>
          <w:rStyle w:val="FootnoteReference"/>
          <w:rFonts w:ascii="Arial" w:hAnsi="Arial" w:cs="Arial"/>
          <w:sz w:val="24"/>
          <w:szCs w:val="24"/>
        </w:rPr>
        <w:footnoteReference w:id="16"/>
      </w:r>
    </w:p>
    <w:p w14:paraId="37E74390" w14:textId="01E2EAC8" w:rsidR="00E0591E" w:rsidRDefault="00E0591E" w:rsidP="00E0591E">
      <w:pPr>
        <w:pStyle w:val="ListParagraph"/>
        <w:numPr>
          <w:ilvl w:val="0"/>
          <w:numId w:val="2"/>
        </w:numPr>
        <w:rPr>
          <w:rFonts w:ascii="Arial" w:hAnsi="Arial" w:cs="Arial"/>
          <w:sz w:val="24"/>
          <w:szCs w:val="24"/>
        </w:rPr>
      </w:pPr>
      <w:r>
        <w:rPr>
          <w:rFonts w:ascii="Arial" w:hAnsi="Arial" w:cs="Arial"/>
          <w:sz w:val="24"/>
          <w:szCs w:val="24"/>
        </w:rPr>
        <w:t>Disenfranchised 56 boroughs in England and Wales and reduced another 31 to only 1 MP.</w:t>
      </w:r>
    </w:p>
    <w:p w14:paraId="7955BF23" w14:textId="041D0026" w:rsidR="00E0591E" w:rsidRDefault="00E0591E" w:rsidP="00E0591E">
      <w:pPr>
        <w:pStyle w:val="ListParagraph"/>
        <w:numPr>
          <w:ilvl w:val="0"/>
          <w:numId w:val="2"/>
        </w:numPr>
        <w:rPr>
          <w:rFonts w:ascii="Arial" w:hAnsi="Arial" w:cs="Arial"/>
          <w:sz w:val="24"/>
          <w:szCs w:val="24"/>
        </w:rPr>
      </w:pPr>
      <w:r>
        <w:rPr>
          <w:rFonts w:ascii="Arial" w:hAnsi="Arial" w:cs="Arial"/>
          <w:sz w:val="24"/>
          <w:szCs w:val="24"/>
        </w:rPr>
        <w:t>Created 67 new constituency’s.</w:t>
      </w:r>
    </w:p>
    <w:p w14:paraId="679B6E1F" w14:textId="32D617FA" w:rsidR="00E0591E" w:rsidRDefault="00E0591E" w:rsidP="00E0591E">
      <w:pPr>
        <w:pStyle w:val="ListParagraph"/>
        <w:numPr>
          <w:ilvl w:val="0"/>
          <w:numId w:val="2"/>
        </w:numPr>
        <w:rPr>
          <w:rFonts w:ascii="Arial" w:hAnsi="Arial" w:cs="Arial"/>
          <w:sz w:val="24"/>
          <w:szCs w:val="24"/>
        </w:rPr>
      </w:pPr>
      <w:r>
        <w:rPr>
          <w:rFonts w:ascii="Arial" w:hAnsi="Arial" w:cs="Arial"/>
          <w:sz w:val="24"/>
          <w:szCs w:val="24"/>
        </w:rPr>
        <w:t>Broadened the franchises property qualification in the counties in include small landowners, tenant farmers and shop keepers.</w:t>
      </w:r>
    </w:p>
    <w:p w14:paraId="5A62969A" w14:textId="14E718DC" w:rsidR="00E0591E" w:rsidRDefault="00E0591E" w:rsidP="00E0591E">
      <w:pPr>
        <w:pStyle w:val="ListParagraph"/>
        <w:numPr>
          <w:ilvl w:val="0"/>
          <w:numId w:val="2"/>
        </w:numPr>
        <w:rPr>
          <w:rFonts w:ascii="Arial" w:hAnsi="Arial" w:cs="Arial"/>
          <w:sz w:val="24"/>
          <w:szCs w:val="24"/>
        </w:rPr>
      </w:pPr>
      <w:r>
        <w:rPr>
          <w:rFonts w:ascii="Arial" w:hAnsi="Arial" w:cs="Arial"/>
          <w:sz w:val="24"/>
          <w:szCs w:val="24"/>
        </w:rPr>
        <w:t xml:space="preserve">Created a uniform franchise in the boroughs, giving the vote to all householders who paid a yearly rental of £10 or more and some lodgers. </w:t>
      </w:r>
    </w:p>
    <w:p w14:paraId="51B81B71" w14:textId="15DB455C" w:rsidR="00EF22BE" w:rsidRDefault="00FB4AFB" w:rsidP="00B00A1F">
      <w:pPr>
        <w:ind w:firstLine="720"/>
        <w:rPr>
          <w:rFonts w:ascii="Arial" w:hAnsi="Arial" w:cs="Arial"/>
          <w:sz w:val="24"/>
          <w:szCs w:val="24"/>
        </w:rPr>
      </w:pPr>
      <w:r>
        <w:rPr>
          <w:rFonts w:ascii="Arial" w:hAnsi="Arial" w:cs="Arial"/>
          <w:sz w:val="24"/>
          <w:szCs w:val="24"/>
        </w:rPr>
        <w:t>This act was not perfect however, like previously mentioned is disenfranchised some women who were previously able to vote but it also left a large majority of the population out, and even if you were able to vote you were still pressured to vote for someone your landlord wanted you to vote for as there was no secret ballot available and would not be available until the 1872 Ballot Act</w:t>
      </w:r>
      <w:r>
        <w:rPr>
          <w:rStyle w:val="FootnoteReference"/>
          <w:rFonts w:ascii="Arial" w:hAnsi="Arial" w:cs="Arial"/>
          <w:sz w:val="24"/>
          <w:szCs w:val="24"/>
        </w:rPr>
        <w:footnoteReference w:id="17"/>
      </w:r>
      <w:r>
        <w:rPr>
          <w:rFonts w:ascii="Arial" w:hAnsi="Arial" w:cs="Arial"/>
          <w:sz w:val="24"/>
          <w:szCs w:val="24"/>
        </w:rPr>
        <w:t xml:space="preserve">.  </w:t>
      </w:r>
      <w:r w:rsidR="00D34ED0">
        <w:rPr>
          <w:rFonts w:ascii="Arial" w:hAnsi="Arial" w:cs="Arial"/>
          <w:sz w:val="24"/>
          <w:szCs w:val="24"/>
        </w:rPr>
        <w:t>This act however, was a positive start for things to come, it showed that political reform was a possibility and allowed for movements like Chartism</w:t>
      </w:r>
      <w:r w:rsidR="000B6856">
        <w:rPr>
          <w:rFonts w:ascii="Arial" w:hAnsi="Arial" w:cs="Arial"/>
          <w:sz w:val="24"/>
          <w:szCs w:val="24"/>
        </w:rPr>
        <w:t xml:space="preserve"> </w:t>
      </w:r>
      <w:r w:rsidR="00D34ED0">
        <w:rPr>
          <w:rFonts w:ascii="Arial" w:hAnsi="Arial" w:cs="Arial"/>
          <w:sz w:val="24"/>
          <w:szCs w:val="24"/>
        </w:rPr>
        <w:t>and suffragettes to exist</w:t>
      </w:r>
      <w:r w:rsidR="00CD3B0B">
        <w:rPr>
          <w:rStyle w:val="FootnoteReference"/>
          <w:rFonts w:ascii="Arial" w:hAnsi="Arial" w:cs="Arial"/>
          <w:sz w:val="24"/>
          <w:szCs w:val="24"/>
        </w:rPr>
        <w:footnoteReference w:id="18"/>
      </w:r>
      <w:r w:rsidR="00D34ED0">
        <w:rPr>
          <w:rFonts w:ascii="Arial" w:hAnsi="Arial" w:cs="Arial"/>
          <w:sz w:val="24"/>
          <w:szCs w:val="24"/>
        </w:rPr>
        <w:t xml:space="preserve">. </w:t>
      </w:r>
    </w:p>
    <w:p w14:paraId="16677564" w14:textId="582C4E5A" w:rsidR="000B6856" w:rsidRDefault="000B6856" w:rsidP="00B00A1F">
      <w:pPr>
        <w:ind w:firstLine="720"/>
        <w:rPr>
          <w:rFonts w:ascii="Arial" w:hAnsi="Arial" w:cs="Arial"/>
          <w:sz w:val="24"/>
          <w:szCs w:val="24"/>
        </w:rPr>
      </w:pPr>
      <w:r>
        <w:rPr>
          <w:rFonts w:ascii="Arial" w:hAnsi="Arial" w:cs="Arial"/>
          <w:sz w:val="24"/>
          <w:szCs w:val="24"/>
        </w:rPr>
        <w:t xml:space="preserve">During the time period between The Great Reform act of 1832 and the 1867 Reform Act, there was great political upheaval for the working classes of Britain which came in the form of Chartism. </w:t>
      </w:r>
      <w:r w:rsidR="00E172F2">
        <w:rPr>
          <w:rFonts w:ascii="Arial" w:hAnsi="Arial" w:cs="Arial"/>
          <w:sz w:val="24"/>
          <w:szCs w:val="24"/>
        </w:rPr>
        <w:t xml:space="preserve">Chartism was established with a 6 point charter </w:t>
      </w:r>
      <w:r w:rsidR="00E172F2">
        <w:rPr>
          <w:rFonts w:ascii="Arial" w:hAnsi="Arial" w:cs="Arial"/>
          <w:sz w:val="24"/>
          <w:szCs w:val="24"/>
        </w:rPr>
        <w:lastRenderedPageBreak/>
        <w:t>in 1863 compiled by members of the London Working Men Association</w:t>
      </w:r>
      <w:r w:rsidR="00E172F2">
        <w:rPr>
          <w:rStyle w:val="FootnoteReference"/>
          <w:rFonts w:ascii="Arial" w:hAnsi="Arial" w:cs="Arial"/>
          <w:sz w:val="24"/>
          <w:szCs w:val="24"/>
        </w:rPr>
        <w:footnoteReference w:id="19"/>
      </w:r>
      <w:r w:rsidR="00150419">
        <w:rPr>
          <w:rFonts w:ascii="Arial" w:hAnsi="Arial" w:cs="Arial"/>
          <w:sz w:val="24"/>
          <w:szCs w:val="24"/>
        </w:rPr>
        <w:t xml:space="preserve">. Historian and history lecturer at the University of North London Mary Davis claims </w:t>
      </w:r>
      <w:r w:rsidR="00150419">
        <w:rPr>
          <w:rFonts w:ascii="Arial" w:hAnsi="Arial" w:cs="Arial"/>
          <w:i/>
          <w:iCs/>
          <w:sz w:val="24"/>
          <w:szCs w:val="24"/>
        </w:rPr>
        <w:t>“It would not be an exaggeration to say Chartism was the single most important working class political movement of the nineteenth century”</w:t>
      </w:r>
      <w:r w:rsidR="00150419" w:rsidRPr="009745C0">
        <w:rPr>
          <w:rStyle w:val="FootnoteReference"/>
          <w:rFonts w:ascii="Arial" w:hAnsi="Arial" w:cs="Arial"/>
          <w:sz w:val="24"/>
          <w:szCs w:val="24"/>
        </w:rPr>
        <w:footnoteReference w:id="20"/>
      </w:r>
      <w:r w:rsidR="009745C0">
        <w:rPr>
          <w:rFonts w:ascii="Arial" w:hAnsi="Arial" w:cs="Arial"/>
          <w:sz w:val="24"/>
          <w:szCs w:val="24"/>
        </w:rPr>
        <w:t>. The 6 points in the Charter were as followed:</w:t>
      </w:r>
      <w:r w:rsidR="000E37B8">
        <w:rPr>
          <w:rStyle w:val="FootnoteReference"/>
          <w:rFonts w:ascii="Arial" w:hAnsi="Arial" w:cs="Arial"/>
          <w:sz w:val="24"/>
          <w:szCs w:val="24"/>
        </w:rPr>
        <w:footnoteReference w:id="21"/>
      </w:r>
    </w:p>
    <w:p w14:paraId="5DA008D8" w14:textId="1E01F798" w:rsidR="009745C0" w:rsidRDefault="009745C0" w:rsidP="009745C0">
      <w:pPr>
        <w:pStyle w:val="ListParagraph"/>
        <w:numPr>
          <w:ilvl w:val="0"/>
          <w:numId w:val="3"/>
        </w:numPr>
        <w:rPr>
          <w:rFonts w:ascii="Arial" w:hAnsi="Arial" w:cs="Arial"/>
          <w:sz w:val="24"/>
          <w:szCs w:val="24"/>
        </w:rPr>
      </w:pPr>
      <w:r>
        <w:rPr>
          <w:rFonts w:ascii="Arial" w:hAnsi="Arial" w:cs="Arial"/>
          <w:sz w:val="24"/>
          <w:szCs w:val="24"/>
        </w:rPr>
        <w:t>A vote for all men over 21</w:t>
      </w:r>
    </w:p>
    <w:p w14:paraId="64FE26A5" w14:textId="634404C6" w:rsidR="009745C0" w:rsidRDefault="009745C0" w:rsidP="009745C0">
      <w:pPr>
        <w:pStyle w:val="ListParagraph"/>
        <w:numPr>
          <w:ilvl w:val="0"/>
          <w:numId w:val="3"/>
        </w:numPr>
        <w:rPr>
          <w:rFonts w:ascii="Arial" w:hAnsi="Arial" w:cs="Arial"/>
          <w:sz w:val="24"/>
          <w:szCs w:val="24"/>
        </w:rPr>
      </w:pPr>
      <w:r>
        <w:rPr>
          <w:rFonts w:ascii="Arial" w:hAnsi="Arial" w:cs="Arial"/>
          <w:sz w:val="24"/>
          <w:szCs w:val="24"/>
        </w:rPr>
        <w:t>The secret ballot</w:t>
      </w:r>
    </w:p>
    <w:p w14:paraId="43780455" w14:textId="138347D6" w:rsidR="009745C0" w:rsidRDefault="009745C0" w:rsidP="009745C0">
      <w:pPr>
        <w:pStyle w:val="ListParagraph"/>
        <w:numPr>
          <w:ilvl w:val="0"/>
          <w:numId w:val="3"/>
        </w:numPr>
        <w:rPr>
          <w:rFonts w:ascii="Arial" w:hAnsi="Arial" w:cs="Arial"/>
          <w:sz w:val="24"/>
          <w:szCs w:val="24"/>
        </w:rPr>
      </w:pPr>
      <w:r>
        <w:rPr>
          <w:rFonts w:ascii="Arial" w:hAnsi="Arial" w:cs="Arial"/>
          <w:sz w:val="24"/>
          <w:szCs w:val="24"/>
        </w:rPr>
        <w:t>No property qualification to become an MP</w:t>
      </w:r>
    </w:p>
    <w:p w14:paraId="2E679AA2" w14:textId="274715A6" w:rsidR="009745C0" w:rsidRDefault="009745C0" w:rsidP="009745C0">
      <w:pPr>
        <w:pStyle w:val="ListParagraph"/>
        <w:numPr>
          <w:ilvl w:val="0"/>
          <w:numId w:val="3"/>
        </w:numPr>
        <w:rPr>
          <w:rFonts w:ascii="Arial" w:hAnsi="Arial" w:cs="Arial"/>
          <w:sz w:val="24"/>
          <w:szCs w:val="24"/>
        </w:rPr>
      </w:pPr>
      <w:r>
        <w:rPr>
          <w:rFonts w:ascii="Arial" w:hAnsi="Arial" w:cs="Arial"/>
          <w:sz w:val="24"/>
          <w:szCs w:val="24"/>
        </w:rPr>
        <w:t>Payment for MP’s</w:t>
      </w:r>
    </w:p>
    <w:p w14:paraId="6D1652D3" w14:textId="1F6EA926" w:rsidR="009745C0" w:rsidRDefault="009745C0" w:rsidP="009745C0">
      <w:pPr>
        <w:pStyle w:val="ListParagraph"/>
        <w:numPr>
          <w:ilvl w:val="0"/>
          <w:numId w:val="3"/>
        </w:numPr>
        <w:rPr>
          <w:rFonts w:ascii="Arial" w:hAnsi="Arial" w:cs="Arial"/>
          <w:sz w:val="24"/>
          <w:szCs w:val="24"/>
        </w:rPr>
      </w:pPr>
      <w:r>
        <w:rPr>
          <w:rFonts w:ascii="Arial" w:hAnsi="Arial" w:cs="Arial"/>
          <w:sz w:val="24"/>
          <w:szCs w:val="24"/>
        </w:rPr>
        <w:t>Electoral districts of equal size</w:t>
      </w:r>
    </w:p>
    <w:p w14:paraId="735BE5C7" w14:textId="61A640D5" w:rsidR="009745C0" w:rsidRDefault="009745C0" w:rsidP="009745C0">
      <w:pPr>
        <w:pStyle w:val="ListParagraph"/>
        <w:numPr>
          <w:ilvl w:val="0"/>
          <w:numId w:val="3"/>
        </w:numPr>
        <w:rPr>
          <w:rFonts w:ascii="Arial" w:hAnsi="Arial" w:cs="Arial"/>
          <w:sz w:val="24"/>
          <w:szCs w:val="24"/>
        </w:rPr>
      </w:pPr>
      <w:r>
        <w:rPr>
          <w:rFonts w:ascii="Arial" w:hAnsi="Arial" w:cs="Arial"/>
          <w:sz w:val="24"/>
          <w:szCs w:val="24"/>
        </w:rPr>
        <w:t xml:space="preserve">Annual elections for parliament </w:t>
      </w:r>
    </w:p>
    <w:p w14:paraId="42120C90" w14:textId="16925BA6" w:rsidR="00484CE0" w:rsidRPr="00D27B65" w:rsidRDefault="00484CE0" w:rsidP="00484CE0">
      <w:pPr>
        <w:ind w:left="720"/>
        <w:rPr>
          <w:rFonts w:ascii="Arial" w:hAnsi="Arial" w:cs="Arial"/>
          <w:sz w:val="24"/>
          <w:szCs w:val="24"/>
        </w:rPr>
      </w:pPr>
      <w:r>
        <w:rPr>
          <w:rFonts w:ascii="Arial" w:hAnsi="Arial" w:cs="Arial"/>
          <w:sz w:val="24"/>
          <w:szCs w:val="24"/>
        </w:rPr>
        <w:t>The support for the Chartist movement was clear in their petitions they provided to the government, no just once but three times, gaining millions of signatures, and allowing for the formation of the first ever working-class political party; The National Charter Association formed in 1840</w:t>
      </w:r>
      <w:r w:rsidR="00845B0A">
        <w:rPr>
          <w:rStyle w:val="FootnoteReference"/>
          <w:rFonts w:ascii="Arial" w:hAnsi="Arial" w:cs="Arial"/>
          <w:sz w:val="24"/>
          <w:szCs w:val="24"/>
        </w:rPr>
        <w:footnoteReference w:id="22"/>
      </w:r>
      <w:r w:rsidR="00BC235D">
        <w:rPr>
          <w:rFonts w:ascii="Arial" w:hAnsi="Arial" w:cs="Arial"/>
          <w:sz w:val="24"/>
          <w:szCs w:val="24"/>
        </w:rPr>
        <w:t>.</w:t>
      </w:r>
      <w:r w:rsidR="00407422">
        <w:rPr>
          <w:rFonts w:ascii="Arial" w:hAnsi="Arial" w:cs="Arial"/>
          <w:sz w:val="24"/>
          <w:szCs w:val="24"/>
        </w:rPr>
        <w:t xml:space="preserve"> The Chartist ideas according to Davis were moving away from radicalism and towards Socialism guided by theoreticians like Bronterre O’Brian, George Julian Harney and Ernest Jones</w:t>
      </w:r>
      <w:r w:rsidR="00407422">
        <w:rPr>
          <w:rStyle w:val="FootnoteReference"/>
          <w:rFonts w:ascii="Arial" w:hAnsi="Arial" w:cs="Arial"/>
          <w:sz w:val="24"/>
          <w:szCs w:val="24"/>
        </w:rPr>
        <w:footnoteReference w:id="23"/>
      </w:r>
      <w:r w:rsidR="00407422">
        <w:rPr>
          <w:rFonts w:ascii="Arial" w:hAnsi="Arial" w:cs="Arial"/>
          <w:sz w:val="24"/>
          <w:szCs w:val="24"/>
        </w:rPr>
        <w:t xml:space="preserve"> (all three were closely associated with Karl Marx and Fredrich Engels who lived in Britain in 1848 onwards</w:t>
      </w:r>
      <w:r w:rsidR="00407422">
        <w:rPr>
          <w:rStyle w:val="FootnoteReference"/>
          <w:rFonts w:ascii="Arial" w:hAnsi="Arial" w:cs="Arial"/>
          <w:sz w:val="24"/>
          <w:szCs w:val="24"/>
        </w:rPr>
        <w:footnoteReference w:id="24"/>
      </w:r>
      <w:r w:rsidR="00407422">
        <w:rPr>
          <w:rFonts w:ascii="Arial" w:hAnsi="Arial" w:cs="Arial"/>
          <w:sz w:val="24"/>
          <w:szCs w:val="24"/>
        </w:rPr>
        <w:t>)</w:t>
      </w:r>
      <w:r w:rsidR="00306AA9">
        <w:rPr>
          <w:rFonts w:ascii="Arial" w:hAnsi="Arial" w:cs="Arial"/>
          <w:sz w:val="24"/>
          <w:szCs w:val="24"/>
        </w:rPr>
        <w:t xml:space="preserve">. Despite its errors the idea of Chartism instilled deep fear and became a large threat to political order, Davis claims this is because of their ability to </w:t>
      </w:r>
      <w:r w:rsidR="00306AA9">
        <w:rPr>
          <w:rFonts w:ascii="Arial" w:hAnsi="Arial" w:cs="Arial"/>
          <w:i/>
          <w:iCs/>
          <w:sz w:val="24"/>
          <w:szCs w:val="24"/>
        </w:rPr>
        <w:t>“weld together and articulate class consciousness with political consciousness”</w:t>
      </w:r>
      <w:r w:rsidR="00306AA9">
        <w:rPr>
          <w:rStyle w:val="FootnoteReference"/>
          <w:rFonts w:ascii="Arial" w:hAnsi="Arial" w:cs="Arial"/>
          <w:i/>
          <w:iCs/>
          <w:sz w:val="24"/>
          <w:szCs w:val="24"/>
        </w:rPr>
        <w:footnoteReference w:id="25"/>
      </w:r>
      <w:r w:rsidR="00D27B65">
        <w:rPr>
          <w:rFonts w:ascii="Arial" w:hAnsi="Arial" w:cs="Arial"/>
          <w:i/>
          <w:iCs/>
          <w:sz w:val="24"/>
          <w:szCs w:val="24"/>
        </w:rPr>
        <w:t>.</w:t>
      </w:r>
      <w:r w:rsidR="00D27B65">
        <w:rPr>
          <w:rFonts w:ascii="Arial" w:hAnsi="Arial" w:cs="Arial"/>
          <w:sz w:val="24"/>
          <w:szCs w:val="24"/>
        </w:rPr>
        <w:t xml:space="preserve"> The defeating of the Chartist movement in the 1850’s signified not only a defeat for the British working-class movement but also allowed for the British labour Movement to move forward</w:t>
      </w:r>
      <w:r w:rsidR="00D27B65">
        <w:rPr>
          <w:rStyle w:val="FootnoteReference"/>
          <w:rFonts w:ascii="Arial" w:hAnsi="Arial" w:cs="Arial"/>
          <w:sz w:val="24"/>
          <w:szCs w:val="24"/>
        </w:rPr>
        <w:footnoteReference w:id="26"/>
      </w:r>
      <w:r w:rsidR="00D27B65">
        <w:rPr>
          <w:rFonts w:ascii="Arial" w:hAnsi="Arial" w:cs="Arial"/>
          <w:sz w:val="24"/>
          <w:szCs w:val="24"/>
        </w:rPr>
        <w:t xml:space="preserve"> and according to Davis the Chartist movement was not a failure, as the Chartists were able to mobilise one of the first working-class class consciousness and political consciousness movements as well as instilling fear within the establishment</w:t>
      </w:r>
      <w:r w:rsidR="00D27B65">
        <w:rPr>
          <w:rStyle w:val="FootnoteReference"/>
          <w:rFonts w:ascii="Arial" w:hAnsi="Arial" w:cs="Arial"/>
          <w:sz w:val="24"/>
          <w:szCs w:val="24"/>
        </w:rPr>
        <w:footnoteReference w:id="27"/>
      </w:r>
      <w:r w:rsidR="00341F9C">
        <w:rPr>
          <w:rFonts w:ascii="Arial" w:hAnsi="Arial" w:cs="Arial"/>
          <w:sz w:val="24"/>
          <w:szCs w:val="24"/>
        </w:rPr>
        <w:t>.</w:t>
      </w:r>
    </w:p>
    <w:p w14:paraId="33B2798F" w14:textId="229E5FF6" w:rsidR="00B00A1F" w:rsidRDefault="00126FEE" w:rsidP="00B00A1F">
      <w:pPr>
        <w:ind w:firstLine="720"/>
        <w:rPr>
          <w:rFonts w:ascii="Arial" w:hAnsi="Arial" w:cs="Arial"/>
          <w:sz w:val="24"/>
          <w:szCs w:val="24"/>
        </w:rPr>
      </w:pPr>
      <w:r>
        <w:rPr>
          <w:rFonts w:ascii="Arial" w:hAnsi="Arial" w:cs="Arial"/>
          <w:sz w:val="24"/>
          <w:szCs w:val="24"/>
        </w:rPr>
        <w:t>Due to the success (or failure) of the Chartist movement there was calls for more electoral reform, there was more acceptance within the house of commons towards reform and there were evidently things that the first reform act failed to acknowledge that the Conservative government needed to address</w:t>
      </w:r>
      <w:r>
        <w:rPr>
          <w:rStyle w:val="FootnoteReference"/>
          <w:rFonts w:ascii="Arial" w:hAnsi="Arial" w:cs="Arial"/>
          <w:sz w:val="24"/>
          <w:szCs w:val="24"/>
        </w:rPr>
        <w:footnoteReference w:id="28"/>
      </w:r>
      <w:r>
        <w:rPr>
          <w:rFonts w:ascii="Arial" w:hAnsi="Arial" w:cs="Arial"/>
          <w:sz w:val="24"/>
          <w:szCs w:val="24"/>
        </w:rPr>
        <w:t xml:space="preserve">. </w:t>
      </w:r>
      <w:r w:rsidR="00B00A1F">
        <w:rPr>
          <w:rFonts w:ascii="Arial" w:hAnsi="Arial" w:cs="Arial"/>
          <w:sz w:val="24"/>
          <w:szCs w:val="24"/>
        </w:rPr>
        <w:t xml:space="preserve">The next </w:t>
      </w:r>
      <w:r w:rsidR="00B00A1F">
        <w:rPr>
          <w:rFonts w:ascii="Arial" w:hAnsi="Arial" w:cs="Arial"/>
          <w:sz w:val="24"/>
          <w:szCs w:val="24"/>
        </w:rPr>
        <w:lastRenderedPageBreak/>
        <w:t>electoral reform act would come 1867 and was</w:t>
      </w:r>
      <w:r>
        <w:rPr>
          <w:rFonts w:ascii="Arial" w:hAnsi="Arial" w:cs="Arial"/>
          <w:sz w:val="24"/>
          <w:szCs w:val="24"/>
        </w:rPr>
        <w:t xml:space="preserve"> known as the 1867 Reform Act</w:t>
      </w:r>
      <w:r w:rsidR="00411973">
        <w:rPr>
          <w:rStyle w:val="FootnoteReference"/>
          <w:rFonts w:ascii="Arial" w:hAnsi="Arial" w:cs="Arial"/>
          <w:sz w:val="24"/>
          <w:szCs w:val="24"/>
        </w:rPr>
        <w:footnoteReference w:id="29"/>
      </w:r>
      <w:r w:rsidR="000B6856">
        <w:rPr>
          <w:rFonts w:ascii="Arial" w:hAnsi="Arial" w:cs="Arial"/>
          <w:sz w:val="24"/>
          <w:szCs w:val="24"/>
        </w:rPr>
        <w:t>.</w:t>
      </w:r>
      <w:r>
        <w:rPr>
          <w:rFonts w:ascii="Arial" w:hAnsi="Arial" w:cs="Arial"/>
          <w:sz w:val="24"/>
          <w:szCs w:val="24"/>
        </w:rPr>
        <w:t xml:space="preserve"> This Act allowed for</w:t>
      </w:r>
      <w:r w:rsidR="005E24AE">
        <w:rPr>
          <w:rFonts w:ascii="Arial" w:hAnsi="Arial" w:cs="Arial"/>
          <w:sz w:val="24"/>
          <w:szCs w:val="24"/>
        </w:rPr>
        <w:t xml:space="preserve"> the electorate in England and Wales to double from one million to around two million</w:t>
      </w:r>
      <w:r w:rsidR="005E24AE">
        <w:rPr>
          <w:rStyle w:val="FootnoteReference"/>
          <w:rFonts w:ascii="Arial" w:hAnsi="Arial" w:cs="Arial"/>
          <w:sz w:val="24"/>
          <w:szCs w:val="24"/>
        </w:rPr>
        <w:footnoteReference w:id="30"/>
      </w:r>
      <w:r>
        <w:rPr>
          <w:rFonts w:ascii="Arial" w:hAnsi="Arial" w:cs="Arial"/>
          <w:sz w:val="24"/>
          <w:szCs w:val="24"/>
        </w:rPr>
        <w:t>, the act allowed for all householders and lodgers who paid over £10 of rent in a year</w:t>
      </w:r>
      <w:r w:rsidR="00D21F36">
        <w:rPr>
          <w:rFonts w:ascii="Arial" w:hAnsi="Arial" w:cs="Arial"/>
          <w:sz w:val="24"/>
          <w:szCs w:val="24"/>
        </w:rPr>
        <w:t xml:space="preserve"> were allowed to vote as well as extending the vote to agricultural landowners and tenants with small amounts of land</w:t>
      </w:r>
      <w:r w:rsidR="00D21F36">
        <w:rPr>
          <w:rStyle w:val="FootnoteReference"/>
          <w:rFonts w:ascii="Arial" w:hAnsi="Arial" w:cs="Arial"/>
          <w:sz w:val="24"/>
          <w:szCs w:val="24"/>
        </w:rPr>
        <w:footnoteReference w:id="31"/>
      </w:r>
      <w:r w:rsidR="00D21F36">
        <w:rPr>
          <w:rFonts w:ascii="Arial" w:hAnsi="Arial" w:cs="Arial"/>
          <w:sz w:val="24"/>
          <w:szCs w:val="24"/>
        </w:rPr>
        <w:t>.</w:t>
      </w:r>
    </w:p>
    <w:p w14:paraId="30D414BE" w14:textId="532C9596" w:rsidR="00CB29A6" w:rsidRDefault="00CB29A6" w:rsidP="00B00A1F">
      <w:pPr>
        <w:ind w:firstLine="720"/>
        <w:rPr>
          <w:rFonts w:ascii="Arial" w:hAnsi="Arial" w:cs="Arial"/>
          <w:sz w:val="24"/>
          <w:szCs w:val="24"/>
        </w:rPr>
      </w:pPr>
    </w:p>
    <w:p w14:paraId="70739027" w14:textId="44CF70D7" w:rsidR="00CB29A6" w:rsidRDefault="00CB29A6" w:rsidP="00B00A1F">
      <w:pPr>
        <w:ind w:firstLine="720"/>
        <w:rPr>
          <w:rFonts w:ascii="Arial" w:hAnsi="Arial" w:cs="Arial"/>
          <w:sz w:val="24"/>
          <w:szCs w:val="24"/>
        </w:rPr>
      </w:pPr>
      <w:r>
        <w:rPr>
          <w:rFonts w:ascii="Arial" w:hAnsi="Arial" w:cs="Arial"/>
          <w:sz w:val="24"/>
          <w:szCs w:val="24"/>
        </w:rPr>
        <w:t>The governments resistance to the ideology of “</w:t>
      </w:r>
      <w:r>
        <w:rPr>
          <w:rFonts w:ascii="Arial" w:hAnsi="Arial" w:cs="Arial"/>
          <w:i/>
          <w:iCs/>
          <w:sz w:val="24"/>
          <w:szCs w:val="24"/>
        </w:rPr>
        <w:t>one man, one vote”</w:t>
      </w:r>
      <w:r>
        <w:rPr>
          <w:rFonts w:ascii="Arial" w:hAnsi="Arial" w:cs="Arial"/>
          <w:sz w:val="24"/>
          <w:szCs w:val="24"/>
        </w:rPr>
        <w:t xml:space="preserve"> was partly overturned with the 1884 Reform Act</w:t>
      </w:r>
      <w:r>
        <w:rPr>
          <w:rStyle w:val="FootnoteReference"/>
          <w:rFonts w:ascii="Arial" w:hAnsi="Arial" w:cs="Arial"/>
          <w:sz w:val="24"/>
          <w:szCs w:val="24"/>
        </w:rPr>
        <w:footnoteReference w:id="32"/>
      </w:r>
      <w:r>
        <w:rPr>
          <w:rFonts w:ascii="Arial" w:hAnsi="Arial" w:cs="Arial"/>
          <w:sz w:val="24"/>
          <w:szCs w:val="24"/>
        </w:rPr>
        <w:t>. With this Reform act the government established a uniform franchise throughout the country, but despite this around 40% of working class men were still unable to vote, and again no women were able to vote</w:t>
      </w:r>
      <w:r>
        <w:rPr>
          <w:rStyle w:val="FootnoteReference"/>
          <w:rFonts w:ascii="Arial" w:hAnsi="Arial" w:cs="Arial"/>
          <w:sz w:val="24"/>
          <w:szCs w:val="24"/>
        </w:rPr>
        <w:footnoteReference w:id="33"/>
      </w:r>
      <w:r>
        <w:rPr>
          <w:rFonts w:ascii="Arial" w:hAnsi="Arial" w:cs="Arial"/>
          <w:sz w:val="24"/>
          <w:szCs w:val="24"/>
        </w:rPr>
        <w:t>.</w:t>
      </w:r>
      <w:r w:rsidR="00E31541">
        <w:rPr>
          <w:rFonts w:ascii="Arial" w:hAnsi="Arial" w:cs="Arial"/>
          <w:sz w:val="24"/>
          <w:szCs w:val="24"/>
        </w:rPr>
        <w:t xml:space="preserve"> This act also brought the franchise in counties into line of the 167 householder and lodger franchise that the boroughs had</w:t>
      </w:r>
      <w:r w:rsidR="00E31541">
        <w:rPr>
          <w:rStyle w:val="FootnoteReference"/>
          <w:rFonts w:ascii="Arial" w:hAnsi="Arial" w:cs="Arial"/>
          <w:sz w:val="24"/>
          <w:szCs w:val="24"/>
        </w:rPr>
        <w:footnoteReference w:id="34"/>
      </w:r>
      <w:r w:rsidR="00E31541">
        <w:rPr>
          <w:rFonts w:ascii="Arial" w:hAnsi="Arial" w:cs="Arial"/>
          <w:sz w:val="24"/>
          <w:szCs w:val="24"/>
        </w:rPr>
        <w:t xml:space="preserve">. </w:t>
      </w:r>
      <w:r w:rsidR="001D58D3">
        <w:rPr>
          <w:rFonts w:ascii="Arial" w:hAnsi="Arial" w:cs="Arial"/>
          <w:sz w:val="24"/>
          <w:szCs w:val="24"/>
        </w:rPr>
        <w:t>The following year also introduced the Redistribution of Seats Act, which changed the boundaries of counties to make electoral districts more equal</w:t>
      </w:r>
      <w:r w:rsidR="001D58D3">
        <w:rPr>
          <w:rStyle w:val="FootnoteReference"/>
          <w:rFonts w:ascii="Arial" w:hAnsi="Arial" w:cs="Arial"/>
          <w:sz w:val="24"/>
          <w:szCs w:val="24"/>
        </w:rPr>
        <w:footnoteReference w:id="35"/>
      </w:r>
      <w:r w:rsidR="001D58D3">
        <w:rPr>
          <w:rFonts w:ascii="Arial" w:hAnsi="Arial" w:cs="Arial"/>
          <w:sz w:val="24"/>
          <w:szCs w:val="24"/>
        </w:rPr>
        <w:t>, this act made it so most constituencies only have one Member of Parliament however, around 23 constituencies such as the City of London still had two MP’s until 1910</w:t>
      </w:r>
      <w:r w:rsidR="001D58D3">
        <w:rPr>
          <w:rStyle w:val="FootnoteReference"/>
          <w:rFonts w:ascii="Arial" w:hAnsi="Arial" w:cs="Arial"/>
          <w:sz w:val="24"/>
          <w:szCs w:val="24"/>
        </w:rPr>
        <w:footnoteReference w:id="36"/>
      </w:r>
      <w:r w:rsidR="001D58D3">
        <w:rPr>
          <w:rFonts w:ascii="Arial" w:hAnsi="Arial" w:cs="Arial"/>
          <w:sz w:val="24"/>
          <w:szCs w:val="24"/>
        </w:rPr>
        <w:t>.</w:t>
      </w:r>
      <w:r w:rsidR="00600F54">
        <w:rPr>
          <w:rFonts w:ascii="Arial" w:hAnsi="Arial" w:cs="Arial"/>
          <w:sz w:val="24"/>
          <w:szCs w:val="24"/>
        </w:rPr>
        <w:t xml:space="preserve"> The nineteenth century allowed for great political change within the electorate and set the tone for arguably two biggest reform acts that were to follow in the twentieth century.</w:t>
      </w:r>
    </w:p>
    <w:p w14:paraId="6528C52A" w14:textId="6820CD06" w:rsidR="007E0B7C" w:rsidRDefault="007E0B7C" w:rsidP="00B00A1F">
      <w:pPr>
        <w:ind w:firstLine="720"/>
        <w:rPr>
          <w:rFonts w:ascii="Arial" w:hAnsi="Arial" w:cs="Arial"/>
          <w:sz w:val="24"/>
          <w:szCs w:val="24"/>
        </w:rPr>
      </w:pPr>
    </w:p>
    <w:p w14:paraId="4D66472E" w14:textId="14A7F550" w:rsidR="007E0B7C" w:rsidRDefault="007E0B7C" w:rsidP="007E0B7C">
      <w:pPr>
        <w:rPr>
          <w:rFonts w:ascii="Arial" w:hAnsi="Arial" w:cs="Arial"/>
          <w:sz w:val="24"/>
          <w:szCs w:val="24"/>
        </w:rPr>
      </w:pPr>
      <w:r>
        <w:rPr>
          <w:rFonts w:ascii="Arial" w:hAnsi="Arial" w:cs="Arial"/>
          <w:sz w:val="24"/>
          <w:szCs w:val="24"/>
        </w:rPr>
        <w:tab/>
        <w:t xml:space="preserve">Before the 1918 Representation of the Peoples Act only around 58% of the adult male population could vote, this matched with the rule of a man only being able to vote in a General Election if they have been a resident of the UK for the past 12 </w:t>
      </w:r>
      <w:r>
        <w:rPr>
          <w:rFonts w:ascii="Arial" w:hAnsi="Arial" w:cs="Arial"/>
          <w:sz w:val="24"/>
          <w:szCs w:val="24"/>
        </w:rPr>
        <w:lastRenderedPageBreak/>
        <w:t>months</w:t>
      </w:r>
      <w:r w:rsidR="00FC4AC3">
        <w:rPr>
          <w:rStyle w:val="FootnoteReference"/>
          <w:rFonts w:ascii="Arial" w:hAnsi="Arial" w:cs="Arial"/>
          <w:sz w:val="24"/>
          <w:szCs w:val="24"/>
        </w:rPr>
        <w:footnoteReference w:id="37"/>
      </w:r>
      <w:r>
        <w:rPr>
          <w:rFonts w:ascii="Arial" w:hAnsi="Arial" w:cs="Arial"/>
          <w:sz w:val="24"/>
          <w:szCs w:val="24"/>
        </w:rPr>
        <w:t xml:space="preserve">, allowed for calls for another reformation of the franchise. The disenfranchisement </w:t>
      </w:r>
      <w:r w:rsidR="004A2B2A">
        <w:rPr>
          <w:rFonts w:ascii="Arial" w:hAnsi="Arial" w:cs="Arial"/>
          <w:sz w:val="24"/>
          <w:szCs w:val="24"/>
        </w:rPr>
        <w:t>of the majority of servicemen from the War and of the women who had more and proved themselves capable of voting was</w:t>
      </w:r>
      <w:r w:rsidR="00FC4AC3">
        <w:rPr>
          <w:rFonts w:ascii="Arial" w:hAnsi="Arial" w:cs="Arial"/>
          <w:sz w:val="24"/>
          <w:szCs w:val="24"/>
        </w:rPr>
        <w:t xml:space="preserve"> even more pressure on the government to reform the franchise</w:t>
      </w:r>
      <w:r w:rsidR="00FC4AC3">
        <w:rPr>
          <w:rStyle w:val="FootnoteReference"/>
          <w:rFonts w:ascii="Arial" w:hAnsi="Arial" w:cs="Arial"/>
          <w:sz w:val="24"/>
          <w:szCs w:val="24"/>
        </w:rPr>
        <w:footnoteReference w:id="38"/>
      </w:r>
      <w:r w:rsidR="00FC4AC3">
        <w:rPr>
          <w:rFonts w:ascii="Arial" w:hAnsi="Arial" w:cs="Arial"/>
          <w:sz w:val="24"/>
          <w:szCs w:val="24"/>
        </w:rPr>
        <w:t>.</w:t>
      </w:r>
      <w:r w:rsidR="00926EA2">
        <w:rPr>
          <w:rFonts w:ascii="Arial" w:hAnsi="Arial" w:cs="Arial"/>
          <w:sz w:val="24"/>
          <w:szCs w:val="24"/>
        </w:rPr>
        <w:t xml:space="preserve"> The 1918 Representation of the Peoples Act introduced the vote to women over the age of 30</w:t>
      </w:r>
      <w:r w:rsidR="00926EA2">
        <w:rPr>
          <w:rStyle w:val="FootnoteReference"/>
          <w:rFonts w:ascii="Arial" w:hAnsi="Arial" w:cs="Arial"/>
          <w:sz w:val="24"/>
          <w:szCs w:val="24"/>
        </w:rPr>
        <w:footnoteReference w:id="39"/>
      </w:r>
      <w:r w:rsidR="00926EA2">
        <w:rPr>
          <w:rFonts w:ascii="Arial" w:hAnsi="Arial" w:cs="Arial"/>
          <w:sz w:val="24"/>
          <w:szCs w:val="24"/>
        </w:rPr>
        <w:t xml:space="preserve"> (around 8.5 million women) and abolished the property and other restrictions on men voting so all men over the age of 21 (19 if you were in the military) could vote, this increased the electorate from 8 million to around 21 million</w:t>
      </w:r>
      <w:r w:rsidR="00926EA2">
        <w:rPr>
          <w:rStyle w:val="FootnoteReference"/>
          <w:rFonts w:ascii="Arial" w:hAnsi="Arial" w:cs="Arial"/>
          <w:sz w:val="24"/>
          <w:szCs w:val="24"/>
        </w:rPr>
        <w:footnoteReference w:id="40"/>
      </w:r>
      <w:r w:rsidR="00926EA2">
        <w:rPr>
          <w:rFonts w:ascii="Arial" w:hAnsi="Arial" w:cs="Arial"/>
          <w:sz w:val="24"/>
          <w:szCs w:val="24"/>
        </w:rPr>
        <w:t>.</w:t>
      </w:r>
      <w:r w:rsidR="00B71401">
        <w:rPr>
          <w:rFonts w:ascii="Arial" w:hAnsi="Arial" w:cs="Arial"/>
          <w:sz w:val="24"/>
          <w:szCs w:val="24"/>
        </w:rPr>
        <w:t xml:space="preserve"> While this act introduced the vote to women over the age of 30 there were still high inequality between men and women. </w:t>
      </w:r>
    </w:p>
    <w:p w14:paraId="0A7AB25E" w14:textId="232B4AEE" w:rsidR="00B71401" w:rsidRPr="00CB29A6" w:rsidRDefault="00B71401" w:rsidP="007E0B7C">
      <w:pPr>
        <w:rPr>
          <w:rFonts w:ascii="Arial" w:hAnsi="Arial" w:cs="Arial"/>
          <w:sz w:val="24"/>
          <w:szCs w:val="24"/>
        </w:rPr>
      </w:pPr>
      <w:r>
        <w:rPr>
          <w:rFonts w:ascii="Arial" w:hAnsi="Arial" w:cs="Arial"/>
          <w:sz w:val="24"/>
          <w:szCs w:val="24"/>
        </w:rPr>
        <w:tab/>
        <w:t>This high inequality allowed for the 1928 Equal Franchise Act to come to light, this act allowed for women to have the same voting rights as men, lowing the voting age to 21 and expanding the franchise by a further 15 million</w:t>
      </w:r>
      <w:r>
        <w:rPr>
          <w:rStyle w:val="FootnoteReference"/>
          <w:rFonts w:ascii="Arial" w:hAnsi="Arial" w:cs="Arial"/>
          <w:sz w:val="24"/>
          <w:szCs w:val="24"/>
        </w:rPr>
        <w:footnoteReference w:id="41"/>
      </w:r>
      <w:r>
        <w:rPr>
          <w:rFonts w:ascii="Arial" w:hAnsi="Arial" w:cs="Arial"/>
          <w:sz w:val="24"/>
          <w:szCs w:val="24"/>
        </w:rPr>
        <w:t xml:space="preserve">. </w:t>
      </w:r>
    </w:p>
    <w:p w14:paraId="1B182B26" w14:textId="0AC3F354" w:rsidR="00857C60" w:rsidRDefault="00857C60">
      <w:pPr>
        <w:rPr>
          <w:rFonts w:ascii="Arial" w:hAnsi="Arial" w:cs="Arial"/>
          <w:sz w:val="24"/>
          <w:szCs w:val="24"/>
        </w:rPr>
      </w:pPr>
    </w:p>
    <w:p w14:paraId="1A5A8A07" w14:textId="41BFF6C4" w:rsidR="006247D5" w:rsidRDefault="006247D5">
      <w:pPr>
        <w:rPr>
          <w:rFonts w:ascii="Arial" w:hAnsi="Arial" w:cs="Arial"/>
          <w:sz w:val="24"/>
          <w:szCs w:val="24"/>
        </w:rPr>
      </w:pPr>
      <w:r>
        <w:rPr>
          <w:rFonts w:ascii="Arial" w:hAnsi="Arial" w:cs="Arial"/>
          <w:sz w:val="24"/>
          <w:szCs w:val="24"/>
        </w:rPr>
        <w:tab/>
        <w:t>The voting system has obviously changed since 1928, the franchise has expanded even more, allowing for 18 year olds to vote from 1969</w:t>
      </w:r>
      <w:r>
        <w:rPr>
          <w:rStyle w:val="FootnoteReference"/>
          <w:rFonts w:ascii="Arial" w:hAnsi="Arial" w:cs="Arial"/>
          <w:sz w:val="24"/>
          <w:szCs w:val="24"/>
        </w:rPr>
        <w:footnoteReference w:id="42"/>
      </w:r>
      <w:r w:rsidR="007D7227">
        <w:rPr>
          <w:rFonts w:ascii="Arial" w:hAnsi="Arial" w:cs="Arial"/>
          <w:sz w:val="24"/>
          <w:szCs w:val="24"/>
        </w:rPr>
        <w:t>. But how is the electorate still changing and how are activists still pushing for it to be changed today?</w:t>
      </w:r>
    </w:p>
    <w:p w14:paraId="7C6A9564" w14:textId="4694EEF9" w:rsidR="007D7227" w:rsidRDefault="007D7227">
      <w:pPr>
        <w:rPr>
          <w:rFonts w:ascii="Arial" w:hAnsi="Arial" w:cs="Arial"/>
          <w:sz w:val="24"/>
          <w:szCs w:val="24"/>
        </w:rPr>
      </w:pPr>
      <w:r>
        <w:rPr>
          <w:rFonts w:ascii="Arial" w:hAnsi="Arial" w:cs="Arial"/>
          <w:sz w:val="24"/>
          <w:szCs w:val="24"/>
        </w:rPr>
        <w:tab/>
        <w:t>In 2015 the Scottish government passed a bill allowing for 16 year olds to vote in Scottish parliament elections and local elections</w:t>
      </w:r>
      <w:r>
        <w:rPr>
          <w:rStyle w:val="FootnoteReference"/>
          <w:rFonts w:ascii="Arial" w:hAnsi="Arial" w:cs="Arial"/>
          <w:sz w:val="24"/>
          <w:szCs w:val="24"/>
        </w:rPr>
        <w:footnoteReference w:id="43"/>
      </w:r>
      <w:r>
        <w:rPr>
          <w:rFonts w:ascii="Arial" w:hAnsi="Arial" w:cs="Arial"/>
          <w:sz w:val="24"/>
          <w:szCs w:val="24"/>
        </w:rPr>
        <w:t xml:space="preserve"> and as of June 1</w:t>
      </w:r>
      <w:r w:rsidRPr="007D7227">
        <w:rPr>
          <w:rFonts w:ascii="Arial" w:hAnsi="Arial" w:cs="Arial"/>
          <w:sz w:val="24"/>
          <w:szCs w:val="24"/>
          <w:vertAlign w:val="superscript"/>
        </w:rPr>
        <w:t>st</w:t>
      </w:r>
      <w:r>
        <w:rPr>
          <w:rFonts w:ascii="Arial" w:hAnsi="Arial" w:cs="Arial"/>
          <w:sz w:val="24"/>
          <w:szCs w:val="24"/>
        </w:rPr>
        <w:t xml:space="preserve"> 2020 16 year olds are now able to vote in Senedd elections in Wales</w:t>
      </w:r>
      <w:r>
        <w:rPr>
          <w:rStyle w:val="FootnoteReference"/>
          <w:rFonts w:ascii="Arial" w:hAnsi="Arial" w:cs="Arial"/>
          <w:sz w:val="24"/>
          <w:szCs w:val="24"/>
        </w:rPr>
        <w:footnoteReference w:id="44"/>
      </w:r>
      <w:r>
        <w:rPr>
          <w:rFonts w:ascii="Arial" w:hAnsi="Arial" w:cs="Arial"/>
          <w:sz w:val="24"/>
          <w:szCs w:val="24"/>
        </w:rPr>
        <w:t>, and campaigners are now pushing for the voting age to be lowered throughout the UK with activists arguing that if 16 year olds are old enough to pay taxes, and enlist in the Army they are old enough to vote on what happens to their country</w:t>
      </w:r>
      <w:r>
        <w:rPr>
          <w:rStyle w:val="FootnoteReference"/>
          <w:rFonts w:ascii="Arial" w:hAnsi="Arial" w:cs="Arial"/>
          <w:sz w:val="24"/>
          <w:szCs w:val="24"/>
        </w:rPr>
        <w:footnoteReference w:id="45"/>
      </w:r>
      <w:r w:rsidR="003A3415">
        <w:rPr>
          <w:rFonts w:ascii="Arial" w:hAnsi="Arial" w:cs="Arial"/>
          <w:sz w:val="24"/>
          <w:szCs w:val="24"/>
        </w:rPr>
        <w:t>. But lowering the voting age is not the only way campaigners are trying to change democracy in the UK, right now at least according to the EIU, Britain is classified as a flawed representative democracy</w:t>
      </w:r>
      <w:r w:rsidR="003A3415">
        <w:rPr>
          <w:rStyle w:val="FootnoteReference"/>
          <w:rFonts w:ascii="Arial" w:hAnsi="Arial" w:cs="Arial"/>
          <w:sz w:val="24"/>
          <w:szCs w:val="24"/>
        </w:rPr>
        <w:footnoteReference w:id="46"/>
      </w:r>
      <w:r w:rsidR="009A2C66">
        <w:rPr>
          <w:rFonts w:ascii="Arial" w:hAnsi="Arial" w:cs="Arial"/>
          <w:sz w:val="24"/>
          <w:szCs w:val="24"/>
        </w:rPr>
        <w:t xml:space="preserve"> and campaigners are blaming part of this on our current voting </w:t>
      </w:r>
      <w:r w:rsidR="009A2C66">
        <w:rPr>
          <w:rFonts w:ascii="Arial" w:hAnsi="Arial" w:cs="Arial"/>
          <w:sz w:val="24"/>
          <w:szCs w:val="24"/>
        </w:rPr>
        <w:lastRenderedPageBreak/>
        <w:t>system</w:t>
      </w:r>
      <w:r w:rsidR="009A2C66">
        <w:rPr>
          <w:rStyle w:val="FootnoteReference"/>
          <w:rFonts w:ascii="Arial" w:hAnsi="Arial" w:cs="Arial"/>
          <w:sz w:val="24"/>
          <w:szCs w:val="24"/>
        </w:rPr>
        <w:footnoteReference w:id="47"/>
      </w:r>
      <w:r w:rsidR="009A2C66">
        <w:rPr>
          <w:rFonts w:ascii="Arial" w:hAnsi="Arial" w:cs="Arial"/>
          <w:sz w:val="24"/>
          <w:szCs w:val="24"/>
        </w:rPr>
        <w:t xml:space="preserve">. Britain’s currently voting system is known as </w:t>
      </w:r>
      <w:r w:rsidR="009A2C66">
        <w:rPr>
          <w:rFonts w:ascii="Arial" w:hAnsi="Arial" w:cs="Arial"/>
          <w:i/>
          <w:iCs/>
          <w:sz w:val="24"/>
          <w:szCs w:val="24"/>
        </w:rPr>
        <w:t xml:space="preserve">“First past the post” </w:t>
      </w:r>
      <w:r w:rsidR="009A2C66">
        <w:rPr>
          <w:rFonts w:ascii="Arial" w:hAnsi="Arial" w:cs="Arial"/>
          <w:sz w:val="24"/>
          <w:szCs w:val="24"/>
        </w:rPr>
        <w:t xml:space="preserve">and activists behind the campaign group ‘makesvotesmatter’ claim that this voting system should not exist a modern </w:t>
      </w:r>
      <w:r w:rsidR="00BD0901">
        <w:rPr>
          <w:rFonts w:ascii="Arial" w:hAnsi="Arial" w:cs="Arial"/>
          <w:sz w:val="24"/>
          <w:szCs w:val="24"/>
        </w:rPr>
        <w:t>democracy and</w:t>
      </w:r>
      <w:r w:rsidR="009A2C66">
        <w:rPr>
          <w:rFonts w:ascii="Arial" w:hAnsi="Arial" w:cs="Arial"/>
          <w:sz w:val="24"/>
          <w:szCs w:val="24"/>
        </w:rPr>
        <w:t xml:space="preserve"> are pushing for voting reform of proportional representation</w:t>
      </w:r>
      <w:r w:rsidR="009A2C66">
        <w:rPr>
          <w:rStyle w:val="FootnoteReference"/>
          <w:rFonts w:ascii="Arial" w:hAnsi="Arial" w:cs="Arial"/>
          <w:sz w:val="24"/>
          <w:szCs w:val="24"/>
        </w:rPr>
        <w:footnoteReference w:id="48"/>
      </w:r>
      <w:r w:rsidR="009A2C66">
        <w:rPr>
          <w:rFonts w:ascii="Arial" w:hAnsi="Arial" w:cs="Arial"/>
          <w:sz w:val="24"/>
          <w:szCs w:val="24"/>
        </w:rPr>
        <w:t xml:space="preserve">. </w:t>
      </w:r>
    </w:p>
    <w:p w14:paraId="1BC952E1" w14:textId="3D26F9AF" w:rsidR="009A2C66" w:rsidRDefault="009A2C66">
      <w:pPr>
        <w:rPr>
          <w:rFonts w:ascii="Arial" w:hAnsi="Arial" w:cs="Arial"/>
          <w:sz w:val="24"/>
          <w:szCs w:val="24"/>
        </w:rPr>
      </w:pPr>
      <w:r>
        <w:rPr>
          <w:rFonts w:ascii="Arial" w:hAnsi="Arial" w:cs="Arial"/>
          <w:sz w:val="24"/>
          <w:szCs w:val="24"/>
        </w:rPr>
        <w:tab/>
        <w:t>According to makesvotesmatter.org the Conservatives latest win the 2019 election, in which they gained 48 extra seats only equalled to around an extra 1.2% of the vote</w:t>
      </w:r>
      <w:r>
        <w:rPr>
          <w:rStyle w:val="FootnoteReference"/>
          <w:rFonts w:ascii="Arial" w:hAnsi="Arial" w:cs="Arial"/>
          <w:sz w:val="24"/>
          <w:szCs w:val="24"/>
        </w:rPr>
        <w:footnoteReference w:id="49"/>
      </w:r>
      <w:r>
        <w:rPr>
          <w:rFonts w:ascii="Arial" w:hAnsi="Arial" w:cs="Arial"/>
          <w:sz w:val="24"/>
          <w:szCs w:val="24"/>
        </w:rPr>
        <w:t>, as well as this they claim for around 90% of time since 1935 the UK has had single party majority governments, but none of them have had the support by the majority of voters</w:t>
      </w:r>
      <w:r>
        <w:rPr>
          <w:rStyle w:val="FootnoteReference"/>
          <w:rFonts w:ascii="Arial" w:hAnsi="Arial" w:cs="Arial"/>
          <w:sz w:val="24"/>
          <w:szCs w:val="24"/>
        </w:rPr>
        <w:footnoteReference w:id="50"/>
      </w:r>
      <w:r>
        <w:rPr>
          <w:rFonts w:ascii="Arial" w:hAnsi="Arial" w:cs="Arial"/>
          <w:sz w:val="24"/>
          <w:szCs w:val="24"/>
        </w:rPr>
        <w:t xml:space="preserve">. </w:t>
      </w:r>
      <w:r w:rsidR="00095575">
        <w:rPr>
          <w:rFonts w:ascii="Arial" w:hAnsi="Arial" w:cs="Arial"/>
          <w:sz w:val="24"/>
          <w:szCs w:val="24"/>
        </w:rPr>
        <w:t>Journalists have argued that while the first past the post system is in place the UK can never be truly democratic, and while the UK is also denying those who are eligible to fight for this country the right to vote it is preventing itself from becoming a fully democratic state</w:t>
      </w:r>
      <w:r w:rsidR="00095575">
        <w:rPr>
          <w:rStyle w:val="FootnoteReference"/>
          <w:rFonts w:ascii="Arial" w:hAnsi="Arial" w:cs="Arial"/>
          <w:sz w:val="24"/>
          <w:szCs w:val="24"/>
        </w:rPr>
        <w:footnoteReference w:id="51"/>
      </w:r>
    </w:p>
    <w:p w14:paraId="663BA5C8" w14:textId="46DE008E" w:rsidR="004C0B14" w:rsidRDefault="004C0B14">
      <w:pPr>
        <w:rPr>
          <w:rFonts w:ascii="Arial" w:hAnsi="Arial" w:cs="Arial"/>
          <w:sz w:val="24"/>
          <w:szCs w:val="24"/>
        </w:rPr>
      </w:pPr>
    </w:p>
    <w:p w14:paraId="4DC81489" w14:textId="40927570" w:rsidR="002B321A" w:rsidRDefault="002B321A">
      <w:pPr>
        <w:rPr>
          <w:rFonts w:ascii="Arial" w:hAnsi="Arial" w:cs="Arial"/>
          <w:sz w:val="24"/>
          <w:szCs w:val="24"/>
        </w:rPr>
      </w:pPr>
      <w:r>
        <w:rPr>
          <w:rFonts w:ascii="Arial" w:hAnsi="Arial" w:cs="Arial"/>
          <w:sz w:val="24"/>
          <w:szCs w:val="24"/>
        </w:rPr>
        <w:tab/>
        <w:t>Despite all this there still is the question on whether or not Britain is a fully democratic state. Like previously mentioned the EIU considers the United Kingdom as a flawed democracy. The characteristics of a flawed democracy according to the EIU as followed:</w:t>
      </w:r>
    </w:p>
    <w:p w14:paraId="4DB01C7C" w14:textId="5FFC6322" w:rsidR="002B321A" w:rsidRDefault="002B321A" w:rsidP="002B321A">
      <w:pPr>
        <w:pStyle w:val="ListParagraph"/>
        <w:numPr>
          <w:ilvl w:val="0"/>
          <w:numId w:val="4"/>
        </w:numPr>
        <w:rPr>
          <w:rFonts w:ascii="Arial" w:hAnsi="Arial" w:cs="Arial"/>
          <w:sz w:val="24"/>
          <w:szCs w:val="24"/>
        </w:rPr>
      </w:pPr>
      <w:r>
        <w:rPr>
          <w:rFonts w:ascii="Arial" w:hAnsi="Arial" w:cs="Arial"/>
          <w:sz w:val="24"/>
          <w:szCs w:val="24"/>
        </w:rPr>
        <w:t>Free &amp; fair elections</w:t>
      </w:r>
    </w:p>
    <w:p w14:paraId="70740583" w14:textId="6C8E77F5" w:rsidR="002B321A" w:rsidRDefault="002B321A" w:rsidP="002B321A">
      <w:pPr>
        <w:pStyle w:val="ListParagraph"/>
        <w:numPr>
          <w:ilvl w:val="0"/>
          <w:numId w:val="4"/>
        </w:numPr>
        <w:rPr>
          <w:rFonts w:ascii="Arial" w:hAnsi="Arial" w:cs="Arial"/>
          <w:sz w:val="24"/>
          <w:szCs w:val="24"/>
        </w:rPr>
      </w:pPr>
      <w:r>
        <w:rPr>
          <w:rFonts w:ascii="Arial" w:hAnsi="Arial" w:cs="Arial"/>
          <w:sz w:val="24"/>
          <w:szCs w:val="24"/>
        </w:rPr>
        <w:t xml:space="preserve">Independent/diverse media </w:t>
      </w:r>
    </w:p>
    <w:p w14:paraId="309CF521" w14:textId="58E4FE54" w:rsidR="002B321A" w:rsidRDefault="002B321A" w:rsidP="002B321A">
      <w:pPr>
        <w:pStyle w:val="ListParagraph"/>
        <w:numPr>
          <w:ilvl w:val="0"/>
          <w:numId w:val="4"/>
        </w:numPr>
        <w:rPr>
          <w:rFonts w:ascii="Arial" w:hAnsi="Arial" w:cs="Arial"/>
          <w:sz w:val="24"/>
          <w:szCs w:val="24"/>
        </w:rPr>
      </w:pPr>
      <w:r>
        <w:rPr>
          <w:rFonts w:ascii="Arial" w:hAnsi="Arial" w:cs="Arial"/>
          <w:sz w:val="24"/>
          <w:szCs w:val="24"/>
        </w:rPr>
        <w:t>Checks on exercise of power</w:t>
      </w:r>
    </w:p>
    <w:p w14:paraId="63FDC6FD" w14:textId="3A8E3E72" w:rsidR="002B321A" w:rsidRDefault="002B321A" w:rsidP="002B321A">
      <w:pPr>
        <w:pStyle w:val="ListParagraph"/>
        <w:numPr>
          <w:ilvl w:val="0"/>
          <w:numId w:val="4"/>
        </w:numPr>
        <w:rPr>
          <w:rFonts w:ascii="Arial" w:hAnsi="Arial" w:cs="Arial"/>
          <w:sz w:val="24"/>
          <w:szCs w:val="24"/>
        </w:rPr>
      </w:pPr>
      <w:r>
        <w:rPr>
          <w:rFonts w:ascii="Arial" w:hAnsi="Arial" w:cs="Arial"/>
          <w:sz w:val="24"/>
          <w:szCs w:val="24"/>
        </w:rPr>
        <w:t xml:space="preserve">Respect basic freedoms &amp; liberties </w:t>
      </w:r>
    </w:p>
    <w:p w14:paraId="7DFE6A63" w14:textId="1B5A7712" w:rsidR="002B321A" w:rsidRDefault="002B321A" w:rsidP="002B321A">
      <w:pPr>
        <w:pStyle w:val="ListParagraph"/>
        <w:numPr>
          <w:ilvl w:val="0"/>
          <w:numId w:val="4"/>
        </w:numPr>
        <w:rPr>
          <w:rFonts w:ascii="Arial" w:hAnsi="Arial" w:cs="Arial"/>
          <w:sz w:val="24"/>
          <w:szCs w:val="24"/>
        </w:rPr>
      </w:pPr>
      <w:r>
        <w:rPr>
          <w:rFonts w:ascii="Arial" w:hAnsi="Arial" w:cs="Arial"/>
          <w:sz w:val="24"/>
          <w:szCs w:val="24"/>
        </w:rPr>
        <w:t xml:space="preserve">Problems in functioning of government </w:t>
      </w:r>
    </w:p>
    <w:p w14:paraId="7896BE9C" w14:textId="4274B74A" w:rsidR="002B321A" w:rsidRDefault="002B321A" w:rsidP="002B321A">
      <w:pPr>
        <w:pStyle w:val="ListParagraph"/>
        <w:numPr>
          <w:ilvl w:val="0"/>
          <w:numId w:val="4"/>
        </w:numPr>
        <w:rPr>
          <w:rFonts w:ascii="Arial" w:hAnsi="Arial" w:cs="Arial"/>
          <w:sz w:val="24"/>
          <w:szCs w:val="24"/>
        </w:rPr>
      </w:pPr>
      <w:r>
        <w:rPr>
          <w:rFonts w:ascii="Arial" w:hAnsi="Arial" w:cs="Arial"/>
          <w:sz w:val="24"/>
          <w:szCs w:val="24"/>
        </w:rPr>
        <w:t xml:space="preserve">Low levels of political participation </w:t>
      </w:r>
    </w:p>
    <w:p w14:paraId="12A873E4" w14:textId="67AAEBCF" w:rsidR="002B321A" w:rsidRDefault="002B321A" w:rsidP="002B321A">
      <w:pPr>
        <w:pStyle w:val="ListParagraph"/>
        <w:numPr>
          <w:ilvl w:val="0"/>
          <w:numId w:val="4"/>
        </w:numPr>
        <w:rPr>
          <w:rFonts w:ascii="Arial" w:hAnsi="Arial" w:cs="Arial"/>
          <w:sz w:val="24"/>
          <w:szCs w:val="24"/>
        </w:rPr>
      </w:pPr>
      <w:r>
        <w:rPr>
          <w:rFonts w:ascii="Arial" w:hAnsi="Arial" w:cs="Arial"/>
          <w:sz w:val="24"/>
          <w:szCs w:val="24"/>
        </w:rPr>
        <w:t>Less developed/supportive political culture</w:t>
      </w:r>
    </w:p>
    <w:p w14:paraId="429E3D1F" w14:textId="4B9BB271" w:rsidR="002B321A" w:rsidRDefault="002B321A" w:rsidP="002B321A">
      <w:pPr>
        <w:pStyle w:val="ListParagraph"/>
        <w:ind w:left="1440"/>
        <w:rPr>
          <w:rFonts w:ascii="Arial" w:hAnsi="Arial" w:cs="Arial"/>
          <w:sz w:val="24"/>
          <w:szCs w:val="24"/>
        </w:rPr>
      </w:pPr>
    </w:p>
    <w:p w14:paraId="2F196D46" w14:textId="069B0691" w:rsidR="002B321A" w:rsidRDefault="002B321A" w:rsidP="002B321A">
      <w:pPr>
        <w:pStyle w:val="ListParagraph"/>
        <w:rPr>
          <w:rFonts w:ascii="Arial" w:hAnsi="Arial" w:cs="Arial"/>
          <w:sz w:val="24"/>
          <w:szCs w:val="24"/>
        </w:rPr>
      </w:pPr>
      <w:r>
        <w:rPr>
          <w:rFonts w:ascii="Arial" w:hAnsi="Arial" w:cs="Arial"/>
          <w:sz w:val="24"/>
          <w:szCs w:val="24"/>
        </w:rPr>
        <w:t>So according to the EIU the UK while it has fair and free elections the lack of a participating electorate and problems within the functioning of government means that as a state the UK is not a fully democratic state in comparison to Australia, New Zealand and Germany for example</w:t>
      </w:r>
      <w:r>
        <w:rPr>
          <w:rStyle w:val="FootnoteReference"/>
          <w:rFonts w:ascii="Arial" w:hAnsi="Arial" w:cs="Arial"/>
          <w:sz w:val="24"/>
          <w:szCs w:val="24"/>
        </w:rPr>
        <w:footnoteReference w:id="52"/>
      </w:r>
      <w:r w:rsidR="007D69C0">
        <w:rPr>
          <w:rFonts w:ascii="Arial" w:hAnsi="Arial" w:cs="Arial"/>
          <w:sz w:val="24"/>
          <w:szCs w:val="24"/>
        </w:rPr>
        <w:t>.</w:t>
      </w:r>
      <w:r w:rsidR="00095575">
        <w:rPr>
          <w:rFonts w:ascii="Arial" w:hAnsi="Arial" w:cs="Arial"/>
          <w:sz w:val="24"/>
          <w:szCs w:val="24"/>
        </w:rPr>
        <w:t xml:space="preserve"> The functioning of our government has been truly tested throughout the Brexit campaign, with both sides calling on democratic solutions, </w:t>
      </w:r>
      <w:r w:rsidR="00536D75">
        <w:rPr>
          <w:rFonts w:ascii="Arial" w:hAnsi="Arial" w:cs="Arial"/>
          <w:sz w:val="24"/>
          <w:szCs w:val="24"/>
        </w:rPr>
        <w:t xml:space="preserve">but never agreeing on what to do. A prime example of how dysfunctional the British government truly is, is with </w:t>
      </w:r>
      <w:r w:rsidR="00536D75">
        <w:rPr>
          <w:rFonts w:ascii="Arial" w:hAnsi="Arial" w:cs="Arial"/>
          <w:sz w:val="24"/>
          <w:szCs w:val="24"/>
        </w:rPr>
        <w:lastRenderedPageBreak/>
        <w:t>Theresa May’s failure to pass the EU withdrawal bill 3 times</w:t>
      </w:r>
      <w:r w:rsidR="00536D75">
        <w:rPr>
          <w:rStyle w:val="FootnoteReference"/>
          <w:rFonts w:ascii="Arial" w:hAnsi="Arial" w:cs="Arial"/>
          <w:sz w:val="24"/>
          <w:szCs w:val="24"/>
        </w:rPr>
        <w:footnoteReference w:id="53"/>
      </w:r>
      <w:r w:rsidR="00536D75">
        <w:rPr>
          <w:rFonts w:ascii="Arial" w:hAnsi="Arial" w:cs="Arial"/>
          <w:sz w:val="24"/>
          <w:szCs w:val="24"/>
        </w:rPr>
        <w:t>,  or under Boris Johnson when he sacked around 21 MP’s with an additional 2 ministers resigning over their attempts to prevent Boris’s no-deal Brexit</w:t>
      </w:r>
      <w:r w:rsidR="00536D75">
        <w:rPr>
          <w:rStyle w:val="FootnoteReference"/>
          <w:rFonts w:ascii="Arial" w:hAnsi="Arial" w:cs="Arial"/>
          <w:sz w:val="24"/>
          <w:szCs w:val="24"/>
        </w:rPr>
        <w:footnoteReference w:id="54"/>
      </w:r>
      <w:r w:rsidR="00536D75">
        <w:rPr>
          <w:rFonts w:ascii="Arial" w:hAnsi="Arial" w:cs="Arial"/>
          <w:sz w:val="24"/>
          <w:szCs w:val="24"/>
        </w:rPr>
        <w:t>.</w:t>
      </w:r>
      <w:r w:rsidR="00E21C28">
        <w:rPr>
          <w:rFonts w:ascii="Arial" w:hAnsi="Arial" w:cs="Arial"/>
          <w:sz w:val="24"/>
          <w:szCs w:val="24"/>
        </w:rPr>
        <w:t xml:space="preserve"> With the constant failures of the current governments to unify their own parties, and even pass bills throughout the houses of parliament despite having a ‘majority’ supports the EIU’s ideas of the UK being a flaw democracy due to its poor functioning government, the 2019 election saw 32.7% of the eligible British public not vote, an increase of 1.5% since the last election</w:t>
      </w:r>
      <w:r w:rsidR="00E21C28">
        <w:rPr>
          <w:rStyle w:val="FootnoteReference"/>
          <w:rFonts w:ascii="Arial" w:hAnsi="Arial" w:cs="Arial"/>
          <w:sz w:val="24"/>
          <w:szCs w:val="24"/>
        </w:rPr>
        <w:footnoteReference w:id="55"/>
      </w:r>
      <w:r w:rsidR="00E21C28">
        <w:rPr>
          <w:rFonts w:ascii="Arial" w:hAnsi="Arial" w:cs="Arial"/>
          <w:sz w:val="24"/>
          <w:szCs w:val="24"/>
        </w:rPr>
        <w:t xml:space="preserve"> which again supports the EIU’s claim of the UK lacking in political participation.</w:t>
      </w:r>
      <w:r w:rsidR="009A28BD">
        <w:rPr>
          <w:rFonts w:ascii="Arial" w:hAnsi="Arial" w:cs="Arial"/>
          <w:sz w:val="24"/>
          <w:szCs w:val="24"/>
        </w:rPr>
        <w:t xml:space="preserve"> </w:t>
      </w:r>
    </w:p>
    <w:p w14:paraId="04579018" w14:textId="2E3F8AAA" w:rsidR="009A28BD" w:rsidRDefault="009A28BD" w:rsidP="002B321A">
      <w:pPr>
        <w:pStyle w:val="ListParagraph"/>
        <w:rPr>
          <w:rFonts w:ascii="Arial" w:hAnsi="Arial" w:cs="Arial"/>
          <w:sz w:val="24"/>
          <w:szCs w:val="24"/>
        </w:rPr>
      </w:pPr>
    </w:p>
    <w:p w14:paraId="56B75A19" w14:textId="39DAE67C" w:rsidR="009A28BD" w:rsidRPr="002B321A" w:rsidRDefault="009A28BD" w:rsidP="002B321A">
      <w:pPr>
        <w:pStyle w:val="ListParagraph"/>
        <w:rPr>
          <w:rFonts w:ascii="Arial" w:hAnsi="Arial" w:cs="Arial"/>
          <w:sz w:val="24"/>
          <w:szCs w:val="24"/>
        </w:rPr>
      </w:pPr>
      <w:r>
        <w:rPr>
          <w:rFonts w:ascii="Arial" w:hAnsi="Arial" w:cs="Arial"/>
          <w:sz w:val="24"/>
          <w:szCs w:val="24"/>
        </w:rPr>
        <w:tab/>
        <w:t>It is safe to claim that Britain is not a fully democratic state, the current voting system is outdated and prevents the publics votes from making genuine changes, as well as preventing around 1.3 million 16-17 year olds from voting. These problems with the voting system mixed with the low participation rates in general elections and the inability of governments to pass important legislation through the houses of parliament all support the claim of Britain not being a fully democratic state.</w:t>
      </w:r>
    </w:p>
    <w:p w14:paraId="02759631" w14:textId="43E60E72" w:rsidR="004C0B14" w:rsidRDefault="004C0B14">
      <w:pPr>
        <w:rPr>
          <w:rFonts w:ascii="Arial" w:hAnsi="Arial" w:cs="Arial"/>
          <w:sz w:val="24"/>
          <w:szCs w:val="24"/>
        </w:rPr>
      </w:pPr>
      <w:r>
        <w:rPr>
          <w:rFonts w:ascii="Arial" w:hAnsi="Arial" w:cs="Arial"/>
          <w:sz w:val="24"/>
          <w:szCs w:val="24"/>
        </w:rPr>
        <w:tab/>
      </w:r>
    </w:p>
    <w:p w14:paraId="6BC502B4" w14:textId="0005A4B0" w:rsidR="009A64CC" w:rsidRDefault="009A64CC">
      <w:pPr>
        <w:rPr>
          <w:rFonts w:ascii="Arial" w:hAnsi="Arial" w:cs="Arial"/>
          <w:sz w:val="24"/>
          <w:szCs w:val="24"/>
        </w:rPr>
      </w:pPr>
    </w:p>
    <w:p w14:paraId="738B99A0" w14:textId="68FABF65" w:rsidR="009A64CC" w:rsidRDefault="009A64CC">
      <w:pPr>
        <w:rPr>
          <w:rFonts w:ascii="Arial" w:hAnsi="Arial" w:cs="Arial"/>
          <w:sz w:val="24"/>
          <w:szCs w:val="24"/>
        </w:rPr>
      </w:pPr>
    </w:p>
    <w:p w14:paraId="768D733C" w14:textId="2B8AB411" w:rsidR="004872F6" w:rsidRDefault="004872F6">
      <w:pPr>
        <w:rPr>
          <w:rFonts w:ascii="Arial" w:hAnsi="Arial" w:cs="Arial"/>
          <w:sz w:val="24"/>
          <w:szCs w:val="24"/>
        </w:rPr>
      </w:pPr>
    </w:p>
    <w:p w14:paraId="032ABFFA" w14:textId="1A139E75" w:rsidR="004872F6" w:rsidRDefault="004872F6">
      <w:pPr>
        <w:rPr>
          <w:rFonts w:ascii="Arial" w:hAnsi="Arial" w:cs="Arial"/>
          <w:sz w:val="24"/>
          <w:szCs w:val="24"/>
        </w:rPr>
      </w:pPr>
    </w:p>
    <w:p w14:paraId="7DB2B0AA" w14:textId="4B306983" w:rsidR="004872F6" w:rsidRDefault="004872F6">
      <w:pPr>
        <w:rPr>
          <w:rFonts w:ascii="Arial" w:hAnsi="Arial" w:cs="Arial"/>
          <w:sz w:val="24"/>
          <w:szCs w:val="24"/>
        </w:rPr>
      </w:pPr>
    </w:p>
    <w:p w14:paraId="1B4C94E4" w14:textId="63F8C18C" w:rsidR="004872F6" w:rsidRDefault="004872F6">
      <w:pPr>
        <w:rPr>
          <w:rFonts w:ascii="Arial" w:hAnsi="Arial" w:cs="Arial"/>
          <w:sz w:val="24"/>
          <w:szCs w:val="24"/>
        </w:rPr>
      </w:pPr>
    </w:p>
    <w:p w14:paraId="59260614" w14:textId="22C40E86" w:rsidR="004872F6" w:rsidRDefault="004872F6">
      <w:pPr>
        <w:rPr>
          <w:rFonts w:ascii="Arial" w:hAnsi="Arial" w:cs="Arial"/>
          <w:sz w:val="24"/>
          <w:szCs w:val="24"/>
        </w:rPr>
      </w:pPr>
    </w:p>
    <w:p w14:paraId="566DFBAD" w14:textId="545D033F" w:rsidR="004872F6" w:rsidRDefault="004872F6">
      <w:pPr>
        <w:rPr>
          <w:rFonts w:ascii="Arial" w:hAnsi="Arial" w:cs="Arial"/>
          <w:sz w:val="24"/>
          <w:szCs w:val="24"/>
        </w:rPr>
      </w:pPr>
    </w:p>
    <w:p w14:paraId="0F527B34" w14:textId="6A4D4245" w:rsidR="004872F6" w:rsidRDefault="004872F6">
      <w:pPr>
        <w:rPr>
          <w:rFonts w:ascii="Arial" w:hAnsi="Arial" w:cs="Arial"/>
          <w:sz w:val="24"/>
          <w:szCs w:val="24"/>
        </w:rPr>
      </w:pPr>
    </w:p>
    <w:p w14:paraId="30F43CBD" w14:textId="24CAF92D" w:rsidR="004872F6" w:rsidRDefault="004872F6">
      <w:pPr>
        <w:rPr>
          <w:rFonts w:ascii="Arial" w:hAnsi="Arial" w:cs="Arial"/>
          <w:sz w:val="24"/>
          <w:szCs w:val="24"/>
        </w:rPr>
      </w:pPr>
    </w:p>
    <w:p w14:paraId="19C5F703" w14:textId="5AA1E263" w:rsidR="004872F6" w:rsidRDefault="004872F6">
      <w:pPr>
        <w:rPr>
          <w:rFonts w:ascii="Arial" w:hAnsi="Arial" w:cs="Arial"/>
          <w:sz w:val="24"/>
          <w:szCs w:val="24"/>
        </w:rPr>
      </w:pPr>
    </w:p>
    <w:p w14:paraId="0F76E7EE" w14:textId="77777777" w:rsidR="004872F6" w:rsidRDefault="004872F6">
      <w:pPr>
        <w:rPr>
          <w:rFonts w:ascii="Arial" w:hAnsi="Arial" w:cs="Arial"/>
          <w:sz w:val="24"/>
          <w:szCs w:val="24"/>
        </w:rPr>
      </w:pPr>
    </w:p>
    <w:p w14:paraId="608E3327" w14:textId="55D8FF78" w:rsidR="009A64CC" w:rsidRDefault="009A64CC">
      <w:pPr>
        <w:rPr>
          <w:rFonts w:ascii="Arial" w:hAnsi="Arial" w:cs="Arial"/>
          <w:b/>
          <w:bCs/>
          <w:sz w:val="28"/>
          <w:szCs w:val="28"/>
          <w:u w:val="single"/>
        </w:rPr>
      </w:pPr>
      <w:r w:rsidRPr="009A64CC">
        <w:rPr>
          <w:rFonts w:ascii="Arial" w:hAnsi="Arial" w:cs="Arial"/>
          <w:b/>
          <w:bCs/>
          <w:sz w:val="28"/>
          <w:szCs w:val="28"/>
          <w:u w:val="single"/>
        </w:rPr>
        <w:lastRenderedPageBreak/>
        <w:t xml:space="preserve">Bibliography </w:t>
      </w:r>
    </w:p>
    <w:p w14:paraId="67877479" w14:textId="77777777" w:rsidR="004872F6" w:rsidRPr="009A64CC" w:rsidRDefault="004872F6">
      <w:pPr>
        <w:rPr>
          <w:rFonts w:ascii="Arial" w:hAnsi="Arial" w:cs="Arial"/>
          <w:b/>
          <w:bCs/>
          <w:sz w:val="28"/>
          <w:szCs w:val="28"/>
          <w:u w:val="single"/>
        </w:rPr>
      </w:pPr>
    </w:p>
    <w:p w14:paraId="528C287D" w14:textId="77777777" w:rsidR="004872F6" w:rsidRDefault="004872F6">
      <w:pPr>
        <w:rPr>
          <w:rStyle w:val="Hyperlink"/>
          <w:color w:val="auto"/>
          <w:u w:val="none"/>
        </w:rPr>
      </w:pPr>
      <w:r>
        <w:t xml:space="preserve">Culbertson Alix &amp; Taylor Rebecca </w:t>
      </w:r>
      <w:r>
        <w:rPr>
          <w:i/>
          <w:iCs/>
        </w:rPr>
        <w:t xml:space="preserve">“Tory Rebels: The MPs who were sacked or resigned over no-deal Brexit”, “Sky News”, </w:t>
      </w:r>
      <w:r>
        <w:t xml:space="preserve">Available at </w:t>
      </w:r>
      <w:hyperlink r:id="rId8" w:history="1">
        <w:r w:rsidRPr="007F1856">
          <w:rPr>
            <w:rStyle w:val="Hyperlink"/>
          </w:rPr>
          <w:t>https://news.sky.com/story/tory-rebels-the-mps-who-were-sacked-or-resigned-over-no-deal-brexit-11804764</w:t>
        </w:r>
      </w:hyperlink>
      <w:r>
        <w:rPr>
          <w:rStyle w:val="Hyperlink"/>
          <w:color w:val="auto"/>
          <w:u w:val="none"/>
        </w:rPr>
        <w:t>.</w:t>
      </w:r>
    </w:p>
    <w:p w14:paraId="65FA17C7" w14:textId="77777777" w:rsidR="004872F6" w:rsidRDefault="004872F6">
      <w:r>
        <w:t xml:space="preserve">Davis Mary, </w:t>
      </w:r>
      <w:r>
        <w:rPr>
          <w:i/>
          <w:iCs/>
        </w:rPr>
        <w:t>“Comrade or Brother”</w:t>
      </w:r>
      <w:r>
        <w:t>, Published by Pluto Press London 1993.</w:t>
      </w:r>
    </w:p>
    <w:p w14:paraId="466F1B5D" w14:textId="77777777" w:rsidR="004872F6" w:rsidRDefault="004872F6">
      <w:pPr>
        <w:rPr>
          <w:lang w:val="en-US"/>
        </w:rPr>
      </w:pPr>
      <w:r>
        <w:rPr>
          <w:lang w:val="en-US"/>
        </w:rPr>
        <w:t xml:space="preserve">Fiorino Daniel J., </w:t>
      </w:r>
      <w:r>
        <w:rPr>
          <w:i/>
          <w:iCs/>
          <w:lang w:val="en-US"/>
        </w:rPr>
        <w:t>“Can Democracy Handle Climate Change”</w:t>
      </w:r>
      <w:r>
        <w:rPr>
          <w:lang w:val="en-US"/>
        </w:rPr>
        <w:t>, Published by Polity Press, Cambridge 2018.</w:t>
      </w:r>
    </w:p>
    <w:p w14:paraId="2F79921B" w14:textId="77777777" w:rsidR="004872F6" w:rsidRDefault="004872F6">
      <w:pPr>
        <w:rPr>
          <w:rStyle w:val="Hyperlink"/>
          <w:u w:val="none"/>
        </w:rPr>
      </w:pPr>
      <w:r>
        <w:t xml:space="preserve">Foster Joshua, </w:t>
      </w:r>
      <w:r>
        <w:rPr>
          <w:i/>
          <w:iCs/>
        </w:rPr>
        <w:t>“Britain – A fake Democracy?”, “Shoutoutuk.org”</w:t>
      </w:r>
      <w:r>
        <w:t xml:space="preserve">, Available at </w:t>
      </w:r>
      <w:hyperlink r:id="rId9" w:history="1">
        <w:r w:rsidRPr="007F1856">
          <w:rPr>
            <w:rStyle w:val="Hyperlink"/>
          </w:rPr>
          <w:t>https://www.shoutoutuk.org/2019/11/27/britain-not-really-a-democracy/</w:t>
        </w:r>
      </w:hyperlink>
      <w:r>
        <w:rPr>
          <w:rStyle w:val="Hyperlink"/>
          <w:u w:val="none"/>
        </w:rPr>
        <w:t>.</w:t>
      </w:r>
    </w:p>
    <w:p w14:paraId="65E6EF0C" w14:textId="77777777" w:rsidR="004872F6" w:rsidRDefault="004872F6">
      <w:pPr>
        <w:rPr>
          <w:rStyle w:val="Hyperlink"/>
          <w:color w:val="auto"/>
          <w:u w:val="none"/>
        </w:rPr>
      </w:pPr>
      <w:r>
        <w:t>Greg Finlay, “</w:t>
      </w:r>
      <w:r>
        <w:rPr>
          <w:i/>
          <w:iCs/>
        </w:rPr>
        <w:t>General Election Turnout: how much of the UK voted, and how it compares to previous elections”</w:t>
      </w:r>
      <w:r>
        <w:t xml:space="preserve">, </w:t>
      </w:r>
      <w:r>
        <w:rPr>
          <w:i/>
          <w:iCs/>
        </w:rPr>
        <w:t>“Itv News”</w:t>
      </w:r>
      <w:r>
        <w:t xml:space="preserve">, Available at </w:t>
      </w:r>
      <w:hyperlink r:id="rId10" w:history="1">
        <w:r w:rsidRPr="007F1856">
          <w:rPr>
            <w:rStyle w:val="Hyperlink"/>
          </w:rPr>
          <w:t>https://inews.co.uk/news/politics/general-election-turnout-2019-uk-voter-numbers-how-many-people-voted-374546</w:t>
        </w:r>
      </w:hyperlink>
      <w:r>
        <w:rPr>
          <w:rStyle w:val="Hyperlink"/>
          <w:color w:val="auto"/>
          <w:u w:val="none"/>
        </w:rPr>
        <w:t>.</w:t>
      </w:r>
    </w:p>
    <w:p w14:paraId="676D8602" w14:textId="77777777" w:rsidR="004872F6" w:rsidRDefault="004872F6">
      <w:pPr>
        <w:rPr>
          <w:rStyle w:val="Hyperlink"/>
          <w:color w:val="auto"/>
          <w:u w:val="none"/>
        </w:rPr>
      </w:pPr>
      <w:r>
        <w:t xml:space="preserve">Kirby Jen, </w:t>
      </w:r>
      <w:r>
        <w:rPr>
          <w:i/>
          <w:iCs/>
        </w:rPr>
        <w:t>“British Prime Minister Theresa May’s Brexit agreement fails for a third time”, “Vox News”</w:t>
      </w:r>
      <w:r>
        <w:t xml:space="preserve">, Available at </w:t>
      </w:r>
      <w:hyperlink r:id="rId11" w:history="1">
        <w:r>
          <w:rPr>
            <w:rStyle w:val="Hyperlink"/>
          </w:rPr>
          <w:t>https://www.vox.com/world/2019/3/29/18285930/brexit-deal-defeated-parliament-theresa-may-third-time</w:t>
        </w:r>
      </w:hyperlink>
      <w:r>
        <w:rPr>
          <w:rStyle w:val="Hyperlink"/>
          <w:color w:val="auto"/>
          <w:u w:val="none"/>
        </w:rPr>
        <w:t>.</w:t>
      </w:r>
    </w:p>
    <w:p w14:paraId="6FBAF515" w14:textId="77777777" w:rsidR="004872F6" w:rsidRDefault="004872F6">
      <w:pPr>
        <w:rPr>
          <w:rStyle w:val="Hyperlink"/>
          <w:color w:val="auto"/>
          <w:u w:val="none"/>
        </w:rPr>
      </w:pPr>
      <w:r>
        <w:t>Mortimer Josiah , “</w:t>
      </w:r>
      <w:r>
        <w:rPr>
          <w:i/>
          <w:iCs/>
        </w:rPr>
        <w:t>16 and 17 year olds just secured the right to vote in Wales”, “Electoral Reform Society”</w:t>
      </w:r>
      <w:r>
        <w:t xml:space="preserve">, Available at  </w:t>
      </w:r>
      <w:hyperlink r:id="rId12" w:history="1">
        <w:r>
          <w:rPr>
            <w:rStyle w:val="Hyperlink"/>
          </w:rPr>
          <w:t>https://www.electoral-reform.org.uk/16-and-17-year-olds-secure-the-right-to-vote-in-wales-today/</w:t>
        </w:r>
      </w:hyperlink>
      <w:r>
        <w:rPr>
          <w:rStyle w:val="Hyperlink"/>
          <w:color w:val="auto"/>
          <w:u w:val="none"/>
        </w:rPr>
        <w:t>.</w:t>
      </w:r>
    </w:p>
    <w:p w14:paraId="72591838" w14:textId="77777777" w:rsidR="004872F6" w:rsidRDefault="004872F6">
      <w:pPr>
        <w:rPr>
          <w:lang w:val="en-US"/>
        </w:rPr>
      </w:pPr>
      <w:r>
        <w:t xml:space="preserve">N/A, </w:t>
      </w:r>
      <w:r>
        <w:rPr>
          <w:i/>
          <w:iCs/>
        </w:rPr>
        <w:t>“Chartist Key Dates”, “Parliament.uk”</w:t>
      </w:r>
      <w:r>
        <w:t xml:space="preserve">, Available at </w:t>
      </w:r>
      <w:hyperlink r:id="rId13" w:history="1">
        <w:r w:rsidRPr="007F1856">
          <w:rPr>
            <w:rStyle w:val="Hyperlink"/>
          </w:rPr>
          <w:t>https://www.parliament.uk/about/living-heritage/transformingsociety/electionsvoting/chartists/keydates/</w:t>
        </w:r>
      </w:hyperlink>
      <w:r>
        <w:rPr>
          <w:lang w:val="en-US"/>
        </w:rPr>
        <w:t>.</w:t>
      </w:r>
    </w:p>
    <w:p w14:paraId="5F030445" w14:textId="77777777" w:rsidR="004872F6" w:rsidRDefault="004872F6">
      <w:pPr>
        <w:rPr>
          <w:rStyle w:val="Hyperlink"/>
          <w:color w:val="auto"/>
          <w:u w:val="none"/>
        </w:rPr>
      </w:pPr>
      <w:r>
        <w:t xml:space="preserve">N/A, </w:t>
      </w:r>
      <w:r>
        <w:rPr>
          <w:i/>
          <w:iCs/>
        </w:rPr>
        <w:t>“First Past the Post”, “Make Votes Matter”</w:t>
      </w:r>
      <w:r>
        <w:t xml:space="preserve">, Available at </w:t>
      </w:r>
      <w:hyperlink r:id="rId14" w:history="1">
        <w:r w:rsidRPr="007F1856">
          <w:rPr>
            <w:rStyle w:val="Hyperlink"/>
          </w:rPr>
          <w:t>https://www.makevotesmatter.org.uk/first-past-the-post</w:t>
        </w:r>
      </w:hyperlink>
      <w:r>
        <w:rPr>
          <w:rStyle w:val="Hyperlink"/>
          <w:color w:val="auto"/>
          <w:u w:val="none"/>
        </w:rPr>
        <w:t>.</w:t>
      </w:r>
    </w:p>
    <w:p w14:paraId="11C7A283" w14:textId="77777777" w:rsidR="004872F6" w:rsidRDefault="004872F6">
      <w:pPr>
        <w:rPr>
          <w:lang w:val="en-US"/>
        </w:rPr>
      </w:pPr>
      <w:r>
        <w:t xml:space="preserve">N/A, </w:t>
      </w:r>
      <w:r>
        <w:rPr>
          <w:i/>
          <w:iCs/>
        </w:rPr>
        <w:t>“Scottish Elections (Reduction of Voting Age) Bill”, “Parliament.scot”</w:t>
      </w:r>
      <w:r>
        <w:t xml:space="preserve">, Available at </w:t>
      </w:r>
      <w:hyperlink r:id="rId15" w:history="1">
        <w:r>
          <w:rPr>
            <w:rStyle w:val="Hyperlink"/>
          </w:rPr>
          <w:t>https://www.parliament.scot/parliamentarybusiness/Bills/88272.aspx</w:t>
        </w:r>
      </w:hyperlink>
      <w:r>
        <w:rPr>
          <w:lang w:val="en-US"/>
        </w:rPr>
        <w:t>.</w:t>
      </w:r>
    </w:p>
    <w:p w14:paraId="32B22E18" w14:textId="77777777" w:rsidR="004872F6" w:rsidRDefault="004872F6">
      <w:pPr>
        <w:rPr>
          <w:rStyle w:val="Hyperlink"/>
          <w:color w:val="auto"/>
          <w:u w:val="none"/>
        </w:rPr>
      </w:pPr>
      <w:r>
        <w:t xml:space="preserve">N/A, </w:t>
      </w:r>
      <w:r>
        <w:rPr>
          <w:i/>
          <w:iCs/>
        </w:rPr>
        <w:t>“Second Reform Act 1867”, “Parliament.uk”</w:t>
      </w:r>
      <w:r>
        <w:t xml:space="preserve">, Available at &gt;  </w:t>
      </w:r>
      <w:hyperlink r:id="rId16" w:history="1">
        <w:r>
          <w:rPr>
            <w:rStyle w:val="Hyperlink"/>
          </w:rPr>
          <w:t>https://www.parliament.uk/about/living-heritage/evolutionofparliament/houseofcommons/reformacts/overview/furtherreformacts/</w:t>
        </w:r>
      </w:hyperlink>
      <w:r>
        <w:rPr>
          <w:rStyle w:val="Hyperlink"/>
          <w:color w:val="auto"/>
          <w:u w:val="none"/>
        </w:rPr>
        <w:t>.</w:t>
      </w:r>
    </w:p>
    <w:p w14:paraId="789F1287" w14:textId="77777777" w:rsidR="004872F6" w:rsidRDefault="004872F6">
      <w:pPr>
        <w:rPr>
          <w:lang w:val="en-US"/>
        </w:rPr>
      </w:pPr>
      <w:r>
        <w:t xml:space="preserve">N/A, </w:t>
      </w:r>
      <w:r>
        <w:rPr>
          <w:i/>
          <w:iCs/>
        </w:rPr>
        <w:t xml:space="preserve">“The Case for Votes at 16”, “Votesat16.org”, </w:t>
      </w:r>
      <w:r>
        <w:t xml:space="preserve">Available at </w:t>
      </w:r>
      <w:hyperlink r:id="rId17" w:history="1">
        <w:r>
          <w:rPr>
            <w:rStyle w:val="Hyperlink"/>
          </w:rPr>
          <w:t>http://www.votesat16.org/about/</w:t>
        </w:r>
      </w:hyperlink>
      <w:r>
        <w:rPr>
          <w:lang w:val="en-US"/>
        </w:rPr>
        <w:t>.</w:t>
      </w:r>
    </w:p>
    <w:p w14:paraId="0996ADA6" w14:textId="77777777" w:rsidR="004872F6" w:rsidRDefault="004872F6">
      <w:pPr>
        <w:rPr>
          <w:rStyle w:val="Hyperlink"/>
          <w:color w:val="auto"/>
          <w:u w:val="none"/>
        </w:rPr>
      </w:pPr>
      <w:r>
        <w:t xml:space="preserve">N/A, </w:t>
      </w:r>
      <w:r>
        <w:rPr>
          <w:i/>
          <w:iCs/>
        </w:rPr>
        <w:t>“The Reform Act 1832”</w:t>
      </w:r>
      <w:r>
        <w:t>, “</w:t>
      </w:r>
      <w:r w:rsidRPr="00C60047">
        <w:rPr>
          <w:i/>
          <w:iCs/>
        </w:rPr>
        <w:t>Parliament.uk”</w:t>
      </w:r>
      <w:r>
        <w:t xml:space="preserve">, Available at </w:t>
      </w:r>
      <w:hyperlink r:id="rId18" w:history="1">
        <w:r>
          <w:rPr>
            <w:rStyle w:val="Hyperlink"/>
          </w:rPr>
          <w:t>https://www.parliament.uk/about/living-heritage/evolutionofparliament/houseofcommons/reformacts/overview/reformact1832/</w:t>
        </w:r>
      </w:hyperlink>
      <w:r>
        <w:rPr>
          <w:rStyle w:val="Hyperlink"/>
          <w:color w:val="auto"/>
          <w:u w:val="none"/>
        </w:rPr>
        <w:t>.</w:t>
      </w:r>
    </w:p>
    <w:p w14:paraId="74905C4B" w14:textId="77777777" w:rsidR="004872F6" w:rsidRDefault="004872F6">
      <w:pPr>
        <w:rPr>
          <w:rStyle w:val="Hyperlink"/>
        </w:rPr>
      </w:pPr>
      <w:r>
        <w:t xml:space="preserve">N/A, </w:t>
      </w:r>
      <w:r>
        <w:rPr>
          <w:i/>
          <w:iCs/>
        </w:rPr>
        <w:t>“Third Reform Act 1884”, “Parliament.uk”</w:t>
      </w:r>
      <w:r>
        <w:t xml:space="preserve">, Available at </w:t>
      </w:r>
      <w:hyperlink r:id="rId19" w:history="1">
        <w:r w:rsidRPr="007F1856">
          <w:rPr>
            <w:rStyle w:val="Hyperlink"/>
          </w:rPr>
          <w:t>https://www.parliament.uk/about/living-heritage/evolutionofparliament/houseofcommons/reformacts/overview/one-man-one-vote/</w:t>
        </w:r>
      </w:hyperlink>
      <w:r>
        <w:rPr>
          <w:rStyle w:val="Hyperlink"/>
        </w:rPr>
        <w:t>.</w:t>
      </w:r>
    </w:p>
    <w:p w14:paraId="6131A2C7" w14:textId="77777777" w:rsidR="004872F6" w:rsidRDefault="004872F6">
      <w:pPr>
        <w:rPr>
          <w:rStyle w:val="Hyperlink"/>
          <w:color w:val="auto"/>
          <w:u w:val="none"/>
        </w:rPr>
      </w:pPr>
      <w:r>
        <w:t xml:space="preserve">N/A, </w:t>
      </w:r>
      <w:r>
        <w:rPr>
          <w:i/>
          <w:iCs/>
        </w:rPr>
        <w:t>“What Was Chartism?”</w:t>
      </w:r>
      <w:r>
        <w:t xml:space="preserve">, </w:t>
      </w:r>
      <w:r>
        <w:rPr>
          <w:i/>
          <w:iCs/>
        </w:rPr>
        <w:t>“The National Archives”</w:t>
      </w:r>
      <w:r>
        <w:t xml:space="preserve">, Available at </w:t>
      </w:r>
      <w:hyperlink r:id="rId20" w:history="1">
        <w:r w:rsidRPr="007F1856">
          <w:rPr>
            <w:rStyle w:val="Hyperlink"/>
          </w:rPr>
          <w:t>https://www.nationalarchives.gov.uk/education/politics/g7/</w:t>
        </w:r>
      </w:hyperlink>
      <w:r>
        <w:rPr>
          <w:rStyle w:val="Hyperlink"/>
          <w:color w:val="auto"/>
          <w:u w:val="none"/>
        </w:rPr>
        <w:t>.</w:t>
      </w:r>
    </w:p>
    <w:p w14:paraId="483E9E1C" w14:textId="77777777" w:rsidR="004872F6" w:rsidRDefault="004872F6">
      <w:pPr>
        <w:rPr>
          <w:rStyle w:val="Hyperlink"/>
        </w:rPr>
      </w:pPr>
      <w:r>
        <w:t xml:space="preserve">N/A, </w:t>
      </w:r>
      <w:r>
        <w:rPr>
          <w:i/>
          <w:iCs/>
        </w:rPr>
        <w:t>“Women Get the Vote”, “Parliament.uk”</w:t>
      </w:r>
      <w:r>
        <w:t xml:space="preserve">, Available at </w:t>
      </w:r>
      <w:hyperlink r:id="rId21" w:history="1">
        <w:r w:rsidRPr="007F1856">
          <w:rPr>
            <w:rStyle w:val="Hyperlink"/>
          </w:rPr>
          <w:t>https://www.parliament.uk/about/living-heritage/transformingsociety/electionsvoting/womenvote/overview/thevote/</w:t>
        </w:r>
      </w:hyperlink>
      <w:r>
        <w:rPr>
          <w:rStyle w:val="Hyperlink"/>
        </w:rPr>
        <w:t>.</w:t>
      </w:r>
    </w:p>
    <w:p w14:paraId="25446EA4" w14:textId="77777777" w:rsidR="004872F6" w:rsidRDefault="004872F6">
      <w:r>
        <w:lastRenderedPageBreak/>
        <w:t xml:space="preserve">Nevers Jeppe, </w:t>
      </w:r>
      <w:r>
        <w:rPr>
          <w:i/>
          <w:iCs/>
        </w:rPr>
        <w:t>“A History of democracy beyond national narratives”</w:t>
      </w:r>
      <w:r>
        <w:t xml:space="preserve">, </w:t>
      </w:r>
      <w:r>
        <w:rPr>
          <w:i/>
          <w:iCs/>
        </w:rPr>
        <w:t>“Geschichte und Gesellschaft”</w:t>
      </w:r>
      <w:r>
        <w:t xml:space="preserve"> Vol.44 No. 3, September 2018.</w:t>
      </w:r>
    </w:p>
    <w:p w14:paraId="4D555495" w14:textId="77777777" w:rsidR="004872F6" w:rsidRPr="00BE335F" w:rsidRDefault="004872F6" w:rsidP="008C02F8">
      <w:pPr>
        <w:pStyle w:val="FootnoteText"/>
        <w:rPr>
          <w:lang w:val="en-US"/>
        </w:rPr>
      </w:pPr>
      <w:r>
        <w:t xml:space="preserve">Olsen Mancur, </w:t>
      </w:r>
      <w:r>
        <w:rPr>
          <w:i/>
          <w:iCs/>
        </w:rPr>
        <w:t>“Dictatorship, Democracy, and Development”</w:t>
      </w:r>
      <w:r>
        <w:t xml:space="preserve">, </w:t>
      </w:r>
      <w:r>
        <w:rPr>
          <w:i/>
          <w:iCs/>
        </w:rPr>
        <w:t>“The American Political Science Review”</w:t>
      </w:r>
      <w:r>
        <w:t>, Vol.87 No. 3, September 1993.</w:t>
      </w:r>
    </w:p>
    <w:p w14:paraId="5D9AAB26" w14:textId="77777777" w:rsidR="004872F6" w:rsidRDefault="004872F6">
      <w:r>
        <w:t xml:space="preserve">Saunders Robert, </w:t>
      </w:r>
      <w:r>
        <w:rPr>
          <w:i/>
          <w:iCs/>
        </w:rPr>
        <w:t>“The Politics of Reform and the Making of the Second Reform Act, 1848 – 1867”, “The Historical Journal”</w:t>
      </w:r>
      <w:r>
        <w:t xml:space="preserve"> Vol. 50 No. 3, September 2003.</w:t>
      </w:r>
    </w:p>
    <w:sectPr w:rsidR="004872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6F11B0" w14:textId="77777777" w:rsidR="00D15175" w:rsidRDefault="00D15175" w:rsidP="00B553B1">
      <w:pPr>
        <w:spacing w:after="0" w:line="240" w:lineRule="auto"/>
      </w:pPr>
      <w:r>
        <w:separator/>
      </w:r>
    </w:p>
  </w:endnote>
  <w:endnote w:type="continuationSeparator" w:id="0">
    <w:p w14:paraId="7FCD528D" w14:textId="77777777" w:rsidR="00D15175" w:rsidRDefault="00D15175" w:rsidP="00B553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26704D" w14:textId="77777777" w:rsidR="00D15175" w:rsidRDefault="00D15175" w:rsidP="00B553B1">
      <w:pPr>
        <w:spacing w:after="0" w:line="240" w:lineRule="auto"/>
      </w:pPr>
      <w:r>
        <w:separator/>
      </w:r>
    </w:p>
  </w:footnote>
  <w:footnote w:type="continuationSeparator" w:id="0">
    <w:p w14:paraId="16DFEC84" w14:textId="77777777" w:rsidR="00D15175" w:rsidRDefault="00D15175" w:rsidP="00B553B1">
      <w:pPr>
        <w:spacing w:after="0" w:line="240" w:lineRule="auto"/>
      </w:pPr>
      <w:r>
        <w:continuationSeparator/>
      </w:r>
    </w:p>
  </w:footnote>
  <w:footnote w:id="1">
    <w:p w14:paraId="7A5D1503" w14:textId="5CA8BE52" w:rsidR="00C23F6F" w:rsidRPr="00B553B1" w:rsidRDefault="00C23F6F">
      <w:pPr>
        <w:pStyle w:val="FootnoteText"/>
        <w:rPr>
          <w:lang w:val="en-US"/>
        </w:rPr>
      </w:pPr>
      <w:r>
        <w:rPr>
          <w:rStyle w:val="FootnoteReference"/>
        </w:rPr>
        <w:footnoteRef/>
      </w:r>
      <w:r>
        <w:t xml:space="preserve"> </w:t>
      </w:r>
      <w:r>
        <w:rPr>
          <w:lang w:val="en-US"/>
        </w:rPr>
        <w:t xml:space="preserve">Daniel J. Fiorino, </w:t>
      </w:r>
      <w:r>
        <w:rPr>
          <w:i/>
          <w:iCs/>
          <w:lang w:val="en-US"/>
        </w:rPr>
        <w:t>“Can Democracy Handle Climate Change”</w:t>
      </w:r>
      <w:r>
        <w:rPr>
          <w:lang w:val="en-US"/>
        </w:rPr>
        <w:t>, Published by Polity Press, Cambridge 2018, pg. 16.</w:t>
      </w:r>
    </w:p>
  </w:footnote>
  <w:footnote w:id="2">
    <w:p w14:paraId="0ECBB54C" w14:textId="4AC4E89D" w:rsidR="00C23F6F" w:rsidRPr="00694128" w:rsidRDefault="00C23F6F">
      <w:pPr>
        <w:pStyle w:val="FootnoteText"/>
        <w:rPr>
          <w:lang w:val="en-US"/>
        </w:rPr>
      </w:pPr>
      <w:r>
        <w:rPr>
          <w:rStyle w:val="FootnoteReference"/>
        </w:rPr>
        <w:footnoteRef/>
      </w:r>
      <w:r>
        <w:t xml:space="preserve"> </w:t>
      </w:r>
      <w:r>
        <w:rPr>
          <w:lang w:val="en-US"/>
        </w:rPr>
        <w:t xml:space="preserve">Daniel J. Fiorino, </w:t>
      </w:r>
      <w:r>
        <w:rPr>
          <w:i/>
          <w:iCs/>
          <w:lang w:val="en-US"/>
        </w:rPr>
        <w:t>“Can Democracy Handle Climate Change”</w:t>
      </w:r>
      <w:r>
        <w:rPr>
          <w:lang w:val="en-US"/>
        </w:rPr>
        <w:t>, Published by Polity Press, Cambridge 2018, pg. 16.</w:t>
      </w:r>
    </w:p>
  </w:footnote>
  <w:footnote w:id="3">
    <w:p w14:paraId="1B418B37" w14:textId="116FD53A" w:rsidR="00C23F6F" w:rsidRPr="00694128" w:rsidRDefault="00C23F6F">
      <w:pPr>
        <w:pStyle w:val="FootnoteText"/>
        <w:rPr>
          <w:lang w:val="en-US"/>
        </w:rPr>
      </w:pPr>
      <w:r>
        <w:rPr>
          <w:rStyle w:val="FootnoteReference"/>
        </w:rPr>
        <w:footnoteRef/>
      </w:r>
      <w:r>
        <w:t xml:space="preserve"> </w:t>
      </w:r>
      <w:r>
        <w:rPr>
          <w:lang w:val="en-US"/>
        </w:rPr>
        <w:t xml:space="preserve">Daniel J. Fiorino, </w:t>
      </w:r>
      <w:r>
        <w:rPr>
          <w:i/>
          <w:iCs/>
          <w:lang w:val="en-US"/>
        </w:rPr>
        <w:t>“Can Democracy Handle Climate Change”</w:t>
      </w:r>
      <w:r>
        <w:rPr>
          <w:lang w:val="en-US"/>
        </w:rPr>
        <w:t>, Published by Polity Press, Cambridge 2018, pg. 17.</w:t>
      </w:r>
    </w:p>
  </w:footnote>
  <w:footnote w:id="4">
    <w:p w14:paraId="56FD8BFC" w14:textId="4CDFB639" w:rsidR="00C23F6F" w:rsidRPr="00052D87" w:rsidRDefault="00C23F6F">
      <w:pPr>
        <w:pStyle w:val="FootnoteText"/>
        <w:rPr>
          <w:lang w:val="en-US"/>
        </w:rPr>
      </w:pPr>
      <w:r>
        <w:rPr>
          <w:rStyle w:val="FootnoteReference"/>
        </w:rPr>
        <w:footnoteRef/>
      </w:r>
      <w:r>
        <w:t xml:space="preserve"> </w:t>
      </w:r>
      <w:r>
        <w:rPr>
          <w:lang w:val="en-US"/>
        </w:rPr>
        <w:t xml:space="preserve">Daniel J. Fiorino, </w:t>
      </w:r>
      <w:r>
        <w:rPr>
          <w:i/>
          <w:iCs/>
          <w:lang w:val="en-US"/>
        </w:rPr>
        <w:t>“Can Democracy Handle Climate Change”</w:t>
      </w:r>
      <w:r>
        <w:rPr>
          <w:lang w:val="en-US"/>
        </w:rPr>
        <w:t>, Published by Polity Press, Cambridge 2018, pg. 17.</w:t>
      </w:r>
    </w:p>
  </w:footnote>
  <w:footnote w:id="5">
    <w:p w14:paraId="474BB674" w14:textId="3B00DB1A" w:rsidR="00C23F6F" w:rsidRPr="002A76FA" w:rsidRDefault="00C23F6F">
      <w:pPr>
        <w:pStyle w:val="FootnoteText"/>
      </w:pPr>
      <w:r>
        <w:rPr>
          <w:rStyle w:val="FootnoteReference"/>
        </w:rPr>
        <w:footnoteRef/>
      </w:r>
      <w:r>
        <w:t xml:space="preserve"> </w:t>
      </w:r>
      <w:r>
        <w:rPr>
          <w:lang w:val="en-US"/>
        </w:rPr>
        <w:t xml:space="preserve">Daniel J. Fiorino, </w:t>
      </w:r>
      <w:r>
        <w:rPr>
          <w:i/>
          <w:iCs/>
          <w:lang w:val="en-US"/>
        </w:rPr>
        <w:t>“Can Democracy Handle Climate Change”</w:t>
      </w:r>
      <w:r>
        <w:rPr>
          <w:lang w:val="en-US"/>
        </w:rPr>
        <w:t>, Published by Polity Press, Cambridge 2018, pg. 18.</w:t>
      </w:r>
    </w:p>
  </w:footnote>
  <w:footnote w:id="6">
    <w:p w14:paraId="36E310BE" w14:textId="4DC2B8DE" w:rsidR="00C23F6F" w:rsidRPr="00D90F25" w:rsidRDefault="00C23F6F">
      <w:pPr>
        <w:pStyle w:val="FootnoteText"/>
        <w:rPr>
          <w:lang w:val="en-US"/>
        </w:rPr>
      </w:pPr>
      <w:r>
        <w:rPr>
          <w:rStyle w:val="FootnoteReference"/>
        </w:rPr>
        <w:footnoteRef/>
      </w:r>
      <w:r>
        <w:t xml:space="preserve"> Jeppe Nevers, </w:t>
      </w:r>
      <w:r>
        <w:rPr>
          <w:i/>
          <w:iCs/>
        </w:rPr>
        <w:t>“A History of democracy beyond national narratives”</w:t>
      </w:r>
      <w:r>
        <w:t xml:space="preserve">, </w:t>
      </w:r>
      <w:r>
        <w:rPr>
          <w:i/>
          <w:iCs/>
        </w:rPr>
        <w:t>“Geschichte und Gesellschaft”</w:t>
      </w:r>
      <w:r>
        <w:t xml:space="preserve"> Vol.44 No. 3, September 2018, pg. 417.</w:t>
      </w:r>
    </w:p>
  </w:footnote>
  <w:footnote w:id="7">
    <w:p w14:paraId="278D8AC5" w14:textId="7F21C655" w:rsidR="00C23F6F" w:rsidRPr="00BE335F" w:rsidRDefault="00C23F6F">
      <w:pPr>
        <w:pStyle w:val="FootnoteText"/>
        <w:rPr>
          <w:lang w:val="en-US"/>
        </w:rPr>
      </w:pPr>
      <w:r>
        <w:rPr>
          <w:rStyle w:val="FootnoteReference"/>
        </w:rPr>
        <w:footnoteRef/>
      </w:r>
      <w:r>
        <w:t xml:space="preserve"> Mancur Olsen, </w:t>
      </w:r>
      <w:r>
        <w:rPr>
          <w:i/>
          <w:iCs/>
        </w:rPr>
        <w:t>“Dictatorship, Democracy, and Development”</w:t>
      </w:r>
      <w:r>
        <w:t xml:space="preserve">, </w:t>
      </w:r>
      <w:r>
        <w:rPr>
          <w:i/>
          <w:iCs/>
        </w:rPr>
        <w:t>“The American Political Science Review”</w:t>
      </w:r>
      <w:r>
        <w:t>, Vol.87 No. 3, September 1993, pg. 567.</w:t>
      </w:r>
    </w:p>
  </w:footnote>
  <w:footnote w:id="8">
    <w:p w14:paraId="3744A2C6" w14:textId="1FCFBA10" w:rsidR="00C23F6F" w:rsidRPr="00F252DB" w:rsidRDefault="00C23F6F">
      <w:pPr>
        <w:pStyle w:val="FootnoteText"/>
        <w:rPr>
          <w:lang w:val="en-US"/>
        </w:rPr>
      </w:pPr>
      <w:r>
        <w:rPr>
          <w:rStyle w:val="FootnoteReference"/>
        </w:rPr>
        <w:footnoteRef/>
      </w:r>
      <w:r>
        <w:t xml:space="preserve"> Mancur Olsen, </w:t>
      </w:r>
      <w:r>
        <w:rPr>
          <w:i/>
          <w:iCs/>
        </w:rPr>
        <w:t>“Dictatorship, Democracy, and Development”</w:t>
      </w:r>
      <w:r>
        <w:t xml:space="preserve">, </w:t>
      </w:r>
      <w:r>
        <w:rPr>
          <w:i/>
          <w:iCs/>
        </w:rPr>
        <w:t>“The American Political Science Review”</w:t>
      </w:r>
      <w:r>
        <w:t>, Vol.87 No. 3, September 1993, pg. 567.</w:t>
      </w:r>
    </w:p>
  </w:footnote>
  <w:footnote w:id="9">
    <w:p w14:paraId="5B3C7C8C" w14:textId="12494459" w:rsidR="00C23F6F" w:rsidRPr="0030282B" w:rsidRDefault="00C23F6F">
      <w:pPr>
        <w:pStyle w:val="FootnoteText"/>
        <w:rPr>
          <w:lang w:val="en-US"/>
        </w:rPr>
      </w:pPr>
      <w:r>
        <w:rPr>
          <w:rStyle w:val="FootnoteReference"/>
        </w:rPr>
        <w:footnoteRef/>
      </w:r>
      <w:r>
        <w:rPr>
          <w:rStyle w:val="FootnoteReference"/>
        </w:rPr>
        <w:footnoteRef/>
      </w:r>
      <w:r>
        <w:t xml:space="preserve"> Mancur Olsen, </w:t>
      </w:r>
      <w:r>
        <w:rPr>
          <w:i/>
          <w:iCs/>
        </w:rPr>
        <w:t>“Dictatorship, Democracy, and Development”</w:t>
      </w:r>
      <w:r>
        <w:t xml:space="preserve">, </w:t>
      </w:r>
      <w:r>
        <w:rPr>
          <w:i/>
          <w:iCs/>
        </w:rPr>
        <w:t>“The American Political Science Review”</w:t>
      </w:r>
      <w:r>
        <w:t>, Vol.87 No. 3, September 1993, pg. 567.</w:t>
      </w:r>
    </w:p>
  </w:footnote>
  <w:footnote w:id="10">
    <w:p w14:paraId="0759E733" w14:textId="4DCED189" w:rsidR="00C23F6F" w:rsidRPr="009E465D" w:rsidRDefault="00C23F6F">
      <w:pPr>
        <w:pStyle w:val="FootnoteText"/>
        <w:rPr>
          <w:lang w:val="en-US"/>
        </w:rPr>
      </w:pPr>
      <w:r>
        <w:rPr>
          <w:rStyle w:val="FootnoteReference"/>
        </w:rPr>
        <w:footnoteRef/>
      </w:r>
      <w:r>
        <w:t xml:space="preserve"> Mancur Olsen, </w:t>
      </w:r>
      <w:r>
        <w:rPr>
          <w:i/>
          <w:iCs/>
        </w:rPr>
        <w:t>“Dictatorship, Democracy, and Development”</w:t>
      </w:r>
      <w:r>
        <w:t xml:space="preserve">, </w:t>
      </w:r>
      <w:r>
        <w:rPr>
          <w:i/>
          <w:iCs/>
        </w:rPr>
        <w:t>“The American Political Science Review”</w:t>
      </w:r>
      <w:r>
        <w:t>, Vol.87 No. 3, September 1993, pg. 567.</w:t>
      </w:r>
    </w:p>
  </w:footnote>
  <w:footnote w:id="11">
    <w:p w14:paraId="1A2A1CC1" w14:textId="17525D37" w:rsidR="00C23F6F" w:rsidRPr="005E1538" w:rsidRDefault="00C23F6F">
      <w:pPr>
        <w:pStyle w:val="FootnoteText"/>
        <w:rPr>
          <w:lang w:val="en-US"/>
        </w:rPr>
      </w:pPr>
      <w:r>
        <w:rPr>
          <w:rStyle w:val="FootnoteReference"/>
        </w:rPr>
        <w:footnoteRef/>
      </w:r>
      <w:r>
        <w:t xml:space="preserve"> Jeppe Nevers, </w:t>
      </w:r>
      <w:r>
        <w:rPr>
          <w:i/>
          <w:iCs/>
        </w:rPr>
        <w:t>“A History of democracy beyond national narratives”</w:t>
      </w:r>
      <w:r>
        <w:t xml:space="preserve">, </w:t>
      </w:r>
      <w:r>
        <w:rPr>
          <w:i/>
          <w:iCs/>
        </w:rPr>
        <w:t>“Geschichte und Gesellschaft”</w:t>
      </w:r>
      <w:r>
        <w:t xml:space="preserve"> Vol.44 No. 3, September 2018, pg. 417.</w:t>
      </w:r>
    </w:p>
  </w:footnote>
  <w:footnote w:id="12">
    <w:p w14:paraId="5BF50DA3" w14:textId="7BC03230" w:rsidR="00C23F6F" w:rsidRPr="00206FC7" w:rsidRDefault="00C23F6F">
      <w:pPr>
        <w:pStyle w:val="FootnoteText"/>
        <w:rPr>
          <w:lang w:val="en-US"/>
        </w:rPr>
      </w:pPr>
      <w:r>
        <w:rPr>
          <w:rStyle w:val="FootnoteReference"/>
        </w:rPr>
        <w:footnoteRef/>
      </w:r>
      <w:r>
        <w:t xml:space="preserve"> Jeppe Nevers, </w:t>
      </w:r>
      <w:r>
        <w:rPr>
          <w:i/>
          <w:iCs/>
        </w:rPr>
        <w:t>“A History of democracy beyond national narratives”</w:t>
      </w:r>
      <w:r>
        <w:t xml:space="preserve">, </w:t>
      </w:r>
      <w:r>
        <w:rPr>
          <w:i/>
          <w:iCs/>
        </w:rPr>
        <w:t>“Geschichte und Gesellschaft”</w:t>
      </w:r>
      <w:r>
        <w:t xml:space="preserve"> Vol.44 No. 3, September 2018, pg. 417.</w:t>
      </w:r>
    </w:p>
  </w:footnote>
  <w:footnote w:id="13">
    <w:p w14:paraId="521975C7" w14:textId="0F4F997E" w:rsidR="00C23F6F" w:rsidRPr="001964E3" w:rsidRDefault="00C23F6F">
      <w:pPr>
        <w:pStyle w:val="FootnoteText"/>
        <w:rPr>
          <w:lang w:val="en-US"/>
        </w:rPr>
      </w:pPr>
      <w:r>
        <w:rPr>
          <w:rStyle w:val="FootnoteReference"/>
        </w:rPr>
        <w:footnoteRef/>
      </w:r>
      <w:r>
        <w:t xml:space="preserve"> Jeppe Nevers, </w:t>
      </w:r>
      <w:r>
        <w:rPr>
          <w:i/>
          <w:iCs/>
        </w:rPr>
        <w:t>“A History of democracy beyond national narratives”</w:t>
      </w:r>
      <w:r>
        <w:t xml:space="preserve">, </w:t>
      </w:r>
      <w:r>
        <w:rPr>
          <w:i/>
          <w:iCs/>
        </w:rPr>
        <w:t>“Geschichte und Gesellschaft”</w:t>
      </w:r>
      <w:r>
        <w:t xml:space="preserve"> Vol.44 No. 3, September 2018, pg. 417.</w:t>
      </w:r>
    </w:p>
  </w:footnote>
  <w:footnote w:id="14">
    <w:p w14:paraId="33DC622C" w14:textId="20F320E8" w:rsidR="00C23F6F" w:rsidRPr="00C60047" w:rsidRDefault="00C23F6F">
      <w:pPr>
        <w:pStyle w:val="FootnoteText"/>
        <w:rPr>
          <w:lang w:val="en-US"/>
        </w:rPr>
      </w:pPr>
      <w:r>
        <w:rPr>
          <w:rStyle w:val="FootnoteReference"/>
        </w:rPr>
        <w:footnoteRef/>
      </w:r>
      <w:r>
        <w:t xml:space="preserve"> N/A, </w:t>
      </w:r>
      <w:r>
        <w:rPr>
          <w:i/>
          <w:iCs/>
        </w:rPr>
        <w:t>“The Reform Act 1832”</w:t>
      </w:r>
      <w:r>
        <w:t>, “</w:t>
      </w:r>
      <w:r w:rsidRPr="00C60047">
        <w:rPr>
          <w:i/>
          <w:iCs/>
        </w:rPr>
        <w:t>Parliament.uk”</w:t>
      </w:r>
      <w:r>
        <w:t xml:space="preserve">, Published N/A, Available at &gt; </w:t>
      </w:r>
      <w:hyperlink r:id="rId1" w:history="1">
        <w:r>
          <w:rPr>
            <w:rStyle w:val="Hyperlink"/>
          </w:rPr>
          <w:t>https://www.parliament.uk/about/living-heritage/evolutionofparliament/houseofcommons/reformacts/overview/reformact1832/</w:t>
        </w:r>
      </w:hyperlink>
      <w:r w:rsidRPr="00C60047">
        <w:rPr>
          <w:rStyle w:val="Hyperlink"/>
          <w:color w:val="auto"/>
          <w:u w:val="none"/>
        </w:rPr>
        <w:t xml:space="preserve"> &lt;</w:t>
      </w:r>
      <w:r>
        <w:rPr>
          <w:rStyle w:val="Hyperlink"/>
          <w:color w:val="auto"/>
          <w:u w:val="none"/>
        </w:rPr>
        <w:t>, (Accessed on 15/06/20).</w:t>
      </w:r>
    </w:p>
  </w:footnote>
  <w:footnote w:id="15">
    <w:p w14:paraId="6BDF29CC" w14:textId="64A6480E" w:rsidR="00C23F6F" w:rsidRPr="00B32F4F" w:rsidRDefault="00C23F6F">
      <w:pPr>
        <w:pStyle w:val="FootnoteText"/>
        <w:rPr>
          <w:lang w:val="en-US"/>
        </w:rPr>
      </w:pPr>
      <w:r>
        <w:rPr>
          <w:rStyle w:val="FootnoteReference"/>
        </w:rPr>
        <w:footnoteRef/>
      </w:r>
      <w:r>
        <w:t xml:space="preserve"> N/A, </w:t>
      </w:r>
      <w:r>
        <w:rPr>
          <w:i/>
          <w:iCs/>
        </w:rPr>
        <w:t>“The Reform Act 1832”</w:t>
      </w:r>
      <w:r>
        <w:t>, “</w:t>
      </w:r>
      <w:r w:rsidRPr="00C60047">
        <w:rPr>
          <w:i/>
          <w:iCs/>
        </w:rPr>
        <w:t>Parliament.uk”</w:t>
      </w:r>
      <w:r>
        <w:t xml:space="preserve">, Published N/A, Available at &gt; </w:t>
      </w:r>
      <w:hyperlink r:id="rId2" w:history="1">
        <w:r>
          <w:rPr>
            <w:rStyle w:val="Hyperlink"/>
          </w:rPr>
          <w:t>https://www.parliament.uk/about/living-heritage/evolutionofparliament/houseofcommons/reformacts/overview/reformact1832/</w:t>
        </w:r>
      </w:hyperlink>
      <w:r w:rsidRPr="00C60047">
        <w:rPr>
          <w:rStyle w:val="Hyperlink"/>
          <w:color w:val="auto"/>
          <w:u w:val="none"/>
        </w:rPr>
        <w:t xml:space="preserve"> &lt;</w:t>
      </w:r>
      <w:r>
        <w:rPr>
          <w:rStyle w:val="Hyperlink"/>
          <w:color w:val="auto"/>
          <w:u w:val="none"/>
        </w:rPr>
        <w:t>, (Accessed on 15/06/20).</w:t>
      </w:r>
    </w:p>
  </w:footnote>
  <w:footnote w:id="16">
    <w:p w14:paraId="6170A910" w14:textId="2C7402EA" w:rsidR="00C23F6F" w:rsidRPr="001A7E41" w:rsidRDefault="00C23F6F">
      <w:pPr>
        <w:pStyle w:val="FootnoteText"/>
        <w:rPr>
          <w:lang w:val="en-US"/>
        </w:rPr>
      </w:pPr>
      <w:r>
        <w:rPr>
          <w:rStyle w:val="FootnoteReference"/>
        </w:rPr>
        <w:footnoteRef/>
      </w:r>
      <w:r>
        <w:t xml:space="preserve"> N/A, </w:t>
      </w:r>
      <w:r>
        <w:rPr>
          <w:i/>
          <w:iCs/>
        </w:rPr>
        <w:t>“The Reform Act 1832”</w:t>
      </w:r>
      <w:r>
        <w:t>, “</w:t>
      </w:r>
      <w:r w:rsidRPr="00C60047">
        <w:rPr>
          <w:i/>
          <w:iCs/>
        </w:rPr>
        <w:t>Parliament.uk”</w:t>
      </w:r>
      <w:r>
        <w:t xml:space="preserve">, Published N/A, Available at &gt; </w:t>
      </w:r>
      <w:hyperlink r:id="rId3" w:history="1">
        <w:r>
          <w:rPr>
            <w:rStyle w:val="Hyperlink"/>
          </w:rPr>
          <w:t>https://www.parliament.uk/about/living-heritage/evolutionofparliament/houseofcommons/reformacts/overview/reformact1832/</w:t>
        </w:r>
      </w:hyperlink>
      <w:r w:rsidRPr="00C60047">
        <w:rPr>
          <w:rStyle w:val="Hyperlink"/>
          <w:color w:val="auto"/>
          <w:u w:val="none"/>
        </w:rPr>
        <w:t xml:space="preserve"> &lt;</w:t>
      </w:r>
      <w:r>
        <w:rPr>
          <w:rStyle w:val="Hyperlink"/>
          <w:color w:val="auto"/>
          <w:u w:val="none"/>
        </w:rPr>
        <w:t>, (Accessed on 15/06/20).</w:t>
      </w:r>
    </w:p>
  </w:footnote>
  <w:footnote w:id="17">
    <w:p w14:paraId="26313FE5" w14:textId="1F463405" w:rsidR="00C23F6F" w:rsidRPr="00FB4AFB" w:rsidRDefault="00C23F6F">
      <w:pPr>
        <w:pStyle w:val="FootnoteText"/>
        <w:rPr>
          <w:lang w:val="en-US"/>
        </w:rPr>
      </w:pPr>
      <w:r>
        <w:rPr>
          <w:rStyle w:val="FootnoteReference"/>
        </w:rPr>
        <w:footnoteRef/>
      </w:r>
      <w:r>
        <w:t xml:space="preserve"> N/A, </w:t>
      </w:r>
      <w:r>
        <w:rPr>
          <w:i/>
          <w:iCs/>
        </w:rPr>
        <w:t>“The Reform Act 1832”</w:t>
      </w:r>
      <w:r>
        <w:t>, “</w:t>
      </w:r>
      <w:r w:rsidRPr="00C60047">
        <w:rPr>
          <w:i/>
          <w:iCs/>
        </w:rPr>
        <w:t>Parliament.uk”</w:t>
      </w:r>
      <w:r>
        <w:t xml:space="preserve">, Published N/A, Available at &gt; </w:t>
      </w:r>
      <w:hyperlink r:id="rId4" w:history="1">
        <w:r>
          <w:rPr>
            <w:rStyle w:val="Hyperlink"/>
          </w:rPr>
          <w:t>https://www.parliament.uk/about/living-heritage/evolutionofparliament/houseofcommons/reformacts/overview/reformact1832/</w:t>
        </w:r>
      </w:hyperlink>
      <w:r w:rsidRPr="00C60047">
        <w:rPr>
          <w:rStyle w:val="Hyperlink"/>
          <w:color w:val="auto"/>
          <w:u w:val="none"/>
        </w:rPr>
        <w:t xml:space="preserve"> &lt;</w:t>
      </w:r>
      <w:r>
        <w:rPr>
          <w:rStyle w:val="Hyperlink"/>
          <w:color w:val="auto"/>
          <w:u w:val="none"/>
        </w:rPr>
        <w:t>, (Accessed on 15/06/20).</w:t>
      </w:r>
    </w:p>
  </w:footnote>
  <w:footnote w:id="18">
    <w:p w14:paraId="395FE15E" w14:textId="1F474AA0" w:rsidR="00C23F6F" w:rsidRPr="00CD3B0B" w:rsidRDefault="00C23F6F">
      <w:pPr>
        <w:pStyle w:val="FootnoteText"/>
        <w:rPr>
          <w:lang w:val="en-US"/>
        </w:rPr>
      </w:pPr>
      <w:r>
        <w:rPr>
          <w:rStyle w:val="FootnoteReference"/>
        </w:rPr>
        <w:footnoteRef/>
      </w:r>
      <w:r>
        <w:t xml:space="preserve"> N/A, </w:t>
      </w:r>
      <w:r>
        <w:rPr>
          <w:i/>
          <w:iCs/>
        </w:rPr>
        <w:t>“The Reform Act 1832”</w:t>
      </w:r>
      <w:r>
        <w:t>, “</w:t>
      </w:r>
      <w:r w:rsidRPr="00C60047">
        <w:rPr>
          <w:i/>
          <w:iCs/>
        </w:rPr>
        <w:t>Parliament.uk”</w:t>
      </w:r>
      <w:r>
        <w:t xml:space="preserve">, Published N/A, Available at &gt; </w:t>
      </w:r>
      <w:hyperlink r:id="rId5" w:history="1">
        <w:r>
          <w:rPr>
            <w:rStyle w:val="Hyperlink"/>
          </w:rPr>
          <w:t>https://www.parliament.uk/about/living-heritage/evolutionofparliament/houseofcommons/reformacts/overview/reformact1832/</w:t>
        </w:r>
      </w:hyperlink>
      <w:r w:rsidRPr="00C60047">
        <w:rPr>
          <w:rStyle w:val="Hyperlink"/>
          <w:color w:val="auto"/>
          <w:u w:val="none"/>
        </w:rPr>
        <w:t xml:space="preserve"> &lt;</w:t>
      </w:r>
      <w:r>
        <w:rPr>
          <w:rStyle w:val="Hyperlink"/>
          <w:color w:val="auto"/>
          <w:u w:val="none"/>
        </w:rPr>
        <w:t>, (Accessed on 15/06/20).</w:t>
      </w:r>
    </w:p>
  </w:footnote>
  <w:footnote w:id="19">
    <w:p w14:paraId="5D394488" w14:textId="2E731093" w:rsidR="00C23F6F" w:rsidRPr="00E172F2" w:rsidRDefault="00C23F6F">
      <w:pPr>
        <w:pStyle w:val="FootnoteText"/>
        <w:rPr>
          <w:lang w:val="en-US"/>
        </w:rPr>
      </w:pPr>
      <w:r>
        <w:rPr>
          <w:rStyle w:val="FootnoteReference"/>
        </w:rPr>
        <w:footnoteRef/>
      </w:r>
      <w:r>
        <w:t xml:space="preserve"> Mary Davis, </w:t>
      </w:r>
      <w:r>
        <w:rPr>
          <w:i/>
          <w:iCs/>
        </w:rPr>
        <w:t>“Comrade or Brother”</w:t>
      </w:r>
      <w:r>
        <w:t>, Published by Pluto Press London 1993, pg. 58.</w:t>
      </w:r>
    </w:p>
  </w:footnote>
  <w:footnote w:id="20">
    <w:p w14:paraId="7A715A75" w14:textId="29BF9F2F" w:rsidR="00C23F6F" w:rsidRPr="00150419" w:rsidRDefault="00C23F6F">
      <w:pPr>
        <w:pStyle w:val="FootnoteText"/>
        <w:rPr>
          <w:lang w:val="en-US"/>
        </w:rPr>
      </w:pPr>
      <w:r>
        <w:rPr>
          <w:rStyle w:val="FootnoteReference"/>
        </w:rPr>
        <w:footnoteRef/>
      </w:r>
      <w:r>
        <w:t xml:space="preserve"> Mary Davis, </w:t>
      </w:r>
      <w:r>
        <w:rPr>
          <w:i/>
          <w:iCs/>
        </w:rPr>
        <w:t>“Comrade or Brother”</w:t>
      </w:r>
      <w:r>
        <w:t>, Published by Pluto Press London 1993, pg. 59.</w:t>
      </w:r>
    </w:p>
  </w:footnote>
  <w:footnote w:id="21">
    <w:p w14:paraId="36C6BD05" w14:textId="6CCCB58C" w:rsidR="00C23F6F" w:rsidRPr="00B53814" w:rsidRDefault="00C23F6F">
      <w:pPr>
        <w:pStyle w:val="FootnoteText"/>
        <w:rPr>
          <w:lang w:val="en-US"/>
        </w:rPr>
      </w:pPr>
      <w:r>
        <w:rPr>
          <w:rStyle w:val="FootnoteReference"/>
        </w:rPr>
        <w:footnoteRef/>
      </w:r>
      <w:r>
        <w:t xml:space="preserve"> N/A, </w:t>
      </w:r>
      <w:r>
        <w:rPr>
          <w:i/>
          <w:iCs/>
        </w:rPr>
        <w:t>“What Was Chartism?”</w:t>
      </w:r>
      <w:r>
        <w:t xml:space="preserve">, </w:t>
      </w:r>
      <w:r>
        <w:rPr>
          <w:i/>
          <w:iCs/>
        </w:rPr>
        <w:t>“The National Archives”</w:t>
      </w:r>
      <w:r>
        <w:t xml:space="preserve">, N/A, Available at &gt; </w:t>
      </w:r>
      <w:hyperlink r:id="rId6" w:history="1">
        <w:r>
          <w:rPr>
            <w:rStyle w:val="Hyperlink"/>
          </w:rPr>
          <w:t>https://www.nationalarchives.gov.uk/education/politics/g7/</w:t>
        </w:r>
      </w:hyperlink>
      <w:r w:rsidRPr="00B53814">
        <w:rPr>
          <w:rStyle w:val="Hyperlink"/>
          <w:color w:val="auto"/>
          <w:u w:val="none"/>
        </w:rPr>
        <w:t xml:space="preserve"> &lt;</w:t>
      </w:r>
      <w:r>
        <w:rPr>
          <w:rStyle w:val="Hyperlink"/>
          <w:color w:val="auto"/>
          <w:u w:val="none"/>
        </w:rPr>
        <w:t>, (Accessed on 15/06/2020).</w:t>
      </w:r>
    </w:p>
  </w:footnote>
  <w:footnote w:id="22">
    <w:p w14:paraId="00A3BABE" w14:textId="71E97D34" w:rsidR="00C23F6F" w:rsidRPr="00484CE0" w:rsidRDefault="00C23F6F" w:rsidP="00845B0A">
      <w:pPr>
        <w:pStyle w:val="FootnoteText"/>
        <w:rPr>
          <w:lang w:val="en-US"/>
        </w:rPr>
      </w:pPr>
      <w:r>
        <w:rPr>
          <w:rStyle w:val="FootnoteReference"/>
        </w:rPr>
        <w:footnoteRef/>
      </w:r>
      <w:r>
        <w:t xml:space="preserve"> Mary Davis, </w:t>
      </w:r>
      <w:r>
        <w:rPr>
          <w:i/>
          <w:iCs/>
        </w:rPr>
        <w:t>“Comrade or Brother”</w:t>
      </w:r>
      <w:r>
        <w:t>, Published by Pluto Press London 1993, pg. 59.</w:t>
      </w:r>
    </w:p>
  </w:footnote>
  <w:footnote w:id="23">
    <w:p w14:paraId="6113FF44" w14:textId="17402FD7" w:rsidR="00C23F6F" w:rsidRPr="00407422" w:rsidRDefault="00C23F6F">
      <w:pPr>
        <w:pStyle w:val="FootnoteText"/>
        <w:rPr>
          <w:lang w:val="en-US"/>
        </w:rPr>
      </w:pPr>
      <w:r>
        <w:rPr>
          <w:rStyle w:val="FootnoteReference"/>
        </w:rPr>
        <w:footnoteRef/>
      </w:r>
      <w:r>
        <w:t xml:space="preserve"> Mary Davis, </w:t>
      </w:r>
      <w:r>
        <w:rPr>
          <w:i/>
          <w:iCs/>
        </w:rPr>
        <w:t>“Comrade or Brother”</w:t>
      </w:r>
      <w:r>
        <w:t>, Published by Pluto Press London 1993, pg. 59.</w:t>
      </w:r>
    </w:p>
  </w:footnote>
  <w:footnote w:id="24">
    <w:p w14:paraId="75DF135E" w14:textId="5EACFAEA" w:rsidR="00C23F6F" w:rsidRPr="00407422" w:rsidRDefault="00C23F6F">
      <w:pPr>
        <w:pStyle w:val="FootnoteText"/>
        <w:rPr>
          <w:lang w:val="en-US"/>
        </w:rPr>
      </w:pPr>
      <w:r>
        <w:rPr>
          <w:rStyle w:val="FootnoteReference"/>
        </w:rPr>
        <w:footnoteRef/>
      </w:r>
      <w:r>
        <w:t xml:space="preserve"> Mary Davis, </w:t>
      </w:r>
      <w:r>
        <w:rPr>
          <w:i/>
          <w:iCs/>
        </w:rPr>
        <w:t>“Comrade or Brother”</w:t>
      </w:r>
      <w:r>
        <w:t>, Published by Pluto Press London 1993, pg. 59.</w:t>
      </w:r>
    </w:p>
  </w:footnote>
  <w:footnote w:id="25">
    <w:p w14:paraId="62E514BC" w14:textId="2AE70928" w:rsidR="00C23F6F" w:rsidRPr="00306AA9" w:rsidRDefault="00C23F6F">
      <w:pPr>
        <w:pStyle w:val="FootnoteText"/>
        <w:rPr>
          <w:lang w:val="en-US"/>
        </w:rPr>
      </w:pPr>
      <w:r>
        <w:rPr>
          <w:rStyle w:val="FootnoteReference"/>
        </w:rPr>
        <w:footnoteRef/>
      </w:r>
      <w:r>
        <w:t xml:space="preserve"> Mary Davis, </w:t>
      </w:r>
      <w:r>
        <w:rPr>
          <w:i/>
          <w:iCs/>
        </w:rPr>
        <w:t>“Comrade or Brother”</w:t>
      </w:r>
      <w:r>
        <w:t>, Published by Pluto Press London 1993, pg. 59.</w:t>
      </w:r>
    </w:p>
  </w:footnote>
  <w:footnote w:id="26">
    <w:p w14:paraId="78FC6CF2" w14:textId="34ACDB95" w:rsidR="00C23F6F" w:rsidRPr="00D27B65" w:rsidRDefault="00C23F6F">
      <w:pPr>
        <w:pStyle w:val="FootnoteText"/>
        <w:rPr>
          <w:lang w:val="en-US"/>
        </w:rPr>
      </w:pPr>
      <w:r>
        <w:rPr>
          <w:rStyle w:val="FootnoteReference"/>
        </w:rPr>
        <w:footnoteRef/>
      </w:r>
      <w:r>
        <w:t xml:space="preserve"> Mary Davis, </w:t>
      </w:r>
      <w:r>
        <w:rPr>
          <w:i/>
          <w:iCs/>
        </w:rPr>
        <w:t>“Comrade or Brother”</w:t>
      </w:r>
      <w:r>
        <w:t>, Published by Pluto Press London 1993, pg. 59.</w:t>
      </w:r>
    </w:p>
  </w:footnote>
  <w:footnote w:id="27">
    <w:p w14:paraId="3B22586F" w14:textId="0BFD5F91" w:rsidR="00C23F6F" w:rsidRPr="00D27B65" w:rsidRDefault="00C23F6F">
      <w:pPr>
        <w:pStyle w:val="FootnoteText"/>
        <w:rPr>
          <w:lang w:val="en-US"/>
        </w:rPr>
      </w:pPr>
      <w:r>
        <w:rPr>
          <w:rStyle w:val="FootnoteReference"/>
        </w:rPr>
        <w:footnoteRef/>
      </w:r>
      <w:r>
        <w:t xml:space="preserve"> Mary Davis, </w:t>
      </w:r>
      <w:r>
        <w:rPr>
          <w:i/>
          <w:iCs/>
        </w:rPr>
        <w:t>“Comrade or Brother”</w:t>
      </w:r>
      <w:r>
        <w:t>, Published by Pluto Press London 1993, pg. 59.</w:t>
      </w:r>
    </w:p>
  </w:footnote>
  <w:footnote w:id="28">
    <w:p w14:paraId="592EF289" w14:textId="460BB9D5" w:rsidR="00C23F6F" w:rsidRPr="00676B58" w:rsidRDefault="00C23F6F">
      <w:pPr>
        <w:pStyle w:val="FootnoteText"/>
        <w:rPr>
          <w:lang w:val="en-US"/>
        </w:rPr>
      </w:pPr>
      <w:r>
        <w:rPr>
          <w:rStyle w:val="FootnoteReference"/>
        </w:rPr>
        <w:footnoteRef/>
      </w:r>
      <w:r>
        <w:t xml:space="preserve">N/A, </w:t>
      </w:r>
      <w:r>
        <w:rPr>
          <w:i/>
          <w:iCs/>
        </w:rPr>
        <w:t>“Second Reform Act 1867”, “Parliament.uk”</w:t>
      </w:r>
      <w:r>
        <w:t xml:space="preserve">, N/A, Available at &gt;  </w:t>
      </w:r>
      <w:hyperlink r:id="rId7" w:history="1">
        <w:r>
          <w:rPr>
            <w:rStyle w:val="Hyperlink"/>
          </w:rPr>
          <w:t>https://www.parliament.uk/about/living-heritage/evolutionofparliament/houseofcommons/reformacts/overview/furtherreformacts/</w:t>
        </w:r>
      </w:hyperlink>
      <w:r w:rsidRPr="00676B58">
        <w:rPr>
          <w:rStyle w:val="Hyperlink"/>
          <w:color w:val="auto"/>
          <w:u w:val="none"/>
        </w:rPr>
        <w:t xml:space="preserve"> &lt;</w:t>
      </w:r>
      <w:r>
        <w:rPr>
          <w:rStyle w:val="Hyperlink"/>
          <w:color w:val="auto"/>
          <w:u w:val="none"/>
        </w:rPr>
        <w:t>, (Accessed on 15/06/2020).</w:t>
      </w:r>
    </w:p>
  </w:footnote>
  <w:footnote w:id="29">
    <w:p w14:paraId="59AF7A77" w14:textId="63DA3664" w:rsidR="00C23F6F" w:rsidRPr="00411973" w:rsidRDefault="00C23F6F">
      <w:pPr>
        <w:pStyle w:val="FootnoteText"/>
        <w:rPr>
          <w:lang w:val="en-US"/>
        </w:rPr>
      </w:pPr>
      <w:r>
        <w:rPr>
          <w:rStyle w:val="FootnoteReference"/>
        </w:rPr>
        <w:footnoteRef/>
      </w:r>
      <w:r>
        <w:t xml:space="preserve"> Robert Saunders, </w:t>
      </w:r>
      <w:r>
        <w:rPr>
          <w:i/>
          <w:iCs/>
        </w:rPr>
        <w:t>“The Politics of Reform and the Making of the Second Reform Act, 1848 – 1867”, “The Historical Journal”</w:t>
      </w:r>
      <w:r>
        <w:t xml:space="preserve"> Vol. 50 No. 3, September 2003, pg. 572.</w:t>
      </w:r>
    </w:p>
  </w:footnote>
  <w:footnote w:id="30">
    <w:p w14:paraId="4F3CA2B4" w14:textId="1B3A2F25" w:rsidR="00C23F6F" w:rsidRPr="005E24AE" w:rsidRDefault="00C23F6F">
      <w:pPr>
        <w:pStyle w:val="FootnoteText"/>
        <w:rPr>
          <w:lang w:val="en-US"/>
        </w:rPr>
      </w:pPr>
      <w:r>
        <w:rPr>
          <w:rStyle w:val="FootnoteReference"/>
        </w:rPr>
        <w:footnoteRef/>
      </w:r>
      <w:r>
        <w:t xml:space="preserve"> N/A, </w:t>
      </w:r>
      <w:r>
        <w:rPr>
          <w:i/>
          <w:iCs/>
        </w:rPr>
        <w:t>“Second Reform Act 1867”, “Parliament.uk”</w:t>
      </w:r>
      <w:r>
        <w:t xml:space="preserve">, N/A, Available at &gt;  </w:t>
      </w:r>
      <w:hyperlink r:id="rId8" w:history="1">
        <w:r>
          <w:rPr>
            <w:rStyle w:val="Hyperlink"/>
          </w:rPr>
          <w:t>https://www.parliament.uk/about/living-heritage/evolutionofparliament/houseofcommons/reformacts/overview/furtherreformacts/</w:t>
        </w:r>
      </w:hyperlink>
      <w:r w:rsidRPr="00676B58">
        <w:rPr>
          <w:rStyle w:val="Hyperlink"/>
          <w:color w:val="auto"/>
          <w:u w:val="none"/>
        </w:rPr>
        <w:t xml:space="preserve"> &lt;</w:t>
      </w:r>
      <w:r>
        <w:rPr>
          <w:rStyle w:val="Hyperlink"/>
          <w:color w:val="auto"/>
          <w:u w:val="none"/>
        </w:rPr>
        <w:t>, (Accessed on 15/06/2020).</w:t>
      </w:r>
    </w:p>
  </w:footnote>
  <w:footnote w:id="31">
    <w:p w14:paraId="54128A73" w14:textId="0CB132AF" w:rsidR="00C23F6F" w:rsidRPr="00D21F36" w:rsidRDefault="00C23F6F">
      <w:pPr>
        <w:pStyle w:val="FootnoteText"/>
        <w:rPr>
          <w:lang w:val="en-US"/>
        </w:rPr>
      </w:pPr>
      <w:r>
        <w:rPr>
          <w:rStyle w:val="FootnoteReference"/>
        </w:rPr>
        <w:footnoteRef/>
      </w:r>
      <w:r>
        <w:t xml:space="preserve">N/A, </w:t>
      </w:r>
      <w:r>
        <w:rPr>
          <w:i/>
          <w:iCs/>
        </w:rPr>
        <w:t>“Second Reform Act 1867”, “Parliament.uk”</w:t>
      </w:r>
      <w:r>
        <w:t xml:space="preserve">, N/A, Available at &gt;  </w:t>
      </w:r>
      <w:hyperlink r:id="rId9" w:history="1">
        <w:r>
          <w:rPr>
            <w:rStyle w:val="Hyperlink"/>
          </w:rPr>
          <w:t>https://www.parliament.uk/about/living-heritage/evolutionofparliament/houseofcommons/reformacts/overview/furtherreformacts/</w:t>
        </w:r>
      </w:hyperlink>
      <w:r w:rsidRPr="00676B58">
        <w:rPr>
          <w:rStyle w:val="Hyperlink"/>
          <w:color w:val="auto"/>
          <w:u w:val="none"/>
        </w:rPr>
        <w:t xml:space="preserve"> &lt;</w:t>
      </w:r>
      <w:r>
        <w:rPr>
          <w:rStyle w:val="Hyperlink"/>
          <w:color w:val="auto"/>
          <w:u w:val="none"/>
        </w:rPr>
        <w:t>, (Accessed on 15/06/2020).</w:t>
      </w:r>
    </w:p>
  </w:footnote>
  <w:footnote w:id="32">
    <w:p w14:paraId="2074AE87" w14:textId="7F14C5B2" w:rsidR="00C23F6F" w:rsidRPr="00B277CA" w:rsidRDefault="00C23F6F">
      <w:pPr>
        <w:pStyle w:val="FootnoteText"/>
        <w:rPr>
          <w:lang w:val="en-US"/>
        </w:rPr>
      </w:pPr>
      <w:r>
        <w:rPr>
          <w:rStyle w:val="FootnoteReference"/>
        </w:rPr>
        <w:footnoteRef/>
      </w:r>
      <w:r>
        <w:t xml:space="preserve"> N/A, </w:t>
      </w:r>
      <w:r>
        <w:rPr>
          <w:i/>
          <w:iCs/>
        </w:rPr>
        <w:t>“Third Reform Act 1884”, “Parliament.uk”</w:t>
      </w:r>
      <w:r>
        <w:t xml:space="preserve">, N/A, Available at &gt; </w:t>
      </w:r>
      <w:hyperlink r:id="rId10" w:history="1">
        <w:r>
          <w:rPr>
            <w:rStyle w:val="Hyperlink"/>
          </w:rPr>
          <w:t>https://www.parliament.uk/about/living-heritage/evolutionofparliament/houseofcommons/reformacts/overview/one-man-one-vote/</w:t>
        </w:r>
      </w:hyperlink>
      <w:r w:rsidRPr="00B277CA">
        <w:rPr>
          <w:rStyle w:val="Hyperlink"/>
          <w:color w:val="auto"/>
          <w:u w:val="none"/>
        </w:rPr>
        <w:t xml:space="preserve"> &lt;</w:t>
      </w:r>
      <w:r>
        <w:rPr>
          <w:rStyle w:val="Hyperlink"/>
          <w:color w:val="auto"/>
          <w:u w:val="none"/>
        </w:rPr>
        <w:t>, (Accessed on 15/06/2020).</w:t>
      </w:r>
    </w:p>
  </w:footnote>
  <w:footnote w:id="33">
    <w:p w14:paraId="0B6F54EF" w14:textId="693B9571" w:rsidR="00C23F6F" w:rsidRPr="00CB29A6" w:rsidRDefault="00C23F6F">
      <w:pPr>
        <w:pStyle w:val="FootnoteText"/>
        <w:rPr>
          <w:lang w:val="en-US"/>
        </w:rPr>
      </w:pPr>
      <w:r>
        <w:rPr>
          <w:rStyle w:val="FootnoteReference"/>
        </w:rPr>
        <w:footnoteRef/>
      </w:r>
      <w:r>
        <w:t xml:space="preserve"> N/A, </w:t>
      </w:r>
      <w:r>
        <w:rPr>
          <w:i/>
          <w:iCs/>
        </w:rPr>
        <w:t>“Third Reform Act 1884”, “Parliament.uk”</w:t>
      </w:r>
      <w:r>
        <w:t xml:space="preserve">, N/A, Available at &gt; </w:t>
      </w:r>
      <w:hyperlink r:id="rId11" w:history="1">
        <w:r>
          <w:rPr>
            <w:rStyle w:val="Hyperlink"/>
          </w:rPr>
          <w:t>https://www.parliament.uk/about/living-heritage/evolutionofparliament/houseofcommons/reformacts/overview/one-man-one-vote/</w:t>
        </w:r>
      </w:hyperlink>
      <w:r w:rsidRPr="00B277CA">
        <w:rPr>
          <w:rStyle w:val="Hyperlink"/>
          <w:color w:val="auto"/>
          <w:u w:val="none"/>
        </w:rPr>
        <w:t xml:space="preserve"> &lt;</w:t>
      </w:r>
      <w:r>
        <w:rPr>
          <w:rStyle w:val="Hyperlink"/>
          <w:color w:val="auto"/>
          <w:u w:val="none"/>
        </w:rPr>
        <w:t>, (Accessed on 15/06/2020).</w:t>
      </w:r>
    </w:p>
  </w:footnote>
  <w:footnote w:id="34">
    <w:p w14:paraId="65AB8D8F" w14:textId="2C39B64F" w:rsidR="00C23F6F" w:rsidRPr="00E31541" w:rsidRDefault="00C23F6F">
      <w:pPr>
        <w:pStyle w:val="FootnoteText"/>
        <w:rPr>
          <w:lang w:val="en-US"/>
        </w:rPr>
      </w:pPr>
      <w:r>
        <w:rPr>
          <w:rStyle w:val="FootnoteReference"/>
        </w:rPr>
        <w:footnoteRef/>
      </w:r>
      <w:r>
        <w:t xml:space="preserve"> N/A, </w:t>
      </w:r>
      <w:r>
        <w:rPr>
          <w:i/>
          <w:iCs/>
        </w:rPr>
        <w:t>“Third Reform Act 1884”, “Parliament.uk”</w:t>
      </w:r>
      <w:r>
        <w:t xml:space="preserve">, N/A, Available at &gt; </w:t>
      </w:r>
      <w:hyperlink r:id="rId12" w:history="1">
        <w:r>
          <w:rPr>
            <w:rStyle w:val="Hyperlink"/>
          </w:rPr>
          <w:t>https://www.parliament.uk/about/living-heritage/evolutionofparliament/houseofcommons/reformacts/overview/one-man-one-vote/</w:t>
        </w:r>
      </w:hyperlink>
      <w:r w:rsidRPr="00B277CA">
        <w:rPr>
          <w:rStyle w:val="Hyperlink"/>
          <w:color w:val="auto"/>
          <w:u w:val="none"/>
        </w:rPr>
        <w:t xml:space="preserve"> &lt;</w:t>
      </w:r>
      <w:r>
        <w:rPr>
          <w:rStyle w:val="Hyperlink"/>
          <w:color w:val="auto"/>
          <w:u w:val="none"/>
        </w:rPr>
        <w:t>, (Accessed on 15/06/2020).</w:t>
      </w:r>
    </w:p>
  </w:footnote>
  <w:footnote w:id="35">
    <w:p w14:paraId="4566FB04" w14:textId="36C890C7" w:rsidR="00C23F6F" w:rsidRPr="001D58D3" w:rsidRDefault="00C23F6F">
      <w:pPr>
        <w:pStyle w:val="FootnoteText"/>
        <w:rPr>
          <w:lang w:val="en-US"/>
        </w:rPr>
      </w:pPr>
      <w:r>
        <w:rPr>
          <w:rStyle w:val="FootnoteReference"/>
        </w:rPr>
        <w:footnoteRef/>
      </w:r>
      <w:r>
        <w:t xml:space="preserve"> N/A, </w:t>
      </w:r>
      <w:r>
        <w:rPr>
          <w:i/>
          <w:iCs/>
        </w:rPr>
        <w:t>“Third Reform Act 1884”, “Parliament.uk”</w:t>
      </w:r>
      <w:r>
        <w:t xml:space="preserve">, N/A, Available at &gt; </w:t>
      </w:r>
      <w:hyperlink r:id="rId13" w:history="1">
        <w:r>
          <w:rPr>
            <w:rStyle w:val="Hyperlink"/>
          </w:rPr>
          <w:t>https://www.parliament.uk/about/living-heritage/evolutionofparliament/houseofcommons/reformacts/overview/one-man-one-vote/</w:t>
        </w:r>
      </w:hyperlink>
      <w:r w:rsidRPr="00B277CA">
        <w:rPr>
          <w:rStyle w:val="Hyperlink"/>
          <w:color w:val="auto"/>
          <w:u w:val="none"/>
        </w:rPr>
        <w:t xml:space="preserve"> &lt;</w:t>
      </w:r>
      <w:r>
        <w:rPr>
          <w:rStyle w:val="Hyperlink"/>
          <w:color w:val="auto"/>
          <w:u w:val="none"/>
        </w:rPr>
        <w:t>, (Accessed on 15/06/2020).</w:t>
      </w:r>
    </w:p>
  </w:footnote>
  <w:footnote w:id="36">
    <w:p w14:paraId="5A098686" w14:textId="54BB37D5" w:rsidR="00C23F6F" w:rsidRPr="001D58D3" w:rsidRDefault="00C23F6F">
      <w:pPr>
        <w:pStyle w:val="FootnoteText"/>
        <w:rPr>
          <w:lang w:val="en-US"/>
        </w:rPr>
      </w:pPr>
      <w:r>
        <w:rPr>
          <w:rStyle w:val="FootnoteReference"/>
        </w:rPr>
        <w:footnoteRef/>
      </w:r>
      <w:r>
        <w:t xml:space="preserve"> N/A, </w:t>
      </w:r>
      <w:r>
        <w:rPr>
          <w:i/>
          <w:iCs/>
        </w:rPr>
        <w:t>“Third Reform Act 1884”, “Parliament.uk”</w:t>
      </w:r>
      <w:r>
        <w:t xml:space="preserve">, N/A, Available at &gt; </w:t>
      </w:r>
      <w:hyperlink r:id="rId14" w:history="1">
        <w:r>
          <w:rPr>
            <w:rStyle w:val="Hyperlink"/>
          </w:rPr>
          <w:t>https://www.parliament.uk/about/living-heritage/evolutionofparliament/houseofcommons/reformacts/overview/one-man-one-vote/</w:t>
        </w:r>
      </w:hyperlink>
      <w:r w:rsidRPr="00B277CA">
        <w:rPr>
          <w:rStyle w:val="Hyperlink"/>
          <w:color w:val="auto"/>
          <w:u w:val="none"/>
        </w:rPr>
        <w:t xml:space="preserve"> &lt;</w:t>
      </w:r>
      <w:r>
        <w:rPr>
          <w:rStyle w:val="Hyperlink"/>
          <w:color w:val="auto"/>
          <w:u w:val="none"/>
        </w:rPr>
        <w:t>, (Accessed on 15/06/2020).</w:t>
      </w:r>
    </w:p>
  </w:footnote>
  <w:footnote w:id="37">
    <w:p w14:paraId="4F395077" w14:textId="7E118977" w:rsidR="00C23F6F" w:rsidRPr="002F20FB" w:rsidRDefault="00C23F6F">
      <w:pPr>
        <w:pStyle w:val="FootnoteText"/>
        <w:rPr>
          <w:lang w:val="en-US"/>
        </w:rPr>
      </w:pPr>
      <w:r>
        <w:rPr>
          <w:rStyle w:val="FootnoteReference"/>
        </w:rPr>
        <w:footnoteRef/>
      </w:r>
      <w:r>
        <w:t xml:space="preserve"> N/A, </w:t>
      </w:r>
      <w:r>
        <w:rPr>
          <w:i/>
          <w:iCs/>
        </w:rPr>
        <w:t>“Women Get the Vote”, “Parliament.uk”</w:t>
      </w:r>
      <w:r>
        <w:t xml:space="preserve">, N/A, Available at &gt; </w:t>
      </w:r>
      <w:hyperlink r:id="rId15" w:history="1">
        <w:r>
          <w:rPr>
            <w:rStyle w:val="Hyperlink"/>
          </w:rPr>
          <w:t>https://www.parliament.uk/about/living-heritage/transformingsociety/electionsvoting/womenvote/overview/thevote/</w:t>
        </w:r>
      </w:hyperlink>
      <w:r w:rsidRPr="002F20FB">
        <w:rPr>
          <w:rStyle w:val="Hyperlink"/>
          <w:color w:val="auto"/>
          <w:u w:val="none"/>
        </w:rPr>
        <w:t xml:space="preserve"> &lt;</w:t>
      </w:r>
      <w:r>
        <w:rPr>
          <w:rStyle w:val="Hyperlink"/>
          <w:color w:val="auto"/>
          <w:u w:val="none"/>
        </w:rPr>
        <w:t>, (Accessed on 15/06/2020).</w:t>
      </w:r>
    </w:p>
  </w:footnote>
  <w:footnote w:id="38">
    <w:p w14:paraId="1FE95F6B" w14:textId="600165DC" w:rsidR="00C23F6F" w:rsidRPr="00FC4AC3" w:rsidRDefault="00C23F6F">
      <w:pPr>
        <w:pStyle w:val="FootnoteText"/>
        <w:rPr>
          <w:lang w:val="en-US"/>
        </w:rPr>
      </w:pPr>
      <w:r>
        <w:rPr>
          <w:rStyle w:val="FootnoteReference"/>
        </w:rPr>
        <w:footnoteRef/>
      </w:r>
      <w:r>
        <w:t xml:space="preserve"> N/A, </w:t>
      </w:r>
      <w:r>
        <w:rPr>
          <w:i/>
          <w:iCs/>
        </w:rPr>
        <w:t>“Women Get the Vote”, “Parliament.uk”</w:t>
      </w:r>
      <w:r>
        <w:t xml:space="preserve">, N/A, Available at &gt; </w:t>
      </w:r>
      <w:hyperlink r:id="rId16" w:history="1">
        <w:r>
          <w:rPr>
            <w:rStyle w:val="Hyperlink"/>
          </w:rPr>
          <w:t>https://www.parliament.uk/about/living-heritage/transformingsociety/electionsvoting/womenvote/overview/thevote/</w:t>
        </w:r>
      </w:hyperlink>
      <w:r w:rsidRPr="002F20FB">
        <w:rPr>
          <w:rStyle w:val="Hyperlink"/>
          <w:color w:val="auto"/>
          <w:u w:val="none"/>
        </w:rPr>
        <w:t xml:space="preserve"> &lt;</w:t>
      </w:r>
      <w:r>
        <w:rPr>
          <w:rStyle w:val="Hyperlink"/>
          <w:color w:val="auto"/>
          <w:u w:val="none"/>
        </w:rPr>
        <w:t>, (Accessed on 15/06/2020).</w:t>
      </w:r>
    </w:p>
  </w:footnote>
  <w:footnote w:id="39">
    <w:p w14:paraId="6A56093C" w14:textId="0F77D6BC" w:rsidR="00C23F6F" w:rsidRPr="00926EA2" w:rsidRDefault="00C23F6F">
      <w:pPr>
        <w:pStyle w:val="FootnoteText"/>
        <w:rPr>
          <w:lang w:val="en-US"/>
        </w:rPr>
      </w:pPr>
      <w:r>
        <w:rPr>
          <w:rStyle w:val="FootnoteReference"/>
        </w:rPr>
        <w:footnoteRef/>
      </w:r>
      <w:r>
        <w:t xml:space="preserve"> N/A, </w:t>
      </w:r>
      <w:r>
        <w:rPr>
          <w:i/>
          <w:iCs/>
        </w:rPr>
        <w:t>“Women Get the Vote”, “Parliament.uk”</w:t>
      </w:r>
      <w:r>
        <w:t xml:space="preserve">, N/A, Available at &gt; </w:t>
      </w:r>
      <w:hyperlink r:id="rId17" w:history="1">
        <w:r>
          <w:rPr>
            <w:rStyle w:val="Hyperlink"/>
          </w:rPr>
          <w:t>https://www.parliament.uk/about/living-heritage/transformingsociety/electionsvoting/womenvote/overview/thevote/</w:t>
        </w:r>
      </w:hyperlink>
      <w:r w:rsidRPr="002F20FB">
        <w:rPr>
          <w:rStyle w:val="Hyperlink"/>
          <w:color w:val="auto"/>
          <w:u w:val="none"/>
        </w:rPr>
        <w:t xml:space="preserve"> &lt;</w:t>
      </w:r>
      <w:r>
        <w:rPr>
          <w:rStyle w:val="Hyperlink"/>
          <w:color w:val="auto"/>
          <w:u w:val="none"/>
        </w:rPr>
        <w:t>, (Accessed on 15/06/2020).</w:t>
      </w:r>
    </w:p>
  </w:footnote>
  <w:footnote w:id="40">
    <w:p w14:paraId="6D5E340A" w14:textId="51F90930" w:rsidR="00C23F6F" w:rsidRPr="00926EA2" w:rsidRDefault="00C23F6F">
      <w:pPr>
        <w:pStyle w:val="FootnoteText"/>
        <w:rPr>
          <w:lang w:val="en-US"/>
        </w:rPr>
      </w:pPr>
      <w:r>
        <w:rPr>
          <w:rStyle w:val="FootnoteReference"/>
        </w:rPr>
        <w:footnoteRef/>
      </w:r>
      <w:r>
        <w:t xml:space="preserve"> N/A, </w:t>
      </w:r>
      <w:r>
        <w:rPr>
          <w:i/>
          <w:iCs/>
        </w:rPr>
        <w:t>“Women Get the Vote”, “Parliament.uk”</w:t>
      </w:r>
      <w:r>
        <w:t xml:space="preserve">, N/A, Available at &gt; </w:t>
      </w:r>
      <w:hyperlink r:id="rId18" w:history="1">
        <w:r>
          <w:rPr>
            <w:rStyle w:val="Hyperlink"/>
          </w:rPr>
          <w:t>https://www.parliament.uk/about/living-heritage/transformingsociety/electionsvoting/womenvote/overview/thevote/</w:t>
        </w:r>
      </w:hyperlink>
      <w:r w:rsidRPr="002F20FB">
        <w:rPr>
          <w:rStyle w:val="Hyperlink"/>
          <w:color w:val="auto"/>
          <w:u w:val="none"/>
        </w:rPr>
        <w:t xml:space="preserve"> &lt;</w:t>
      </w:r>
      <w:r>
        <w:rPr>
          <w:rStyle w:val="Hyperlink"/>
          <w:color w:val="auto"/>
          <w:u w:val="none"/>
        </w:rPr>
        <w:t>, (Accessed on 15/06/2020).</w:t>
      </w:r>
    </w:p>
  </w:footnote>
  <w:footnote w:id="41">
    <w:p w14:paraId="4EE66267" w14:textId="5AF7BC69" w:rsidR="00C23F6F" w:rsidRPr="00B71401" w:rsidRDefault="00C23F6F">
      <w:pPr>
        <w:pStyle w:val="FootnoteText"/>
        <w:rPr>
          <w:lang w:val="en-US"/>
        </w:rPr>
      </w:pPr>
      <w:r>
        <w:rPr>
          <w:rStyle w:val="FootnoteReference"/>
        </w:rPr>
        <w:footnoteRef/>
      </w:r>
      <w:r>
        <w:t xml:space="preserve"> N/A, </w:t>
      </w:r>
      <w:r>
        <w:rPr>
          <w:i/>
          <w:iCs/>
        </w:rPr>
        <w:t>“Women Get the Vote”, “Parliament.uk”</w:t>
      </w:r>
      <w:r>
        <w:t xml:space="preserve">, N/A, Available at &gt; </w:t>
      </w:r>
      <w:hyperlink r:id="rId19" w:history="1">
        <w:r>
          <w:rPr>
            <w:rStyle w:val="Hyperlink"/>
          </w:rPr>
          <w:t>https://www.parliament.uk/about/living-heritage/transformingsociety/electionsvoting/womenvote/overview/thevote/</w:t>
        </w:r>
      </w:hyperlink>
      <w:r w:rsidRPr="002F20FB">
        <w:rPr>
          <w:rStyle w:val="Hyperlink"/>
          <w:color w:val="auto"/>
          <w:u w:val="none"/>
        </w:rPr>
        <w:t xml:space="preserve"> &lt;</w:t>
      </w:r>
      <w:r>
        <w:rPr>
          <w:rStyle w:val="Hyperlink"/>
          <w:color w:val="auto"/>
          <w:u w:val="none"/>
        </w:rPr>
        <w:t>, (Accessed on 15/06/2020).</w:t>
      </w:r>
    </w:p>
  </w:footnote>
  <w:footnote w:id="42">
    <w:p w14:paraId="149AE305" w14:textId="08B8B1AA" w:rsidR="00C23F6F" w:rsidRPr="00075580" w:rsidRDefault="00C23F6F">
      <w:pPr>
        <w:pStyle w:val="FootnoteText"/>
        <w:rPr>
          <w:lang w:val="en-US"/>
        </w:rPr>
      </w:pPr>
      <w:r>
        <w:rPr>
          <w:rStyle w:val="FootnoteReference"/>
        </w:rPr>
        <w:footnoteRef/>
      </w:r>
      <w:r>
        <w:t xml:space="preserve"> N/A, </w:t>
      </w:r>
      <w:r>
        <w:rPr>
          <w:i/>
          <w:iCs/>
        </w:rPr>
        <w:t>“Chartist Key Dates”, “Parliament.uk”</w:t>
      </w:r>
      <w:r>
        <w:t xml:space="preserve">, N/A, Available at &gt; </w:t>
      </w:r>
      <w:hyperlink r:id="rId20" w:history="1">
        <w:r>
          <w:rPr>
            <w:rStyle w:val="Hyperlink"/>
          </w:rPr>
          <w:t>https://www.parliament.uk/about/living-heritage/transformingsociety/electionsvoting/chartists/keydates/</w:t>
        </w:r>
      </w:hyperlink>
      <w:r>
        <w:rPr>
          <w:lang w:val="en-US"/>
        </w:rPr>
        <w:t xml:space="preserve"> &lt;, (Accessed on 15/06/2020).</w:t>
      </w:r>
    </w:p>
  </w:footnote>
  <w:footnote w:id="43">
    <w:p w14:paraId="7A3326E4" w14:textId="4DD123F9" w:rsidR="00C23F6F" w:rsidRPr="00097EC2" w:rsidRDefault="00C23F6F">
      <w:pPr>
        <w:pStyle w:val="FootnoteText"/>
        <w:rPr>
          <w:lang w:val="en-US"/>
        </w:rPr>
      </w:pPr>
      <w:r>
        <w:rPr>
          <w:rStyle w:val="FootnoteReference"/>
        </w:rPr>
        <w:footnoteRef/>
      </w:r>
      <w:r>
        <w:t xml:space="preserve"> N/A, </w:t>
      </w:r>
      <w:r>
        <w:rPr>
          <w:i/>
          <w:iCs/>
        </w:rPr>
        <w:t>“Scottish Elections (Reduction of Voting Age) Bill”, “Parliament.scot”</w:t>
      </w:r>
      <w:r>
        <w:t xml:space="preserve">, N/A, Available at &gt; </w:t>
      </w:r>
      <w:hyperlink r:id="rId21" w:history="1">
        <w:r>
          <w:rPr>
            <w:rStyle w:val="Hyperlink"/>
          </w:rPr>
          <w:t>https://www.parliament.scot/parliamentarybusiness/Bills/88272.aspx</w:t>
        </w:r>
      </w:hyperlink>
      <w:r>
        <w:rPr>
          <w:lang w:val="en-US"/>
        </w:rPr>
        <w:t xml:space="preserve"> &lt;, (Accessed on 15/06/2020).</w:t>
      </w:r>
    </w:p>
  </w:footnote>
  <w:footnote w:id="44">
    <w:p w14:paraId="4B1B6CF6" w14:textId="21818FA2" w:rsidR="00C23F6F" w:rsidRPr="00706BBF" w:rsidRDefault="00C23F6F">
      <w:pPr>
        <w:pStyle w:val="FootnoteText"/>
        <w:rPr>
          <w:lang w:val="en-US"/>
        </w:rPr>
      </w:pPr>
      <w:r>
        <w:rPr>
          <w:rStyle w:val="FootnoteReference"/>
        </w:rPr>
        <w:footnoteRef/>
      </w:r>
      <w:r>
        <w:t xml:space="preserve"> Josiah Mortimer, “</w:t>
      </w:r>
      <w:r>
        <w:rPr>
          <w:i/>
          <w:iCs/>
        </w:rPr>
        <w:t>16 and 17 year olds just secured the right to vote in Wales”, “Electoral Reform Society”</w:t>
      </w:r>
      <w:r>
        <w:t xml:space="preserve">, published on 01/06/2020, Available at &gt; </w:t>
      </w:r>
      <w:hyperlink r:id="rId22" w:history="1">
        <w:r>
          <w:rPr>
            <w:rStyle w:val="Hyperlink"/>
          </w:rPr>
          <w:t>https://www.electoral-reform.org.uk/16-and-17-year-olds-secure-the-right-to-vote-in-wales-today/</w:t>
        </w:r>
      </w:hyperlink>
      <w:r w:rsidRPr="00706BBF">
        <w:rPr>
          <w:rStyle w:val="Hyperlink"/>
          <w:color w:val="auto"/>
          <w:u w:val="none"/>
        </w:rPr>
        <w:t xml:space="preserve"> &lt;</w:t>
      </w:r>
      <w:r>
        <w:rPr>
          <w:rStyle w:val="Hyperlink"/>
          <w:color w:val="auto"/>
          <w:u w:val="none"/>
        </w:rPr>
        <w:t>, (Accessed on 15/06/2020).</w:t>
      </w:r>
    </w:p>
  </w:footnote>
  <w:footnote w:id="45">
    <w:p w14:paraId="42A6730D" w14:textId="1959DD97" w:rsidR="00C23F6F" w:rsidRPr="00895A20" w:rsidRDefault="00C23F6F">
      <w:pPr>
        <w:pStyle w:val="FootnoteText"/>
        <w:rPr>
          <w:lang w:val="en-US"/>
        </w:rPr>
      </w:pPr>
      <w:r>
        <w:rPr>
          <w:rStyle w:val="FootnoteReference"/>
        </w:rPr>
        <w:footnoteRef/>
      </w:r>
      <w:r>
        <w:t xml:space="preserve"> N/A, </w:t>
      </w:r>
      <w:r>
        <w:rPr>
          <w:i/>
          <w:iCs/>
        </w:rPr>
        <w:t xml:space="preserve">“The Case for Votes at 16”, “Votesat16.org”,  </w:t>
      </w:r>
      <w:r>
        <w:t xml:space="preserve">N/A, Available at &gt; </w:t>
      </w:r>
      <w:hyperlink r:id="rId23" w:history="1">
        <w:r>
          <w:rPr>
            <w:rStyle w:val="Hyperlink"/>
          </w:rPr>
          <w:t>http://www.votesat16.org/about/</w:t>
        </w:r>
      </w:hyperlink>
      <w:r>
        <w:rPr>
          <w:lang w:val="en-US"/>
        </w:rPr>
        <w:t xml:space="preserve"> &lt;, (Accessed on 15/06/2020).</w:t>
      </w:r>
    </w:p>
  </w:footnote>
  <w:footnote w:id="46">
    <w:p w14:paraId="225B1D73" w14:textId="550DB589" w:rsidR="00C23F6F" w:rsidRPr="003A3415" w:rsidRDefault="00C23F6F">
      <w:pPr>
        <w:pStyle w:val="FootnoteText"/>
        <w:rPr>
          <w:lang w:val="en-US"/>
        </w:rPr>
      </w:pPr>
      <w:r>
        <w:rPr>
          <w:rStyle w:val="FootnoteReference"/>
        </w:rPr>
        <w:footnoteRef/>
      </w:r>
      <w:r>
        <w:t xml:space="preserve"> </w:t>
      </w:r>
      <w:r>
        <w:rPr>
          <w:lang w:val="en-US"/>
        </w:rPr>
        <w:t xml:space="preserve">Daniel J. Fiorino, </w:t>
      </w:r>
      <w:r>
        <w:rPr>
          <w:i/>
          <w:iCs/>
          <w:lang w:val="en-US"/>
        </w:rPr>
        <w:t>“Can Democracy Handle Climate Change”</w:t>
      </w:r>
      <w:r>
        <w:rPr>
          <w:lang w:val="en-US"/>
        </w:rPr>
        <w:t>, Published by Polity Press, Cambridge 2018, pg. 20.</w:t>
      </w:r>
    </w:p>
  </w:footnote>
  <w:footnote w:id="47">
    <w:p w14:paraId="5F1EC5C4" w14:textId="7FEB7519" w:rsidR="00C23F6F" w:rsidRPr="008A5027" w:rsidRDefault="00C23F6F">
      <w:pPr>
        <w:pStyle w:val="FootnoteText"/>
        <w:rPr>
          <w:lang w:val="en-US"/>
        </w:rPr>
      </w:pPr>
      <w:r>
        <w:rPr>
          <w:rStyle w:val="FootnoteReference"/>
        </w:rPr>
        <w:footnoteRef/>
      </w:r>
      <w:r>
        <w:t xml:space="preserve"> N/A, </w:t>
      </w:r>
      <w:r>
        <w:rPr>
          <w:i/>
          <w:iCs/>
        </w:rPr>
        <w:t>“First Past the Post”, “Make Votes Matter”</w:t>
      </w:r>
      <w:r>
        <w:t xml:space="preserve">, N/A, Available at &gt; </w:t>
      </w:r>
      <w:hyperlink r:id="rId24" w:history="1">
        <w:r w:rsidRPr="007F1856">
          <w:rPr>
            <w:rStyle w:val="Hyperlink"/>
          </w:rPr>
          <w:t>https://www.makevotesmatter.org.uk/first-past-the-post</w:t>
        </w:r>
      </w:hyperlink>
      <w:r w:rsidRPr="008A5027">
        <w:rPr>
          <w:rStyle w:val="Hyperlink"/>
          <w:color w:val="auto"/>
          <w:u w:val="none"/>
        </w:rPr>
        <w:t xml:space="preserve"> &lt;</w:t>
      </w:r>
      <w:r>
        <w:rPr>
          <w:rStyle w:val="Hyperlink"/>
          <w:color w:val="auto"/>
          <w:u w:val="none"/>
        </w:rPr>
        <w:t>, (Accessed on 15/06/2020).</w:t>
      </w:r>
    </w:p>
  </w:footnote>
  <w:footnote w:id="48">
    <w:p w14:paraId="0B8744ED" w14:textId="3B86BC51" w:rsidR="00C23F6F" w:rsidRPr="009A2C66" w:rsidRDefault="00C23F6F">
      <w:pPr>
        <w:pStyle w:val="FootnoteText"/>
        <w:rPr>
          <w:lang w:val="en-US"/>
        </w:rPr>
      </w:pPr>
      <w:r>
        <w:rPr>
          <w:rStyle w:val="FootnoteReference"/>
        </w:rPr>
        <w:footnoteRef/>
      </w:r>
      <w:r>
        <w:t xml:space="preserve"> N/A, </w:t>
      </w:r>
      <w:r>
        <w:rPr>
          <w:i/>
          <w:iCs/>
        </w:rPr>
        <w:t>“First Past the Post”, “Make Votes Matter”</w:t>
      </w:r>
      <w:r>
        <w:t xml:space="preserve">, N/A, Available at &gt; </w:t>
      </w:r>
      <w:hyperlink r:id="rId25" w:history="1">
        <w:r w:rsidRPr="007F1856">
          <w:rPr>
            <w:rStyle w:val="Hyperlink"/>
          </w:rPr>
          <w:t>https://www.makevotesmatter.org.uk/first-past-the-post</w:t>
        </w:r>
      </w:hyperlink>
      <w:r w:rsidRPr="008A5027">
        <w:rPr>
          <w:rStyle w:val="Hyperlink"/>
          <w:color w:val="auto"/>
          <w:u w:val="none"/>
        </w:rPr>
        <w:t xml:space="preserve"> &lt;</w:t>
      </w:r>
      <w:r>
        <w:rPr>
          <w:rStyle w:val="Hyperlink"/>
          <w:color w:val="auto"/>
          <w:u w:val="none"/>
        </w:rPr>
        <w:t>, (Accessed on 15/06/2020).</w:t>
      </w:r>
    </w:p>
  </w:footnote>
  <w:footnote w:id="49">
    <w:p w14:paraId="6522C711" w14:textId="1FC204BC" w:rsidR="00C23F6F" w:rsidRPr="009A2C66" w:rsidRDefault="00C23F6F">
      <w:pPr>
        <w:pStyle w:val="FootnoteText"/>
        <w:rPr>
          <w:lang w:val="en-US"/>
        </w:rPr>
      </w:pPr>
      <w:r>
        <w:rPr>
          <w:rStyle w:val="FootnoteReference"/>
        </w:rPr>
        <w:footnoteRef/>
      </w:r>
      <w:r>
        <w:t xml:space="preserve"> N/A, </w:t>
      </w:r>
      <w:r>
        <w:rPr>
          <w:i/>
          <w:iCs/>
        </w:rPr>
        <w:t>“First Past the Post”, “Make Votes Matter”</w:t>
      </w:r>
      <w:r>
        <w:t xml:space="preserve">, N/A, Available at &gt; </w:t>
      </w:r>
      <w:hyperlink r:id="rId26" w:history="1">
        <w:r w:rsidRPr="007F1856">
          <w:rPr>
            <w:rStyle w:val="Hyperlink"/>
          </w:rPr>
          <w:t>https://www.makevotesmatter.org.uk/first-past-the-post</w:t>
        </w:r>
      </w:hyperlink>
      <w:r w:rsidRPr="008A5027">
        <w:rPr>
          <w:rStyle w:val="Hyperlink"/>
          <w:color w:val="auto"/>
          <w:u w:val="none"/>
        </w:rPr>
        <w:t xml:space="preserve"> &lt;</w:t>
      </w:r>
      <w:r>
        <w:rPr>
          <w:rStyle w:val="Hyperlink"/>
          <w:color w:val="auto"/>
          <w:u w:val="none"/>
        </w:rPr>
        <w:t>, (Accessed on 15/06/2020).</w:t>
      </w:r>
    </w:p>
  </w:footnote>
  <w:footnote w:id="50">
    <w:p w14:paraId="7B87CE41" w14:textId="348BABE7" w:rsidR="00C23F6F" w:rsidRPr="009A2C66" w:rsidRDefault="00C23F6F">
      <w:pPr>
        <w:pStyle w:val="FootnoteText"/>
        <w:rPr>
          <w:lang w:val="en-US"/>
        </w:rPr>
      </w:pPr>
      <w:r>
        <w:rPr>
          <w:rStyle w:val="FootnoteReference"/>
        </w:rPr>
        <w:footnoteRef/>
      </w:r>
      <w:r>
        <w:t xml:space="preserve"> N/A, </w:t>
      </w:r>
      <w:r>
        <w:rPr>
          <w:i/>
          <w:iCs/>
        </w:rPr>
        <w:t>“First Past the Post”, “Make Votes Matter”</w:t>
      </w:r>
      <w:r>
        <w:t xml:space="preserve">, N/A, Available at &gt; </w:t>
      </w:r>
      <w:hyperlink r:id="rId27" w:history="1">
        <w:r w:rsidRPr="007F1856">
          <w:rPr>
            <w:rStyle w:val="Hyperlink"/>
          </w:rPr>
          <w:t>https://www.makevotesmatter.org.uk/first-past-the-post</w:t>
        </w:r>
      </w:hyperlink>
      <w:r w:rsidRPr="008A5027">
        <w:rPr>
          <w:rStyle w:val="Hyperlink"/>
          <w:color w:val="auto"/>
          <w:u w:val="none"/>
        </w:rPr>
        <w:t xml:space="preserve"> &lt;</w:t>
      </w:r>
      <w:r>
        <w:rPr>
          <w:rStyle w:val="Hyperlink"/>
          <w:color w:val="auto"/>
          <w:u w:val="none"/>
        </w:rPr>
        <w:t>, (Accessed on 15/06/2020).</w:t>
      </w:r>
    </w:p>
  </w:footnote>
  <w:footnote w:id="51">
    <w:p w14:paraId="1B457742" w14:textId="3DA19A46" w:rsidR="00C23F6F" w:rsidRPr="00E43B28" w:rsidRDefault="00C23F6F">
      <w:pPr>
        <w:pStyle w:val="FootnoteText"/>
        <w:rPr>
          <w:lang w:val="en-US"/>
        </w:rPr>
      </w:pPr>
      <w:r>
        <w:rPr>
          <w:rStyle w:val="FootnoteReference"/>
        </w:rPr>
        <w:footnoteRef/>
      </w:r>
      <w:r>
        <w:t xml:space="preserve"> Joshua Foster, </w:t>
      </w:r>
      <w:r>
        <w:rPr>
          <w:i/>
          <w:iCs/>
        </w:rPr>
        <w:t>“Britain – A fake Democracy?”, “Shoutoutuk.org”</w:t>
      </w:r>
      <w:r>
        <w:t xml:space="preserve">, published on 27/11/2019, Available at &gt; </w:t>
      </w:r>
      <w:hyperlink r:id="rId28" w:history="1">
        <w:r>
          <w:rPr>
            <w:rStyle w:val="Hyperlink"/>
          </w:rPr>
          <w:t>https://www.shoutoutuk.org/2019/11/27/britain-not-really-a-democracy/</w:t>
        </w:r>
      </w:hyperlink>
      <w:r w:rsidRPr="00E43B28">
        <w:rPr>
          <w:rStyle w:val="Hyperlink"/>
          <w:u w:val="none"/>
        </w:rPr>
        <w:t xml:space="preserve"> </w:t>
      </w:r>
      <w:r w:rsidRPr="00E43B28">
        <w:rPr>
          <w:rStyle w:val="Hyperlink"/>
          <w:color w:val="auto"/>
          <w:u w:val="none"/>
        </w:rPr>
        <w:t>&lt;</w:t>
      </w:r>
      <w:r>
        <w:rPr>
          <w:rStyle w:val="Hyperlink"/>
          <w:color w:val="auto"/>
          <w:u w:val="none"/>
        </w:rPr>
        <w:t>, (Accessed on 15/06/2020).</w:t>
      </w:r>
    </w:p>
  </w:footnote>
  <w:footnote w:id="52">
    <w:p w14:paraId="551605E0" w14:textId="28DA2EB3" w:rsidR="00C23F6F" w:rsidRPr="002B321A" w:rsidRDefault="00C23F6F">
      <w:pPr>
        <w:pStyle w:val="FootnoteText"/>
        <w:rPr>
          <w:lang w:val="en-US"/>
        </w:rPr>
      </w:pPr>
      <w:r>
        <w:rPr>
          <w:rStyle w:val="FootnoteReference"/>
        </w:rPr>
        <w:footnoteRef/>
      </w:r>
      <w:r>
        <w:t xml:space="preserve"> </w:t>
      </w:r>
      <w:r>
        <w:rPr>
          <w:lang w:val="en-US"/>
        </w:rPr>
        <w:t xml:space="preserve">Daniel J. Fiorino, </w:t>
      </w:r>
      <w:r>
        <w:rPr>
          <w:i/>
          <w:iCs/>
          <w:lang w:val="en-US"/>
        </w:rPr>
        <w:t>“Can Democracy Handle Climate Change”</w:t>
      </w:r>
      <w:r>
        <w:rPr>
          <w:lang w:val="en-US"/>
        </w:rPr>
        <w:t>, Published by Polity Press, Cambridge 2018, pg. 20.</w:t>
      </w:r>
    </w:p>
  </w:footnote>
  <w:footnote w:id="53">
    <w:p w14:paraId="27EF4AF9" w14:textId="32858580" w:rsidR="00C23F6F" w:rsidRPr="00536D75" w:rsidRDefault="00C23F6F">
      <w:pPr>
        <w:pStyle w:val="FootnoteText"/>
        <w:rPr>
          <w:lang w:val="en-US"/>
        </w:rPr>
      </w:pPr>
      <w:r>
        <w:rPr>
          <w:rStyle w:val="FootnoteReference"/>
        </w:rPr>
        <w:footnoteRef/>
      </w:r>
      <w:r>
        <w:t xml:space="preserve"> Jen Kirby, </w:t>
      </w:r>
      <w:r>
        <w:rPr>
          <w:i/>
          <w:iCs/>
        </w:rPr>
        <w:t>“British Prime Minister Theresa May’s Brexit agreement fails for a third time”, “Vox News”</w:t>
      </w:r>
      <w:r>
        <w:t xml:space="preserve">, published on 29/03/2019, Available at &gt;  </w:t>
      </w:r>
      <w:hyperlink r:id="rId29" w:history="1">
        <w:r>
          <w:rPr>
            <w:rStyle w:val="Hyperlink"/>
          </w:rPr>
          <w:t>https://www.vox.com/world/2019/3/29/18285930/brexit-deal-defeated-parliament-theresa-may-third-time</w:t>
        </w:r>
      </w:hyperlink>
      <w:r w:rsidRPr="00C26054">
        <w:rPr>
          <w:rStyle w:val="Hyperlink"/>
          <w:color w:val="auto"/>
          <w:u w:val="none"/>
        </w:rPr>
        <w:t xml:space="preserve"> &lt;</w:t>
      </w:r>
      <w:r>
        <w:rPr>
          <w:lang w:val="en-US"/>
        </w:rPr>
        <w:t>, (Accessed on 15/06/2020).</w:t>
      </w:r>
    </w:p>
  </w:footnote>
  <w:footnote w:id="54">
    <w:p w14:paraId="626DD339" w14:textId="79768594" w:rsidR="00C23F6F" w:rsidRPr="00796DFD" w:rsidRDefault="00C23F6F">
      <w:pPr>
        <w:pStyle w:val="FootnoteText"/>
        <w:rPr>
          <w:lang w:val="en-US"/>
        </w:rPr>
      </w:pPr>
      <w:r>
        <w:rPr>
          <w:rStyle w:val="FootnoteReference"/>
        </w:rPr>
        <w:footnoteRef/>
      </w:r>
      <w:r>
        <w:t xml:space="preserve"> Alix Culbertson &amp; Rebecca Taylor </w:t>
      </w:r>
      <w:r>
        <w:rPr>
          <w:i/>
          <w:iCs/>
        </w:rPr>
        <w:t xml:space="preserve">“Tory Rebels: The MPs who were sacked or resigned over no-deal Brexit”, “Sky News”, </w:t>
      </w:r>
      <w:r>
        <w:t xml:space="preserve">published on 9/09/2019, Available at &gt; </w:t>
      </w:r>
      <w:hyperlink r:id="rId30" w:history="1">
        <w:r>
          <w:rPr>
            <w:rStyle w:val="Hyperlink"/>
          </w:rPr>
          <w:t>https://news.sky.com/story/tory-rebels-the-mps-who-were-sacked-or-resigned-over-no-deal-brexit-11804764</w:t>
        </w:r>
      </w:hyperlink>
      <w:r w:rsidRPr="00796DFD">
        <w:rPr>
          <w:rStyle w:val="Hyperlink"/>
          <w:color w:val="auto"/>
          <w:u w:val="none"/>
        </w:rPr>
        <w:t xml:space="preserve"> &lt;</w:t>
      </w:r>
      <w:r>
        <w:rPr>
          <w:rStyle w:val="Hyperlink"/>
          <w:color w:val="auto"/>
          <w:u w:val="none"/>
        </w:rPr>
        <w:t>, (Accessed on 15/06/2020).</w:t>
      </w:r>
    </w:p>
  </w:footnote>
  <w:footnote w:id="55">
    <w:p w14:paraId="1C722568" w14:textId="1A063B16" w:rsidR="00C23F6F" w:rsidRPr="006C37E5" w:rsidRDefault="00C23F6F">
      <w:pPr>
        <w:pStyle w:val="FootnoteText"/>
        <w:rPr>
          <w:lang w:val="en-US"/>
        </w:rPr>
      </w:pPr>
      <w:r>
        <w:rPr>
          <w:rStyle w:val="FootnoteReference"/>
        </w:rPr>
        <w:footnoteRef/>
      </w:r>
      <w:r>
        <w:t xml:space="preserve"> Finlay Greg, “</w:t>
      </w:r>
      <w:r>
        <w:rPr>
          <w:i/>
          <w:iCs/>
        </w:rPr>
        <w:t>General Election Turnout: how much of the UK voted, and how it compares to previous elections”</w:t>
      </w:r>
      <w:r>
        <w:t xml:space="preserve">, </w:t>
      </w:r>
      <w:r>
        <w:rPr>
          <w:i/>
          <w:iCs/>
        </w:rPr>
        <w:t>“Itv News”</w:t>
      </w:r>
      <w:r>
        <w:t xml:space="preserve">, published on 16/12/2019, Available at &gt; </w:t>
      </w:r>
      <w:hyperlink r:id="rId31" w:history="1">
        <w:r>
          <w:rPr>
            <w:rStyle w:val="Hyperlink"/>
          </w:rPr>
          <w:t>https://inews.co.uk/news/politics/general-election-turnout-2019-uk-voter-numbers-how-many-people-voted-374546</w:t>
        </w:r>
      </w:hyperlink>
      <w:r w:rsidRPr="006C37E5">
        <w:rPr>
          <w:rStyle w:val="Hyperlink"/>
          <w:color w:val="auto"/>
          <w:u w:val="none"/>
        </w:rPr>
        <w:t xml:space="preserve"> &lt;</w:t>
      </w:r>
      <w:r>
        <w:rPr>
          <w:rStyle w:val="Hyperlink"/>
          <w:color w:val="auto"/>
          <w:u w:val="none"/>
        </w:rPr>
        <w:t>, (Accessed on 15/06/2020).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AF03B7"/>
    <w:multiLevelType w:val="hybridMultilevel"/>
    <w:tmpl w:val="4FF282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AB468CB"/>
    <w:multiLevelType w:val="hybridMultilevel"/>
    <w:tmpl w:val="09C429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A1F79EB"/>
    <w:multiLevelType w:val="hybridMultilevel"/>
    <w:tmpl w:val="D7F20B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DE9506A"/>
    <w:multiLevelType w:val="hybridMultilevel"/>
    <w:tmpl w:val="F064ED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96C"/>
    <w:rsid w:val="00032B7E"/>
    <w:rsid w:val="00052D87"/>
    <w:rsid w:val="00075580"/>
    <w:rsid w:val="00095575"/>
    <w:rsid w:val="00097EC2"/>
    <w:rsid w:val="000B6856"/>
    <w:rsid w:val="000E37B8"/>
    <w:rsid w:val="00126FEE"/>
    <w:rsid w:val="00150419"/>
    <w:rsid w:val="00163726"/>
    <w:rsid w:val="00194AB8"/>
    <w:rsid w:val="001964E3"/>
    <w:rsid w:val="001A7E41"/>
    <w:rsid w:val="001D58D3"/>
    <w:rsid w:val="001E07AD"/>
    <w:rsid w:val="001F4B4F"/>
    <w:rsid w:val="00206FC7"/>
    <w:rsid w:val="00221EA4"/>
    <w:rsid w:val="002450BC"/>
    <w:rsid w:val="00281F55"/>
    <w:rsid w:val="002A76FA"/>
    <w:rsid w:val="002B321A"/>
    <w:rsid w:val="002E771D"/>
    <w:rsid w:val="002F20FB"/>
    <w:rsid w:val="00301A03"/>
    <w:rsid w:val="0030282B"/>
    <w:rsid w:val="00306AA9"/>
    <w:rsid w:val="00313DE2"/>
    <w:rsid w:val="00341F9C"/>
    <w:rsid w:val="003651B2"/>
    <w:rsid w:val="003A3415"/>
    <w:rsid w:val="003F4B93"/>
    <w:rsid w:val="00407422"/>
    <w:rsid w:val="00411973"/>
    <w:rsid w:val="0041537B"/>
    <w:rsid w:val="00484CE0"/>
    <w:rsid w:val="004872F6"/>
    <w:rsid w:val="0049503D"/>
    <w:rsid w:val="00496F06"/>
    <w:rsid w:val="004A2B2A"/>
    <w:rsid w:val="004B62CE"/>
    <w:rsid w:val="004C0B14"/>
    <w:rsid w:val="004F2F53"/>
    <w:rsid w:val="00536D75"/>
    <w:rsid w:val="005A3E64"/>
    <w:rsid w:val="005E1538"/>
    <w:rsid w:val="005E24AE"/>
    <w:rsid w:val="00600F54"/>
    <w:rsid w:val="00617733"/>
    <w:rsid w:val="006247D5"/>
    <w:rsid w:val="00662AB5"/>
    <w:rsid w:val="00676B58"/>
    <w:rsid w:val="006770C0"/>
    <w:rsid w:val="00694128"/>
    <w:rsid w:val="006C1F1A"/>
    <w:rsid w:val="006C37E5"/>
    <w:rsid w:val="006C682D"/>
    <w:rsid w:val="00706BBF"/>
    <w:rsid w:val="0074281E"/>
    <w:rsid w:val="00796DFD"/>
    <w:rsid w:val="007D69C0"/>
    <w:rsid w:val="007D7227"/>
    <w:rsid w:val="007E0B7C"/>
    <w:rsid w:val="00810BFC"/>
    <w:rsid w:val="00825986"/>
    <w:rsid w:val="00845B0A"/>
    <w:rsid w:val="00857C60"/>
    <w:rsid w:val="00894590"/>
    <w:rsid w:val="00895A20"/>
    <w:rsid w:val="008A5027"/>
    <w:rsid w:val="008C02F8"/>
    <w:rsid w:val="008E0C32"/>
    <w:rsid w:val="00926EA2"/>
    <w:rsid w:val="00950573"/>
    <w:rsid w:val="00954DC3"/>
    <w:rsid w:val="00971FF6"/>
    <w:rsid w:val="009745C0"/>
    <w:rsid w:val="009A28BD"/>
    <w:rsid w:val="009A2C66"/>
    <w:rsid w:val="009A64CC"/>
    <w:rsid w:val="009E19B2"/>
    <w:rsid w:val="009E465D"/>
    <w:rsid w:val="009F4C72"/>
    <w:rsid w:val="009F5A19"/>
    <w:rsid w:val="00A43F02"/>
    <w:rsid w:val="00A83433"/>
    <w:rsid w:val="00A945F0"/>
    <w:rsid w:val="00AF1863"/>
    <w:rsid w:val="00B00A1F"/>
    <w:rsid w:val="00B06598"/>
    <w:rsid w:val="00B277CA"/>
    <w:rsid w:val="00B32F4F"/>
    <w:rsid w:val="00B53814"/>
    <w:rsid w:val="00B553B1"/>
    <w:rsid w:val="00B6146F"/>
    <w:rsid w:val="00B71401"/>
    <w:rsid w:val="00B7242C"/>
    <w:rsid w:val="00BC235D"/>
    <w:rsid w:val="00BD0901"/>
    <w:rsid w:val="00BE24F8"/>
    <w:rsid w:val="00BE335F"/>
    <w:rsid w:val="00C23F6F"/>
    <w:rsid w:val="00C26054"/>
    <w:rsid w:val="00C33ECA"/>
    <w:rsid w:val="00C60047"/>
    <w:rsid w:val="00C62748"/>
    <w:rsid w:val="00C70766"/>
    <w:rsid w:val="00CB29A6"/>
    <w:rsid w:val="00CD3B0B"/>
    <w:rsid w:val="00D15175"/>
    <w:rsid w:val="00D21F36"/>
    <w:rsid w:val="00D27B65"/>
    <w:rsid w:val="00D34ED0"/>
    <w:rsid w:val="00D56B73"/>
    <w:rsid w:val="00D90F25"/>
    <w:rsid w:val="00DE1470"/>
    <w:rsid w:val="00DE1A0D"/>
    <w:rsid w:val="00E00903"/>
    <w:rsid w:val="00E0591E"/>
    <w:rsid w:val="00E172F2"/>
    <w:rsid w:val="00E21C28"/>
    <w:rsid w:val="00E26A18"/>
    <w:rsid w:val="00E30239"/>
    <w:rsid w:val="00E31541"/>
    <w:rsid w:val="00E43B28"/>
    <w:rsid w:val="00E6496C"/>
    <w:rsid w:val="00E651E8"/>
    <w:rsid w:val="00EC7317"/>
    <w:rsid w:val="00EF22BE"/>
    <w:rsid w:val="00EF5FDA"/>
    <w:rsid w:val="00F252DB"/>
    <w:rsid w:val="00F47681"/>
    <w:rsid w:val="00F47827"/>
    <w:rsid w:val="00FB4AFB"/>
    <w:rsid w:val="00FC4AC3"/>
    <w:rsid w:val="00FC5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083E49"/>
  <w15:chartTrackingRefBased/>
  <w15:docId w15:val="{E99E5275-EF76-4F6B-B31D-C4FE99F57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496C"/>
    <w:pPr>
      <w:ind w:left="720"/>
      <w:contextualSpacing/>
    </w:pPr>
  </w:style>
  <w:style w:type="paragraph" w:styleId="FootnoteText">
    <w:name w:val="footnote text"/>
    <w:basedOn w:val="Normal"/>
    <w:link w:val="FootnoteTextChar"/>
    <w:uiPriority w:val="99"/>
    <w:semiHidden/>
    <w:unhideWhenUsed/>
    <w:rsid w:val="00B553B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553B1"/>
    <w:rPr>
      <w:sz w:val="20"/>
      <w:szCs w:val="20"/>
    </w:rPr>
  </w:style>
  <w:style w:type="character" w:styleId="FootnoteReference">
    <w:name w:val="footnote reference"/>
    <w:basedOn w:val="DefaultParagraphFont"/>
    <w:uiPriority w:val="99"/>
    <w:semiHidden/>
    <w:unhideWhenUsed/>
    <w:rsid w:val="00B553B1"/>
    <w:rPr>
      <w:vertAlign w:val="superscript"/>
    </w:rPr>
  </w:style>
  <w:style w:type="character" w:styleId="Hyperlink">
    <w:name w:val="Hyperlink"/>
    <w:basedOn w:val="DefaultParagraphFont"/>
    <w:uiPriority w:val="99"/>
    <w:unhideWhenUsed/>
    <w:rsid w:val="00496F06"/>
    <w:rPr>
      <w:color w:val="0000FF"/>
      <w:u w:val="single"/>
    </w:rPr>
  </w:style>
  <w:style w:type="character" w:styleId="UnresolvedMention">
    <w:name w:val="Unresolved Mention"/>
    <w:basedOn w:val="DefaultParagraphFont"/>
    <w:uiPriority w:val="99"/>
    <w:semiHidden/>
    <w:unhideWhenUsed/>
    <w:rsid w:val="00B538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750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sky.com/story/tory-rebels-the-mps-who-were-sacked-or-resigned-over-no-deal-brexit-11804764" TargetMode="External"/><Relationship Id="rId13" Type="http://schemas.openxmlformats.org/officeDocument/2006/relationships/hyperlink" Target="https://www.parliament.uk/about/living-heritage/transformingsociety/electionsvoting/chartists/keydates/" TargetMode="External"/><Relationship Id="rId18" Type="http://schemas.openxmlformats.org/officeDocument/2006/relationships/hyperlink" Target="https://www.parliament.uk/about/living-heritage/evolutionofparliament/houseofcommons/reformacts/overview/reformact1832/" TargetMode="External"/><Relationship Id="rId3" Type="http://schemas.openxmlformats.org/officeDocument/2006/relationships/styles" Target="styles.xml"/><Relationship Id="rId21" Type="http://schemas.openxmlformats.org/officeDocument/2006/relationships/hyperlink" Target="https://www.parliament.uk/about/living-heritage/transformingsociety/electionsvoting/womenvote/overview/thevote/" TargetMode="External"/><Relationship Id="rId7" Type="http://schemas.openxmlformats.org/officeDocument/2006/relationships/endnotes" Target="endnotes.xml"/><Relationship Id="rId12" Type="http://schemas.openxmlformats.org/officeDocument/2006/relationships/hyperlink" Target="https://www.electoral-reform.org.uk/16-and-17-year-olds-secure-the-right-to-vote-in-wales-today/" TargetMode="External"/><Relationship Id="rId17" Type="http://schemas.openxmlformats.org/officeDocument/2006/relationships/hyperlink" Target="http://www.votesat16.org/about/" TargetMode="External"/><Relationship Id="rId2" Type="http://schemas.openxmlformats.org/officeDocument/2006/relationships/numbering" Target="numbering.xml"/><Relationship Id="rId16" Type="http://schemas.openxmlformats.org/officeDocument/2006/relationships/hyperlink" Target="https://www.parliament.uk/about/living-heritage/evolutionofparliament/houseofcommons/reformacts/overview/furtherreformacts/" TargetMode="External"/><Relationship Id="rId20" Type="http://schemas.openxmlformats.org/officeDocument/2006/relationships/hyperlink" Target="https://www.nationalarchives.gov.uk/education/politics/g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ox.com/world/2019/3/29/18285930/brexit-deal-defeated-parliament-theresa-may-third-time" TargetMode="External"/><Relationship Id="rId5" Type="http://schemas.openxmlformats.org/officeDocument/2006/relationships/webSettings" Target="webSettings.xml"/><Relationship Id="rId15" Type="http://schemas.openxmlformats.org/officeDocument/2006/relationships/hyperlink" Target="https://www.parliament.scot/parliamentarybusiness/Bills/88272.aspx" TargetMode="External"/><Relationship Id="rId23" Type="http://schemas.openxmlformats.org/officeDocument/2006/relationships/theme" Target="theme/theme1.xml"/><Relationship Id="rId10" Type="http://schemas.openxmlformats.org/officeDocument/2006/relationships/hyperlink" Target="https://inews.co.uk/news/politics/general-election-turnout-2019-uk-voter-numbers-how-many-people-voted-374546" TargetMode="External"/><Relationship Id="rId19" Type="http://schemas.openxmlformats.org/officeDocument/2006/relationships/hyperlink" Target="https://www.parliament.uk/about/living-heritage/evolutionofparliament/houseofcommons/reformacts/overview/one-man-one-vote/" TargetMode="External"/><Relationship Id="rId4" Type="http://schemas.openxmlformats.org/officeDocument/2006/relationships/settings" Target="settings.xml"/><Relationship Id="rId9" Type="http://schemas.openxmlformats.org/officeDocument/2006/relationships/hyperlink" Target="https://www.shoutoutuk.org/2019/11/27/britain-not-really-a-democracy/" TargetMode="External"/><Relationship Id="rId14" Type="http://schemas.openxmlformats.org/officeDocument/2006/relationships/hyperlink" Target="https://www.makevotesmatter.org.uk/first-past-the-post"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parliament.uk/about/living-heritage/evolutionofparliament/houseofcommons/reformacts/overview/furtherreformacts/" TargetMode="External"/><Relationship Id="rId13" Type="http://schemas.openxmlformats.org/officeDocument/2006/relationships/hyperlink" Target="https://www.parliament.uk/about/living-heritage/evolutionofparliament/houseofcommons/reformacts/overview/one-man-one-vote/" TargetMode="External"/><Relationship Id="rId18" Type="http://schemas.openxmlformats.org/officeDocument/2006/relationships/hyperlink" Target="https://www.parliament.uk/about/living-heritage/transformingsociety/electionsvoting/womenvote/overview/thevote/" TargetMode="External"/><Relationship Id="rId26" Type="http://schemas.openxmlformats.org/officeDocument/2006/relationships/hyperlink" Target="https://www.makevotesmatter.org.uk/first-past-the-post" TargetMode="External"/><Relationship Id="rId3" Type="http://schemas.openxmlformats.org/officeDocument/2006/relationships/hyperlink" Target="https://www.parliament.uk/about/living-heritage/evolutionofparliament/houseofcommons/reformacts/overview/reformact1832/" TargetMode="External"/><Relationship Id="rId21" Type="http://schemas.openxmlformats.org/officeDocument/2006/relationships/hyperlink" Target="https://www.parliament.scot/parliamentarybusiness/Bills/88272.aspx" TargetMode="External"/><Relationship Id="rId7" Type="http://schemas.openxmlformats.org/officeDocument/2006/relationships/hyperlink" Target="https://www.parliament.uk/about/living-heritage/evolutionofparliament/houseofcommons/reformacts/overview/furtherreformacts/" TargetMode="External"/><Relationship Id="rId12" Type="http://schemas.openxmlformats.org/officeDocument/2006/relationships/hyperlink" Target="https://www.parliament.uk/about/living-heritage/evolutionofparliament/houseofcommons/reformacts/overview/one-man-one-vote/" TargetMode="External"/><Relationship Id="rId17" Type="http://schemas.openxmlformats.org/officeDocument/2006/relationships/hyperlink" Target="https://www.parliament.uk/about/living-heritage/transformingsociety/electionsvoting/womenvote/overview/thevote/" TargetMode="External"/><Relationship Id="rId25" Type="http://schemas.openxmlformats.org/officeDocument/2006/relationships/hyperlink" Target="https://www.makevotesmatter.org.uk/first-past-the-post" TargetMode="External"/><Relationship Id="rId2" Type="http://schemas.openxmlformats.org/officeDocument/2006/relationships/hyperlink" Target="https://www.parliament.uk/about/living-heritage/evolutionofparliament/houseofcommons/reformacts/overview/reformact1832/" TargetMode="External"/><Relationship Id="rId16" Type="http://schemas.openxmlformats.org/officeDocument/2006/relationships/hyperlink" Target="https://www.parliament.uk/about/living-heritage/transformingsociety/electionsvoting/womenvote/overview/thevote/" TargetMode="External"/><Relationship Id="rId20" Type="http://schemas.openxmlformats.org/officeDocument/2006/relationships/hyperlink" Target="https://www.parliament.uk/about/living-heritage/transformingsociety/electionsvoting/chartists/keydates/" TargetMode="External"/><Relationship Id="rId29" Type="http://schemas.openxmlformats.org/officeDocument/2006/relationships/hyperlink" Target="https://www.vox.com/world/2019/3/29/18285930/brexit-deal-defeated-parliament-theresa-may-third-time" TargetMode="External"/><Relationship Id="rId1" Type="http://schemas.openxmlformats.org/officeDocument/2006/relationships/hyperlink" Target="https://www.parliament.uk/about/living-heritage/evolutionofparliament/houseofcommons/reformacts/overview/reformact1832/" TargetMode="External"/><Relationship Id="rId6" Type="http://schemas.openxmlformats.org/officeDocument/2006/relationships/hyperlink" Target="https://www.nationalarchives.gov.uk/education/politics/g7/" TargetMode="External"/><Relationship Id="rId11" Type="http://schemas.openxmlformats.org/officeDocument/2006/relationships/hyperlink" Target="https://www.parliament.uk/about/living-heritage/evolutionofparliament/houseofcommons/reformacts/overview/one-man-one-vote/" TargetMode="External"/><Relationship Id="rId24" Type="http://schemas.openxmlformats.org/officeDocument/2006/relationships/hyperlink" Target="https://www.makevotesmatter.org.uk/first-past-the-post" TargetMode="External"/><Relationship Id="rId5" Type="http://schemas.openxmlformats.org/officeDocument/2006/relationships/hyperlink" Target="https://www.parliament.uk/about/living-heritage/evolutionofparliament/houseofcommons/reformacts/overview/reformact1832/" TargetMode="External"/><Relationship Id="rId15" Type="http://schemas.openxmlformats.org/officeDocument/2006/relationships/hyperlink" Target="https://www.parliament.uk/about/living-heritage/transformingsociety/electionsvoting/womenvote/overview/thevote/" TargetMode="External"/><Relationship Id="rId23" Type="http://schemas.openxmlformats.org/officeDocument/2006/relationships/hyperlink" Target="http://www.votesat16.org/about/" TargetMode="External"/><Relationship Id="rId28" Type="http://schemas.openxmlformats.org/officeDocument/2006/relationships/hyperlink" Target="https://www.shoutoutuk.org/2019/11/27/britain-not-really-a-democracy/" TargetMode="External"/><Relationship Id="rId10" Type="http://schemas.openxmlformats.org/officeDocument/2006/relationships/hyperlink" Target="https://www.parliament.uk/about/living-heritage/evolutionofparliament/houseofcommons/reformacts/overview/one-man-one-vote/" TargetMode="External"/><Relationship Id="rId19" Type="http://schemas.openxmlformats.org/officeDocument/2006/relationships/hyperlink" Target="https://www.parliament.uk/about/living-heritage/transformingsociety/electionsvoting/womenvote/overview/thevote/" TargetMode="External"/><Relationship Id="rId31" Type="http://schemas.openxmlformats.org/officeDocument/2006/relationships/hyperlink" Target="https://inews.co.uk/news/politics/general-election-turnout-2019-uk-voter-numbers-how-many-people-voted-374546" TargetMode="External"/><Relationship Id="rId4" Type="http://schemas.openxmlformats.org/officeDocument/2006/relationships/hyperlink" Target="https://www.parliament.uk/about/living-heritage/evolutionofparliament/houseofcommons/reformacts/overview/reformact1832/" TargetMode="External"/><Relationship Id="rId9" Type="http://schemas.openxmlformats.org/officeDocument/2006/relationships/hyperlink" Target="https://www.parliament.uk/about/living-heritage/evolutionofparliament/houseofcommons/reformacts/overview/furtherreformacts/" TargetMode="External"/><Relationship Id="rId14" Type="http://schemas.openxmlformats.org/officeDocument/2006/relationships/hyperlink" Target="https://www.parliament.uk/about/living-heritage/evolutionofparliament/houseofcommons/reformacts/overview/one-man-one-vote/" TargetMode="External"/><Relationship Id="rId22" Type="http://schemas.openxmlformats.org/officeDocument/2006/relationships/hyperlink" Target="https://www.electoral-reform.org.uk/16-and-17-year-olds-secure-the-right-to-vote-in-wales-today/" TargetMode="External"/><Relationship Id="rId27" Type="http://schemas.openxmlformats.org/officeDocument/2006/relationships/hyperlink" Target="https://www.makevotesmatter.org.uk/first-past-the-post" TargetMode="External"/><Relationship Id="rId30" Type="http://schemas.openxmlformats.org/officeDocument/2006/relationships/hyperlink" Target="https://news.sky.com/story/tory-rebels-the-mps-who-were-sacked-or-resigned-over-no-deal-brexit-118047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86A738-751F-45F7-9FE9-7F7A88CF6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1410</TotalTime>
  <Pages>10</Pages>
  <Words>2979</Words>
  <Characters>16983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x</dc:creator>
  <cp:keywords/>
  <dc:description/>
  <cp:lastModifiedBy>Hollie Mcdonald (1701849)</cp:lastModifiedBy>
  <cp:revision>131</cp:revision>
  <dcterms:created xsi:type="dcterms:W3CDTF">2020-06-14T21:58:00Z</dcterms:created>
  <dcterms:modified xsi:type="dcterms:W3CDTF">2020-06-15T22:50:00Z</dcterms:modified>
</cp:coreProperties>
</file>