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51D7" w14:textId="77777777" w:rsidR="000866FB" w:rsidRDefault="000866FB" w:rsidP="006E53D2">
      <w:pPr>
        <w:spacing w:line="240" w:lineRule="auto"/>
        <w:rPr>
          <w:rFonts w:ascii="Trebuchet MS" w:hAnsi="Trebuchet MS" w:cstheme="minorHAnsi"/>
          <w:b/>
          <w:bCs/>
          <w:color w:val="833C0B" w:themeColor="accent2" w:themeShade="80"/>
          <w:sz w:val="24"/>
        </w:rPr>
      </w:pPr>
    </w:p>
    <w:p w14:paraId="513022A1" w14:textId="77777777" w:rsidR="00D7077E" w:rsidRDefault="00D7077E" w:rsidP="006E53D2">
      <w:pPr>
        <w:spacing w:line="240" w:lineRule="auto"/>
        <w:rPr>
          <w:rFonts w:ascii="Trebuchet MS" w:hAnsi="Trebuchet MS" w:cstheme="minorHAnsi"/>
          <w:b/>
          <w:bCs/>
          <w:color w:val="833C0B" w:themeColor="accent2" w:themeShade="80"/>
          <w:sz w:val="24"/>
        </w:rPr>
      </w:pPr>
    </w:p>
    <w:p w14:paraId="1C159A58" w14:textId="77777777" w:rsidR="00D7077E" w:rsidRDefault="00D7077E" w:rsidP="006E53D2">
      <w:pPr>
        <w:spacing w:line="240" w:lineRule="auto"/>
        <w:rPr>
          <w:rFonts w:ascii="Trebuchet MS" w:hAnsi="Trebuchet MS" w:cstheme="minorHAnsi"/>
          <w:b/>
          <w:bCs/>
          <w:color w:val="833C0B" w:themeColor="accent2" w:themeShade="80"/>
          <w:sz w:val="24"/>
        </w:rPr>
      </w:pPr>
    </w:p>
    <w:p w14:paraId="31D0BD39" w14:textId="77777777" w:rsidR="00D7077E" w:rsidRDefault="00D7077E" w:rsidP="006E53D2">
      <w:pPr>
        <w:spacing w:line="240" w:lineRule="auto"/>
        <w:rPr>
          <w:rFonts w:ascii="Trebuchet MS" w:hAnsi="Trebuchet MS" w:cstheme="minorHAnsi"/>
          <w:b/>
          <w:bCs/>
          <w:color w:val="833C0B" w:themeColor="accent2" w:themeShade="80"/>
          <w:sz w:val="24"/>
        </w:rPr>
      </w:pPr>
    </w:p>
    <w:p w14:paraId="59F8C7DC" w14:textId="77777777" w:rsidR="00D7077E" w:rsidRDefault="00D7077E" w:rsidP="006E53D2">
      <w:pPr>
        <w:spacing w:line="240" w:lineRule="auto"/>
        <w:rPr>
          <w:rFonts w:ascii="Trebuchet MS" w:hAnsi="Trebuchet MS" w:cstheme="minorHAnsi"/>
          <w:b/>
          <w:bCs/>
          <w:color w:val="833C0B" w:themeColor="accent2" w:themeShade="80"/>
          <w:sz w:val="24"/>
        </w:rPr>
      </w:pPr>
    </w:p>
    <w:p w14:paraId="0FA13BB0" w14:textId="77777777" w:rsidR="00D7077E" w:rsidRDefault="00D7077E" w:rsidP="006E53D2">
      <w:pPr>
        <w:spacing w:line="240" w:lineRule="auto"/>
        <w:rPr>
          <w:rFonts w:ascii="Trebuchet MS" w:hAnsi="Trebuchet MS" w:cstheme="minorHAnsi"/>
          <w:b/>
          <w:bCs/>
          <w:color w:val="833C0B" w:themeColor="accent2" w:themeShade="80"/>
          <w:sz w:val="24"/>
        </w:rPr>
      </w:pPr>
    </w:p>
    <w:p w14:paraId="19EA9B4D" w14:textId="77777777" w:rsidR="00D7077E" w:rsidRDefault="00D7077E" w:rsidP="006E53D2">
      <w:pPr>
        <w:spacing w:line="240" w:lineRule="auto"/>
        <w:rPr>
          <w:rFonts w:ascii="Trebuchet MS" w:hAnsi="Trebuchet MS" w:cstheme="minorHAnsi"/>
          <w:b/>
          <w:bCs/>
          <w:color w:val="833C0B" w:themeColor="accent2" w:themeShade="80"/>
          <w:sz w:val="24"/>
        </w:rPr>
      </w:pPr>
    </w:p>
    <w:p w14:paraId="405D5546" w14:textId="77777777" w:rsidR="00D7077E" w:rsidRDefault="00D7077E" w:rsidP="006E53D2">
      <w:pPr>
        <w:spacing w:line="240" w:lineRule="auto"/>
        <w:rPr>
          <w:rFonts w:ascii="Trebuchet MS" w:hAnsi="Trebuchet MS" w:cstheme="minorHAnsi"/>
          <w:b/>
          <w:bCs/>
          <w:color w:val="833C0B" w:themeColor="accent2" w:themeShade="80"/>
          <w:sz w:val="24"/>
        </w:rPr>
      </w:pPr>
    </w:p>
    <w:p w14:paraId="46D7B17A" w14:textId="77777777" w:rsidR="00D7077E" w:rsidRDefault="00D7077E" w:rsidP="006E53D2">
      <w:pPr>
        <w:spacing w:line="240" w:lineRule="auto"/>
        <w:rPr>
          <w:rFonts w:ascii="Trebuchet MS" w:hAnsi="Trebuchet MS" w:cstheme="minorHAnsi"/>
          <w:b/>
          <w:bCs/>
          <w:color w:val="833C0B" w:themeColor="accent2" w:themeShade="80"/>
          <w:sz w:val="24"/>
        </w:rPr>
      </w:pPr>
    </w:p>
    <w:p w14:paraId="024134E1" w14:textId="77777777" w:rsidR="00D7077E" w:rsidRDefault="00D7077E" w:rsidP="006E53D2">
      <w:pPr>
        <w:spacing w:line="240" w:lineRule="auto"/>
        <w:rPr>
          <w:rFonts w:ascii="Trebuchet MS" w:hAnsi="Trebuchet MS" w:cstheme="minorHAnsi"/>
          <w:b/>
          <w:bCs/>
          <w:color w:val="833C0B" w:themeColor="accent2" w:themeShade="80"/>
          <w:sz w:val="24"/>
        </w:rPr>
      </w:pPr>
    </w:p>
    <w:p w14:paraId="12448FD9" w14:textId="77777777" w:rsidR="00D7077E" w:rsidRDefault="00D7077E" w:rsidP="006E53D2">
      <w:pPr>
        <w:spacing w:line="240" w:lineRule="auto"/>
        <w:rPr>
          <w:rFonts w:ascii="Trebuchet MS" w:hAnsi="Trebuchet MS" w:cstheme="minorHAnsi"/>
          <w:b/>
          <w:bCs/>
          <w:color w:val="833C0B" w:themeColor="accent2" w:themeShade="80"/>
          <w:sz w:val="24"/>
        </w:rPr>
      </w:pPr>
    </w:p>
    <w:p w14:paraId="5A5F434A" w14:textId="77777777" w:rsidR="00D7077E" w:rsidRDefault="00D7077E" w:rsidP="006E53D2">
      <w:pPr>
        <w:spacing w:line="240" w:lineRule="auto"/>
        <w:rPr>
          <w:rFonts w:ascii="Trebuchet MS" w:hAnsi="Trebuchet MS" w:cstheme="minorHAnsi"/>
          <w:b/>
          <w:bCs/>
          <w:color w:val="833C0B" w:themeColor="accent2" w:themeShade="80"/>
          <w:sz w:val="24"/>
        </w:rPr>
      </w:pPr>
    </w:p>
    <w:p w14:paraId="46DA1496" w14:textId="77777777" w:rsidR="00D7077E" w:rsidRDefault="00D7077E" w:rsidP="006E53D2">
      <w:pPr>
        <w:spacing w:line="240" w:lineRule="auto"/>
        <w:rPr>
          <w:rFonts w:ascii="Trebuchet MS" w:hAnsi="Trebuchet MS" w:cstheme="minorHAnsi"/>
          <w:b/>
          <w:bCs/>
          <w:color w:val="833C0B" w:themeColor="accent2" w:themeShade="80"/>
          <w:sz w:val="24"/>
        </w:rPr>
      </w:pPr>
    </w:p>
    <w:p w14:paraId="42E64C3E" w14:textId="77777777" w:rsidR="00D7077E" w:rsidRDefault="00D7077E" w:rsidP="006E53D2">
      <w:pPr>
        <w:spacing w:line="240" w:lineRule="auto"/>
        <w:rPr>
          <w:rFonts w:ascii="Trebuchet MS" w:hAnsi="Trebuchet MS" w:cstheme="minorHAnsi"/>
          <w:b/>
          <w:bCs/>
          <w:color w:val="833C0B" w:themeColor="accent2" w:themeShade="80"/>
          <w:sz w:val="24"/>
        </w:rPr>
      </w:pPr>
    </w:p>
    <w:p w14:paraId="7AC7D456" w14:textId="77777777" w:rsidR="00D7077E" w:rsidRDefault="00D7077E" w:rsidP="006E53D2">
      <w:pPr>
        <w:spacing w:line="240" w:lineRule="auto"/>
        <w:rPr>
          <w:rFonts w:ascii="Trebuchet MS" w:hAnsi="Trebuchet MS" w:cstheme="minorHAnsi"/>
          <w:b/>
          <w:bCs/>
          <w:color w:val="833C0B" w:themeColor="accent2" w:themeShade="80"/>
          <w:sz w:val="24"/>
        </w:rPr>
      </w:pPr>
    </w:p>
    <w:p w14:paraId="63BDE7E3" w14:textId="77777777" w:rsidR="00D7077E" w:rsidRDefault="00D7077E" w:rsidP="006E53D2">
      <w:pPr>
        <w:spacing w:line="240" w:lineRule="auto"/>
        <w:rPr>
          <w:rFonts w:ascii="Trebuchet MS" w:hAnsi="Trebuchet MS" w:cstheme="minorHAnsi"/>
          <w:b/>
          <w:bCs/>
          <w:color w:val="833C0B" w:themeColor="accent2" w:themeShade="80"/>
          <w:sz w:val="24"/>
        </w:rPr>
      </w:pPr>
    </w:p>
    <w:p w14:paraId="4DF798A7" w14:textId="77777777" w:rsidR="00D7077E" w:rsidRDefault="00D7077E" w:rsidP="006E53D2">
      <w:pPr>
        <w:spacing w:line="240" w:lineRule="auto"/>
        <w:rPr>
          <w:rFonts w:ascii="Trebuchet MS" w:hAnsi="Trebuchet MS" w:cstheme="minorHAnsi"/>
          <w:b/>
          <w:bCs/>
          <w:color w:val="833C0B" w:themeColor="accent2" w:themeShade="80"/>
          <w:sz w:val="24"/>
        </w:rPr>
      </w:pPr>
    </w:p>
    <w:p w14:paraId="021FE0A2" w14:textId="77777777" w:rsidR="00D7077E" w:rsidRDefault="00D7077E" w:rsidP="006E53D2">
      <w:pPr>
        <w:spacing w:line="240" w:lineRule="auto"/>
        <w:rPr>
          <w:rFonts w:ascii="Trebuchet MS" w:hAnsi="Trebuchet MS" w:cstheme="minorHAnsi"/>
          <w:b/>
          <w:bCs/>
          <w:color w:val="833C0B" w:themeColor="accent2" w:themeShade="80"/>
          <w:sz w:val="24"/>
        </w:rPr>
      </w:pPr>
    </w:p>
    <w:p w14:paraId="08D5BEBF" w14:textId="389CE3D0" w:rsidR="00D7077E" w:rsidRDefault="00D7077E" w:rsidP="0082362D">
      <w:pPr>
        <w:spacing w:line="240" w:lineRule="auto"/>
        <w:jc w:val="center"/>
        <w:rPr>
          <w:rFonts w:ascii="Trebuchet MS" w:eastAsia="Arial" w:hAnsi="Trebuchet MS" w:cs="Arial"/>
          <w:sz w:val="44"/>
          <w:szCs w:val="44"/>
        </w:rPr>
      </w:pPr>
      <w:r w:rsidRPr="00DB4D74">
        <w:rPr>
          <w:rFonts w:ascii="Trebuchet MS" w:eastAsia="Arial" w:hAnsi="Trebuchet MS" w:cs="Arial"/>
          <w:sz w:val="44"/>
          <w:szCs w:val="44"/>
        </w:rPr>
        <w:t>5OS01</w:t>
      </w:r>
    </w:p>
    <w:p w14:paraId="0E8E18F0" w14:textId="77777777" w:rsidR="00DB4D74" w:rsidRPr="00DB4D74" w:rsidRDefault="00DB4D74" w:rsidP="00DB4D74">
      <w:pPr>
        <w:spacing w:line="240" w:lineRule="auto"/>
        <w:jc w:val="center"/>
        <w:rPr>
          <w:rFonts w:ascii="Trebuchet MS" w:eastAsia="Arial" w:hAnsi="Trebuchet MS" w:cs="Arial"/>
          <w:sz w:val="44"/>
          <w:szCs w:val="44"/>
        </w:rPr>
      </w:pPr>
    </w:p>
    <w:p w14:paraId="44A05471" w14:textId="535662DA" w:rsidR="00D7077E" w:rsidRDefault="00D7077E" w:rsidP="00DB4D74">
      <w:pPr>
        <w:spacing w:line="240" w:lineRule="auto"/>
        <w:jc w:val="center"/>
        <w:rPr>
          <w:rFonts w:ascii="Trebuchet MS" w:eastAsia="Arial" w:hAnsi="Trebuchet MS" w:cs="Arial"/>
          <w:sz w:val="44"/>
          <w:szCs w:val="44"/>
        </w:rPr>
      </w:pPr>
      <w:r w:rsidRPr="00DB4D74">
        <w:rPr>
          <w:rFonts w:ascii="Trebuchet MS" w:eastAsia="Arial" w:hAnsi="Trebuchet MS" w:cs="Arial"/>
          <w:sz w:val="44"/>
          <w:szCs w:val="44"/>
        </w:rPr>
        <w:t>Specialist Employment Law</w:t>
      </w:r>
    </w:p>
    <w:p w14:paraId="73083D8A" w14:textId="77777777" w:rsidR="00DB4D74" w:rsidRPr="00DB4D74" w:rsidRDefault="00DB4D74" w:rsidP="00DB4D74">
      <w:pPr>
        <w:spacing w:line="240" w:lineRule="auto"/>
        <w:jc w:val="center"/>
        <w:rPr>
          <w:rFonts w:ascii="Trebuchet MS" w:eastAsia="Arial" w:hAnsi="Trebuchet MS" w:cs="Arial"/>
          <w:sz w:val="44"/>
          <w:szCs w:val="44"/>
        </w:rPr>
      </w:pPr>
    </w:p>
    <w:p w14:paraId="0B919D36" w14:textId="77777777" w:rsidR="00071E53" w:rsidRDefault="00D7077E" w:rsidP="00071E53">
      <w:pPr>
        <w:spacing w:line="240" w:lineRule="auto"/>
        <w:jc w:val="center"/>
        <w:rPr>
          <w:rFonts w:ascii="Trebuchet MS" w:eastAsia="Arial" w:hAnsi="Trebuchet MS" w:cs="Arial"/>
          <w:sz w:val="44"/>
          <w:szCs w:val="44"/>
        </w:rPr>
      </w:pPr>
      <w:r w:rsidRPr="00DB4D74">
        <w:rPr>
          <w:rFonts w:ascii="Trebuchet MS" w:eastAsia="Arial" w:hAnsi="Trebuchet MS" w:cs="Arial"/>
          <w:sz w:val="44"/>
          <w:szCs w:val="44"/>
        </w:rPr>
        <w:t xml:space="preserve">Word count: </w:t>
      </w:r>
      <w:r w:rsidR="0065128A">
        <w:rPr>
          <w:rFonts w:ascii="Trebuchet MS" w:eastAsia="Arial" w:hAnsi="Trebuchet MS" w:cs="Arial"/>
          <w:sz w:val="44"/>
          <w:szCs w:val="44"/>
        </w:rPr>
        <w:t>42</w:t>
      </w:r>
      <w:r w:rsidR="004552A6">
        <w:rPr>
          <w:rFonts w:ascii="Trebuchet MS" w:eastAsia="Arial" w:hAnsi="Trebuchet MS" w:cs="Arial"/>
          <w:sz w:val="44"/>
          <w:szCs w:val="44"/>
        </w:rPr>
        <w:t>59</w:t>
      </w:r>
    </w:p>
    <w:p w14:paraId="6E3F50B1" w14:textId="1F9B592D" w:rsidR="00D7077E" w:rsidRPr="00071E53" w:rsidRDefault="00071E53" w:rsidP="00071E53">
      <w:pPr>
        <w:spacing w:line="240" w:lineRule="auto"/>
        <w:jc w:val="center"/>
        <w:rPr>
          <w:rFonts w:ascii="Trebuchet MS" w:eastAsia="Arial" w:hAnsi="Trebuchet MS" w:cs="Arial"/>
          <w:color w:val="FF0000"/>
          <w:sz w:val="44"/>
          <w:szCs w:val="44"/>
        </w:rPr>
      </w:pPr>
      <w:r w:rsidRPr="00071E53">
        <w:rPr>
          <w:rFonts w:ascii="Trebuchet MS" w:eastAsia="Arial" w:hAnsi="Trebuchet MS" w:cs="Arial"/>
          <w:color w:val="FF0000"/>
          <w:sz w:val="44"/>
          <w:szCs w:val="44"/>
        </w:rPr>
        <w:t xml:space="preserve">Amended word count: </w:t>
      </w:r>
      <w:proofErr w:type="gramStart"/>
      <w:r w:rsidR="00E701B0">
        <w:rPr>
          <w:rFonts w:ascii="Trebuchet MS" w:eastAsia="Arial" w:hAnsi="Trebuchet MS" w:cs="Arial"/>
          <w:color w:val="FF0000"/>
          <w:sz w:val="44"/>
          <w:szCs w:val="44"/>
        </w:rPr>
        <w:t>4297</w:t>
      </w:r>
      <w:proofErr w:type="gramEnd"/>
      <w:r w:rsidR="0049096D" w:rsidRPr="00071E53">
        <w:rPr>
          <w:rFonts w:ascii="Trebuchet MS" w:eastAsia="Arial" w:hAnsi="Trebuchet MS" w:cs="Arial"/>
          <w:color w:val="FF0000"/>
          <w:sz w:val="44"/>
          <w:szCs w:val="44"/>
        </w:rPr>
        <w:t xml:space="preserve"> </w:t>
      </w:r>
    </w:p>
    <w:p w14:paraId="1CA28EDF" w14:textId="77777777" w:rsidR="00D7077E" w:rsidRDefault="00D7077E" w:rsidP="006E53D2">
      <w:pPr>
        <w:spacing w:line="240" w:lineRule="auto"/>
        <w:rPr>
          <w:rFonts w:ascii="Trebuchet MS" w:hAnsi="Trebuchet MS" w:cstheme="minorHAnsi"/>
          <w:b/>
          <w:bCs/>
          <w:color w:val="833C0B" w:themeColor="accent2" w:themeShade="80"/>
          <w:sz w:val="24"/>
        </w:rPr>
      </w:pPr>
    </w:p>
    <w:p w14:paraId="44A66741" w14:textId="77777777" w:rsidR="00D7077E" w:rsidRDefault="00D7077E" w:rsidP="006E53D2">
      <w:pPr>
        <w:spacing w:line="240" w:lineRule="auto"/>
        <w:rPr>
          <w:rFonts w:ascii="Trebuchet MS" w:hAnsi="Trebuchet MS" w:cstheme="minorHAnsi"/>
          <w:b/>
          <w:bCs/>
          <w:color w:val="833C0B" w:themeColor="accent2" w:themeShade="80"/>
          <w:sz w:val="24"/>
        </w:rPr>
      </w:pPr>
    </w:p>
    <w:p w14:paraId="656C3973" w14:textId="77777777" w:rsidR="00D7077E" w:rsidRDefault="00D7077E" w:rsidP="006E53D2">
      <w:pPr>
        <w:spacing w:line="240" w:lineRule="auto"/>
        <w:rPr>
          <w:rFonts w:ascii="Trebuchet MS" w:hAnsi="Trebuchet MS" w:cstheme="minorHAnsi"/>
          <w:b/>
          <w:bCs/>
          <w:color w:val="833C0B" w:themeColor="accent2" w:themeShade="80"/>
          <w:sz w:val="24"/>
        </w:rPr>
      </w:pPr>
    </w:p>
    <w:p w14:paraId="7F03B59D" w14:textId="77777777" w:rsidR="00D7077E" w:rsidRDefault="00D7077E" w:rsidP="006E53D2">
      <w:pPr>
        <w:spacing w:line="240" w:lineRule="auto"/>
        <w:rPr>
          <w:rFonts w:ascii="Trebuchet MS" w:hAnsi="Trebuchet MS" w:cstheme="minorHAnsi"/>
          <w:b/>
          <w:bCs/>
          <w:color w:val="833C0B" w:themeColor="accent2" w:themeShade="80"/>
          <w:sz w:val="24"/>
        </w:rPr>
      </w:pPr>
    </w:p>
    <w:p w14:paraId="6453E4E3" w14:textId="77777777" w:rsidR="00D7077E" w:rsidRDefault="00D7077E" w:rsidP="006E53D2">
      <w:pPr>
        <w:spacing w:line="240" w:lineRule="auto"/>
        <w:rPr>
          <w:rFonts w:ascii="Trebuchet MS" w:hAnsi="Trebuchet MS" w:cstheme="minorHAnsi"/>
          <w:b/>
          <w:bCs/>
          <w:color w:val="833C0B" w:themeColor="accent2" w:themeShade="80"/>
          <w:sz w:val="24"/>
        </w:rPr>
      </w:pPr>
    </w:p>
    <w:p w14:paraId="46D9CBBC" w14:textId="77777777" w:rsidR="00D7077E" w:rsidRDefault="00D7077E" w:rsidP="006E53D2">
      <w:pPr>
        <w:spacing w:line="240" w:lineRule="auto"/>
        <w:rPr>
          <w:rFonts w:ascii="Trebuchet MS" w:hAnsi="Trebuchet MS" w:cstheme="minorHAnsi"/>
          <w:b/>
          <w:bCs/>
          <w:color w:val="833C0B" w:themeColor="accent2" w:themeShade="80"/>
          <w:sz w:val="24"/>
        </w:rPr>
      </w:pPr>
    </w:p>
    <w:p w14:paraId="6E6F675C" w14:textId="77777777" w:rsidR="00D7077E" w:rsidRDefault="00D7077E" w:rsidP="006E53D2">
      <w:pPr>
        <w:spacing w:line="240" w:lineRule="auto"/>
        <w:rPr>
          <w:rFonts w:ascii="Trebuchet MS" w:hAnsi="Trebuchet MS" w:cstheme="minorHAnsi"/>
          <w:b/>
          <w:bCs/>
          <w:color w:val="833C0B" w:themeColor="accent2" w:themeShade="80"/>
          <w:sz w:val="24"/>
        </w:rPr>
      </w:pPr>
    </w:p>
    <w:p w14:paraId="3A137D10" w14:textId="77777777" w:rsidR="00D7077E" w:rsidRDefault="00D7077E" w:rsidP="006E53D2">
      <w:pPr>
        <w:spacing w:line="240" w:lineRule="auto"/>
        <w:rPr>
          <w:rFonts w:ascii="Trebuchet MS" w:hAnsi="Trebuchet MS" w:cstheme="minorHAnsi"/>
          <w:b/>
          <w:bCs/>
          <w:color w:val="833C0B" w:themeColor="accent2" w:themeShade="80"/>
          <w:sz w:val="24"/>
        </w:rPr>
      </w:pPr>
    </w:p>
    <w:p w14:paraId="735AB7EE" w14:textId="77777777" w:rsidR="00D7077E" w:rsidRDefault="00D7077E" w:rsidP="006E53D2">
      <w:pPr>
        <w:spacing w:line="240" w:lineRule="auto"/>
        <w:rPr>
          <w:rFonts w:ascii="Trebuchet MS" w:hAnsi="Trebuchet MS" w:cstheme="minorHAnsi"/>
          <w:b/>
          <w:bCs/>
          <w:color w:val="833C0B" w:themeColor="accent2" w:themeShade="80"/>
          <w:sz w:val="24"/>
        </w:rPr>
      </w:pPr>
    </w:p>
    <w:p w14:paraId="496D5C31" w14:textId="77777777" w:rsidR="00D7077E" w:rsidRDefault="00D7077E" w:rsidP="006E53D2">
      <w:pPr>
        <w:spacing w:line="240" w:lineRule="auto"/>
        <w:rPr>
          <w:rFonts w:ascii="Trebuchet MS" w:hAnsi="Trebuchet MS" w:cstheme="minorHAnsi"/>
          <w:b/>
          <w:bCs/>
          <w:color w:val="833C0B" w:themeColor="accent2" w:themeShade="80"/>
          <w:sz w:val="24"/>
        </w:rPr>
      </w:pPr>
    </w:p>
    <w:p w14:paraId="78B86C2D" w14:textId="77777777" w:rsidR="00D7077E" w:rsidRDefault="00D7077E" w:rsidP="006E53D2">
      <w:pPr>
        <w:spacing w:line="240" w:lineRule="auto"/>
        <w:rPr>
          <w:rFonts w:ascii="Trebuchet MS" w:hAnsi="Trebuchet MS" w:cstheme="minorHAnsi"/>
          <w:b/>
          <w:bCs/>
          <w:color w:val="833C0B" w:themeColor="accent2" w:themeShade="80"/>
          <w:sz w:val="24"/>
        </w:rPr>
      </w:pPr>
    </w:p>
    <w:p w14:paraId="6597731F" w14:textId="77777777" w:rsidR="00D7077E" w:rsidRDefault="00D7077E" w:rsidP="006E53D2">
      <w:pPr>
        <w:spacing w:line="240" w:lineRule="auto"/>
        <w:rPr>
          <w:rFonts w:ascii="Trebuchet MS" w:hAnsi="Trebuchet MS" w:cstheme="minorHAnsi"/>
          <w:b/>
          <w:bCs/>
          <w:color w:val="833C0B" w:themeColor="accent2" w:themeShade="80"/>
          <w:sz w:val="24"/>
        </w:rPr>
      </w:pPr>
    </w:p>
    <w:p w14:paraId="6C12EE39" w14:textId="77777777" w:rsidR="00D7077E" w:rsidRDefault="00D7077E" w:rsidP="006E53D2">
      <w:pPr>
        <w:spacing w:line="240" w:lineRule="auto"/>
        <w:rPr>
          <w:rFonts w:ascii="Trebuchet MS" w:hAnsi="Trebuchet MS" w:cstheme="minorHAnsi"/>
          <w:b/>
          <w:bCs/>
          <w:color w:val="833C0B" w:themeColor="accent2" w:themeShade="80"/>
          <w:sz w:val="24"/>
        </w:rPr>
      </w:pPr>
    </w:p>
    <w:p w14:paraId="0AEF3DF2" w14:textId="77777777" w:rsidR="00D7077E" w:rsidRDefault="00D7077E" w:rsidP="006E53D2">
      <w:pPr>
        <w:spacing w:line="240" w:lineRule="auto"/>
        <w:rPr>
          <w:rFonts w:ascii="Trebuchet MS" w:hAnsi="Trebuchet MS" w:cstheme="minorHAnsi"/>
          <w:b/>
          <w:bCs/>
          <w:color w:val="833C0B" w:themeColor="accent2" w:themeShade="80"/>
          <w:sz w:val="24"/>
        </w:rPr>
      </w:pPr>
    </w:p>
    <w:p w14:paraId="7C12EF9B" w14:textId="77777777" w:rsidR="00D7077E" w:rsidRDefault="00D7077E" w:rsidP="006E53D2">
      <w:pPr>
        <w:spacing w:line="240" w:lineRule="auto"/>
        <w:rPr>
          <w:rFonts w:ascii="Trebuchet MS" w:hAnsi="Trebuchet MS" w:cstheme="minorHAnsi"/>
          <w:b/>
          <w:bCs/>
          <w:color w:val="833C0B" w:themeColor="accent2" w:themeShade="80"/>
          <w:sz w:val="24"/>
        </w:rPr>
      </w:pPr>
    </w:p>
    <w:p w14:paraId="0CBD9D35" w14:textId="77777777" w:rsidR="00D7077E" w:rsidRDefault="00D7077E" w:rsidP="006E53D2">
      <w:pPr>
        <w:spacing w:line="240" w:lineRule="auto"/>
        <w:rPr>
          <w:rFonts w:ascii="Trebuchet MS" w:hAnsi="Trebuchet MS" w:cstheme="minorHAnsi"/>
          <w:b/>
          <w:bCs/>
          <w:color w:val="833C0B" w:themeColor="accent2" w:themeShade="80"/>
          <w:sz w:val="24"/>
        </w:rPr>
      </w:pPr>
    </w:p>
    <w:p w14:paraId="2325AC78" w14:textId="77777777" w:rsidR="00D7077E" w:rsidRDefault="00D7077E" w:rsidP="006E53D2">
      <w:pPr>
        <w:spacing w:line="240" w:lineRule="auto"/>
        <w:rPr>
          <w:rFonts w:ascii="Trebuchet MS" w:hAnsi="Trebuchet MS" w:cstheme="minorHAnsi"/>
          <w:b/>
          <w:bCs/>
          <w:color w:val="833C0B" w:themeColor="accent2" w:themeShade="80"/>
          <w:sz w:val="24"/>
        </w:rPr>
      </w:pPr>
    </w:p>
    <w:p w14:paraId="44D7A619" w14:textId="77777777" w:rsidR="00D7077E" w:rsidRDefault="00D7077E" w:rsidP="006E53D2">
      <w:pPr>
        <w:spacing w:line="240" w:lineRule="auto"/>
        <w:rPr>
          <w:rFonts w:ascii="Trebuchet MS" w:hAnsi="Trebuchet MS" w:cstheme="minorHAnsi"/>
          <w:b/>
          <w:bCs/>
          <w:color w:val="833C0B" w:themeColor="accent2" w:themeShade="80"/>
          <w:sz w:val="24"/>
        </w:rPr>
      </w:pPr>
    </w:p>
    <w:p w14:paraId="2D1B6400" w14:textId="77777777" w:rsidR="0082362D" w:rsidRDefault="0082362D" w:rsidP="006E53D2">
      <w:pPr>
        <w:spacing w:line="240" w:lineRule="auto"/>
        <w:rPr>
          <w:rFonts w:ascii="Trebuchet MS" w:hAnsi="Trebuchet MS" w:cstheme="minorHAnsi"/>
          <w:b/>
          <w:bCs/>
          <w:color w:val="833C0B" w:themeColor="accent2" w:themeShade="80"/>
          <w:sz w:val="24"/>
        </w:rPr>
      </w:pPr>
    </w:p>
    <w:p w14:paraId="15ED8815" w14:textId="77777777" w:rsidR="0082362D" w:rsidRDefault="0082362D" w:rsidP="006E53D2">
      <w:pPr>
        <w:spacing w:line="240" w:lineRule="auto"/>
        <w:rPr>
          <w:rFonts w:ascii="Trebuchet MS" w:hAnsi="Trebuchet MS" w:cstheme="minorHAnsi"/>
          <w:b/>
          <w:bCs/>
          <w:color w:val="833C0B" w:themeColor="accent2" w:themeShade="80"/>
          <w:sz w:val="24"/>
        </w:rPr>
      </w:pPr>
    </w:p>
    <w:p w14:paraId="037B9F5A" w14:textId="77777777" w:rsidR="00D7077E" w:rsidRDefault="00D7077E" w:rsidP="006E53D2">
      <w:pPr>
        <w:spacing w:line="240" w:lineRule="auto"/>
        <w:rPr>
          <w:rFonts w:ascii="Trebuchet MS" w:hAnsi="Trebuchet MS" w:cstheme="minorHAnsi"/>
          <w:b/>
          <w:bCs/>
          <w:color w:val="833C0B" w:themeColor="accent2" w:themeShade="80"/>
          <w:sz w:val="24"/>
        </w:rPr>
      </w:pPr>
    </w:p>
    <w:p w14:paraId="05E96BC3" w14:textId="77777777" w:rsidR="006C48F2" w:rsidRDefault="006C48F2" w:rsidP="006C48F2">
      <w:pPr>
        <w:pStyle w:val="Heading"/>
        <w:rPr>
          <w:rFonts w:ascii="Trebuchet MS" w:eastAsia="Trebuchet MS" w:hAnsi="Trebuchet MS" w:cs="Trebuchet MS"/>
        </w:rPr>
      </w:pPr>
      <w:r>
        <w:rPr>
          <w:rFonts w:ascii="Trebuchet MS" w:hAnsi="Trebuchet MS"/>
        </w:rPr>
        <w:lastRenderedPageBreak/>
        <w:t>Scenario</w:t>
      </w:r>
    </w:p>
    <w:p w14:paraId="66D7BE80" w14:textId="77777777" w:rsidR="006C48F2" w:rsidRDefault="006C48F2" w:rsidP="006C48F2">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571E5788" w14:textId="77777777" w:rsidR="006C48F2" w:rsidRDefault="006C48F2" w:rsidP="000866FB">
      <w:pPr>
        <w:spacing w:line="240" w:lineRule="auto"/>
        <w:rPr>
          <w:rFonts w:ascii="Trebuchet MS" w:hAnsi="Trebuchet MS" w:cstheme="minorHAnsi"/>
          <w:b/>
          <w:bCs/>
          <w:color w:val="833C0B" w:themeColor="accent2" w:themeShade="80"/>
          <w:sz w:val="24"/>
        </w:rPr>
      </w:pPr>
    </w:p>
    <w:p w14:paraId="1B722B07" w14:textId="77777777" w:rsidR="006C48F2" w:rsidRDefault="006C48F2" w:rsidP="000866FB">
      <w:pPr>
        <w:spacing w:line="240" w:lineRule="auto"/>
        <w:rPr>
          <w:rFonts w:ascii="Trebuchet MS" w:hAnsi="Trebuchet MS" w:cstheme="minorHAnsi"/>
          <w:b/>
          <w:bCs/>
          <w:color w:val="833C0B" w:themeColor="accent2" w:themeShade="80"/>
          <w:sz w:val="24"/>
        </w:rPr>
      </w:pPr>
    </w:p>
    <w:p w14:paraId="37688BBA" w14:textId="33EFDCD1" w:rsidR="000866FB" w:rsidRPr="00A3238A" w:rsidRDefault="000866FB" w:rsidP="000B1E45">
      <w:pPr>
        <w:tabs>
          <w:tab w:val="left" w:pos="3480"/>
        </w:tabs>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1 (AC 1.1)</w:t>
      </w:r>
      <w:r w:rsidR="000B1E45">
        <w:rPr>
          <w:rFonts w:ascii="Trebuchet MS" w:hAnsi="Trebuchet MS" w:cstheme="minorHAnsi"/>
          <w:b/>
          <w:bCs/>
          <w:color w:val="833C0B" w:themeColor="accent2" w:themeShade="80"/>
          <w:sz w:val="24"/>
        </w:rPr>
        <w:t xml:space="preserve"> </w:t>
      </w:r>
      <w:r w:rsidR="000B1E45">
        <w:rPr>
          <w:rFonts w:ascii="Trebuchet MS" w:hAnsi="Trebuchet MS" w:cstheme="minorHAnsi"/>
          <w:b/>
          <w:bCs/>
          <w:color w:val="833C0B" w:themeColor="accent2" w:themeShade="80"/>
          <w:sz w:val="24"/>
        </w:rPr>
        <w:tab/>
        <w:t>(</w:t>
      </w:r>
      <w:r w:rsidR="00543975">
        <w:rPr>
          <w:rFonts w:ascii="Trebuchet MS" w:hAnsi="Trebuchet MS" w:cstheme="minorHAnsi"/>
          <w:b/>
          <w:bCs/>
          <w:color w:val="833C0B" w:themeColor="accent2" w:themeShade="80"/>
          <w:sz w:val="24"/>
        </w:rPr>
        <w:t>374)</w:t>
      </w:r>
      <w:r w:rsidR="0026668C">
        <w:rPr>
          <w:rFonts w:ascii="Trebuchet MS" w:hAnsi="Trebuchet MS" w:cstheme="minorHAnsi"/>
          <w:b/>
          <w:bCs/>
          <w:color w:val="833C0B" w:themeColor="accent2" w:themeShade="80"/>
          <w:sz w:val="24"/>
        </w:rPr>
        <w:t xml:space="preserve"> /4</w:t>
      </w:r>
      <w:r w:rsidR="004B473B">
        <w:rPr>
          <w:rFonts w:ascii="Trebuchet MS" w:hAnsi="Trebuchet MS" w:cstheme="minorHAnsi"/>
          <w:b/>
          <w:bCs/>
          <w:color w:val="833C0B" w:themeColor="accent2" w:themeShade="80"/>
          <w:sz w:val="24"/>
        </w:rPr>
        <w:t>14</w:t>
      </w:r>
      <w:r w:rsidR="0026668C">
        <w:rPr>
          <w:rFonts w:ascii="Trebuchet MS" w:hAnsi="Trebuchet MS" w:cstheme="minorHAnsi"/>
          <w:b/>
          <w:bCs/>
          <w:color w:val="833C0B" w:themeColor="accent2" w:themeShade="80"/>
          <w:sz w:val="24"/>
        </w:rPr>
        <w:t xml:space="preserve"> </w:t>
      </w:r>
    </w:p>
    <w:p w14:paraId="40C52F0B" w14:textId="77777777" w:rsidR="000866FB" w:rsidRPr="00922731" w:rsidRDefault="000866FB" w:rsidP="000866FB">
      <w:pPr>
        <w:spacing w:line="240" w:lineRule="auto"/>
        <w:rPr>
          <w:rFonts w:ascii="Trebuchet MS" w:hAnsi="Trebuchet MS"/>
          <w:b/>
          <w:bCs/>
        </w:rPr>
      </w:pPr>
    </w:p>
    <w:p w14:paraId="67AA95FB" w14:textId="77777777" w:rsidR="000866FB" w:rsidRDefault="000866FB" w:rsidP="000866FB">
      <w:pPr>
        <w:spacing w:line="240" w:lineRule="auto"/>
        <w:rPr>
          <w:rFonts w:ascii="Trebuchet MS" w:hAnsi="Trebuchet MS"/>
        </w:rPr>
      </w:pPr>
      <w:r w:rsidRPr="00922731">
        <w:rPr>
          <w:rFonts w:ascii="Trebuchet MS" w:hAnsi="Trebuchet MS"/>
        </w:rPr>
        <w:t xml:space="preserve">A fellow people management officer estimates that 20% or so of her working days are taken up with activity that is created </w:t>
      </w:r>
      <w:proofErr w:type="gramStart"/>
      <w:r w:rsidRPr="00922731">
        <w:rPr>
          <w:rFonts w:ascii="Trebuchet MS" w:hAnsi="Trebuchet MS"/>
        </w:rPr>
        <w:t>as a result of</w:t>
      </w:r>
      <w:proofErr w:type="gramEnd"/>
      <w:r w:rsidRPr="00922731">
        <w:rPr>
          <w:rFonts w:ascii="Trebuchet MS" w:hAnsi="Trebuchet MS"/>
        </w:rPr>
        <w:t xml:space="preserve"> regulations</w:t>
      </w:r>
      <w:r>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Pr>
          <w:rFonts w:ascii="Trebuchet MS" w:hAnsi="Trebuchet MS"/>
        </w:rPr>
        <w:t>the Trust</w:t>
      </w:r>
      <w:r w:rsidRPr="00922731">
        <w:rPr>
          <w:rFonts w:ascii="Trebuchet MS" w:hAnsi="Trebuchet MS"/>
        </w:rPr>
        <w:t xml:space="preserve"> provides. </w:t>
      </w:r>
      <w:r>
        <w:rPr>
          <w:rFonts w:ascii="Trebuchet MS" w:hAnsi="Trebuchet MS"/>
        </w:rPr>
        <w:t>To help her understand why it is important to spend time dealing with issues that relate to employment law, send a reply that includes an evaluation of the aims and objectives of employment regulation.</w:t>
      </w:r>
    </w:p>
    <w:p w14:paraId="743054B8" w14:textId="77777777" w:rsidR="008B76EA" w:rsidRPr="00685D5A" w:rsidRDefault="008B76EA" w:rsidP="00685D5A"/>
    <w:p w14:paraId="469F5838" w14:textId="21BBE8EF" w:rsidR="00AB602F" w:rsidRPr="00A81915" w:rsidRDefault="00BD7390" w:rsidP="3ED70C7D">
      <w:pPr>
        <w:rPr>
          <w:strike/>
        </w:rPr>
      </w:pPr>
      <w:r w:rsidRPr="00A81915">
        <w:rPr>
          <w:strike/>
        </w:rPr>
        <w:t>I understand your concern about the time spent on regulatory matters. However, employment regulations are crucial in shaping our work environment. As an organi</w:t>
      </w:r>
      <w:r w:rsidR="008A2D33" w:rsidRPr="00A81915">
        <w:rPr>
          <w:strike/>
        </w:rPr>
        <w:t>s</w:t>
      </w:r>
      <w:r w:rsidRPr="00A81915">
        <w:rPr>
          <w:strike/>
        </w:rPr>
        <w:t>ation, we have a duty to meet the needs of our employees by embedding these regulations into our culture</w:t>
      </w:r>
      <w:r w:rsidR="00414E1F" w:rsidRPr="00A81915">
        <w:rPr>
          <w:strike/>
        </w:rPr>
        <w:t>, t</w:t>
      </w:r>
      <w:r w:rsidRPr="00A81915">
        <w:rPr>
          <w:strike/>
        </w:rPr>
        <w:t>his shows our commitment to compliance and accountability</w:t>
      </w:r>
      <w:r w:rsidR="003C7C8F" w:rsidRPr="00A81915">
        <w:rPr>
          <w:strike/>
        </w:rPr>
        <w:t xml:space="preserve"> (Daniels, 2022). </w:t>
      </w:r>
      <w:r w:rsidRPr="00A81915">
        <w:rPr>
          <w:strike/>
        </w:rPr>
        <w:t xml:space="preserve">While regulatory activities may seem time-consuming, they are essential for creating a safe, </w:t>
      </w:r>
      <w:r w:rsidR="00934E13" w:rsidRPr="00A81915">
        <w:rPr>
          <w:strike/>
        </w:rPr>
        <w:t>equitable</w:t>
      </w:r>
      <w:r w:rsidRPr="00A81915">
        <w:rPr>
          <w:strike/>
        </w:rPr>
        <w:t xml:space="preserve"> and productive </w:t>
      </w:r>
      <w:r w:rsidR="0019287C" w:rsidRPr="00A81915">
        <w:rPr>
          <w:strike/>
        </w:rPr>
        <w:t>work environment</w:t>
      </w:r>
      <w:r w:rsidR="005A4F52" w:rsidRPr="00A81915">
        <w:rPr>
          <w:strike/>
        </w:rPr>
        <w:t xml:space="preserve"> (CIPD, n</w:t>
      </w:r>
      <w:r w:rsidR="005632E0" w:rsidRPr="00A81915">
        <w:rPr>
          <w:strike/>
        </w:rPr>
        <w:t>o date b</w:t>
      </w:r>
      <w:r w:rsidR="005A4F52" w:rsidRPr="00A81915">
        <w:rPr>
          <w:strike/>
        </w:rPr>
        <w:t>).</w:t>
      </w:r>
      <w:r w:rsidR="00AB602F" w:rsidRPr="00A81915">
        <w:rPr>
          <w:strike/>
        </w:rPr>
        <w:t xml:space="preserve"> </w:t>
      </w:r>
    </w:p>
    <w:p w14:paraId="4099417C" w14:textId="77777777" w:rsidR="0087587E" w:rsidRDefault="0087587E" w:rsidP="3ED70C7D"/>
    <w:p w14:paraId="7C62CE35" w14:textId="4269E6FC" w:rsidR="00E162C8" w:rsidRPr="002B03B9" w:rsidRDefault="00E162C8" w:rsidP="00765ACA">
      <w:pPr>
        <w:rPr>
          <w:color w:val="FF0000"/>
          <w:sz w:val="24"/>
        </w:rPr>
      </w:pPr>
      <w:r w:rsidRPr="002B03B9">
        <w:rPr>
          <w:color w:val="FF0000"/>
          <w:sz w:val="24"/>
        </w:rPr>
        <w:t>As an organisation, we have a responsibility to meet the needs of our employees by embedding employment regulations into our workplace culture</w:t>
      </w:r>
      <w:r w:rsidR="00B9615A" w:rsidRPr="002B03B9">
        <w:rPr>
          <w:color w:val="FF0000"/>
          <w:sz w:val="24"/>
        </w:rPr>
        <w:t xml:space="preserve"> (CIPD, 2024c). </w:t>
      </w:r>
      <w:r w:rsidRPr="002B03B9">
        <w:rPr>
          <w:color w:val="FF0000"/>
          <w:sz w:val="24"/>
        </w:rPr>
        <w:t>This not only demonstrates our commitment to compliance and accountability (Daniels, 2022), but also reinforces our core values of fairness and integrity.</w:t>
      </w:r>
      <w:r w:rsidR="00785670" w:rsidRPr="002B03B9">
        <w:rPr>
          <w:color w:val="FF0000"/>
          <w:sz w:val="24"/>
        </w:rPr>
        <w:t xml:space="preserve"> </w:t>
      </w:r>
      <w:r w:rsidR="00785670" w:rsidRPr="002B03B9">
        <w:rPr>
          <w:color w:val="FF0000"/>
          <w:sz w:val="24"/>
        </w:rPr>
        <w:t>According to the CIPD, effective regulation contributes to a balanced labour market by supporting both employer needs and employee security</w:t>
      </w:r>
      <w:r w:rsidR="006138BB" w:rsidRPr="002B03B9">
        <w:rPr>
          <w:color w:val="FF0000"/>
          <w:sz w:val="24"/>
        </w:rPr>
        <w:t>.</w:t>
      </w:r>
      <w:r w:rsidR="00143287" w:rsidRPr="002B03B9">
        <w:rPr>
          <w:color w:val="FF0000"/>
          <w:sz w:val="24"/>
        </w:rPr>
        <w:t xml:space="preserve"> The </w:t>
      </w:r>
      <w:r w:rsidR="00C5448B" w:rsidRPr="002B03B9">
        <w:rPr>
          <w:color w:val="FF0000"/>
          <w:sz w:val="24"/>
        </w:rPr>
        <w:t>CIPD (2024a)</w:t>
      </w:r>
      <w:r w:rsidR="00143287" w:rsidRPr="002B03B9">
        <w:rPr>
          <w:color w:val="FF0000"/>
          <w:sz w:val="24"/>
        </w:rPr>
        <w:t xml:space="preserve"> sates</w:t>
      </w:r>
      <w:r w:rsidR="00C5448B" w:rsidRPr="002B03B9">
        <w:rPr>
          <w:color w:val="FF0000"/>
          <w:sz w:val="24"/>
        </w:rPr>
        <w:t xml:space="preserve"> effective regulation plays a vital role in shaping fair, safe, and productive workplaces</w:t>
      </w:r>
      <w:r w:rsidR="00C5448B" w:rsidRPr="002B03B9">
        <w:rPr>
          <w:color w:val="FF0000"/>
          <w:sz w:val="24"/>
        </w:rPr>
        <w:t>.</w:t>
      </w:r>
      <w:r w:rsidR="00C5448B" w:rsidRPr="002B03B9">
        <w:rPr>
          <w:rFonts w:ascii="Segoe UI" w:hAnsi="Segoe UI" w:cs="Segoe UI"/>
          <w:color w:val="FF0000"/>
          <w:sz w:val="24"/>
          <w:shd w:val="clear" w:color="auto" w:fill="FAFAFA"/>
        </w:rPr>
        <w:t xml:space="preserve"> </w:t>
      </w:r>
      <w:r w:rsidR="002B03B9" w:rsidRPr="002B03B9">
        <w:rPr>
          <w:color w:val="FF0000"/>
          <w:sz w:val="24"/>
        </w:rPr>
        <w:t>While implementing and monitoring these regulations may require considerable time and resources, this investment is essential for long-term organisational success and sustainability, as it supports the development of a safe, equitable, and high-performing work environment (CIPD, 2024).</w:t>
      </w:r>
      <w:r w:rsidR="002B03B9" w:rsidRPr="002B03B9">
        <w:rPr>
          <w:color w:val="FF0000"/>
          <w:sz w:val="24"/>
        </w:rPr>
        <w:t xml:space="preserve"> </w:t>
      </w:r>
      <w:r w:rsidR="00765ACA" w:rsidRPr="002B03B9">
        <w:rPr>
          <w:color w:val="FF0000"/>
          <w:sz w:val="24"/>
        </w:rPr>
        <w:t>The CIPD further notes that overly complex or poorly designed regulations can hinder good employment practices. However, when applied effectively, regulation enhances organisational flexibility, protects employees, and plays a critical role in preventing legal disputes, reducing staff turnover, and fostering trust across the workforce (CIPD, no date b).</w:t>
      </w:r>
    </w:p>
    <w:p w14:paraId="1C96AD63" w14:textId="77777777" w:rsidR="00765ACA" w:rsidRPr="002B03B9" w:rsidRDefault="00765ACA" w:rsidP="00765ACA">
      <w:pPr>
        <w:rPr>
          <w:color w:val="FF0000"/>
          <w:sz w:val="24"/>
        </w:rPr>
      </w:pPr>
    </w:p>
    <w:p w14:paraId="0EFDC59A" w14:textId="3AA3E8C9" w:rsidR="008541DC" w:rsidRPr="002B03B9" w:rsidRDefault="00E162C8" w:rsidP="00CD2055">
      <w:pPr>
        <w:rPr>
          <w:color w:val="FF0000"/>
          <w:sz w:val="24"/>
        </w:rPr>
      </w:pPr>
      <w:r w:rsidRPr="002B03B9">
        <w:rPr>
          <w:color w:val="FF0000"/>
          <w:sz w:val="24"/>
        </w:rPr>
        <w:t>The Equality Act 2010 is central to promoting fairness in the workplace</w:t>
      </w:r>
      <w:r w:rsidR="00386D0D" w:rsidRPr="002B03B9">
        <w:rPr>
          <w:color w:val="FF0000"/>
          <w:sz w:val="24"/>
        </w:rPr>
        <w:t>,</w:t>
      </w:r>
      <w:r w:rsidRPr="002B03B9">
        <w:rPr>
          <w:color w:val="FF0000"/>
          <w:sz w:val="24"/>
        </w:rPr>
        <w:t xml:space="preserve"> </w:t>
      </w:r>
      <w:r w:rsidR="00386D0D" w:rsidRPr="002B03B9">
        <w:rPr>
          <w:color w:val="FF0000"/>
          <w:sz w:val="24"/>
        </w:rPr>
        <w:t>it</w:t>
      </w:r>
      <w:r w:rsidRPr="002B03B9">
        <w:rPr>
          <w:color w:val="FF0000"/>
          <w:sz w:val="24"/>
        </w:rPr>
        <w:t xml:space="preserve"> safeguards employees’ rights, prevents discrimination, and ensures equal opportunities and pay (CIPD, no date b). More broadly, employment regulation helps to cultivate a culture of dignity and respect, which supports the development of a diverse and motivated workforce</w:t>
      </w:r>
      <w:r w:rsidR="00C46B1E" w:rsidRPr="002B03B9">
        <w:rPr>
          <w:color w:val="FF0000"/>
          <w:sz w:val="24"/>
        </w:rPr>
        <w:t xml:space="preserve"> (CIPD, </w:t>
      </w:r>
      <w:r w:rsidR="004545C2" w:rsidRPr="002B03B9">
        <w:rPr>
          <w:color w:val="FF0000"/>
          <w:sz w:val="24"/>
        </w:rPr>
        <w:t xml:space="preserve">no date a). </w:t>
      </w:r>
      <w:r w:rsidRPr="002B03B9">
        <w:rPr>
          <w:color w:val="FF0000"/>
          <w:sz w:val="24"/>
        </w:rPr>
        <w:t>This</w:t>
      </w:r>
      <w:r w:rsidR="00FB3413" w:rsidRPr="002B03B9">
        <w:rPr>
          <w:color w:val="FF0000"/>
          <w:sz w:val="24"/>
        </w:rPr>
        <w:t xml:space="preserve"> </w:t>
      </w:r>
      <w:r w:rsidRPr="002B03B9">
        <w:rPr>
          <w:color w:val="FF0000"/>
          <w:sz w:val="24"/>
        </w:rPr>
        <w:t xml:space="preserve">enhances employee engagement, drives </w:t>
      </w:r>
      <w:r w:rsidRPr="002B03B9">
        <w:rPr>
          <w:color w:val="FF0000"/>
          <w:sz w:val="24"/>
        </w:rPr>
        <w:lastRenderedPageBreak/>
        <w:t>innovation, and contributes to a positive organisational culture</w:t>
      </w:r>
      <w:r w:rsidR="00C46B1E" w:rsidRPr="002B03B9">
        <w:rPr>
          <w:color w:val="FF0000"/>
          <w:sz w:val="24"/>
        </w:rPr>
        <w:t xml:space="preserve">, </w:t>
      </w:r>
      <w:r w:rsidRPr="002B03B9">
        <w:rPr>
          <w:color w:val="FF0000"/>
          <w:sz w:val="24"/>
        </w:rPr>
        <w:t>ultimately boosting morale and performance (Daniels, 2022).</w:t>
      </w:r>
      <w:r w:rsidR="00D55A94" w:rsidRPr="002B03B9">
        <w:rPr>
          <w:color w:val="FF0000"/>
          <w:sz w:val="24"/>
        </w:rPr>
        <w:t xml:space="preserve"> </w:t>
      </w:r>
      <w:r w:rsidR="00D55A94" w:rsidRPr="002B03B9">
        <w:rPr>
          <w:color w:val="FF0000"/>
          <w:sz w:val="24"/>
        </w:rPr>
        <w:t xml:space="preserve">In the context of an NHS Trust, any perceived unfairness or discrimination can quickly attract public and media scrutiny, undermining public confidence. Therefore, NHS Trusts </w:t>
      </w:r>
      <w:r w:rsidR="00FB3413" w:rsidRPr="002B03B9">
        <w:rPr>
          <w:color w:val="FF0000"/>
          <w:sz w:val="24"/>
        </w:rPr>
        <w:t>should</w:t>
      </w:r>
      <w:r w:rsidR="00D55A94" w:rsidRPr="002B03B9">
        <w:rPr>
          <w:color w:val="FF0000"/>
          <w:sz w:val="24"/>
        </w:rPr>
        <w:t xml:space="preserve"> take a proactive approach to promoting EDI not only to meet legal obligations but to uphold the core values of the NHS</w:t>
      </w:r>
      <w:r w:rsidR="001720BD" w:rsidRPr="002B03B9">
        <w:rPr>
          <w:color w:val="FF0000"/>
          <w:sz w:val="24"/>
        </w:rPr>
        <w:t xml:space="preserve"> </w:t>
      </w:r>
      <w:r w:rsidR="000905CE" w:rsidRPr="002B03B9">
        <w:rPr>
          <w:color w:val="FF0000"/>
          <w:sz w:val="24"/>
        </w:rPr>
        <w:t>(</w:t>
      </w:r>
      <w:r w:rsidR="00AE3013" w:rsidRPr="002B03B9">
        <w:rPr>
          <w:color w:val="FF0000"/>
          <w:sz w:val="24"/>
        </w:rPr>
        <w:t>Sherwood</w:t>
      </w:r>
      <w:r w:rsidR="000905CE" w:rsidRPr="002B03B9">
        <w:rPr>
          <w:color w:val="FF0000"/>
          <w:sz w:val="24"/>
        </w:rPr>
        <w:t xml:space="preserve"> Hospital Trust</w:t>
      </w:r>
      <w:r w:rsidR="00AE3013" w:rsidRPr="002B03B9">
        <w:rPr>
          <w:color w:val="FF0000"/>
          <w:sz w:val="24"/>
        </w:rPr>
        <w:t xml:space="preserve">, no date). </w:t>
      </w:r>
      <w:r w:rsidR="001720BD" w:rsidRPr="002B03B9">
        <w:rPr>
          <w:color w:val="FF0000"/>
          <w:sz w:val="24"/>
        </w:rPr>
        <w:t>Thus, evaluating the risks associated with employment regulation, particularly in relation to the Equality Act 2010, is essential for maintaining organisational resilience and legal compliance</w:t>
      </w:r>
      <w:r w:rsidR="00726FF4" w:rsidRPr="002B03B9">
        <w:rPr>
          <w:color w:val="FF0000"/>
          <w:sz w:val="24"/>
        </w:rPr>
        <w:t xml:space="preserve"> (CIPD, no date d). </w:t>
      </w:r>
    </w:p>
    <w:p w14:paraId="40F1878E" w14:textId="77777777" w:rsidR="008541DC" w:rsidRPr="002B03B9" w:rsidRDefault="008541DC" w:rsidP="00CD2055">
      <w:pPr>
        <w:rPr>
          <w:color w:val="FF0000"/>
          <w:sz w:val="24"/>
        </w:rPr>
      </w:pPr>
    </w:p>
    <w:p w14:paraId="10E1EA50" w14:textId="40F81E81" w:rsidR="008541DC" w:rsidRPr="002B03B9" w:rsidRDefault="00BD213E" w:rsidP="00CD2055">
      <w:pPr>
        <w:rPr>
          <w:color w:val="FF0000"/>
          <w:sz w:val="24"/>
        </w:rPr>
      </w:pPr>
      <w:r w:rsidRPr="002B03B9">
        <w:rPr>
          <w:color w:val="FF0000"/>
          <w:sz w:val="24"/>
        </w:rPr>
        <w:t>Operational risks in the NHS arise from inconsistent application of key policies, which can lead to staff dissatisfaction and high turnover</w:t>
      </w:r>
      <w:r w:rsidR="00942517" w:rsidRPr="002B03B9">
        <w:rPr>
          <w:color w:val="FF0000"/>
          <w:sz w:val="24"/>
        </w:rPr>
        <w:t xml:space="preserve"> (DO</w:t>
      </w:r>
      <w:r w:rsidR="008811B4" w:rsidRPr="002B03B9">
        <w:rPr>
          <w:color w:val="FF0000"/>
          <w:sz w:val="24"/>
        </w:rPr>
        <w:t>H and Social Care, 20</w:t>
      </w:r>
      <w:r w:rsidR="007F0E33" w:rsidRPr="002B03B9">
        <w:rPr>
          <w:color w:val="FF0000"/>
          <w:sz w:val="24"/>
        </w:rPr>
        <w:t>23</w:t>
      </w:r>
      <w:r w:rsidR="008811B4" w:rsidRPr="002B03B9">
        <w:rPr>
          <w:color w:val="FF0000"/>
          <w:sz w:val="24"/>
        </w:rPr>
        <w:t xml:space="preserve">). </w:t>
      </w:r>
      <w:r w:rsidRPr="002B03B9">
        <w:rPr>
          <w:color w:val="FF0000"/>
          <w:sz w:val="24"/>
        </w:rPr>
        <w:t xml:space="preserve">To maintain service delivery and morale, clear and consistent HR practices are essential. Strategically, NHS Trusts that view regulation to enhance workforce </w:t>
      </w:r>
      <w:r w:rsidR="00FE404D" w:rsidRPr="002B03B9">
        <w:rPr>
          <w:color w:val="FF0000"/>
          <w:sz w:val="24"/>
        </w:rPr>
        <w:t xml:space="preserve">wellbeing as opposed to a compliance task </w:t>
      </w:r>
      <w:r w:rsidRPr="002B03B9">
        <w:rPr>
          <w:color w:val="FF0000"/>
          <w:sz w:val="24"/>
        </w:rPr>
        <w:t>are better positioned to retain staff and deliver quality care</w:t>
      </w:r>
      <w:r w:rsidR="007F0E33" w:rsidRPr="002B03B9">
        <w:rPr>
          <w:color w:val="FF0000"/>
          <w:sz w:val="24"/>
        </w:rPr>
        <w:t xml:space="preserve"> (DOH and Social Care, 2023).</w:t>
      </w:r>
      <w:r w:rsidRPr="002B03B9">
        <w:rPr>
          <w:color w:val="FF0000"/>
          <w:sz w:val="24"/>
        </w:rPr>
        <w:t xml:space="preserve"> </w:t>
      </w:r>
    </w:p>
    <w:p w14:paraId="2A91F35B" w14:textId="77777777" w:rsidR="00F900BF" w:rsidRDefault="00F900BF" w:rsidP="3ED70C7D">
      <w:pPr>
        <w:rPr>
          <w:rFonts w:ascii="Segoe UI" w:hAnsi="Segoe UI" w:cs="Segoe UI"/>
          <w:color w:val="424242"/>
          <w:shd w:val="clear" w:color="auto" w:fill="FAFAFA"/>
        </w:rPr>
      </w:pPr>
    </w:p>
    <w:p w14:paraId="466B0B76" w14:textId="77777777" w:rsidR="002A5DC7" w:rsidRDefault="002A5DC7" w:rsidP="3ED70C7D">
      <w:pPr>
        <w:rPr>
          <w:rFonts w:ascii="Segoe UI" w:hAnsi="Segoe UI" w:cs="Segoe UI"/>
          <w:color w:val="424242"/>
          <w:shd w:val="clear" w:color="auto" w:fill="FAFAFA"/>
        </w:rPr>
      </w:pPr>
    </w:p>
    <w:p w14:paraId="4C7C3610" w14:textId="77777777" w:rsidR="00501259" w:rsidRPr="001720BD" w:rsidRDefault="002A5DC7" w:rsidP="001720BD">
      <w:pPr>
        <w:rPr>
          <w:strike/>
        </w:rPr>
      </w:pPr>
      <w:r w:rsidRPr="001720BD">
        <w:rPr>
          <w:strike/>
        </w:rPr>
        <w:t xml:space="preserve">The Equality Act 2010 promotes workplace fairness by protecting employees’ rights, preventing discrimination, and ensuring equal opportunities and pay (CIPD, no date b). More broadly, employment regulation fosters dignity and respect for all employees, helping to build a diverse and motivated workforce. This supports higher engagement, innovation, and a positive workplace culture, ultimately boosting morale and organisational performance (Daniels, 2022). Evaluating the risks associated with employment regulation, particularly in relation to the Equality Act 2010, is essential for ensuring organisational resilience and legal compliance. Failure to adhere to legal standards can result in tribunal claims, financial penalties, and reputational damage. </w:t>
      </w:r>
    </w:p>
    <w:p w14:paraId="3FB5D299" w14:textId="77777777" w:rsidR="00501259" w:rsidRDefault="00501259" w:rsidP="003A1D46">
      <w:pPr>
        <w:rPr>
          <w:strike/>
          <w:lang w:eastAsia="en-GB"/>
        </w:rPr>
      </w:pPr>
    </w:p>
    <w:p w14:paraId="02D1A45E" w14:textId="5432E631" w:rsidR="00501259" w:rsidRDefault="00230EF2" w:rsidP="003A1D46">
      <w:pPr>
        <w:rPr>
          <w:strike/>
          <w:lang w:eastAsia="en-GB"/>
        </w:rPr>
      </w:pPr>
      <w:r w:rsidRPr="001E1BE1">
        <w:rPr>
          <w:strike/>
          <w:lang w:eastAsia="en-GB"/>
        </w:rPr>
        <w:t xml:space="preserve">Here </w:t>
      </w:r>
      <w:r w:rsidR="00C57F6C" w:rsidRPr="001E1BE1">
        <w:rPr>
          <w:strike/>
          <w:lang w:eastAsia="en-GB"/>
        </w:rPr>
        <w:t xml:space="preserve">are a few </w:t>
      </w:r>
      <w:r w:rsidR="0028019A" w:rsidRPr="001E1BE1">
        <w:rPr>
          <w:strike/>
          <w:lang w:eastAsia="en-GB"/>
        </w:rPr>
        <w:t>examples which demonstrate the aims and objectives of employment regulation and how this can support employment experience.</w:t>
      </w:r>
    </w:p>
    <w:p w14:paraId="4569800D" w14:textId="77777777" w:rsidR="00501259" w:rsidRDefault="00501259" w:rsidP="003A1D46">
      <w:pPr>
        <w:rPr>
          <w:strike/>
          <w:lang w:eastAsia="en-GB"/>
        </w:rPr>
      </w:pPr>
    </w:p>
    <w:p w14:paraId="4D92534B" w14:textId="77777777" w:rsidR="00892F88" w:rsidRDefault="00892F88" w:rsidP="003A1D46">
      <w:pPr>
        <w:rPr>
          <w:strike/>
          <w:lang w:eastAsia="en-GB"/>
        </w:rPr>
      </w:pPr>
    </w:p>
    <w:p w14:paraId="1B34E08E" w14:textId="0FC8DB66" w:rsidR="00396549" w:rsidRPr="000B220B" w:rsidRDefault="00091FDE" w:rsidP="003A1D46">
      <w:pPr>
        <w:rPr>
          <w:strike/>
          <w:lang w:eastAsia="en-GB"/>
        </w:rPr>
      </w:pPr>
      <w:r w:rsidRPr="00892F88">
        <w:rPr>
          <w:strike/>
          <w:lang w:eastAsia="en-GB"/>
        </w:rPr>
        <w:t xml:space="preserve">Regulations such as </w:t>
      </w:r>
      <w:r w:rsidR="7A021B5F" w:rsidRPr="00892F88">
        <w:rPr>
          <w:strike/>
          <w:lang w:eastAsia="en-GB"/>
        </w:rPr>
        <w:t>H</w:t>
      </w:r>
      <w:r w:rsidRPr="00892F88">
        <w:rPr>
          <w:strike/>
          <w:lang w:eastAsia="en-GB"/>
        </w:rPr>
        <w:t xml:space="preserve">ealth and </w:t>
      </w:r>
      <w:r w:rsidR="5B179E44" w:rsidRPr="00892F88">
        <w:rPr>
          <w:strike/>
          <w:lang w:eastAsia="en-GB"/>
        </w:rPr>
        <w:t>S</w:t>
      </w:r>
      <w:r w:rsidRPr="00892F88">
        <w:rPr>
          <w:strike/>
          <w:lang w:eastAsia="en-GB"/>
        </w:rPr>
        <w:t>afety</w:t>
      </w:r>
      <w:r w:rsidR="00FD772C" w:rsidRPr="00892F88">
        <w:rPr>
          <w:strike/>
          <w:lang w:eastAsia="en-GB"/>
        </w:rPr>
        <w:t xml:space="preserve"> </w:t>
      </w:r>
      <w:r w:rsidR="07BB2116" w:rsidRPr="00892F88">
        <w:rPr>
          <w:strike/>
          <w:lang w:eastAsia="en-GB"/>
        </w:rPr>
        <w:t>W</w:t>
      </w:r>
      <w:r w:rsidR="00FD772C" w:rsidRPr="00892F88">
        <w:rPr>
          <w:strike/>
          <w:lang w:eastAsia="en-GB"/>
        </w:rPr>
        <w:t xml:space="preserve">ork </w:t>
      </w:r>
      <w:r w:rsidR="48715FC7" w:rsidRPr="00892F88">
        <w:rPr>
          <w:strike/>
          <w:lang w:eastAsia="en-GB"/>
        </w:rPr>
        <w:t>A</w:t>
      </w:r>
      <w:r w:rsidR="00FD772C" w:rsidRPr="00892F88">
        <w:rPr>
          <w:strike/>
          <w:lang w:eastAsia="en-GB"/>
        </w:rPr>
        <w:t>ct 1974</w:t>
      </w:r>
      <w:r w:rsidR="00FD772C" w:rsidRPr="00892F88">
        <w:rPr>
          <w:rFonts w:ascii="Poppins" w:hAnsi="Poppins" w:cs="Poppins"/>
          <w:strike/>
          <w:color w:val="808080"/>
          <w:sz w:val="23"/>
          <w:szCs w:val="23"/>
          <w:shd w:val="clear" w:color="auto" w:fill="FFFFFF"/>
        </w:rPr>
        <w:t xml:space="preserve"> </w:t>
      </w:r>
      <w:r w:rsidRPr="00892F88">
        <w:rPr>
          <w:strike/>
          <w:lang w:eastAsia="en-GB"/>
        </w:rPr>
        <w:t xml:space="preserve">mandate safe </w:t>
      </w:r>
      <w:r w:rsidR="009F50BD" w:rsidRPr="00892F88">
        <w:rPr>
          <w:strike/>
          <w:lang w:eastAsia="en-GB"/>
        </w:rPr>
        <w:t>working</w:t>
      </w:r>
      <w:r w:rsidRPr="00892F88">
        <w:rPr>
          <w:strike/>
          <w:lang w:eastAsia="en-GB"/>
        </w:rPr>
        <w:t xml:space="preserve"> conditions for our staff</w:t>
      </w:r>
      <w:r w:rsidR="00D64BEF" w:rsidRPr="00892F88">
        <w:rPr>
          <w:strike/>
          <w:lang w:eastAsia="en-GB"/>
        </w:rPr>
        <w:t xml:space="preserve"> to help mitigate the potential for workplace injury or illness</w:t>
      </w:r>
      <w:r w:rsidR="00177752" w:rsidRPr="00892F88">
        <w:rPr>
          <w:strike/>
          <w:lang w:eastAsia="en-GB"/>
        </w:rPr>
        <w:t xml:space="preserve"> (UK Gov, 2023a).</w:t>
      </w:r>
      <w:r w:rsidR="00360C56" w:rsidRPr="00892F88">
        <w:rPr>
          <w:strike/>
          <w:lang w:eastAsia="en-GB"/>
        </w:rPr>
        <w:t xml:space="preserve"> </w:t>
      </w:r>
      <w:r w:rsidR="00F43631" w:rsidRPr="00892F88">
        <w:rPr>
          <w:strike/>
          <w:lang w:eastAsia="en-GB"/>
        </w:rPr>
        <w:t>W</w:t>
      </w:r>
      <w:r w:rsidR="00E63621" w:rsidRPr="00892F88">
        <w:rPr>
          <w:strike/>
          <w:lang w:eastAsia="en-GB"/>
        </w:rPr>
        <w:t xml:space="preserve">e can </w:t>
      </w:r>
      <w:r w:rsidR="000F13D0" w:rsidRPr="00892F88">
        <w:rPr>
          <w:strike/>
          <w:lang w:eastAsia="en-GB"/>
        </w:rPr>
        <w:t>contribute to this by ensuring</w:t>
      </w:r>
      <w:r w:rsidR="00F43631" w:rsidRPr="00892F88">
        <w:rPr>
          <w:strike/>
          <w:lang w:eastAsia="en-GB"/>
        </w:rPr>
        <w:t xml:space="preserve"> </w:t>
      </w:r>
      <w:r w:rsidR="00661BCC" w:rsidRPr="00892F88">
        <w:rPr>
          <w:strike/>
          <w:lang w:eastAsia="en-GB"/>
        </w:rPr>
        <w:t xml:space="preserve">appropriate </w:t>
      </w:r>
      <w:r w:rsidR="00F43631" w:rsidRPr="00892F88">
        <w:rPr>
          <w:strike/>
          <w:lang w:eastAsia="en-GB"/>
        </w:rPr>
        <w:t>standards are established</w:t>
      </w:r>
      <w:r w:rsidR="00C7128E" w:rsidRPr="00892F88">
        <w:rPr>
          <w:strike/>
          <w:lang w:eastAsia="en-GB"/>
        </w:rPr>
        <w:t xml:space="preserve"> for example handling of equipment, this will</w:t>
      </w:r>
      <w:r w:rsidR="00F43631" w:rsidRPr="00892F88">
        <w:rPr>
          <w:strike/>
          <w:lang w:eastAsia="en-GB"/>
        </w:rPr>
        <w:t xml:space="preserve"> creat</w:t>
      </w:r>
      <w:r w:rsidR="00C7128E" w:rsidRPr="00892F88">
        <w:rPr>
          <w:strike/>
          <w:lang w:eastAsia="en-GB"/>
        </w:rPr>
        <w:t xml:space="preserve">e </w:t>
      </w:r>
      <w:r w:rsidR="008F6DDD" w:rsidRPr="00892F88">
        <w:rPr>
          <w:strike/>
          <w:lang w:eastAsia="en-GB"/>
        </w:rPr>
        <w:t xml:space="preserve">a work environment where </w:t>
      </w:r>
      <w:r w:rsidR="00E4185F" w:rsidRPr="00892F88">
        <w:rPr>
          <w:strike/>
          <w:lang w:eastAsia="en-GB"/>
        </w:rPr>
        <w:t xml:space="preserve">staff are safe to </w:t>
      </w:r>
      <w:r w:rsidR="00C7128E" w:rsidRPr="00892F88">
        <w:rPr>
          <w:strike/>
          <w:lang w:eastAsia="en-GB"/>
        </w:rPr>
        <w:t>practice and reduce the potential of</w:t>
      </w:r>
      <w:r w:rsidR="00B44928" w:rsidRPr="00892F88">
        <w:rPr>
          <w:strike/>
          <w:lang w:eastAsia="en-GB"/>
        </w:rPr>
        <w:t xml:space="preserve"> sickness </w:t>
      </w:r>
      <w:r w:rsidR="004B238F" w:rsidRPr="00892F88">
        <w:rPr>
          <w:strike/>
          <w:lang w:eastAsia="en-GB"/>
        </w:rPr>
        <w:t xml:space="preserve">and increases productivity. </w:t>
      </w:r>
      <w:r w:rsidR="00790CC2" w:rsidRPr="000B220B">
        <w:rPr>
          <w:strike/>
          <w:lang w:eastAsia="en-GB"/>
        </w:rPr>
        <w:t xml:space="preserve">The Equality Act 2010 </w:t>
      </w:r>
      <w:r w:rsidR="00F54CEC" w:rsidRPr="000B220B">
        <w:rPr>
          <w:strike/>
          <w:lang w:eastAsia="en-GB"/>
        </w:rPr>
        <w:t xml:space="preserve">promotes </w:t>
      </w:r>
      <w:r w:rsidR="003F309E" w:rsidRPr="000B220B">
        <w:rPr>
          <w:strike/>
          <w:lang w:eastAsia="en-GB"/>
        </w:rPr>
        <w:t>fairness within the workplace</w:t>
      </w:r>
      <w:r w:rsidR="0094420A" w:rsidRPr="000B220B">
        <w:rPr>
          <w:strike/>
          <w:lang w:eastAsia="en-GB"/>
        </w:rPr>
        <w:t xml:space="preserve"> by protecting </w:t>
      </w:r>
      <w:r w:rsidR="00CF6FE1" w:rsidRPr="000B220B">
        <w:rPr>
          <w:strike/>
          <w:lang w:eastAsia="en-GB"/>
        </w:rPr>
        <w:t>employees’</w:t>
      </w:r>
      <w:r w:rsidR="0094420A" w:rsidRPr="000B220B">
        <w:rPr>
          <w:strike/>
          <w:lang w:eastAsia="en-GB"/>
        </w:rPr>
        <w:t xml:space="preserve"> rights, this helps</w:t>
      </w:r>
      <w:r w:rsidR="003F309E" w:rsidRPr="000B220B">
        <w:rPr>
          <w:strike/>
          <w:lang w:eastAsia="en-GB"/>
        </w:rPr>
        <w:t xml:space="preserve"> to </w:t>
      </w:r>
      <w:r w:rsidR="0094420A" w:rsidRPr="000B220B">
        <w:rPr>
          <w:strike/>
          <w:lang w:eastAsia="en-GB"/>
        </w:rPr>
        <w:t>mitigate</w:t>
      </w:r>
      <w:r w:rsidR="003F309E" w:rsidRPr="000B220B">
        <w:rPr>
          <w:strike/>
          <w:lang w:eastAsia="en-GB"/>
        </w:rPr>
        <w:t xml:space="preserve"> any form of discrimination</w:t>
      </w:r>
      <w:r w:rsidR="0094420A" w:rsidRPr="000B220B">
        <w:rPr>
          <w:strike/>
          <w:lang w:eastAsia="en-GB"/>
        </w:rPr>
        <w:t xml:space="preserve"> </w:t>
      </w:r>
      <w:r w:rsidR="00CF4A80" w:rsidRPr="000B220B">
        <w:rPr>
          <w:strike/>
          <w:lang w:eastAsia="en-GB"/>
        </w:rPr>
        <w:t xml:space="preserve">promoting equal opportunities </w:t>
      </w:r>
      <w:r w:rsidR="0094420A" w:rsidRPr="000B220B">
        <w:rPr>
          <w:strike/>
          <w:lang w:eastAsia="en-GB"/>
        </w:rPr>
        <w:t xml:space="preserve">and safeguard </w:t>
      </w:r>
      <w:r w:rsidR="00C03213" w:rsidRPr="000B220B">
        <w:rPr>
          <w:strike/>
          <w:lang w:eastAsia="en-GB"/>
        </w:rPr>
        <w:t>against unfair dismissal</w:t>
      </w:r>
      <w:r w:rsidR="00B31EC9" w:rsidRPr="000B220B">
        <w:rPr>
          <w:strike/>
          <w:lang w:eastAsia="en-GB"/>
        </w:rPr>
        <w:t xml:space="preserve">, </w:t>
      </w:r>
      <w:r w:rsidR="000C445B" w:rsidRPr="000B220B">
        <w:rPr>
          <w:strike/>
          <w:lang w:eastAsia="en-GB"/>
        </w:rPr>
        <w:t xml:space="preserve">ensuring standards of pay </w:t>
      </w:r>
      <w:r w:rsidR="00E63621" w:rsidRPr="000B220B">
        <w:rPr>
          <w:strike/>
          <w:lang w:eastAsia="en-GB"/>
        </w:rPr>
        <w:t xml:space="preserve">are </w:t>
      </w:r>
      <w:r w:rsidR="00750B47" w:rsidRPr="000B220B">
        <w:rPr>
          <w:strike/>
          <w:lang w:eastAsia="en-GB"/>
        </w:rPr>
        <w:t>equal</w:t>
      </w:r>
      <w:r w:rsidR="003E16F2" w:rsidRPr="000B220B">
        <w:rPr>
          <w:strike/>
          <w:lang w:eastAsia="en-GB"/>
        </w:rPr>
        <w:t xml:space="preserve"> </w:t>
      </w:r>
      <w:r w:rsidR="00DC12D3" w:rsidRPr="000B220B">
        <w:rPr>
          <w:strike/>
          <w:lang w:eastAsia="en-GB"/>
        </w:rPr>
        <w:t>(CIPD, n</w:t>
      </w:r>
      <w:r w:rsidR="005632E0" w:rsidRPr="000B220B">
        <w:rPr>
          <w:strike/>
          <w:lang w:eastAsia="en-GB"/>
        </w:rPr>
        <w:t>o date b</w:t>
      </w:r>
      <w:r w:rsidR="00DC12D3" w:rsidRPr="000B220B">
        <w:rPr>
          <w:strike/>
          <w:lang w:eastAsia="en-GB"/>
        </w:rPr>
        <w:t>).</w:t>
      </w:r>
      <w:r w:rsidR="00FA2098" w:rsidRPr="000B220B">
        <w:rPr>
          <w:rFonts w:cs="Arial"/>
          <w:strike/>
          <w:color w:val="202020"/>
          <w:shd w:val="clear" w:color="auto" w:fill="F7F5F3"/>
        </w:rPr>
        <w:t xml:space="preserve"> </w:t>
      </w:r>
      <w:r w:rsidR="00B31EC9" w:rsidRPr="000B220B">
        <w:rPr>
          <w:strike/>
          <w:lang w:eastAsia="en-GB"/>
        </w:rPr>
        <w:t>T</w:t>
      </w:r>
      <w:r w:rsidR="00F767DA" w:rsidRPr="000B220B">
        <w:rPr>
          <w:strike/>
          <w:lang w:eastAsia="en-GB"/>
        </w:rPr>
        <w:t xml:space="preserve">his contributes to an inclusive workplace </w:t>
      </w:r>
      <w:r w:rsidR="00B31EC9" w:rsidRPr="000B220B">
        <w:rPr>
          <w:strike/>
          <w:lang w:eastAsia="en-GB"/>
        </w:rPr>
        <w:t>which</w:t>
      </w:r>
      <w:r w:rsidR="001D2827" w:rsidRPr="000B220B">
        <w:rPr>
          <w:strike/>
          <w:lang w:eastAsia="en-GB"/>
        </w:rPr>
        <w:t xml:space="preserve"> can foster a positive work en</w:t>
      </w:r>
      <w:r w:rsidR="00B31EC9" w:rsidRPr="000B220B">
        <w:rPr>
          <w:strike/>
          <w:lang w:eastAsia="en-GB"/>
        </w:rPr>
        <w:t>vironment and boost staff morale</w:t>
      </w:r>
      <w:r w:rsidR="002B7C32" w:rsidRPr="000B220B">
        <w:rPr>
          <w:strike/>
          <w:lang w:eastAsia="en-GB"/>
        </w:rPr>
        <w:t xml:space="preserve"> (Daniels, 2022).</w:t>
      </w:r>
    </w:p>
    <w:p w14:paraId="15BA9205" w14:textId="77777777" w:rsidR="000B220B" w:rsidRDefault="000B220B" w:rsidP="003A1D46">
      <w:pPr>
        <w:rPr>
          <w:lang w:eastAsia="en-GB"/>
        </w:rPr>
      </w:pPr>
    </w:p>
    <w:p w14:paraId="0B365C54" w14:textId="77777777" w:rsidR="00396549" w:rsidRDefault="00396549" w:rsidP="003A1D46">
      <w:pPr>
        <w:rPr>
          <w:lang w:eastAsia="en-GB"/>
        </w:rPr>
      </w:pPr>
    </w:p>
    <w:p w14:paraId="096449C1" w14:textId="5986746C" w:rsidR="00C35CCC" w:rsidRPr="008721CE" w:rsidRDefault="00396549" w:rsidP="3ED70C7D">
      <w:pPr>
        <w:rPr>
          <w:strike/>
          <w:lang w:eastAsia="en-GB"/>
        </w:rPr>
      </w:pPr>
      <w:r w:rsidRPr="00D66A20">
        <w:rPr>
          <w:strike/>
          <w:lang w:eastAsia="en-GB"/>
        </w:rPr>
        <w:t xml:space="preserve">To support staff morale </w:t>
      </w:r>
      <w:r w:rsidR="0090390C" w:rsidRPr="00D66A20">
        <w:rPr>
          <w:strike/>
          <w:lang w:eastAsia="en-GB"/>
        </w:rPr>
        <w:t xml:space="preserve">and retention </w:t>
      </w:r>
      <w:r w:rsidRPr="00D66A20">
        <w:rPr>
          <w:strike/>
          <w:lang w:eastAsia="en-GB"/>
        </w:rPr>
        <w:t xml:space="preserve">we can </w:t>
      </w:r>
      <w:r w:rsidR="0090390C" w:rsidRPr="00D66A20">
        <w:rPr>
          <w:strike/>
          <w:lang w:eastAsia="en-GB"/>
        </w:rPr>
        <w:t>promote a better work-life balance for our employees by</w:t>
      </w:r>
      <w:r w:rsidR="004421FD" w:rsidRPr="00D66A20">
        <w:rPr>
          <w:strike/>
          <w:lang w:eastAsia="en-GB"/>
        </w:rPr>
        <w:t xml:space="preserve"> sharing </w:t>
      </w:r>
      <w:r w:rsidR="004B0DB5" w:rsidRPr="00D66A20">
        <w:rPr>
          <w:strike/>
          <w:lang w:eastAsia="en-GB"/>
        </w:rPr>
        <w:t>regulations on working hours such as flexible working</w:t>
      </w:r>
      <w:r w:rsidR="002078CF" w:rsidRPr="00D66A20">
        <w:rPr>
          <w:strike/>
          <w:lang w:eastAsia="en-GB"/>
        </w:rPr>
        <w:t>, rest breaks</w:t>
      </w:r>
      <w:r w:rsidR="00B34698" w:rsidRPr="00D66A20">
        <w:rPr>
          <w:strike/>
          <w:lang w:eastAsia="en-GB"/>
        </w:rPr>
        <w:t xml:space="preserve"> and other leave entitlement</w:t>
      </w:r>
      <w:r w:rsidR="0098145A" w:rsidRPr="00D66A20">
        <w:rPr>
          <w:strike/>
          <w:lang w:eastAsia="en-GB"/>
        </w:rPr>
        <w:t xml:space="preserve"> </w:t>
      </w:r>
      <w:r w:rsidR="00DD1BFD" w:rsidRPr="00D66A20">
        <w:rPr>
          <w:strike/>
          <w:lang w:eastAsia="en-GB"/>
        </w:rPr>
        <w:t>(CIPD n</w:t>
      </w:r>
      <w:r w:rsidR="0032678E" w:rsidRPr="00D66A20">
        <w:rPr>
          <w:strike/>
          <w:lang w:eastAsia="en-GB"/>
        </w:rPr>
        <w:t xml:space="preserve">o date </w:t>
      </w:r>
      <w:r w:rsidR="005632E0" w:rsidRPr="00D66A20">
        <w:rPr>
          <w:strike/>
          <w:lang w:eastAsia="en-GB"/>
        </w:rPr>
        <w:t>b</w:t>
      </w:r>
      <w:r w:rsidR="00DD1BFD" w:rsidRPr="00D66A20">
        <w:rPr>
          <w:strike/>
          <w:lang w:eastAsia="en-GB"/>
        </w:rPr>
        <w:t>).</w:t>
      </w:r>
      <w:r w:rsidR="00F31511" w:rsidRPr="008721CE">
        <w:rPr>
          <w:strike/>
        </w:rPr>
        <w:t xml:space="preserve">It's also important to show our commitment to </w:t>
      </w:r>
      <w:r w:rsidR="00610B9A" w:rsidRPr="008721CE">
        <w:rPr>
          <w:strike/>
        </w:rPr>
        <w:t xml:space="preserve">positively supporting </w:t>
      </w:r>
      <w:r w:rsidR="00F31511" w:rsidRPr="008721CE">
        <w:rPr>
          <w:strike/>
        </w:rPr>
        <w:t xml:space="preserve">staff morale by informing employees about relevant policies that address and manage workplace conflicts, which may </w:t>
      </w:r>
      <w:r w:rsidR="00755370" w:rsidRPr="008721CE">
        <w:rPr>
          <w:strike/>
        </w:rPr>
        <w:t>foster a</w:t>
      </w:r>
      <w:r w:rsidR="00F31511" w:rsidRPr="008721CE">
        <w:rPr>
          <w:strike/>
        </w:rPr>
        <w:t xml:space="preserve"> negative environment</w:t>
      </w:r>
      <w:r w:rsidR="00EE490D" w:rsidRPr="008721CE">
        <w:rPr>
          <w:strike/>
        </w:rPr>
        <w:t xml:space="preserve"> </w:t>
      </w:r>
      <w:r w:rsidR="00CE5254" w:rsidRPr="008721CE">
        <w:rPr>
          <w:strike/>
        </w:rPr>
        <w:t xml:space="preserve">Early </w:t>
      </w:r>
      <w:r w:rsidR="00CE5254" w:rsidRPr="008721CE">
        <w:rPr>
          <w:strike/>
        </w:rPr>
        <w:lastRenderedPageBreak/>
        <w:t xml:space="preserve">informal intervention can support the </w:t>
      </w:r>
      <w:r w:rsidR="00755370" w:rsidRPr="008721CE">
        <w:rPr>
          <w:strike/>
        </w:rPr>
        <w:t>organisation</w:t>
      </w:r>
      <w:r w:rsidR="00CE5254" w:rsidRPr="008721CE">
        <w:rPr>
          <w:strike/>
        </w:rPr>
        <w:t xml:space="preserve"> to avoid legal disputes</w:t>
      </w:r>
      <w:r w:rsidR="00787ED7" w:rsidRPr="008721CE">
        <w:rPr>
          <w:strike/>
        </w:rPr>
        <w:t xml:space="preserve"> which can be costly and time consuming therefore </w:t>
      </w:r>
      <w:r w:rsidR="00E91F84" w:rsidRPr="008721CE">
        <w:rPr>
          <w:strike/>
        </w:rPr>
        <w:t>understanding</w:t>
      </w:r>
      <w:r w:rsidR="00787ED7" w:rsidRPr="008721CE">
        <w:rPr>
          <w:strike/>
        </w:rPr>
        <w:t xml:space="preserve"> the importanc</w:t>
      </w:r>
      <w:r w:rsidR="00E91F84" w:rsidRPr="008721CE">
        <w:rPr>
          <w:strike/>
        </w:rPr>
        <w:t>e of legal compliance is a vital part of our role</w:t>
      </w:r>
      <w:r w:rsidR="00210588" w:rsidRPr="008721CE">
        <w:rPr>
          <w:strike/>
        </w:rPr>
        <w:t xml:space="preserve">. </w:t>
      </w:r>
      <w:r w:rsidR="00755370" w:rsidRPr="008721CE">
        <w:rPr>
          <w:strike/>
        </w:rPr>
        <w:t xml:space="preserve">This can be achieved through resolving disputes in a timely manner through support services such as mediation or facilitated conversations. </w:t>
      </w:r>
      <w:r w:rsidR="00C35CCC" w:rsidRPr="008721CE">
        <w:rPr>
          <w:strike/>
        </w:rPr>
        <w:t xml:space="preserve">This work ethic will also contribute to long term succession planning and </w:t>
      </w:r>
      <w:r w:rsidR="006F3F84" w:rsidRPr="008721CE">
        <w:rPr>
          <w:strike/>
        </w:rPr>
        <w:t xml:space="preserve">retention of </w:t>
      </w:r>
      <w:r w:rsidR="3EE52813" w:rsidRPr="008721CE">
        <w:rPr>
          <w:strike/>
        </w:rPr>
        <w:t>existing</w:t>
      </w:r>
      <w:r w:rsidR="006F3F84" w:rsidRPr="008721CE">
        <w:rPr>
          <w:strike/>
        </w:rPr>
        <w:t xml:space="preserve"> and future employees. </w:t>
      </w:r>
      <w:r w:rsidR="09754D2F" w:rsidRPr="008721CE">
        <w:rPr>
          <w:strike/>
        </w:rPr>
        <w:t xml:space="preserve">  </w:t>
      </w:r>
    </w:p>
    <w:p w14:paraId="1C15E197" w14:textId="38B08D6D" w:rsidR="00685D5A" w:rsidRPr="00685D5A" w:rsidRDefault="00685D5A" w:rsidP="00685D5A">
      <w:pPr>
        <w:rPr>
          <w:lang w:eastAsia="en-GB"/>
        </w:rPr>
      </w:pPr>
    </w:p>
    <w:p w14:paraId="0E7C1994" w14:textId="58726C46" w:rsidR="00685D5A" w:rsidRPr="00685D5A" w:rsidRDefault="00685D5A" w:rsidP="00685D5A">
      <w:pPr>
        <w:rPr>
          <w:lang w:eastAsia="en-GB"/>
        </w:rPr>
      </w:pPr>
    </w:p>
    <w:p w14:paraId="7C61344D" w14:textId="77777777" w:rsidR="000866FB" w:rsidRPr="00922731" w:rsidRDefault="000866FB" w:rsidP="000866FB">
      <w:pPr>
        <w:spacing w:line="240" w:lineRule="auto"/>
        <w:rPr>
          <w:rFonts w:ascii="Trebuchet MS" w:hAnsi="Trebuchet MS"/>
          <w:b/>
          <w:bCs/>
        </w:rPr>
      </w:pPr>
    </w:p>
    <w:p w14:paraId="3820724C" w14:textId="77777777"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2 (AC 1.2)</w:t>
      </w:r>
    </w:p>
    <w:p w14:paraId="4FCD9F0E" w14:textId="77777777" w:rsidR="000866FB" w:rsidRPr="00922731" w:rsidRDefault="000866FB" w:rsidP="000866FB">
      <w:pPr>
        <w:spacing w:line="240" w:lineRule="auto"/>
        <w:rPr>
          <w:rFonts w:ascii="Trebuchet MS" w:hAnsi="Trebuchet MS"/>
          <w:b/>
          <w:bCs/>
        </w:rPr>
      </w:pPr>
    </w:p>
    <w:p w14:paraId="1E5BC6F0" w14:textId="77777777" w:rsidR="000866FB" w:rsidRDefault="000866FB" w:rsidP="000866FB">
      <w:pPr>
        <w:spacing w:line="240" w:lineRule="auto"/>
        <w:rPr>
          <w:rFonts w:ascii="Trebuchet MS" w:hAnsi="Trebuchet MS"/>
        </w:rPr>
      </w:pPr>
      <w:r w:rsidRPr="00922731">
        <w:rPr>
          <w:rFonts w:ascii="Trebuchet MS" w:hAnsi="Trebuchet M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340447B5" w14:textId="77777777" w:rsidR="00FE7AA5" w:rsidRDefault="00FE7AA5" w:rsidP="000866FB">
      <w:pPr>
        <w:spacing w:line="240" w:lineRule="auto"/>
        <w:rPr>
          <w:rFonts w:ascii="Trebuchet MS" w:hAnsi="Trebuchet MS"/>
        </w:rPr>
      </w:pPr>
    </w:p>
    <w:p w14:paraId="795CEAF3" w14:textId="77777777" w:rsidR="00E661A7" w:rsidRDefault="00E661A7" w:rsidP="000866FB">
      <w:pPr>
        <w:spacing w:line="240" w:lineRule="auto"/>
        <w:rPr>
          <w:rFonts w:ascii="Trebuchet MS" w:hAnsi="Trebuchet MS"/>
        </w:rPr>
      </w:pPr>
    </w:p>
    <w:p w14:paraId="4C2DE94A" w14:textId="0250E9C6" w:rsidR="00E661A7" w:rsidRPr="009E504D" w:rsidRDefault="00E661A7" w:rsidP="00E661A7">
      <w:pPr>
        <w:rPr>
          <w:strike/>
        </w:rPr>
      </w:pPr>
      <w:r w:rsidRPr="009E504D">
        <w:rPr>
          <w:strike/>
        </w:rPr>
        <w:t>The UK voted to leave the EU in 2016 and completed Brexit on December 31, 2020 (CIPD, no date c). This gave the UK Government the power to change or override existing EU laws. The Retained EU Law (Revocation and Reform) Act 2023 revokes certain retained EU laws, introduces sunset clauses for many laws to expire by the end of 2023 unless preserved, abolishes EU law supremacy, creates 'assimilated law' to adapt former EU laws to the UK framework, and allows the UK Government to update or replace retained EU laws (CIPD, no date c). A 'non-regression' arrangement ensures that employment standards from 2020 are largely maintained. The UK is not required to adopt new EU regulations, except in certain areas of Northern Ireland (CIPD, no date c).</w:t>
      </w:r>
    </w:p>
    <w:p w14:paraId="25EEA9A2" w14:textId="77777777" w:rsidR="009B5F8D" w:rsidRDefault="009B5F8D" w:rsidP="00614473"/>
    <w:p w14:paraId="7FEBE7DF" w14:textId="3373024C" w:rsidR="001E330E" w:rsidRDefault="009E504D" w:rsidP="009E504D">
      <w:pPr>
        <w:rPr>
          <w:color w:val="FF0000"/>
          <w:sz w:val="24"/>
        </w:rPr>
      </w:pPr>
      <w:r w:rsidRPr="009E504D">
        <w:rPr>
          <w:color w:val="FF0000"/>
          <w:sz w:val="24"/>
        </w:rPr>
        <w:t>Since the UK formally exited the EU in 2020, the treatment of European Court of Justice (ECJ) rulings in UK employment law has undergone significant change</w:t>
      </w:r>
      <w:r w:rsidR="005513C6">
        <w:rPr>
          <w:color w:val="FF0000"/>
          <w:sz w:val="24"/>
        </w:rPr>
        <w:t xml:space="preserve"> (CIPD, 2024e).</w:t>
      </w:r>
      <w:r w:rsidRPr="009E504D">
        <w:rPr>
          <w:color w:val="FF0000"/>
          <w:sz w:val="24"/>
        </w:rPr>
        <w:t xml:space="preserve"> Prior to Brexit, UK courts were required to follow ECJ decisions to ensure alignment with EU legal standards. However, following the UK's withdrawal, that obligation ended, and ECJ judgments no longer carry binding authority in the UK (CIPD, 2024</w:t>
      </w:r>
      <w:r w:rsidR="005513C6">
        <w:rPr>
          <w:color w:val="FF0000"/>
          <w:sz w:val="24"/>
        </w:rPr>
        <w:t>e</w:t>
      </w:r>
      <w:r w:rsidRPr="009E504D">
        <w:rPr>
          <w:color w:val="FF0000"/>
          <w:sz w:val="24"/>
        </w:rPr>
        <w:t>). The introduction of Retained EU Law played a crucial role in addressing how existing ECJ rulings would be handled post-Brexit, enabling UK courts to interpret them within a newly defined, domestic legal framework (GOV.UK, 2020).</w:t>
      </w:r>
    </w:p>
    <w:p w14:paraId="40B320EE" w14:textId="77777777" w:rsidR="00BE19C4" w:rsidRDefault="00BE19C4" w:rsidP="009E504D">
      <w:pPr>
        <w:rPr>
          <w:color w:val="FF0000"/>
          <w:sz w:val="24"/>
        </w:rPr>
      </w:pPr>
    </w:p>
    <w:p w14:paraId="1A598256" w14:textId="1AC3AF32" w:rsidR="00BE19C4" w:rsidRDefault="00BE19C4" w:rsidP="00BE19C4">
      <w:pPr>
        <w:rPr>
          <w:color w:val="FF0000"/>
          <w:sz w:val="24"/>
        </w:rPr>
      </w:pPr>
      <w:r w:rsidRPr="00BE19C4">
        <w:rPr>
          <w:color w:val="FF0000"/>
          <w:sz w:val="24"/>
        </w:rPr>
        <w:t>To ensure legal continuity after Brexit, the UK introduced the European Union (Withdrawal) Act 2018. This legislation allowed EU law to be carried over into domestic law as “retained EU law,” helping to avoid any sudden legal gaps. EU regulations, directives, and decisions that were in force at the time of the UK’s exit continue to apply unless they’ve been formally amended or repealed by UK legislation (</w:t>
      </w:r>
      <w:proofErr w:type="spellStart"/>
      <w:r w:rsidRPr="00BE19C4">
        <w:rPr>
          <w:color w:val="FF0000"/>
          <w:sz w:val="24"/>
        </w:rPr>
        <w:t>Thorneloe</w:t>
      </w:r>
      <w:proofErr w:type="spellEnd"/>
      <w:r w:rsidRPr="00BE19C4">
        <w:rPr>
          <w:color w:val="FF0000"/>
          <w:sz w:val="24"/>
        </w:rPr>
        <w:t>, 2021; GOV.UK, 2018).</w:t>
      </w:r>
    </w:p>
    <w:p w14:paraId="7ADA5911" w14:textId="77777777" w:rsidR="00B1662F" w:rsidRDefault="00B1662F" w:rsidP="00BE19C4">
      <w:pPr>
        <w:rPr>
          <w:color w:val="FF0000"/>
          <w:sz w:val="24"/>
        </w:rPr>
      </w:pPr>
    </w:p>
    <w:p w14:paraId="552279AA" w14:textId="64AEECDD" w:rsidR="00B1662F" w:rsidRPr="00B1662F" w:rsidRDefault="00B1662F" w:rsidP="00B1662F">
      <w:pPr>
        <w:rPr>
          <w:color w:val="FF0000"/>
          <w:sz w:val="24"/>
        </w:rPr>
      </w:pPr>
      <w:r w:rsidRPr="00B1662F">
        <w:rPr>
          <w:color w:val="FF0000"/>
          <w:sz w:val="24"/>
        </w:rPr>
        <w:t>Legal decisions made by the European Court of Justice (ECJ) before the UK’s withdrawal from the EU remain part of retained EU law and continue to carry binding authority in UK courts</w:t>
      </w:r>
      <w:r w:rsidR="001A270B">
        <w:rPr>
          <w:color w:val="FF0000"/>
          <w:sz w:val="24"/>
        </w:rPr>
        <w:t xml:space="preserve"> (CIPD, 2024e).</w:t>
      </w:r>
      <w:r w:rsidRPr="00B1662F">
        <w:rPr>
          <w:color w:val="FF0000"/>
          <w:sz w:val="24"/>
        </w:rPr>
        <w:t xml:space="preserve"> When interpreting retained EU law, UK judges are generally expected to follow these pre-Brexit ECJ rulings</w:t>
      </w:r>
      <w:r w:rsidR="001A270B">
        <w:rPr>
          <w:color w:val="FF0000"/>
          <w:sz w:val="24"/>
        </w:rPr>
        <w:t xml:space="preserve"> (CIPD, 2024e).</w:t>
      </w:r>
      <w:r w:rsidRPr="00B1662F">
        <w:rPr>
          <w:color w:val="FF0000"/>
          <w:sz w:val="24"/>
        </w:rPr>
        <w:t xml:space="preserve"> However, the UK Supreme Court and the Court of Appeal have the discretion to depart from these decisions when there are compelling reasons to do so (Hogarth, </w:t>
      </w:r>
      <w:r w:rsidRPr="00B1662F">
        <w:rPr>
          <w:color w:val="FF0000"/>
          <w:sz w:val="24"/>
        </w:rPr>
        <w:lastRenderedPageBreak/>
        <w:t>2024). This framework gives higher courts the flexibility to diverge from EU case law where necessary, while still operating within a structured legal system (CIPD, 2024</w:t>
      </w:r>
      <w:r w:rsidR="001A270B">
        <w:rPr>
          <w:color w:val="FF0000"/>
          <w:sz w:val="24"/>
        </w:rPr>
        <w:t>e</w:t>
      </w:r>
      <w:r w:rsidRPr="00B1662F">
        <w:rPr>
          <w:color w:val="FF0000"/>
          <w:sz w:val="24"/>
        </w:rPr>
        <w:t>).</w:t>
      </w:r>
    </w:p>
    <w:p w14:paraId="137F878A" w14:textId="77777777" w:rsidR="009E504D" w:rsidRDefault="009E504D" w:rsidP="00614473"/>
    <w:p w14:paraId="65B3D4D9" w14:textId="21CCEBD8" w:rsidR="000715AA" w:rsidRDefault="008855FC" w:rsidP="00C71949">
      <w:pPr>
        <w:rPr>
          <w:strike/>
        </w:rPr>
      </w:pPr>
      <w:r w:rsidRPr="0018508B">
        <w:rPr>
          <w:strike/>
        </w:rPr>
        <w:t xml:space="preserve">Key retained provisions include maintaining working time records, rolled-up holiday pay, and a 12.07% holiday accrual rate for irregular workers. Additionally, there are adjusted TUPE consultation rules and specific definitions for leave carryover and the "normal" pay rate for statutory </w:t>
      </w:r>
      <w:r w:rsidR="000715AA" w:rsidRPr="0018508B">
        <w:rPr>
          <w:strike/>
        </w:rPr>
        <w:t>leave</w:t>
      </w:r>
      <w:r w:rsidR="004837B5" w:rsidRPr="0018508B">
        <w:rPr>
          <w:strike/>
        </w:rPr>
        <w:t xml:space="preserve"> (CIPD, n</w:t>
      </w:r>
      <w:r w:rsidR="00C23552" w:rsidRPr="0018508B">
        <w:rPr>
          <w:strike/>
        </w:rPr>
        <w:t>o date c</w:t>
      </w:r>
      <w:r w:rsidR="004837B5" w:rsidRPr="0018508B">
        <w:rPr>
          <w:strike/>
        </w:rPr>
        <w:t xml:space="preserve">). </w:t>
      </w:r>
      <w:r w:rsidR="000715AA" w:rsidRPr="0018508B">
        <w:rPr>
          <w:strike/>
        </w:rPr>
        <w:t>These</w:t>
      </w:r>
      <w:r w:rsidR="00F95D6E" w:rsidRPr="0018508B">
        <w:rPr>
          <w:strike/>
        </w:rPr>
        <w:t xml:space="preserve"> judgments continue to be binding on UK courts until they are either overturned by a higher UK court or replaced by new UK legislation.</w:t>
      </w:r>
      <w:r w:rsidR="00684F62" w:rsidRPr="0018508B">
        <w:rPr>
          <w:strike/>
        </w:rPr>
        <w:t xml:space="preserve"> However, although pre-Brexit ECJ judgments remain binding, UK courts now have the discretion to depart from them. </w:t>
      </w:r>
    </w:p>
    <w:p w14:paraId="253A9876" w14:textId="77777777" w:rsidR="00B60A60" w:rsidRPr="003A456F" w:rsidRDefault="00B60A60" w:rsidP="003A456F">
      <w:pPr>
        <w:rPr>
          <w:color w:val="FF0000"/>
          <w:sz w:val="24"/>
        </w:rPr>
      </w:pPr>
    </w:p>
    <w:p w14:paraId="6C09C153" w14:textId="25C1B433" w:rsidR="003A456F" w:rsidRDefault="003A456F" w:rsidP="003A456F">
      <w:pPr>
        <w:rPr>
          <w:color w:val="FF0000"/>
          <w:sz w:val="24"/>
        </w:rPr>
      </w:pPr>
      <w:r w:rsidRPr="003A456F">
        <w:rPr>
          <w:color w:val="FF0000"/>
          <w:sz w:val="24"/>
        </w:rPr>
        <w:t>The case of </w:t>
      </w:r>
      <w:proofErr w:type="spellStart"/>
      <w:r w:rsidRPr="003A456F">
        <w:rPr>
          <w:color w:val="FF0000"/>
          <w:sz w:val="24"/>
        </w:rPr>
        <w:t>Federación</w:t>
      </w:r>
      <w:proofErr w:type="spellEnd"/>
      <w:r w:rsidRPr="003A456F">
        <w:rPr>
          <w:color w:val="FF0000"/>
          <w:sz w:val="24"/>
        </w:rPr>
        <w:t xml:space="preserve"> de </w:t>
      </w:r>
      <w:proofErr w:type="spellStart"/>
      <w:r w:rsidRPr="003A456F">
        <w:rPr>
          <w:color w:val="FF0000"/>
          <w:sz w:val="24"/>
        </w:rPr>
        <w:t>Servicios</w:t>
      </w:r>
      <w:proofErr w:type="spellEnd"/>
      <w:r w:rsidRPr="003A456F">
        <w:rPr>
          <w:color w:val="FF0000"/>
          <w:sz w:val="24"/>
        </w:rPr>
        <w:t xml:space="preserve"> de </w:t>
      </w:r>
      <w:proofErr w:type="spellStart"/>
      <w:r w:rsidRPr="003A456F">
        <w:rPr>
          <w:color w:val="FF0000"/>
          <w:sz w:val="24"/>
        </w:rPr>
        <w:t>Comisiones</w:t>
      </w:r>
      <w:proofErr w:type="spellEnd"/>
      <w:r w:rsidRPr="003A456F">
        <w:rPr>
          <w:color w:val="FF0000"/>
          <w:sz w:val="24"/>
        </w:rPr>
        <w:t xml:space="preserve"> </w:t>
      </w:r>
      <w:proofErr w:type="spellStart"/>
      <w:r w:rsidRPr="003A456F">
        <w:rPr>
          <w:color w:val="FF0000"/>
          <w:sz w:val="24"/>
        </w:rPr>
        <w:t>Obreras</w:t>
      </w:r>
      <w:proofErr w:type="spellEnd"/>
      <w:r w:rsidRPr="003A456F">
        <w:rPr>
          <w:color w:val="FF0000"/>
          <w:sz w:val="24"/>
        </w:rPr>
        <w:t xml:space="preserve"> (CCOO) v Deutsche Bank SAE (CJEU Case C-55/18) highlights how pre-Brexit European Court of Justice (ECJ) rulings continue to influence UK employment law and protect workers’ rights. In this case, the ECJ ruled that employers must implement a system to record employees’ actual daily working hours to ensure compliance with the Working Time Directive. This was to safeguard workers’ rights to rest breaks and to limit maximum working hours. As the judgment was issued before the UK’s withdrawal from the EU, it forms part of retained EU law and remains binding on UK courts. Unless the UK Supreme Court or the Court of Appeal chooses to depart from it, UK courts are expected to follow this precedent. Therefore, if a similar case arises in the UK, courts are likely to refer to this ECJ decision to ensure alignment with the Working Time Regulations (CIPD, 2024</w:t>
      </w:r>
      <w:r w:rsidR="001A270B">
        <w:rPr>
          <w:color w:val="FF0000"/>
          <w:sz w:val="24"/>
        </w:rPr>
        <w:t>e</w:t>
      </w:r>
      <w:r w:rsidRPr="003A456F">
        <w:rPr>
          <w:color w:val="FF0000"/>
          <w:sz w:val="24"/>
        </w:rPr>
        <w:t>; GOV.UK, 2020).</w:t>
      </w:r>
    </w:p>
    <w:p w14:paraId="5A2432FD" w14:textId="77777777" w:rsidR="00705547" w:rsidRDefault="00705547" w:rsidP="003A456F">
      <w:pPr>
        <w:rPr>
          <w:color w:val="FF0000"/>
          <w:sz w:val="24"/>
        </w:rPr>
      </w:pPr>
    </w:p>
    <w:p w14:paraId="0F08B028" w14:textId="3801D72F" w:rsidR="00705547" w:rsidRPr="00705547" w:rsidRDefault="00705547" w:rsidP="00705547">
      <w:pPr>
        <w:rPr>
          <w:color w:val="FF0000"/>
          <w:sz w:val="24"/>
        </w:rPr>
      </w:pPr>
      <w:r w:rsidRPr="00705547">
        <w:rPr>
          <w:color w:val="FF0000"/>
          <w:sz w:val="24"/>
        </w:rPr>
        <w:t>Employment tribunals are the UK’s primary venue for resolving disputes over unfair dismissal, discrimination, and pay, offering workers a way to challenge misapplications of employment law (GOV.UK, 2025a). The Employment Appeal Tribunal review these decisions and helps shape how employment law is applied.</w:t>
      </w:r>
    </w:p>
    <w:p w14:paraId="5B5AAC92" w14:textId="615B106D" w:rsidR="00705547" w:rsidRPr="00705547" w:rsidRDefault="00705547" w:rsidP="00705547">
      <w:pPr>
        <w:rPr>
          <w:color w:val="FF0000"/>
          <w:sz w:val="24"/>
        </w:rPr>
      </w:pPr>
      <w:r w:rsidRPr="00705547">
        <w:rPr>
          <w:color w:val="FF0000"/>
          <w:sz w:val="24"/>
        </w:rPr>
        <w:t>Pre-Brexit ECJ rulings remain part of retained EU law and still carry legal weight, though UK courts can now depart from them when justified (GOV.UK, 2025b). While post-Brexit ECJ decisions are no longer binding, UK judges may still refer to them for guidance.</w:t>
      </w:r>
      <w:r w:rsidR="00027768">
        <w:rPr>
          <w:color w:val="FF0000"/>
          <w:sz w:val="24"/>
        </w:rPr>
        <w:t xml:space="preserve"> According to the CIPD (2024</w:t>
      </w:r>
      <w:r w:rsidR="001A270B">
        <w:rPr>
          <w:color w:val="FF0000"/>
          <w:sz w:val="24"/>
        </w:rPr>
        <w:t>d</w:t>
      </w:r>
      <w:r w:rsidR="00027768">
        <w:rPr>
          <w:color w:val="FF0000"/>
          <w:sz w:val="24"/>
        </w:rPr>
        <w:t>)</w:t>
      </w:r>
      <w:r w:rsidRPr="00705547">
        <w:rPr>
          <w:color w:val="FF0000"/>
          <w:sz w:val="24"/>
        </w:rPr>
        <w:t xml:space="preserve"> </w:t>
      </w:r>
      <w:r w:rsidR="009E493D">
        <w:rPr>
          <w:color w:val="FF0000"/>
          <w:sz w:val="24"/>
        </w:rPr>
        <w:t>t</w:t>
      </w:r>
      <w:r w:rsidRPr="00705547">
        <w:rPr>
          <w:color w:val="FF0000"/>
          <w:sz w:val="24"/>
        </w:rPr>
        <w:t>he tribunal and court system continues to evolve in response to the post-Brexit legal landscape</w:t>
      </w:r>
      <w:r w:rsidR="00027768">
        <w:rPr>
          <w:color w:val="FF0000"/>
          <w:sz w:val="24"/>
        </w:rPr>
        <w:t xml:space="preserve">. </w:t>
      </w:r>
    </w:p>
    <w:p w14:paraId="5232584F" w14:textId="77777777" w:rsidR="00705547" w:rsidRPr="003A456F" w:rsidRDefault="00705547" w:rsidP="003A456F">
      <w:pPr>
        <w:rPr>
          <w:color w:val="FF0000"/>
          <w:sz w:val="24"/>
        </w:rPr>
      </w:pPr>
    </w:p>
    <w:p w14:paraId="78F0B5CC" w14:textId="77777777" w:rsidR="000715AA" w:rsidRDefault="000715AA" w:rsidP="00614473"/>
    <w:p w14:paraId="07541C7C" w14:textId="19E8CFC8" w:rsidR="00DB25EA" w:rsidRPr="000334C5" w:rsidRDefault="00EA7891" w:rsidP="00614473">
      <w:pPr>
        <w:rPr>
          <w:strike/>
        </w:rPr>
      </w:pPr>
      <w:r w:rsidRPr="000334C5">
        <w:rPr>
          <w:strike/>
        </w:rPr>
        <w:t>The Retained EU Law referral process involves several steps through the UK judicial system</w:t>
      </w:r>
      <w:r w:rsidR="00E65426" w:rsidRPr="000334C5">
        <w:rPr>
          <w:strike/>
        </w:rPr>
        <w:t xml:space="preserve">. If a legal issue emerges from an employment tribunal decision, it can be appealed to the Employment Appeal Tribunal (EAT). The EAT examines cases to identify any legal errors in the original tribunal's </w:t>
      </w:r>
      <w:r w:rsidR="00E11171" w:rsidRPr="000334C5">
        <w:rPr>
          <w:strike/>
        </w:rPr>
        <w:t>decision.</w:t>
      </w:r>
      <w:r w:rsidR="00E07330" w:rsidRPr="000334C5">
        <w:rPr>
          <w:strike/>
        </w:rPr>
        <w:t xml:space="preserve"> If the EAT's decision is challenged, the case can be escalated to the Court of Appeal. This court reviews the legal principles and interpretations used by the EAT</w:t>
      </w:r>
      <w:r w:rsidR="00EB3025" w:rsidRPr="000334C5">
        <w:rPr>
          <w:strike/>
        </w:rPr>
        <w:t>.</w:t>
      </w:r>
      <w:r w:rsidR="002F6C08" w:rsidRPr="000334C5">
        <w:rPr>
          <w:strike/>
        </w:rPr>
        <w:t xml:space="preserve"> The final stage of appeal is the UK Supreme Court. This court has the authority to make definitive rulings on legal issues, including those involving retained EU law.</w:t>
      </w:r>
    </w:p>
    <w:p w14:paraId="24FCE0D7" w14:textId="77777777" w:rsidR="000F0E0C" w:rsidRDefault="000F0E0C" w:rsidP="00614473"/>
    <w:p w14:paraId="6874E447" w14:textId="7289AE86" w:rsidR="00F7493A" w:rsidRPr="000D5EFB" w:rsidRDefault="00F7493A" w:rsidP="5EEF6F9E">
      <w:pPr>
        <w:spacing w:line="240" w:lineRule="auto"/>
        <w:rPr>
          <w:rFonts w:eastAsia="Arial" w:cs="Arial"/>
          <w:color w:val="000000" w:themeColor="text1"/>
          <w:szCs w:val="22"/>
        </w:rPr>
      </w:pPr>
    </w:p>
    <w:p w14:paraId="07872168" w14:textId="5CE4BD61" w:rsidR="00D27E76" w:rsidRPr="003A456F" w:rsidRDefault="00D27E76" w:rsidP="00063137">
      <w:pPr>
        <w:rPr>
          <w:strike/>
        </w:rPr>
      </w:pPr>
      <w:r w:rsidRPr="003A456F">
        <w:rPr>
          <w:rFonts w:eastAsia="Arial" w:cs="Arial"/>
          <w:strike/>
          <w:color w:val="000000" w:themeColor="text1"/>
          <w:szCs w:val="22"/>
        </w:rPr>
        <w:t xml:space="preserve">The following </w:t>
      </w:r>
      <w:r w:rsidR="00063137" w:rsidRPr="003A456F">
        <w:rPr>
          <w:rFonts w:eastAsia="Arial" w:cs="Arial"/>
          <w:strike/>
          <w:color w:val="000000" w:themeColor="text1"/>
          <w:szCs w:val="22"/>
        </w:rPr>
        <w:t xml:space="preserve">case </w:t>
      </w:r>
      <w:r w:rsidR="00063137" w:rsidRPr="003A456F">
        <w:rPr>
          <w:rFonts w:eastAsia="Arial" w:cs="Arial"/>
          <w:strike/>
          <w:color w:val="000000" w:themeColor="text1"/>
          <w:szCs w:val="22"/>
          <w:lang w:val="en-US"/>
        </w:rPr>
        <w:t>“</w:t>
      </w:r>
      <w:proofErr w:type="spellStart"/>
      <w:r w:rsidR="00063137" w:rsidRPr="003A456F">
        <w:rPr>
          <w:rFonts w:eastAsia="Arial" w:cs="Arial"/>
          <w:i/>
          <w:iCs/>
          <w:strike/>
          <w:color w:val="000000" w:themeColor="text1"/>
          <w:szCs w:val="22"/>
          <w:lang w:val="en-US"/>
        </w:rPr>
        <w:t>Federación</w:t>
      </w:r>
      <w:proofErr w:type="spellEnd"/>
      <w:r w:rsidR="00063137" w:rsidRPr="003A456F">
        <w:rPr>
          <w:rFonts w:eastAsia="Arial" w:cs="Arial"/>
          <w:i/>
          <w:iCs/>
          <w:strike/>
          <w:color w:val="000000" w:themeColor="text1"/>
          <w:szCs w:val="22"/>
          <w:lang w:val="en-US"/>
        </w:rPr>
        <w:t xml:space="preserve"> de </w:t>
      </w:r>
      <w:proofErr w:type="spellStart"/>
      <w:r w:rsidR="00063137" w:rsidRPr="003A456F">
        <w:rPr>
          <w:rFonts w:eastAsia="Arial" w:cs="Arial"/>
          <w:i/>
          <w:iCs/>
          <w:strike/>
          <w:color w:val="000000" w:themeColor="text1"/>
          <w:szCs w:val="22"/>
          <w:lang w:val="en-US"/>
        </w:rPr>
        <w:t>Servicios</w:t>
      </w:r>
      <w:proofErr w:type="spellEnd"/>
      <w:r w:rsidR="00063137" w:rsidRPr="003A456F">
        <w:rPr>
          <w:rFonts w:eastAsia="Arial" w:cs="Arial"/>
          <w:i/>
          <w:iCs/>
          <w:strike/>
          <w:color w:val="000000" w:themeColor="text1"/>
          <w:szCs w:val="22"/>
          <w:lang w:val="en-US"/>
        </w:rPr>
        <w:t xml:space="preserve"> de </w:t>
      </w:r>
      <w:proofErr w:type="spellStart"/>
      <w:r w:rsidR="00063137" w:rsidRPr="003A456F">
        <w:rPr>
          <w:rFonts w:eastAsia="Arial" w:cs="Arial"/>
          <w:i/>
          <w:iCs/>
          <w:strike/>
          <w:color w:val="000000" w:themeColor="text1"/>
          <w:szCs w:val="22"/>
          <w:lang w:val="en-US"/>
        </w:rPr>
        <w:t>Comisiones</w:t>
      </w:r>
      <w:proofErr w:type="spellEnd"/>
      <w:r w:rsidR="00063137" w:rsidRPr="003A456F">
        <w:rPr>
          <w:rFonts w:eastAsia="Arial" w:cs="Arial"/>
          <w:i/>
          <w:iCs/>
          <w:strike/>
          <w:color w:val="000000" w:themeColor="text1"/>
          <w:szCs w:val="22"/>
          <w:lang w:val="en-US"/>
        </w:rPr>
        <w:t xml:space="preserve"> </w:t>
      </w:r>
      <w:proofErr w:type="spellStart"/>
      <w:r w:rsidR="00063137" w:rsidRPr="003A456F">
        <w:rPr>
          <w:rFonts w:eastAsia="Arial" w:cs="Arial"/>
          <w:i/>
          <w:iCs/>
          <w:strike/>
          <w:color w:val="000000" w:themeColor="text1"/>
          <w:szCs w:val="22"/>
          <w:lang w:val="en-US"/>
        </w:rPr>
        <w:t>Obreras</w:t>
      </w:r>
      <w:proofErr w:type="spellEnd"/>
      <w:r w:rsidR="00063137" w:rsidRPr="003A456F">
        <w:rPr>
          <w:rFonts w:eastAsia="Arial" w:cs="Arial"/>
          <w:i/>
          <w:iCs/>
          <w:strike/>
          <w:color w:val="000000" w:themeColor="text1"/>
          <w:szCs w:val="22"/>
          <w:lang w:val="en-US"/>
        </w:rPr>
        <w:t xml:space="preserve"> (CCOO) v Deutsche Bank SAE (CJEU Case C-55/18)</w:t>
      </w:r>
      <w:r w:rsidR="00063137" w:rsidRPr="003A456F">
        <w:rPr>
          <w:rFonts w:eastAsia="Arial" w:cs="Arial"/>
          <w:strike/>
          <w:color w:val="000000" w:themeColor="text1"/>
          <w:szCs w:val="22"/>
          <w:lang w:val="en-US"/>
        </w:rPr>
        <w:t xml:space="preserve">”, </w:t>
      </w:r>
      <w:r w:rsidRPr="003A456F">
        <w:rPr>
          <w:rFonts w:eastAsia="Arial" w:cs="Arial"/>
          <w:strike/>
          <w:color w:val="000000" w:themeColor="text1"/>
          <w:szCs w:val="22"/>
        </w:rPr>
        <w:t>illustrates how pre-Brexit ECJ judgments continue to influence UK employment law, ensuring that workers' rights are protected.</w:t>
      </w:r>
    </w:p>
    <w:p w14:paraId="37593B5A" w14:textId="77777777" w:rsidR="003F6646" w:rsidRPr="003A456F" w:rsidRDefault="003F6646" w:rsidP="5EEF6F9E">
      <w:pPr>
        <w:spacing w:line="240" w:lineRule="auto"/>
        <w:rPr>
          <w:rFonts w:eastAsia="Arial" w:cs="Arial"/>
          <w:strike/>
          <w:color w:val="000000" w:themeColor="text1"/>
          <w:szCs w:val="22"/>
        </w:rPr>
      </w:pPr>
    </w:p>
    <w:p w14:paraId="355534D8" w14:textId="3716FA25" w:rsidR="0615AFFB" w:rsidRPr="003A456F" w:rsidRDefault="0615AFFB" w:rsidP="5EEF6F9E">
      <w:pPr>
        <w:spacing w:line="240" w:lineRule="auto"/>
        <w:rPr>
          <w:rFonts w:eastAsia="Arial" w:cs="Arial"/>
          <w:strike/>
          <w:color w:val="000000" w:themeColor="text1"/>
          <w:szCs w:val="22"/>
        </w:rPr>
      </w:pPr>
      <w:r w:rsidRPr="003A456F">
        <w:rPr>
          <w:rFonts w:eastAsia="Arial" w:cs="Arial"/>
          <w:strike/>
          <w:color w:val="000000" w:themeColor="text1"/>
          <w:szCs w:val="22"/>
        </w:rPr>
        <w:t xml:space="preserve">This ECJ case addressed the requirement for employers to implement a system for recording employees' actual daily working hours to ensure compliance with the Working Time Directive. The ECJ ruled that employers must establish such a system to guarantee workers' rights to rest breaks and maximum working hours are respected. As this judgment was made before the UK's departure from the EU, it is considered retained EU law and remains binding on UK courts. UK courts must follow this ECJ judgment unless the UK Supreme Court or the Court of Appeal decides to depart from it. For example, if a similar case arises in the UK, the courts will likely refer to this ECJ judgment to ensure compliance with the Working Time Regulations. </w:t>
      </w:r>
    </w:p>
    <w:p w14:paraId="5DCEE912" w14:textId="77777777" w:rsidR="00F7493A" w:rsidRDefault="00F7493A" w:rsidP="000866FB">
      <w:pPr>
        <w:spacing w:line="240" w:lineRule="auto"/>
        <w:rPr>
          <w:rFonts w:ascii="Trebuchet MS" w:hAnsi="Trebuchet MS"/>
        </w:rPr>
      </w:pPr>
    </w:p>
    <w:p w14:paraId="010E5061" w14:textId="77777777" w:rsidR="00F7493A" w:rsidRPr="00922731" w:rsidRDefault="00F7493A" w:rsidP="000866FB">
      <w:pPr>
        <w:spacing w:line="240" w:lineRule="auto"/>
        <w:rPr>
          <w:rFonts w:ascii="Trebuchet MS" w:hAnsi="Trebuchet MS"/>
          <w:b/>
          <w:bCs/>
        </w:rPr>
      </w:pPr>
    </w:p>
    <w:p w14:paraId="5FEA37B9" w14:textId="77777777" w:rsidR="000866FB" w:rsidRDefault="000866FB" w:rsidP="006E53D2">
      <w:pPr>
        <w:spacing w:line="240" w:lineRule="auto"/>
        <w:rPr>
          <w:rFonts w:ascii="Trebuchet MS" w:hAnsi="Trebuchet MS" w:cstheme="minorHAnsi"/>
          <w:b/>
          <w:bCs/>
          <w:color w:val="833C0B" w:themeColor="accent2" w:themeShade="80"/>
          <w:sz w:val="24"/>
        </w:rPr>
      </w:pPr>
    </w:p>
    <w:p w14:paraId="6F05AD39" w14:textId="02505C1B" w:rsidR="006E53D2" w:rsidRPr="00A3238A" w:rsidRDefault="006E53D2" w:rsidP="006E53D2">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 xml:space="preserve">Email 3 (AC 2.1) </w:t>
      </w:r>
    </w:p>
    <w:p w14:paraId="47D346D6" w14:textId="77777777" w:rsidR="006E53D2" w:rsidRPr="00922731" w:rsidRDefault="006E53D2" w:rsidP="006E53D2">
      <w:pPr>
        <w:spacing w:line="240" w:lineRule="auto"/>
        <w:rPr>
          <w:rFonts w:ascii="Trebuchet MS" w:hAnsi="Trebuchet MS"/>
          <w:b/>
          <w:bCs/>
        </w:rPr>
      </w:pPr>
    </w:p>
    <w:p w14:paraId="0F516593" w14:textId="77777777" w:rsidR="006E53D2" w:rsidRPr="00922731" w:rsidRDefault="006E53D2" w:rsidP="006E53D2">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Pr>
          <w:rFonts w:ascii="Trebuchet MS" w:hAnsi="Trebuchet MS"/>
        </w:rPr>
        <w:t xml:space="preserve">Explain this to her, considering the maim principles of discrimination law in recruitment and selection in your email </w:t>
      </w:r>
      <w:r w:rsidRPr="00922731">
        <w:rPr>
          <w:rFonts w:ascii="Trebuchet MS" w:hAnsi="Trebuchet MS"/>
        </w:rPr>
        <w:t xml:space="preserve">with reference to specific examples.  </w:t>
      </w:r>
    </w:p>
    <w:p w14:paraId="40B2661C" w14:textId="77777777" w:rsidR="006E53D2" w:rsidRPr="00922731" w:rsidRDefault="006E53D2" w:rsidP="006E53D2">
      <w:pPr>
        <w:spacing w:line="240" w:lineRule="auto"/>
        <w:rPr>
          <w:rFonts w:ascii="Trebuchet MS" w:hAnsi="Trebuchet MS"/>
          <w:b/>
          <w:bCs/>
        </w:rPr>
      </w:pPr>
    </w:p>
    <w:p w14:paraId="781BDAED" w14:textId="26D8D0D8" w:rsidR="009933F2" w:rsidRDefault="00AE102B" w:rsidP="009933F2">
      <w:r>
        <w:rPr>
          <w:rFonts w:eastAsia="Segoe UI" w:cs="Arial"/>
          <w:color w:val="000000" w:themeColor="text1"/>
          <w:szCs w:val="22"/>
          <w:lang w:val="en-US"/>
        </w:rPr>
        <w:t>General o</w:t>
      </w:r>
      <w:r w:rsidR="23BFA0B6" w:rsidRPr="000D5EFB">
        <w:rPr>
          <w:rFonts w:eastAsia="Segoe UI" w:cs="Arial"/>
          <w:color w:val="000000" w:themeColor="text1"/>
          <w:szCs w:val="22"/>
          <w:lang w:val="en-US"/>
        </w:rPr>
        <w:t xml:space="preserve">ccupational requirements </w:t>
      </w:r>
      <w:r>
        <w:rPr>
          <w:rFonts w:eastAsia="Segoe UI" w:cs="Arial"/>
          <w:color w:val="000000" w:themeColor="text1"/>
          <w:szCs w:val="22"/>
          <w:lang w:val="en-US"/>
        </w:rPr>
        <w:t xml:space="preserve">(GOR) </w:t>
      </w:r>
      <w:r w:rsidR="23BFA0B6" w:rsidRPr="000D5EFB">
        <w:rPr>
          <w:rFonts w:eastAsia="Segoe UI" w:cs="Arial"/>
          <w:color w:val="000000" w:themeColor="text1"/>
          <w:szCs w:val="22"/>
          <w:lang w:val="en-US"/>
        </w:rPr>
        <w:t>refer to specific qualifications or characteristics that are essential for a particular job</w:t>
      </w:r>
      <w:r w:rsidR="00260FB5">
        <w:rPr>
          <w:rFonts w:eastAsia="Segoe UI" w:cs="Arial"/>
          <w:color w:val="000000" w:themeColor="text1"/>
          <w:szCs w:val="22"/>
          <w:lang w:val="en-US"/>
        </w:rPr>
        <w:t xml:space="preserve"> (</w:t>
      </w:r>
      <w:r w:rsidR="004B36A3">
        <w:rPr>
          <w:rFonts w:eastAsia="Segoe UI" w:cs="Arial"/>
          <w:color w:val="000000" w:themeColor="text1"/>
          <w:szCs w:val="22"/>
          <w:lang w:val="en-US"/>
        </w:rPr>
        <w:t>Brodies,</w:t>
      </w:r>
      <w:r w:rsidR="00260FB5">
        <w:rPr>
          <w:rFonts w:eastAsia="Segoe UI" w:cs="Arial"/>
          <w:color w:val="000000" w:themeColor="text1"/>
          <w:szCs w:val="22"/>
          <w:lang w:val="en-US"/>
        </w:rPr>
        <w:t xml:space="preserve"> 202</w:t>
      </w:r>
      <w:r w:rsidR="004B36A3">
        <w:rPr>
          <w:rFonts w:eastAsia="Segoe UI" w:cs="Arial"/>
          <w:color w:val="000000" w:themeColor="text1"/>
          <w:szCs w:val="22"/>
          <w:lang w:val="en-US"/>
        </w:rPr>
        <w:t>4</w:t>
      </w:r>
      <w:r w:rsidR="00260FB5">
        <w:rPr>
          <w:rFonts w:eastAsia="Segoe UI" w:cs="Arial"/>
          <w:color w:val="000000" w:themeColor="text1"/>
          <w:szCs w:val="22"/>
          <w:lang w:val="en-US"/>
        </w:rPr>
        <w:t>).</w:t>
      </w:r>
      <w:r w:rsidR="23BFA0B6" w:rsidRPr="000D5EFB">
        <w:rPr>
          <w:rFonts w:eastAsia="Segoe UI" w:cs="Arial"/>
          <w:color w:val="000000" w:themeColor="text1"/>
          <w:szCs w:val="22"/>
          <w:lang w:val="en-US"/>
        </w:rPr>
        <w:t xml:space="preserve"> These requirements can sometimes intersect with anti-discrimination laws, and there are legal provisions that allow certain </w:t>
      </w:r>
      <w:r w:rsidR="3C5162E7" w:rsidRPr="000D5EFB">
        <w:rPr>
          <w:rFonts w:eastAsia="Segoe UI" w:cs="Arial"/>
          <w:color w:val="000000" w:themeColor="text1"/>
          <w:szCs w:val="22"/>
          <w:lang w:val="en-US"/>
        </w:rPr>
        <w:t>exceptions</w:t>
      </w:r>
      <w:r w:rsidR="23BFA0B6" w:rsidRPr="000D5EFB">
        <w:rPr>
          <w:rFonts w:eastAsia="Segoe UI" w:cs="Arial"/>
          <w:color w:val="000000" w:themeColor="text1"/>
          <w:szCs w:val="22"/>
          <w:lang w:val="en-US"/>
        </w:rPr>
        <w:t>.</w:t>
      </w:r>
      <w:r w:rsidR="146AE51F" w:rsidRPr="000D5EFB">
        <w:rPr>
          <w:rFonts w:eastAsia="Segoe UI" w:cs="Arial"/>
          <w:color w:val="000000" w:themeColor="text1"/>
          <w:szCs w:val="22"/>
        </w:rPr>
        <w:t xml:space="preserve"> </w:t>
      </w:r>
      <w:r w:rsidR="009933F2" w:rsidRPr="000D5EFB">
        <w:t>To comply with discrimination law, it is essential to ensure that recruitment and selection processes are fair and unbiased</w:t>
      </w:r>
      <w:r w:rsidR="009933F2">
        <w:t xml:space="preserve"> </w:t>
      </w:r>
      <w:r w:rsidR="009933F2" w:rsidRPr="000D5EFB">
        <w:t>avoiding direct or indirect discrimination</w:t>
      </w:r>
      <w:r w:rsidR="009933F2">
        <w:t xml:space="preserve"> (CIPD, 2023).</w:t>
      </w:r>
      <w:r w:rsidR="009933F2" w:rsidRPr="000D5EFB">
        <w:t xml:space="preserve"> Employers should have diverse, equality-trained selection panels, use objective interview scoring, and avoid irrelevant questions (CIPD, 2023). For example, not recruiting someone based on a protected characteristic, like pregnancy, is direct discrimination. </w:t>
      </w:r>
      <w:r w:rsidR="00927259" w:rsidRPr="00927259">
        <w:t xml:space="preserve">If an employer restricts </w:t>
      </w:r>
      <w:r w:rsidR="005C76C0" w:rsidRPr="00927259">
        <w:t>recruitment to candidates with a particular protected characteristic, you risk engaging in unlawful direct discrimination</w:t>
      </w:r>
      <w:r w:rsidR="00584CE5">
        <w:t xml:space="preserve"> (Daniels, 2022).</w:t>
      </w:r>
    </w:p>
    <w:p w14:paraId="7634ED1C" w14:textId="5FAAA703" w:rsidR="00201AE9" w:rsidRDefault="00201AE9" w:rsidP="5EEF6F9E">
      <w:pPr>
        <w:rPr>
          <w:rFonts w:eastAsia="Segoe UI" w:cs="Arial"/>
          <w:color w:val="000000" w:themeColor="text1"/>
          <w:szCs w:val="22"/>
        </w:rPr>
      </w:pPr>
    </w:p>
    <w:p w14:paraId="3B483422" w14:textId="6F6A198B" w:rsidR="00715EDE" w:rsidRPr="0049096D" w:rsidRDefault="00EE4FBF" w:rsidP="0049096D">
      <w:r w:rsidRPr="0049096D">
        <w:t>Employers must demonstrate that any discriminatory requirement is a 'proportionate means of achieving a legitimate aim</w:t>
      </w:r>
      <w:r w:rsidR="001804D2" w:rsidRPr="0049096D">
        <w:t>’</w:t>
      </w:r>
      <w:r w:rsidR="00DD35B6" w:rsidRPr="0049096D">
        <w:t>, h</w:t>
      </w:r>
      <w:r w:rsidR="00543520" w:rsidRPr="0049096D">
        <w:t xml:space="preserve">owever, </w:t>
      </w:r>
      <w:r w:rsidR="000B6676" w:rsidRPr="0049096D">
        <w:t xml:space="preserve">GOR </w:t>
      </w:r>
      <w:r w:rsidR="146AE51F" w:rsidRPr="0049096D">
        <w:t>is an exception that permits employers to specify certain characteristics for a job based on the nature of the role</w:t>
      </w:r>
      <w:r w:rsidR="00DD35B6" w:rsidRPr="0049096D">
        <w:t xml:space="preserve"> (Daniels, 2022).</w:t>
      </w:r>
      <w:r w:rsidR="146AE51F" w:rsidRPr="0049096D">
        <w:t xml:space="preserve"> The Equality Act (2010) states GORs can apply to characteristics such as sex, race, disability, religion or belief, sexual orientation, and age. </w:t>
      </w:r>
      <w:r w:rsidR="00715EDE" w:rsidRPr="0049096D">
        <w:t>In July 2024, the EHRC revised its job advert guidelines to clarify GORs</w:t>
      </w:r>
      <w:r w:rsidR="00A2017B" w:rsidRPr="0049096D">
        <w:t>,</w:t>
      </w:r>
      <w:r w:rsidR="009A31C8" w:rsidRPr="0049096D">
        <w:t xml:space="preserve"> this states</w:t>
      </w:r>
      <w:r w:rsidR="00715EDE" w:rsidRPr="0049096D">
        <w:t xml:space="preserve"> occupational requirements concerning 'sex' refer to the legal sex documented on an individual's birth certificate or gender recognition certificate</w:t>
      </w:r>
      <w:r w:rsidR="00CE6E4E" w:rsidRPr="0049096D">
        <w:t xml:space="preserve"> (Brodies, 2024).</w:t>
      </w:r>
    </w:p>
    <w:p w14:paraId="4451BED9" w14:textId="77777777" w:rsidR="005D5807" w:rsidRDefault="005D5807" w:rsidP="00715EDE">
      <w:pPr>
        <w:rPr>
          <w:rFonts w:eastAsia="Segoe UI" w:cs="Arial"/>
          <w:color w:val="000000" w:themeColor="text1"/>
          <w:szCs w:val="22"/>
        </w:rPr>
      </w:pPr>
    </w:p>
    <w:p w14:paraId="2277B2C0" w14:textId="068247D4" w:rsidR="23BFA0B6" w:rsidRPr="000D5EFB" w:rsidRDefault="146AE51F" w:rsidP="5EEF6F9E">
      <w:pPr>
        <w:rPr>
          <w:color w:val="000000" w:themeColor="text1"/>
        </w:rPr>
      </w:pPr>
      <w:r w:rsidRPr="000D5EFB">
        <w:rPr>
          <w:rFonts w:eastAsia="Segoe UI" w:cs="Arial"/>
          <w:color w:val="000000" w:themeColor="text1"/>
          <w:szCs w:val="22"/>
        </w:rPr>
        <w:t>This can be applied in direct discrimination claims where the employer can demonstrate that only individuals with a particular protected characteristic can effectively perform the job</w:t>
      </w:r>
      <w:r w:rsidR="000A2F2C">
        <w:rPr>
          <w:rFonts w:eastAsia="Segoe UI" w:cs="Arial"/>
          <w:color w:val="000000" w:themeColor="text1"/>
          <w:szCs w:val="22"/>
        </w:rPr>
        <w:t xml:space="preserve">. </w:t>
      </w:r>
      <w:r w:rsidR="008D3510">
        <w:rPr>
          <w:rFonts w:eastAsia="Segoe UI" w:cs="Arial"/>
          <w:color w:val="000000" w:themeColor="text1"/>
          <w:szCs w:val="22"/>
        </w:rPr>
        <w:t xml:space="preserve">For </w:t>
      </w:r>
      <w:r w:rsidR="00AD08AB">
        <w:rPr>
          <w:rFonts w:eastAsia="Segoe UI" w:cs="Arial"/>
          <w:color w:val="000000" w:themeColor="text1"/>
          <w:szCs w:val="22"/>
        </w:rPr>
        <w:t>example,</w:t>
      </w:r>
      <w:r w:rsidR="008D3510">
        <w:rPr>
          <w:rFonts w:eastAsia="Segoe UI" w:cs="Arial"/>
          <w:color w:val="000000" w:themeColor="text1"/>
          <w:szCs w:val="22"/>
        </w:rPr>
        <w:t xml:space="preserve"> a job requires a </w:t>
      </w:r>
      <w:r w:rsidR="00FD7579">
        <w:rPr>
          <w:rFonts w:eastAsia="Segoe UI" w:cs="Arial"/>
          <w:color w:val="000000" w:themeColor="text1"/>
          <w:szCs w:val="22"/>
        </w:rPr>
        <w:t xml:space="preserve">certain authenticity in a </w:t>
      </w:r>
      <w:r w:rsidR="00C42F57">
        <w:rPr>
          <w:rFonts w:eastAsia="Segoe UI" w:cs="Arial"/>
          <w:color w:val="000000" w:themeColor="text1"/>
          <w:szCs w:val="22"/>
        </w:rPr>
        <w:t xml:space="preserve">drama </w:t>
      </w:r>
      <w:r w:rsidR="00FD7579">
        <w:rPr>
          <w:rFonts w:eastAsia="Segoe UI" w:cs="Arial"/>
          <w:color w:val="000000" w:themeColor="text1"/>
          <w:szCs w:val="22"/>
        </w:rPr>
        <w:t xml:space="preserve">performance </w:t>
      </w:r>
      <w:r w:rsidR="001258BA">
        <w:rPr>
          <w:rFonts w:eastAsia="Segoe UI" w:cs="Arial"/>
          <w:color w:val="000000" w:themeColor="text1"/>
          <w:szCs w:val="22"/>
        </w:rPr>
        <w:t>and a particular race is required</w:t>
      </w:r>
      <w:r w:rsidR="0027271A">
        <w:rPr>
          <w:rFonts w:eastAsia="Segoe UI" w:cs="Arial"/>
          <w:color w:val="000000" w:themeColor="text1"/>
          <w:szCs w:val="22"/>
        </w:rPr>
        <w:t xml:space="preserve"> or a </w:t>
      </w:r>
      <w:r w:rsidR="0027271A" w:rsidRPr="0027271A">
        <w:t>requirement for changing facilities is that the attendant must be of the same sex as those using the facilities, to ensure privacy and decency.</w:t>
      </w:r>
      <w:r w:rsidR="00AD08AB">
        <w:rPr>
          <w:rFonts w:eastAsia="Segoe UI" w:cs="Arial"/>
          <w:color w:val="000000" w:themeColor="text1"/>
          <w:szCs w:val="22"/>
        </w:rPr>
        <w:t xml:space="preserve"> </w:t>
      </w:r>
      <w:r w:rsidR="009E5E39" w:rsidRPr="009E5E39">
        <w:t xml:space="preserve">The employer must demonstrate that the GOR is essential for the job and that </w:t>
      </w:r>
      <w:r w:rsidR="00D87F78" w:rsidRPr="009E5E39">
        <w:t>it</w:t>
      </w:r>
      <w:r w:rsidR="00D87F78">
        <w:t>s</w:t>
      </w:r>
      <w:r w:rsidR="009E5E39" w:rsidRPr="009E5E39">
        <w:t xml:space="preserve"> application is proportionate to achieving a legitimate aim. An employer is entitled to apply a GOR only when it serves as a proportionate means of achieving a legitimate aim (HR Zone, 2024)</w:t>
      </w:r>
    </w:p>
    <w:p w14:paraId="5CA96C62" w14:textId="77777777" w:rsidR="00BA26F7" w:rsidRDefault="00BA26F7" w:rsidP="5EEF6F9E">
      <w:pPr>
        <w:rPr>
          <w:color w:val="FF0000"/>
        </w:rPr>
      </w:pPr>
    </w:p>
    <w:p w14:paraId="75C2FFDF" w14:textId="77777777" w:rsidR="00BA26F7" w:rsidRPr="00CE3FCE" w:rsidRDefault="00BA26F7" w:rsidP="5EEF6F9E"/>
    <w:p w14:paraId="66012570" w14:textId="06B97AA3" w:rsidR="5EEF6F9E" w:rsidRPr="000D5EFB" w:rsidRDefault="00BA26F7" w:rsidP="000D5EFB">
      <w:r w:rsidRPr="000D5EFB">
        <w:lastRenderedPageBreak/>
        <w:t>The CIPD (2023) advises against asking candidates about age, health, or disabilities during recruitment, except when necessary for reasonable adjustments. Job descriptions should be clear and justifiable to avoid discrimination. For instance, a job ad stating "young, motivated female needed" discriminates based on gender, age, and potentially disability. Indirect discrimination can occur if applications are discounted due to sickness triggers without considering disabilities. Recruitment panels must apply proportionate thinking to avoid biases and discrimination (CIPD, 2023)</w:t>
      </w:r>
      <w:r w:rsidR="003E1EB6" w:rsidRPr="000D5EFB">
        <w:t>.</w:t>
      </w:r>
    </w:p>
    <w:p w14:paraId="45EB061B" w14:textId="5D218065" w:rsidR="5EEF6F9E" w:rsidRDefault="5EEF6F9E" w:rsidP="5EEF6F9E">
      <w:pPr>
        <w:rPr>
          <w:rFonts w:eastAsia="Arial" w:cs="Arial"/>
          <w:szCs w:val="22"/>
        </w:rPr>
      </w:pPr>
    </w:p>
    <w:p w14:paraId="146FC762" w14:textId="6B01DBCB" w:rsidR="005B279F" w:rsidRDefault="005B279F" w:rsidP="00B3559C">
      <w:pPr>
        <w:rPr>
          <w:rStyle w:val="None"/>
          <w:rFonts w:ascii="Trebuchet MS" w:hAnsi="Trebuchet MS"/>
          <w:color w:val="004147"/>
          <w:szCs w:val="22"/>
          <w:u w:color="004147"/>
          <w:lang w:val="en-US"/>
        </w:rPr>
      </w:pPr>
    </w:p>
    <w:p w14:paraId="5408A0E2" w14:textId="77777777" w:rsidR="005E6EF4" w:rsidRDefault="005E6EF4" w:rsidP="00F72983">
      <w:pPr>
        <w:rPr>
          <w:rStyle w:val="None"/>
          <w:rFonts w:ascii="Trebuchet MS" w:hAnsi="Trebuchet MS"/>
          <w:color w:val="004147"/>
          <w:szCs w:val="22"/>
          <w:u w:color="004147"/>
          <w:lang w:val="en-US"/>
        </w:rPr>
      </w:pPr>
    </w:p>
    <w:p w14:paraId="20F6909D" w14:textId="77777777" w:rsidR="006E53D2" w:rsidRPr="00922731" w:rsidRDefault="006E53D2" w:rsidP="006E53D2">
      <w:pPr>
        <w:spacing w:line="240" w:lineRule="auto"/>
        <w:rPr>
          <w:rFonts w:ascii="Trebuchet MS" w:hAnsi="Trebuchet MS"/>
          <w:b/>
          <w:bCs/>
        </w:rPr>
      </w:pPr>
    </w:p>
    <w:p w14:paraId="2E169C92" w14:textId="77777777" w:rsidR="006E53D2" w:rsidRPr="00A3238A" w:rsidRDefault="006E53D2" w:rsidP="006E53D2">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4 (AC 2.2)</w:t>
      </w:r>
    </w:p>
    <w:p w14:paraId="34816199" w14:textId="77777777" w:rsidR="006E53D2" w:rsidRPr="00922731" w:rsidRDefault="006E53D2" w:rsidP="006E53D2">
      <w:pPr>
        <w:spacing w:line="240" w:lineRule="auto"/>
        <w:rPr>
          <w:rFonts w:ascii="Trebuchet MS" w:hAnsi="Trebuchet MS"/>
          <w:b/>
          <w:bCs/>
        </w:rPr>
      </w:pPr>
    </w:p>
    <w:p w14:paraId="6289F087" w14:textId="77777777" w:rsidR="006E53D2" w:rsidRDefault="006E53D2" w:rsidP="006E53D2">
      <w:pPr>
        <w:spacing w:line="240" w:lineRule="auto"/>
        <w:rPr>
          <w:rFonts w:ascii="Trebuchet MS" w:hAnsi="Trebuchet MS"/>
        </w:rPr>
      </w:pPr>
      <w:r w:rsidRPr="00922731">
        <w:rPr>
          <w:rFonts w:ascii="Trebuchet MS" w:hAnsi="Trebuchet MS"/>
        </w:rPr>
        <w:t xml:space="preserve">A nurse manager wants to upgrade two of her health care assistants (HCAs) using some surplus money left over from a research project she has been carrying out. She wants to move them from the A grade on which </w:t>
      </w:r>
      <w:proofErr w:type="gramStart"/>
      <w:r w:rsidRPr="00922731">
        <w:rPr>
          <w:rFonts w:ascii="Trebuchet MS" w:hAnsi="Trebuchet MS"/>
        </w:rPr>
        <w:t>the vast majority of</w:t>
      </w:r>
      <w:proofErr w:type="gramEnd"/>
      <w:r w:rsidRPr="00922731">
        <w:rPr>
          <w:rFonts w:ascii="Trebuchet MS" w:hAnsi="Trebuchet MS"/>
        </w:rPr>
        <w:t xml:space="preserve"> HCAs in the Trust are employed to the higher B grade. The two people concerned are men. 80% of the HCAs in your Trust are women. She is asking you to approve the upgrade.</w:t>
      </w:r>
      <w:r>
        <w:rPr>
          <w:rFonts w:ascii="Trebuchet MS" w:hAnsi="Trebuchet MS"/>
        </w:rPr>
        <w:t xml:space="preserve"> Include discussion of the legal requirements of equal pay in your reply.</w:t>
      </w:r>
    </w:p>
    <w:p w14:paraId="284C5978" w14:textId="77777777" w:rsidR="00B3559C" w:rsidRDefault="00B3559C" w:rsidP="006E53D2">
      <w:pPr>
        <w:spacing w:line="240" w:lineRule="auto"/>
        <w:rPr>
          <w:rFonts w:ascii="Trebuchet MS" w:hAnsi="Trebuchet MS"/>
        </w:rPr>
      </w:pPr>
    </w:p>
    <w:p w14:paraId="0D7A99FF" w14:textId="77777777" w:rsidR="00C40411" w:rsidRDefault="00C40411" w:rsidP="0073160A">
      <w:pPr>
        <w:rPr>
          <w:rFonts w:ascii="Segoe UI" w:hAnsi="Segoe UI" w:cs="Segoe UI"/>
          <w:color w:val="242424"/>
          <w:sz w:val="21"/>
          <w:szCs w:val="21"/>
          <w:shd w:val="clear" w:color="auto" w:fill="FAFAFA"/>
        </w:rPr>
      </w:pPr>
    </w:p>
    <w:p w14:paraId="6273CEE4" w14:textId="118BACE5" w:rsidR="00C71D70" w:rsidRPr="00972F6F" w:rsidRDefault="00EF21B5" w:rsidP="00972F6F">
      <w:r w:rsidRPr="00972F6F">
        <w:t>The Equality Act 2010 mandates that men and women in the same workplace must receive equal pay for equal work. This includes work that is identical, broadly similar, or has been evaluated as equivalent or of equal value</w:t>
      </w:r>
      <w:r w:rsidR="00627AAB" w:rsidRPr="00972F6F">
        <w:t xml:space="preserve"> (</w:t>
      </w:r>
      <w:proofErr w:type="spellStart"/>
      <w:r w:rsidR="00627AAB" w:rsidRPr="00972F6F">
        <w:t>Acas</w:t>
      </w:r>
      <w:proofErr w:type="spellEnd"/>
      <w:r w:rsidR="00627AAB" w:rsidRPr="00972F6F">
        <w:t>, 2024).</w:t>
      </w:r>
      <w:r w:rsidR="00D66A5A" w:rsidRPr="00972F6F">
        <w:t xml:space="preserve"> Equal pay provisions aim to ensure that men and women receive equal pay and contractual terms of employment when their work is comparable</w:t>
      </w:r>
      <w:r w:rsidR="001465EA" w:rsidRPr="00972F6F">
        <w:t>.</w:t>
      </w:r>
      <w:r w:rsidR="003D7D61" w:rsidRPr="00972F6F">
        <w:t xml:space="preserve"> </w:t>
      </w:r>
      <w:r w:rsidR="00AC2EF9" w:rsidRPr="00972F6F">
        <w:t>By law, employers must not pay an employee less or impose terms and conditions that disadvantage them due to disability, race, religion or belief, sexual orientation, or any other protected characteristic (</w:t>
      </w:r>
      <w:proofErr w:type="spellStart"/>
      <w:r w:rsidR="00AC2EF9" w:rsidRPr="00972F6F">
        <w:t>Acas</w:t>
      </w:r>
      <w:proofErr w:type="spellEnd"/>
      <w:r w:rsidR="00AC2EF9" w:rsidRPr="00972F6F">
        <w:t>, 2024).</w:t>
      </w:r>
    </w:p>
    <w:p w14:paraId="7902C82C" w14:textId="77777777" w:rsidR="00C71D70" w:rsidRPr="00972F6F" w:rsidRDefault="00C71D70" w:rsidP="00972F6F"/>
    <w:p w14:paraId="1F888691" w14:textId="77777777" w:rsidR="00C71D70" w:rsidRPr="00972F6F" w:rsidRDefault="00C71D70" w:rsidP="00972F6F"/>
    <w:p w14:paraId="7B3F0DA4" w14:textId="4BFCD17F" w:rsidR="00B41550" w:rsidRPr="00972F6F" w:rsidRDefault="00A5082F" w:rsidP="00972F6F">
      <w:r w:rsidRPr="00972F6F">
        <w:t xml:space="preserve">Since 80% of the HCAs in our Trust are women, upgrading only the two male HCAs may raise concerns about gender discrimination. It is essential to ensure that any pay upgrades are based on objective criteria and are not influenced by gender. </w:t>
      </w:r>
      <w:r w:rsidR="0073160A" w:rsidRPr="00972F6F">
        <w:t>Equal pay should be implemented when work is considered "like work." This includes situations where two employees are performing the same or broadly similar roles, work that has been rated as equivalent by an analytical job evaluation study, or work of equal value where two different jobs require the same level of ability or skill</w:t>
      </w:r>
      <w:r w:rsidR="00AE2874" w:rsidRPr="00972F6F">
        <w:t xml:space="preserve"> (</w:t>
      </w:r>
      <w:r w:rsidR="00114ECB">
        <w:t xml:space="preserve">CIPD, no date </w:t>
      </w:r>
      <w:r w:rsidR="0032678E">
        <w:t>b</w:t>
      </w:r>
      <w:r w:rsidR="00AE2874" w:rsidRPr="00972F6F">
        <w:t>).</w:t>
      </w:r>
      <w:r w:rsidR="00CB66BE" w:rsidRPr="00972F6F">
        <w:t xml:space="preserve"> If an organisation cannot support an equal pay claim, it must demonstrate that the comparator is not engaged in "like work," the work has been rated as not equivalent through a bona fide and non-discriminatory job evaluation scheme, the work is not of "equal value," or any pay difference is due to a material factor other than gender (</w:t>
      </w:r>
      <w:r w:rsidR="00114ECB">
        <w:t xml:space="preserve">CIPD, no date </w:t>
      </w:r>
      <w:r w:rsidR="0032678E">
        <w:t>b</w:t>
      </w:r>
      <w:r w:rsidR="00CB66BE" w:rsidRPr="00972F6F">
        <w:t>).</w:t>
      </w:r>
    </w:p>
    <w:p w14:paraId="49150A9B" w14:textId="77777777" w:rsidR="00782A19" w:rsidRPr="00972F6F" w:rsidRDefault="00782A19" w:rsidP="00972F6F"/>
    <w:p w14:paraId="339F0F5F" w14:textId="77777777" w:rsidR="00782A19" w:rsidRPr="00972F6F" w:rsidRDefault="00782A19" w:rsidP="00972F6F"/>
    <w:p w14:paraId="0212D06A" w14:textId="2C4AC493" w:rsidR="00B656FC" w:rsidRPr="00A328EE" w:rsidRDefault="00F534C2" w:rsidP="00A328EE">
      <w:pPr>
        <w:spacing w:line="240" w:lineRule="auto"/>
        <w:rPr>
          <w:rFonts w:ascii="Times New Roman" w:eastAsia="Times New Roman" w:hAnsi="Times New Roman" w:cs="Times New Roman"/>
          <w:sz w:val="24"/>
          <w:lang w:eastAsia="en-GB"/>
        </w:rPr>
      </w:pPr>
      <w:r>
        <w:t>CIPD (no date) implies by n</w:t>
      </w:r>
      <w:r w:rsidR="00E1260F" w:rsidRPr="000D59E9">
        <w:t xml:space="preserve">ot ensuring equal pay within an organisation </w:t>
      </w:r>
      <w:r w:rsidR="00D93A72">
        <w:t xml:space="preserve">it </w:t>
      </w:r>
      <w:r w:rsidR="00E1260F" w:rsidRPr="000D59E9">
        <w:t xml:space="preserve">can lead to serious repercussions. One major risk is reputational damage, as unequal pay practices can </w:t>
      </w:r>
      <w:r w:rsidR="00CF2CFE">
        <w:t>negatively affect</w:t>
      </w:r>
      <w:r w:rsidR="00E1260F" w:rsidRPr="000D59E9">
        <w:t xml:space="preserve"> the organisation's image and erode employee trust. Additionally, employees may file legal claims with an employment tribunal, potentially resulting in expensive settlements and legal fees</w:t>
      </w:r>
      <w:r w:rsidR="00D93A72">
        <w:t xml:space="preserve"> (CIPD, no date).</w:t>
      </w:r>
      <w:r w:rsidR="00E1260F">
        <w:rPr>
          <w:rFonts w:ascii="Segoe UI" w:hAnsi="Segoe UI" w:cs="Segoe UI"/>
          <w:color w:val="242424"/>
          <w:sz w:val="21"/>
          <w:szCs w:val="21"/>
          <w:shd w:val="clear" w:color="auto" w:fill="FAFAFA"/>
        </w:rPr>
        <w:t xml:space="preserve"> </w:t>
      </w:r>
      <w:r w:rsidR="00B656FC" w:rsidRPr="00972F6F">
        <w:t>This can result in remedies such as back pay, compensation for lost earnings, and adjustments to future pay (</w:t>
      </w:r>
      <w:proofErr w:type="spellStart"/>
      <w:r w:rsidR="00B656FC" w:rsidRPr="00972F6F">
        <w:t>Acas</w:t>
      </w:r>
      <w:proofErr w:type="spellEnd"/>
      <w:r w:rsidR="00B656FC" w:rsidRPr="00972F6F">
        <w:t>, 2024). The Equality and Human Rights Commission (EHRC) advises employers to implement pay practices that comply with equal pay legislation</w:t>
      </w:r>
      <w:r w:rsidR="00C37A6B">
        <w:t xml:space="preserve"> to mitigate the potential for disc</w:t>
      </w:r>
      <w:r w:rsidR="00B278B7">
        <w:t>rimination</w:t>
      </w:r>
      <w:r w:rsidR="00B656FC" w:rsidRPr="00972F6F">
        <w:t xml:space="preserve">. Conducting </w:t>
      </w:r>
      <w:r w:rsidR="00B656FC" w:rsidRPr="00972F6F">
        <w:lastRenderedPageBreak/>
        <w:t>audits to identify pay disparities allows us to take appropriate actions to ensure equal pay (</w:t>
      </w:r>
      <w:proofErr w:type="spellStart"/>
      <w:r w:rsidR="00B656FC" w:rsidRPr="00972F6F">
        <w:t>Acas</w:t>
      </w:r>
      <w:proofErr w:type="spellEnd"/>
      <w:r w:rsidR="00B656FC" w:rsidRPr="00972F6F">
        <w:t>, 2024).</w:t>
      </w:r>
      <w:r w:rsidR="007E00FF">
        <w:t xml:space="preserve"> </w:t>
      </w:r>
    </w:p>
    <w:p w14:paraId="5E14296D" w14:textId="77777777" w:rsidR="00AF5328" w:rsidRPr="00972F6F" w:rsidRDefault="00AF5328" w:rsidP="00972F6F"/>
    <w:p w14:paraId="5073F904" w14:textId="48183A08" w:rsidR="004A35C0" w:rsidRPr="00972F6F" w:rsidRDefault="00441721" w:rsidP="00972F6F">
      <w:r w:rsidRPr="00972F6F">
        <w:t xml:space="preserve">When evaluating pay fairness, factors such as qualifications, skills, and experience should </w:t>
      </w:r>
      <w:r w:rsidR="005174B3" w:rsidRPr="00972F6F">
        <w:t xml:space="preserve">also </w:t>
      </w:r>
      <w:r w:rsidRPr="00972F6F">
        <w:t>be considered</w:t>
      </w:r>
      <w:r w:rsidR="00162436" w:rsidRPr="00972F6F">
        <w:t xml:space="preserve"> </w:t>
      </w:r>
      <w:r w:rsidR="00D11460" w:rsidRPr="00972F6F">
        <w:t>and</w:t>
      </w:r>
      <w:r w:rsidRPr="00972F6F">
        <w:t xml:space="preserve"> aligning the roles of HCAs with their performance and responsibilities</w:t>
      </w:r>
      <w:r w:rsidR="00F3316C" w:rsidRPr="00972F6F">
        <w:t xml:space="preserve"> demonstrating </w:t>
      </w:r>
      <w:r w:rsidR="004C4954" w:rsidRPr="00972F6F">
        <w:t>equal pay for equal work</w:t>
      </w:r>
      <w:r w:rsidR="00B10FD6" w:rsidRPr="00972F6F">
        <w:t xml:space="preserve"> (</w:t>
      </w:r>
      <w:proofErr w:type="spellStart"/>
      <w:r w:rsidR="00B10FD6" w:rsidRPr="00972F6F">
        <w:t>Acas</w:t>
      </w:r>
      <w:proofErr w:type="spellEnd"/>
      <w:r w:rsidR="00B10FD6" w:rsidRPr="00972F6F">
        <w:t>, 2024)</w:t>
      </w:r>
      <w:r w:rsidRPr="00972F6F">
        <w:t>.</w:t>
      </w:r>
      <w:r w:rsidR="00B4602F">
        <w:t xml:space="preserve"> </w:t>
      </w:r>
      <w:r w:rsidR="004A35C0" w:rsidRPr="00972F6F">
        <w:t>Therefore</w:t>
      </w:r>
      <w:r w:rsidR="000C726F" w:rsidRPr="00972F6F">
        <w:t>,</w:t>
      </w:r>
      <w:r w:rsidR="004A35C0" w:rsidRPr="00972F6F">
        <w:t xml:space="preserve"> with the information provided </w:t>
      </w:r>
      <w:r w:rsidR="00C30FAB" w:rsidRPr="00972F6F">
        <w:t xml:space="preserve">we are unable to support the </w:t>
      </w:r>
      <w:r w:rsidR="004F0BB5" w:rsidRPr="00972F6F">
        <w:t>uplift</w:t>
      </w:r>
      <w:r w:rsidR="00F96668" w:rsidRPr="00972F6F">
        <w:t xml:space="preserve"> </w:t>
      </w:r>
      <w:r w:rsidR="00C30FAB" w:rsidRPr="00972F6F">
        <w:t xml:space="preserve">as </w:t>
      </w:r>
      <w:r w:rsidR="00F96668" w:rsidRPr="00972F6F">
        <w:t>this would be indicative of gender pay discrimination, which is prohibited under the Equality Act 2010 in the U</w:t>
      </w:r>
      <w:r w:rsidR="00A61B2F">
        <w:t>K.</w:t>
      </w:r>
    </w:p>
    <w:p w14:paraId="5BF34A35" w14:textId="0A7977AE" w:rsidR="005818CE" w:rsidRDefault="00070338" w:rsidP="00813B30">
      <w:r w:rsidRPr="003C1D1A">
        <w:t xml:space="preserve"> </w:t>
      </w:r>
    </w:p>
    <w:p w14:paraId="306250B0" w14:textId="77777777" w:rsidR="003C1D1A" w:rsidRPr="004A04FF" w:rsidRDefault="003C1D1A" w:rsidP="006E53D2">
      <w:pPr>
        <w:spacing w:line="240" w:lineRule="auto"/>
      </w:pPr>
    </w:p>
    <w:p w14:paraId="7150B919" w14:textId="77777777" w:rsidR="00B3559C" w:rsidRPr="00922731" w:rsidRDefault="00B3559C" w:rsidP="006E53D2">
      <w:pPr>
        <w:spacing w:line="240" w:lineRule="auto"/>
        <w:rPr>
          <w:rFonts w:ascii="Trebuchet MS" w:hAnsi="Trebuchet MS"/>
          <w:b/>
          <w:bCs/>
        </w:rPr>
      </w:pPr>
    </w:p>
    <w:p w14:paraId="55D3A6E2" w14:textId="77777777"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 xml:space="preserve">Email 5 (AC 3.1)    </w:t>
      </w:r>
    </w:p>
    <w:p w14:paraId="33B609C3" w14:textId="77777777" w:rsidR="000866FB" w:rsidRPr="00922731" w:rsidRDefault="000866FB" w:rsidP="000866FB">
      <w:pPr>
        <w:spacing w:line="240" w:lineRule="auto"/>
        <w:rPr>
          <w:rFonts w:ascii="Trebuchet MS" w:hAnsi="Trebuchet MS"/>
          <w:b/>
          <w:bCs/>
        </w:rPr>
      </w:pPr>
    </w:p>
    <w:p w14:paraId="69A159A0" w14:textId="77777777" w:rsidR="000866FB" w:rsidRPr="00922731" w:rsidRDefault="000866FB" w:rsidP="000866FB">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Pr>
          <w:rFonts w:ascii="Trebuchet MS" w:hAnsi="Trebuchet MS"/>
        </w:rPr>
        <w:t xml:space="preserve">a change that was made recently to his working hours. </w:t>
      </w:r>
      <w:r w:rsidRPr="00807931">
        <w:rPr>
          <w:rFonts w:ascii="Trebuchet MS" w:hAnsi="Trebuchet MS"/>
        </w:rPr>
        <w:t xml:space="preserve"> She asks for your advice about the circumstances in which </w:t>
      </w:r>
      <w:r>
        <w:rPr>
          <w:rFonts w:ascii="Trebuchet MS" w:hAnsi="Trebuchet MS"/>
        </w:rPr>
        <w:t>such a change</w:t>
      </w:r>
      <w:r w:rsidRPr="00807931">
        <w:rPr>
          <w:rFonts w:ascii="Trebuchet MS" w:hAnsi="Trebuchet MS"/>
        </w:rPr>
        <w:t xml:space="preserve"> can form the basis of a successful constructive dismissal claim and about how long former employees </w:t>
      </w:r>
      <w:proofErr w:type="gramStart"/>
      <w:r w:rsidRPr="00807931">
        <w:rPr>
          <w:rFonts w:ascii="Trebuchet MS" w:hAnsi="Trebuchet MS"/>
        </w:rPr>
        <w:t>have to</w:t>
      </w:r>
      <w:proofErr w:type="gramEnd"/>
      <w:r w:rsidRPr="00807931">
        <w:rPr>
          <w:rFonts w:ascii="Trebuchet MS" w:hAnsi="Trebuchet MS"/>
        </w:rPr>
        <w:t xml:space="preserve"> make claims before they are considered to be 'out of time' by the Employment Tribunal Service.</w:t>
      </w:r>
      <w:r w:rsidRPr="00922731">
        <w:rPr>
          <w:rFonts w:ascii="Trebuchet MS" w:hAnsi="Trebuchet MS"/>
        </w:rPr>
        <w:t xml:space="preserve"> </w:t>
      </w:r>
    </w:p>
    <w:p w14:paraId="6DF83C85" w14:textId="77777777" w:rsidR="000866FB" w:rsidRDefault="000866FB" w:rsidP="000866FB">
      <w:pPr>
        <w:spacing w:line="240" w:lineRule="auto"/>
        <w:rPr>
          <w:rFonts w:ascii="Trebuchet MS" w:hAnsi="Trebuchet MS"/>
          <w:b/>
          <w:bCs/>
        </w:rPr>
      </w:pPr>
    </w:p>
    <w:p w14:paraId="02B91362" w14:textId="77777777" w:rsidR="00E17B8F" w:rsidRDefault="00E17B8F" w:rsidP="000866FB">
      <w:pPr>
        <w:spacing w:line="240" w:lineRule="auto"/>
        <w:rPr>
          <w:rFonts w:ascii="Trebuchet MS" w:hAnsi="Trebuchet MS"/>
          <w:b/>
          <w:bCs/>
        </w:rPr>
      </w:pPr>
    </w:p>
    <w:p w14:paraId="2021FCD4" w14:textId="77777777" w:rsidR="00A438C6" w:rsidRDefault="00A438C6" w:rsidP="000866FB">
      <w:pPr>
        <w:spacing w:line="240" w:lineRule="auto"/>
        <w:rPr>
          <w:color w:val="FF0000"/>
        </w:rPr>
      </w:pPr>
    </w:p>
    <w:p w14:paraId="6A57500F" w14:textId="208F1D08" w:rsidR="009E04A9" w:rsidRPr="002A25E1" w:rsidRDefault="00BB7414" w:rsidP="002A25E1">
      <w:r w:rsidRPr="002A25E1">
        <w:t xml:space="preserve">In the UK, constructive dismissal is considered a form of unfair dismissal under the Employment Rights Act 1996 and the Equality Act 2010. </w:t>
      </w:r>
      <w:r w:rsidR="00F115B0" w:rsidRPr="002A25E1">
        <w:t xml:space="preserve">According to UK Gov Constructive dismissal occurs when an employee resigns due to their employer's conduct, which constitutes a </w:t>
      </w:r>
      <w:r w:rsidR="009E04A9" w:rsidRPr="002A25E1">
        <w:t xml:space="preserve">fundamental </w:t>
      </w:r>
      <w:r w:rsidR="00F115B0" w:rsidRPr="002A25E1">
        <w:t>serious breach of the employment contract.</w:t>
      </w:r>
      <w:r w:rsidR="00A614F8" w:rsidRPr="002A25E1">
        <w:t xml:space="preserve"> Examples of fundamental breaches include significant reductions in salary, demotion, or substantial changes to job duties</w:t>
      </w:r>
      <w:r w:rsidR="008626BD" w:rsidRPr="002A25E1">
        <w:t xml:space="preserve"> (</w:t>
      </w:r>
      <w:r w:rsidR="008D56A5" w:rsidRPr="002A25E1">
        <w:t>UK Gov n</w:t>
      </w:r>
      <w:r w:rsidR="00F77E81">
        <w:t>o date</w:t>
      </w:r>
      <w:r w:rsidR="008626BD" w:rsidRPr="002A25E1">
        <w:t>).</w:t>
      </w:r>
      <w:r w:rsidR="00A614F8" w:rsidRPr="002A25E1">
        <w:t xml:space="preserve"> </w:t>
      </w:r>
    </w:p>
    <w:p w14:paraId="57B5EAB1" w14:textId="77777777" w:rsidR="009E04A9" w:rsidRPr="002A25E1" w:rsidRDefault="009E04A9" w:rsidP="002A25E1"/>
    <w:p w14:paraId="169526D3" w14:textId="2794E56F" w:rsidR="001C5986" w:rsidRPr="002A25E1" w:rsidRDefault="004F0660" w:rsidP="002A25E1">
      <w:proofErr w:type="spellStart"/>
      <w:r w:rsidRPr="00C268D9">
        <w:t>Acas</w:t>
      </w:r>
      <w:proofErr w:type="spellEnd"/>
      <w:r w:rsidRPr="00C268D9">
        <w:t xml:space="preserve"> (</w:t>
      </w:r>
      <w:r w:rsidR="00440763" w:rsidRPr="00C268D9">
        <w:t xml:space="preserve">2024a) </w:t>
      </w:r>
      <w:r w:rsidR="00C268D9" w:rsidRPr="00C268D9">
        <w:t>implies a constructive dismissal claim can be influenced by an employee's experience, such as feeling compelled to resign due to their employer's actions.</w:t>
      </w:r>
      <w:r w:rsidR="00C268D9">
        <w:rPr>
          <w:rFonts w:ascii="Segoe UI" w:hAnsi="Segoe UI" w:cs="Segoe UI"/>
          <w:color w:val="242424"/>
          <w:sz w:val="21"/>
          <w:szCs w:val="21"/>
          <w:shd w:val="clear" w:color="auto" w:fill="FAFAFA"/>
        </w:rPr>
        <w:t xml:space="preserve"> </w:t>
      </w:r>
      <w:proofErr w:type="spellStart"/>
      <w:r w:rsidR="000D491B" w:rsidRPr="002A25E1">
        <w:t>Acas</w:t>
      </w:r>
      <w:proofErr w:type="spellEnd"/>
      <w:r w:rsidR="000D491B" w:rsidRPr="002A25E1">
        <w:t xml:space="preserve"> (2024a) state there must be a serious breach in contract to support a constructive dismissal claim such as a grievance which has not been investigated, making unreasonable changes to work pattern, not being paid the agreed amount regularly and being bullied or discriminated against. </w:t>
      </w:r>
      <w:r w:rsidR="00E17B8F" w:rsidRPr="002A25E1">
        <w:t>The resignation must be timely and directly related to the breach</w:t>
      </w:r>
      <w:r w:rsidR="009E53A1" w:rsidRPr="002A25E1">
        <w:t xml:space="preserve">, according to </w:t>
      </w:r>
      <w:r w:rsidR="005C2E41">
        <w:t xml:space="preserve">(CIPD, 2024) </w:t>
      </w:r>
      <w:r w:rsidR="00142EB8" w:rsidRPr="002A25E1">
        <w:t>t</w:t>
      </w:r>
      <w:r w:rsidR="009E53A1" w:rsidRPr="002A25E1">
        <w:t>he most common breach is that of the implied term of ‘mutual trust and confidence’ between the employer and employee</w:t>
      </w:r>
      <w:r w:rsidR="009E53A1" w:rsidRPr="00EF5F53">
        <w:t>.</w:t>
      </w:r>
      <w:r w:rsidR="001F657F">
        <w:t xml:space="preserve"> If</w:t>
      </w:r>
      <w:r w:rsidR="00EF5F53" w:rsidRPr="00EF5F53">
        <w:t xml:space="preserve"> an employee continues to work after a breach of contract by the employer, it can be interpreted as the employee accepting the breach and affirming the contrac</w:t>
      </w:r>
      <w:r w:rsidR="001F657F">
        <w:t>t</w:t>
      </w:r>
      <w:r w:rsidR="001716AF">
        <w:t>, thus t</w:t>
      </w:r>
      <w:r w:rsidR="00252C5A" w:rsidRPr="002A25E1">
        <w:t xml:space="preserve">he employee </w:t>
      </w:r>
      <w:r w:rsidR="00887AB1" w:rsidRPr="002A25E1">
        <w:t>will not be entitled to resign later and claim constructive dismissal (Landy, 2017).</w:t>
      </w:r>
    </w:p>
    <w:p w14:paraId="41FEB276" w14:textId="77777777" w:rsidR="001C5986" w:rsidRPr="002A25E1" w:rsidRDefault="001C5986" w:rsidP="002A25E1"/>
    <w:p w14:paraId="01805C04" w14:textId="77777777" w:rsidR="00E82642" w:rsidRPr="002A25E1" w:rsidRDefault="00E82642" w:rsidP="002A25E1"/>
    <w:p w14:paraId="149FA436" w14:textId="34DE112C" w:rsidR="00E82642" w:rsidRPr="002A25E1" w:rsidRDefault="00E82642" w:rsidP="002A25E1">
      <w:r w:rsidRPr="002A25E1">
        <w:t>Varying contracts can have significant legal implications, especially in the context of constructive dismissal claims,</w:t>
      </w:r>
      <w:r w:rsidR="00092D51" w:rsidRPr="002A25E1">
        <w:t xml:space="preserve"> </w:t>
      </w:r>
      <w:r w:rsidR="007B201D" w:rsidRPr="002A25E1">
        <w:t>if</w:t>
      </w:r>
      <w:r w:rsidR="00092D51" w:rsidRPr="002A25E1">
        <w:t xml:space="preserve"> an employer unilaterally changes the terms of an employee's contract without their consent, it can be considered a breach of contrac</w:t>
      </w:r>
      <w:r w:rsidR="007B201D" w:rsidRPr="002A25E1">
        <w:t>t.</w:t>
      </w:r>
      <w:r w:rsidRPr="002A25E1">
        <w:t xml:space="preserve"> </w:t>
      </w:r>
      <w:r w:rsidR="007B201D" w:rsidRPr="002A25E1">
        <w:t>I</w:t>
      </w:r>
      <w:r w:rsidR="0068738C" w:rsidRPr="002A25E1">
        <w:t>f an employer forces the employee to accept unreasonable changes to how they work</w:t>
      </w:r>
      <w:r w:rsidR="0090571D" w:rsidRPr="002A25E1">
        <w:t xml:space="preserve"> </w:t>
      </w:r>
      <w:r w:rsidR="00C70656" w:rsidRPr="002A25E1">
        <w:t xml:space="preserve">for </w:t>
      </w:r>
      <w:r w:rsidR="0090571D" w:rsidRPr="002A25E1">
        <w:t>example</w:t>
      </w:r>
      <w:r w:rsidR="0031481B" w:rsidRPr="002A25E1">
        <w:t>,</w:t>
      </w:r>
      <w:r w:rsidR="0090571D" w:rsidRPr="002A25E1">
        <w:t xml:space="preserve"> if they’re contract is only working </w:t>
      </w:r>
      <w:r w:rsidR="00DB3A88" w:rsidRPr="002A25E1">
        <w:t>days,</w:t>
      </w:r>
      <w:r w:rsidR="0090571D" w:rsidRPr="002A25E1">
        <w:t xml:space="preserve"> </w:t>
      </w:r>
      <w:r w:rsidR="00EA3BB7" w:rsidRPr="002A25E1">
        <w:t>but the request is to work night shifts this wou</w:t>
      </w:r>
      <w:r w:rsidR="00DB3A88" w:rsidRPr="002A25E1">
        <w:t>l</w:t>
      </w:r>
      <w:r w:rsidR="00EA3BB7" w:rsidRPr="002A25E1">
        <w:t>d be considered as a br</w:t>
      </w:r>
      <w:r w:rsidR="00DB3A88" w:rsidRPr="002A25E1">
        <w:t xml:space="preserve">each </w:t>
      </w:r>
      <w:r w:rsidR="000D1886" w:rsidRPr="002A25E1">
        <w:t xml:space="preserve">of employment contact </w:t>
      </w:r>
      <w:r w:rsidR="00DB3A88" w:rsidRPr="002A25E1">
        <w:t>(</w:t>
      </w:r>
      <w:proofErr w:type="spellStart"/>
      <w:r w:rsidR="00DB3A88" w:rsidRPr="002A25E1">
        <w:t>Acas</w:t>
      </w:r>
      <w:proofErr w:type="spellEnd"/>
      <w:r w:rsidR="00DB3A88" w:rsidRPr="002A25E1">
        <w:t>,</w:t>
      </w:r>
      <w:r w:rsidR="00554881">
        <w:t xml:space="preserve"> </w:t>
      </w:r>
      <w:r w:rsidR="00DB3A88" w:rsidRPr="002A25E1">
        <w:t xml:space="preserve">2024a). </w:t>
      </w:r>
      <w:r w:rsidR="00367F0C" w:rsidRPr="002A25E1">
        <w:t>Th</w:t>
      </w:r>
      <w:r w:rsidR="000D1886" w:rsidRPr="002A25E1">
        <w:t>us</w:t>
      </w:r>
      <w:r w:rsidR="00367F0C" w:rsidRPr="002A25E1">
        <w:t>,</w:t>
      </w:r>
      <w:r w:rsidR="00053E2C" w:rsidRPr="002A25E1">
        <w:t xml:space="preserve"> if unreasonable </w:t>
      </w:r>
      <w:r w:rsidR="001549CF" w:rsidRPr="002A25E1">
        <w:t xml:space="preserve">fundamental </w:t>
      </w:r>
      <w:r w:rsidR="003E1C93" w:rsidRPr="002A25E1">
        <w:t xml:space="preserve">changes were made to the employees working hours without consultation </w:t>
      </w:r>
      <w:r w:rsidR="00DC52C9" w:rsidRPr="002A25E1">
        <w:t>which</w:t>
      </w:r>
      <w:r w:rsidR="006837BC" w:rsidRPr="002A25E1">
        <w:t xml:space="preserve"> </w:t>
      </w:r>
      <w:r w:rsidR="00367F0C" w:rsidRPr="002A25E1">
        <w:t xml:space="preserve">resulted in </w:t>
      </w:r>
      <w:r w:rsidR="006837BC" w:rsidRPr="002A25E1">
        <w:t xml:space="preserve">the employee resigning </w:t>
      </w:r>
      <w:r w:rsidR="00DC52C9" w:rsidRPr="002A25E1">
        <w:t xml:space="preserve">this could </w:t>
      </w:r>
      <w:r w:rsidR="009D7096" w:rsidRPr="002A25E1">
        <w:t xml:space="preserve">potentially </w:t>
      </w:r>
      <w:r w:rsidR="001549CF" w:rsidRPr="002A25E1">
        <w:t xml:space="preserve">result in a </w:t>
      </w:r>
      <w:r w:rsidR="009D7096" w:rsidRPr="002A25E1">
        <w:t xml:space="preserve">successful </w:t>
      </w:r>
      <w:r w:rsidR="00C87AEC" w:rsidRPr="002A25E1">
        <w:t xml:space="preserve">constructive dismissal claim. </w:t>
      </w:r>
    </w:p>
    <w:p w14:paraId="69ACE980" w14:textId="77777777" w:rsidR="001549CF" w:rsidRPr="002A25E1" w:rsidRDefault="001549CF" w:rsidP="002A25E1"/>
    <w:p w14:paraId="4FEE71E5" w14:textId="0AA56D00" w:rsidR="007C3545" w:rsidRPr="002A25E1" w:rsidRDefault="00892CEE" w:rsidP="002A25E1">
      <w:r w:rsidRPr="002A25E1">
        <w:lastRenderedPageBreak/>
        <w:t>Employers should obtain the employee's consent before implementing any substantial changes to their contract. It is recommended to engage in consultations with employees and, if needed, negotiate adjustments to prevent potential claims</w:t>
      </w:r>
      <w:r w:rsidR="00432EB0">
        <w:t xml:space="preserve"> (CIPD, 2024).</w:t>
      </w:r>
      <w:r w:rsidRPr="002A25E1">
        <w:t xml:space="preserve"> </w:t>
      </w:r>
      <w:r w:rsidR="007E06FD" w:rsidRPr="002A25E1">
        <w:t>Employees can submit a</w:t>
      </w:r>
      <w:r w:rsidR="000D0A13" w:rsidRPr="002A25E1">
        <w:t xml:space="preserve"> grievance </w:t>
      </w:r>
      <w:r w:rsidR="00081CBF" w:rsidRPr="002A25E1">
        <w:t xml:space="preserve">however it </w:t>
      </w:r>
      <w:r w:rsidR="000D0A13" w:rsidRPr="002A25E1">
        <w:t>won't prevent a claim, but it may affect compensation. Tribunals can adjust awards by 25% if the employer or employee unreasonably fails to comply with the ACAS Code of Practice</w:t>
      </w:r>
      <w:r w:rsidR="00A209A3" w:rsidRPr="002A25E1">
        <w:t xml:space="preserve"> (</w:t>
      </w:r>
      <w:proofErr w:type="spellStart"/>
      <w:r w:rsidR="00A209A3" w:rsidRPr="002A25E1">
        <w:t>Acas</w:t>
      </w:r>
      <w:proofErr w:type="spellEnd"/>
      <w:r w:rsidR="00A209A3" w:rsidRPr="002A25E1">
        <w:t>, 2024a).</w:t>
      </w:r>
    </w:p>
    <w:p w14:paraId="1475F0C2" w14:textId="77777777" w:rsidR="007C3545" w:rsidRPr="002A25E1" w:rsidRDefault="007C3545" w:rsidP="002A25E1"/>
    <w:p w14:paraId="6BF9C769" w14:textId="0ECF04C3" w:rsidR="002761E4" w:rsidRPr="002A25E1" w:rsidRDefault="00A614F8" w:rsidP="002A25E1">
      <w:r w:rsidRPr="002A25E1">
        <w:t xml:space="preserve">There </w:t>
      </w:r>
      <w:r w:rsidR="00C87AEC" w:rsidRPr="002A25E1">
        <w:t>are strict limits for making a claim to employment tribunal, former employees have 3 months minus 1 day from the date their employment ended, or the issue occurred to raise a constructive dismissal claim, they must also have a minimum of 2 years' service</w:t>
      </w:r>
      <w:r w:rsidR="000028F3" w:rsidRPr="002A25E1">
        <w:t xml:space="preserve"> within the organisation</w:t>
      </w:r>
      <w:r w:rsidR="00F27BCB" w:rsidRPr="002A25E1">
        <w:t xml:space="preserve"> (CIPD, 2024)</w:t>
      </w:r>
      <w:r w:rsidR="009963C9">
        <w:t>.</w:t>
      </w:r>
    </w:p>
    <w:p w14:paraId="379DECB2" w14:textId="0A18C071" w:rsidR="00B81E22" w:rsidRDefault="00E32489" w:rsidP="000866FB">
      <w:pPr>
        <w:spacing w:line="240" w:lineRule="auto"/>
      </w:pPr>
      <w:r>
        <w:t xml:space="preserve"> </w:t>
      </w:r>
    </w:p>
    <w:p w14:paraId="67369BA5" w14:textId="77777777" w:rsidR="000866FB" w:rsidRDefault="000866FB" w:rsidP="000866FB">
      <w:pPr>
        <w:spacing w:line="240" w:lineRule="auto"/>
      </w:pPr>
    </w:p>
    <w:p w14:paraId="2CD46CB2" w14:textId="77777777" w:rsidR="00252C5A" w:rsidRPr="00922731" w:rsidRDefault="00252C5A" w:rsidP="000866FB">
      <w:pPr>
        <w:spacing w:line="240" w:lineRule="auto"/>
        <w:rPr>
          <w:rFonts w:ascii="Trebuchet MS" w:hAnsi="Trebuchet MS"/>
          <w:b/>
          <w:bCs/>
        </w:rPr>
      </w:pPr>
    </w:p>
    <w:p w14:paraId="34FE0759" w14:textId="77777777"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6 (AC 3.2)</w:t>
      </w:r>
    </w:p>
    <w:p w14:paraId="106CA538" w14:textId="77777777" w:rsidR="000866FB" w:rsidRPr="00922731" w:rsidRDefault="000866FB" w:rsidP="000866FB">
      <w:pPr>
        <w:spacing w:line="240" w:lineRule="auto"/>
        <w:rPr>
          <w:rFonts w:ascii="Trebuchet MS" w:hAnsi="Trebuchet MS"/>
          <w:b/>
          <w:bCs/>
        </w:rPr>
      </w:pPr>
    </w:p>
    <w:p w14:paraId="330B1E8D" w14:textId="77777777" w:rsidR="000866FB" w:rsidRDefault="000866FB" w:rsidP="000866FB">
      <w:pPr>
        <w:spacing w:line="240" w:lineRule="auto"/>
        <w:rPr>
          <w:rFonts w:ascii="Trebuchet MS" w:hAnsi="Trebuchet M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Pr>
          <w:rFonts w:ascii="Trebuchet MS" w:hAnsi="Trebuchet MS"/>
        </w:rPr>
        <w:t>Include discussion of the legal requirements relating to redundancy in your answer.</w:t>
      </w:r>
    </w:p>
    <w:p w14:paraId="6A27BB05" w14:textId="77777777" w:rsidR="00545AE4" w:rsidRDefault="00545AE4" w:rsidP="000866FB">
      <w:pPr>
        <w:spacing w:line="240" w:lineRule="auto"/>
        <w:rPr>
          <w:rFonts w:ascii="Trebuchet MS" w:hAnsi="Trebuchet MS"/>
        </w:rPr>
      </w:pPr>
    </w:p>
    <w:p w14:paraId="5893F382" w14:textId="4BB61DEC" w:rsidR="007046E8" w:rsidRPr="001C1C24" w:rsidRDefault="00284035" w:rsidP="001C1C24">
      <w:r w:rsidRPr="001C1C24">
        <w:t>To ensure this process is managed effectively and sensitively, we need to align our actions with legal redundancy requirements</w:t>
      </w:r>
      <w:r w:rsidR="00361029">
        <w:t xml:space="preserve"> and time frames</w:t>
      </w:r>
      <w:r w:rsidRPr="001C1C24">
        <w:t xml:space="preserve">. Since you are considering </w:t>
      </w:r>
      <w:r w:rsidR="00F67B13" w:rsidRPr="001C1C24">
        <w:t>the red</w:t>
      </w:r>
      <w:r w:rsidR="00365A32" w:rsidRPr="001C1C24">
        <w:t>undancy of +</w:t>
      </w:r>
      <w:r w:rsidRPr="001C1C24">
        <w:t>20 employees, an HR1 form must be completed</w:t>
      </w:r>
      <w:r w:rsidR="00365A32" w:rsidRPr="001C1C24">
        <w:t xml:space="preserve"> with +30 days consultation period</w:t>
      </w:r>
      <w:r w:rsidR="0057364D" w:rsidRPr="001C1C24">
        <w:t xml:space="preserve"> (Beacon, 2025).</w:t>
      </w:r>
      <w:r w:rsidR="00AB78CA" w:rsidRPr="001C1C24">
        <w:t xml:space="preserve"> </w:t>
      </w:r>
      <w:r w:rsidRPr="001C1C24">
        <w:t>This legal document must be submitted to the Insolvency Service when proposing collective redundancies (Morris, 2025). Failing to submit an HR1 form poses significant risks for employers, including fines or prosecution, with individual company directors potentially being held personally liable (Morris, 2025).</w:t>
      </w:r>
    </w:p>
    <w:p w14:paraId="569B22BC" w14:textId="77777777" w:rsidR="007046E8" w:rsidRDefault="007046E8" w:rsidP="001C1C24"/>
    <w:p w14:paraId="34C6B18B" w14:textId="18839C6F" w:rsidR="00E23706" w:rsidRPr="001C1C24" w:rsidRDefault="00E23706" w:rsidP="00E23706">
      <w:r>
        <w:t xml:space="preserve">However, we should consider </w:t>
      </w:r>
      <w:r w:rsidRPr="001C1C24">
        <w:t xml:space="preserve">suitable alternative employment within the organisation </w:t>
      </w:r>
      <w:r>
        <w:t xml:space="preserve">as an alternative to redundancy. </w:t>
      </w:r>
      <w:r w:rsidRPr="001C1C24">
        <w:t>This involves offering roles of a similar skill, experience and circumstances and should be representative of pay, duties, status, and location</w:t>
      </w:r>
      <w:r>
        <w:t xml:space="preserve"> (</w:t>
      </w:r>
      <w:proofErr w:type="spellStart"/>
      <w:r>
        <w:t>Acas</w:t>
      </w:r>
      <w:proofErr w:type="spellEnd"/>
      <w:r>
        <w:t>, 2025).</w:t>
      </w:r>
      <w:r w:rsidRPr="001C1C24">
        <w:t xml:space="preserve"> Employees have the right to a 4-week trial period in the new role to determine if it is suitable however</w:t>
      </w:r>
      <w:r>
        <w:t>,</w:t>
      </w:r>
      <w:r w:rsidRPr="001C1C24">
        <w:t xml:space="preserve"> </w:t>
      </w:r>
      <w:r w:rsidR="00150BE3" w:rsidRPr="001C1C24">
        <w:t>if</w:t>
      </w:r>
      <w:r w:rsidRPr="001C1C24">
        <w:t xml:space="preserve"> an employee unreasonably refuses a suitable alternative role, they may lose their right to statutory redundancy pay (</w:t>
      </w:r>
      <w:proofErr w:type="spellStart"/>
      <w:r w:rsidRPr="001C1C24">
        <w:t>Acas</w:t>
      </w:r>
      <w:proofErr w:type="spellEnd"/>
      <w:r w:rsidRPr="001C1C24">
        <w:t>, 2025).</w:t>
      </w:r>
    </w:p>
    <w:p w14:paraId="5AC0E2B9" w14:textId="77777777" w:rsidR="00E23706" w:rsidRPr="001C1C24" w:rsidRDefault="00E23706" w:rsidP="001C1C24"/>
    <w:p w14:paraId="57213B32" w14:textId="48F6E7AC" w:rsidR="00326436" w:rsidRPr="001C1C24" w:rsidRDefault="0015190F" w:rsidP="001C1C24">
      <w:r w:rsidRPr="001C1C24">
        <w:t>With 50 posts at risk, please be aware that if an employer plans to make 20 or more employees redundant within a 90-day period, they must follow collective consultation rules to prevent unfair dismissals and avoid protective awards (CIPD, 2024a).</w:t>
      </w:r>
      <w:r w:rsidR="001F0F3F" w:rsidRPr="001C1C24">
        <w:t xml:space="preserve"> Employee representatives </w:t>
      </w:r>
      <w:r w:rsidR="006C73E3" w:rsidRPr="001C1C24">
        <w:t>or trade unions should be present during consultation</w:t>
      </w:r>
      <w:r w:rsidR="00D57866">
        <w:t>, i</w:t>
      </w:r>
      <w:r w:rsidR="00D57866" w:rsidRPr="001C1C24">
        <w:t>f employees choose not to involve a trade union, consider alternative methods such as a ballot to ensure transparency and fairness</w:t>
      </w:r>
      <w:r w:rsidR="00D57866">
        <w:t xml:space="preserve"> (Daniels, 2022). </w:t>
      </w:r>
      <w:r w:rsidRPr="001C1C24">
        <w:t xml:space="preserve">Ensure you consult staff and inform them </w:t>
      </w:r>
      <w:r w:rsidR="00EF70D8" w:rsidRPr="001C1C24">
        <w:t xml:space="preserve">of the reasoning for redundancy, the roles affected, </w:t>
      </w:r>
      <w:r w:rsidR="00A028F9" w:rsidRPr="001C1C24">
        <w:t xml:space="preserve">how you plan to select employees for redundancy, </w:t>
      </w:r>
      <w:r w:rsidR="00C01C24" w:rsidRPr="001C1C24">
        <w:t xml:space="preserve">how the process will be conducted and pay </w:t>
      </w:r>
      <w:r w:rsidRPr="001C1C24">
        <w:t>(UK Government, 1992). This will help maintain an equitable process, retain staff trust, and minimi</w:t>
      </w:r>
      <w:r w:rsidR="00E2045C" w:rsidRPr="001C1C24">
        <w:t>s</w:t>
      </w:r>
      <w:r w:rsidRPr="001C1C24">
        <w:t xml:space="preserve">e conflict. </w:t>
      </w:r>
    </w:p>
    <w:p w14:paraId="6D88FEA3" w14:textId="77777777" w:rsidR="00326436" w:rsidRDefault="00326436" w:rsidP="001C1C24"/>
    <w:p w14:paraId="75651D18" w14:textId="7C2ACF34" w:rsidR="00D87886" w:rsidRPr="001C1C24" w:rsidRDefault="0078137B" w:rsidP="001C1C24">
      <w:r>
        <w:t>I would advise we consult and discuss</w:t>
      </w:r>
      <w:r w:rsidR="00D87886" w:rsidRPr="001C1C24">
        <w:t xml:space="preserve"> clear and measurable criteria for selecting employees for redundancy. Typical criteria include skills, qualifications, performance, and attendance records (excluding absences due to disability or pregnancy</w:t>
      </w:r>
      <w:r w:rsidR="0072764B">
        <w:t xml:space="preserve"> as this would discriminate against protected characteristics</w:t>
      </w:r>
      <w:r w:rsidR="00D87886" w:rsidRPr="001C1C24">
        <w:t>)</w:t>
      </w:r>
      <w:r w:rsidR="00FC3B08" w:rsidRPr="001C1C24">
        <w:t xml:space="preserve"> (</w:t>
      </w:r>
      <w:proofErr w:type="spellStart"/>
      <w:r w:rsidR="00FC3B08" w:rsidRPr="001C1C24">
        <w:t>Acas</w:t>
      </w:r>
      <w:proofErr w:type="spellEnd"/>
      <w:r w:rsidR="00FC3B08" w:rsidRPr="001C1C24">
        <w:t>, 2025)</w:t>
      </w:r>
      <w:r w:rsidR="00D87886" w:rsidRPr="001C1C24">
        <w:t xml:space="preserve">. The CIPD (2024a) states employers should </w:t>
      </w:r>
      <w:r w:rsidR="00D87886" w:rsidRPr="001C1C24">
        <w:lastRenderedPageBreak/>
        <w:t xml:space="preserve">exercise caution when defining the initial selection pool for redundancy. Identifying under-performing employees as the selection pool at this early stage can result in claims of unfair dismissal. However, applying a selectin pool can demonstrate equitability and minimise discrimination, additionally, this approach ensures transparency and consistency in the decision-making process (CIPD, 2024a). </w:t>
      </w:r>
    </w:p>
    <w:p w14:paraId="0831B122" w14:textId="77777777" w:rsidR="00D87886" w:rsidRPr="001C1C24" w:rsidRDefault="00D87886" w:rsidP="001C1C24"/>
    <w:p w14:paraId="0FBDD9D0" w14:textId="77777777" w:rsidR="00272485" w:rsidRPr="001C1C24" w:rsidRDefault="00272485" w:rsidP="001C1C24"/>
    <w:p w14:paraId="75F62907" w14:textId="2E99B264" w:rsidR="005C4385" w:rsidRPr="001C1C24" w:rsidRDefault="005C4385" w:rsidP="001C1C24">
      <w:r w:rsidRPr="001C1C24">
        <w:t>Other considerations include the length of service, as it affects the notice period and redundancy pay calculation, employees with 2 years or more of service are entitled to statutory redundancy payments (CIPD, 2024a). Under the Pregnancy and Family Leave Act 2023, eligible employees must be prioritised for suitable alternative vacancies and may have an extended protection period (UK Government, 2023). These measures aim to prevent unfair dismissals and ensure employees on pregnancy or family leave are not disadvantaged during redundancy processes (UK Government, 2023).</w:t>
      </w:r>
    </w:p>
    <w:p w14:paraId="244C07D9" w14:textId="77777777" w:rsidR="00390514" w:rsidRDefault="00390514" w:rsidP="000866FB">
      <w:pPr>
        <w:spacing w:line="240" w:lineRule="auto"/>
        <w:rPr>
          <w:rFonts w:ascii="Trebuchet MS" w:hAnsi="Trebuchet MS"/>
          <w:b/>
          <w:bCs/>
        </w:rPr>
      </w:pPr>
    </w:p>
    <w:p w14:paraId="4C9FCC75" w14:textId="77777777" w:rsidR="000866FB" w:rsidRPr="00922731" w:rsidRDefault="000866FB" w:rsidP="000866FB">
      <w:pPr>
        <w:spacing w:line="240" w:lineRule="auto"/>
        <w:rPr>
          <w:rFonts w:ascii="Trebuchet MS" w:hAnsi="Trebuchet MS"/>
          <w:b/>
          <w:bCs/>
        </w:rPr>
      </w:pPr>
    </w:p>
    <w:p w14:paraId="2973780D" w14:textId="77777777" w:rsidR="000866FB" w:rsidRPr="00922731" w:rsidRDefault="000866FB" w:rsidP="000866FB">
      <w:pPr>
        <w:spacing w:line="240" w:lineRule="auto"/>
        <w:rPr>
          <w:rFonts w:ascii="Trebuchet MS" w:hAnsi="Trebuchet MS"/>
          <w:b/>
          <w:bCs/>
        </w:rPr>
      </w:pPr>
    </w:p>
    <w:p w14:paraId="4DD15281" w14:textId="77777777" w:rsidR="000866FB" w:rsidRPr="00A3238A" w:rsidRDefault="000866FB" w:rsidP="000866FB">
      <w:pPr>
        <w:spacing w:line="240" w:lineRule="auto"/>
        <w:rPr>
          <w:rFonts w:ascii="Trebuchet MS" w:hAnsi="Trebuchet MS"/>
          <w:b/>
          <w:bCs/>
          <w:sz w:val="24"/>
        </w:rPr>
      </w:pPr>
      <w:r w:rsidRPr="00A3238A">
        <w:rPr>
          <w:rFonts w:ascii="Trebuchet MS" w:hAnsi="Trebuchet MS" w:cstheme="minorHAnsi"/>
          <w:b/>
          <w:bCs/>
          <w:color w:val="833C0B" w:themeColor="accent2" w:themeShade="80"/>
          <w:sz w:val="24"/>
        </w:rPr>
        <w:t xml:space="preserve">Email 7 (AC 3.3) </w:t>
      </w:r>
      <w:r w:rsidRPr="00A3238A">
        <w:rPr>
          <w:rFonts w:ascii="Trebuchet MS" w:hAnsi="Trebuchet MS"/>
          <w:b/>
          <w:bCs/>
          <w:sz w:val="24"/>
        </w:rPr>
        <w:t xml:space="preserve">  </w:t>
      </w:r>
    </w:p>
    <w:p w14:paraId="7256F926" w14:textId="77777777" w:rsidR="000866FB" w:rsidRPr="00922731" w:rsidRDefault="000866FB" w:rsidP="000866FB">
      <w:pPr>
        <w:spacing w:line="240" w:lineRule="auto"/>
        <w:rPr>
          <w:rFonts w:ascii="Trebuchet MS" w:hAnsi="Trebuchet MS"/>
          <w:b/>
          <w:bCs/>
        </w:rPr>
      </w:pPr>
    </w:p>
    <w:p w14:paraId="0DA1224A" w14:textId="77777777" w:rsidR="000866FB" w:rsidRPr="00922731" w:rsidRDefault="000866FB" w:rsidP="000866FB">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w:t>
      </w:r>
      <w:r>
        <w:rPr>
          <w:rFonts w:ascii="Trebuchet MS" w:hAnsi="Trebuchet MS"/>
        </w:rPr>
        <w:t xml:space="preserve">explain </w:t>
      </w:r>
      <w:r w:rsidRPr="00922731">
        <w:rPr>
          <w:rFonts w:ascii="Trebuchet MS" w:hAnsi="Trebuchet MS"/>
        </w:rPr>
        <w:t xml:space="preserve">the major relevant rights that any employees involved in the merger might have in respect of the Transfer of Undertakings (i.e. TUPE) regulations should it go ahead at some date in the future.    </w:t>
      </w:r>
    </w:p>
    <w:p w14:paraId="79AD318B" w14:textId="77777777" w:rsidR="000866FB" w:rsidRDefault="000866FB" w:rsidP="000866FB">
      <w:pPr>
        <w:spacing w:line="240" w:lineRule="auto"/>
        <w:rPr>
          <w:rFonts w:ascii="Trebuchet MS" w:hAnsi="Trebuchet MS"/>
          <w:b/>
          <w:bCs/>
        </w:rPr>
      </w:pPr>
    </w:p>
    <w:p w14:paraId="45A7F1FE" w14:textId="0CE3667F" w:rsidR="00D81526" w:rsidRPr="00DD63D6" w:rsidRDefault="00553FC5" w:rsidP="00DD63D6">
      <w:r w:rsidRPr="00DD63D6">
        <w:t>As we engage in negotiations with our neighbouring hospital about the potential merger of our pharmaceutical operations, it is essential to consider the rights of our employees under the Transfer of Undertakings (Protection of Employment) Regulations (TUPE). TUPE safeguards employees' terms and conditions of employment when a business or part of it is transferred to a new employer (Lewis, 2023)</w:t>
      </w:r>
    </w:p>
    <w:p w14:paraId="6E8931D4" w14:textId="77777777" w:rsidR="00553FC5" w:rsidRDefault="00553FC5" w:rsidP="003856FB"/>
    <w:p w14:paraId="70E10345" w14:textId="3F66B755" w:rsidR="00E20F79" w:rsidRPr="003856FB" w:rsidRDefault="00D6109C" w:rsidP="003856FB">
      <w:r w:rsidRPr="003D47D9">
        <w:t>A well-planned pre-transfer period is crucial for the success of the transfer (CIPD, 2024b). The regulations mandate that consultation must occur. Both the current and new employers are required to inform and consult with employee representatives, such as trade unions, about the transfer (Lewis, 2023).</w:t>
      </w:r>
      <w:r w:rsidR="003D47D9">
        <w:t xml:space="preserve"> </w:t>
      </w:r>
      <w:r w:rsidR="00985902" w:rsidRPr="003856FB">
        <w:t>Additionally, the regulations mandate that the transferor employer provide information about the transferring workforce to the new employer 4 weeks prior to the transfer</w:t>
      </w:r>
      <w:r w:rsidR="009C66DD" w:rsidRPr="003856FB">
        <w:t xml:space="preserve"> (Daniels, 2014).</w:t>
      </w:r>
      <w:r w:rsidR="000B54E0" w:rsidRPr="003856FB">
        <w:t xml:space="preserve"> Failure to adhere to</w:t>
      </w:r>
      <w:r w:rsidR="005B1970" w:rsidRPr="003856FB">
        <w:t xml:space="preserve"> consultation</w:t>
      </w:r>
      <w:r w:rsidR="000B54E0" w:rsidRPr="003856FB">
        <w:t xml:space="preserve"> can result</w:t>
      </w:r>
      <w:r w:rsidR="008B6562" w:rsidRPr="003856FB">
        <w:t xml:space="preserve"> in compensation pay</w:t>
      </w:r>
      <w:r w:rsidR="005B1970" w:rsidRPr="003856FB">
        <w:t xml:space="preserve"> for up to 13 weeks for the employee, and </w:t>
      </w:r>
      <w:r w:rsidR="00623582" w:rsidRPr="003856FB">
        <w:t xml:space="preserve">if employee information is not exchanged </w:t>
      </w:r>
      <w:r w:rsidR="00675440" w:rsidRPr="003856FB">
        <w:t>the employment tribunal can award the transferee up to £500 per employee</w:t>
      </w:r>
      <w:r w:rsidR="009C66DD" w:rsidRPr="003856FB">
        <w:t xml:space="preserve"> (Daniels, 2014). </w:t>
      </w:r>
    </w:p>
    <w:p w14:paraId="6272EC05" w14:textId="77777777" w:rsidR="00E20F79" w:rsidRPr="003856FB" w:rsidRDefault="00E20F79" w:rsidP="003856FB"/>
    <w:p w14:paraId="70508C05" w14:textId="62941C5B" w:rsidR="00BF3A7B" w:rsidRPr="00ED58BB" w:rsidRDefault="00CA147D" w:rsidP="003856FB">
      <w:r w:rsidRPr="003856FB">
        <w:t>In the event of a</w:t>
      </w:r>
      <w:r w:rsidR="007E3009" w:rsidRPr="003856FB">
        <w:t xml:space="preserve"> business transfer change</w:t>
      </w:r>
      <w:r w:rsidRPr="003856FB">
        <w:t>, employees assigned to the organised group providing the service will automatically transfer to the new employer under TUPE</w:t>
      </w:r>
      <w:r w:rsidR="008A4C50" w:rsidRPr="003856FB">
        <w:t xml:space="preserve"> (Gateley, 202</w:t>
      </w:r>
      <w:r w:rsidR="00636293" w:rsidRPr="003856FB">
        <w:t>2</w:t>
      </w:r>
      <w:r w:rsidR="008A4C50" w:rsidRPr="003856FB">
        <w:t xml:space="preserve">). </w:t>
      </w:r>
      <w:r w:rsidR="00045814" w:rsidRPr="003856FB">
        <w:t xml:space="preserve">Their employment terms and conditions, including salary, working hours, and other benefits, </w:t>
      </w:r>
      <w:r w:rsidR="00D80EE2" w:rsidRPr="003856FB">
        <w:t xml:space="preserve">will </w:t>
      </w:r>
      <w:r w:rsidR="00045814" w:rsidRPr="003856FB">
        <w:t>remain unchanged</w:t>
      </w:r>
      <w:r w:rsidR="00ED4099" w:rsidRPr="003856FB">
        <w:t xml:space="preserve"> (UK Gov, 2025). </w:t>
      </w:r>
      <w:r w:rsidR="008D53EF" w:rsidRPr="003856FB">
        <w:t xml:space="preserve">In alignment with this, their previous employment continuity length of service </w:t>
      </w:r>
      <w:r w:rsidR="00403DA2" w:rsidRPr="003856FB">
        <w:t xml:space="preserve">and associated rights such as redundancy and </w:t>
      </w:r>
      <w:r w:rsidR="005B012A" w:rsidRPr="003856FB">
        <w:t xml:space="preserve">unfair dismissal will still be maintained by the new employer. </w:t>
      </w:r>
      <w:r w:rsidR="00653DC5" w:rsidRPr="003856FB">
        <w:t>If the transfer was a primary cause for dismissal e</w:t>
      </w:r>
      <w:r w:rsidR="004E7736" w:rsidRPr="003856FB">
        <w:t>mployees will</w:t>
      </w:r>
      <w:r w:rsidR="00B9247D" w:rsidRPr="003856FB">
        <w:t xml:space="preserve"> automatically</w:t>
      </w:r>
      <w:r w:rsidR="004E7736" w:rsidRPr="003856FB">
        <w:t xml:space="preserve"> have the right to be protected against unfair dismissal </w:t>
      </w:r>
      <w:r w:rsidR="00B9247D" w:rsidRPr="003856FB">
        <w:t xml:space="preserve">in exception to </w:t>
      </w:r>
      <w:r w:rsidR="00354C2A" w:rsidRPr="003856FB">
        <w:t xml:space="preserve">organisational changes </w:t>
      </w:r>
      <w:r w:rsidR="0019215B" w:rsidRPr="003856FB">
        <w:t>in the workforce</w:t>
      </w:r>
      <w:r w:rsidR="001D3116" w:rsidRPr="003856FB">
        <w:t xml:space="preserve">, economical </w:t>
      </w:r>
      <w:r w:rsidR="00A27EF8" w:rsidRPr="003856FB">
        <w:t xml:space="preserve">concerns such as poor performance and technical concerns such as issues with processes or </w:t>
      </w:r>
      <w:r w:rsidR="00A27EF8" w:rsidRPr="003856FB">
        <w:lastRenderedPageBreak/>
        <w:t>equipment within the organisation</w:t>
      </w:r>
      <w:r w:rsidR="00ED4099" w:rsidRPr="003856FB">
        <w:t xml:space="preserve"> (UK Gov, 2025).</w:t>
      </w:r>
      <w:r w:rsidR="0019215B" w:rsidRPr="003856FB">
        <w:t xml:space="preserve"> </w:t>
      </w:r>
      <w:r w:rsidR="00BB2CFF" w:rsidRPr="003856FB">
        <w:t xml:space="preserve">Failure to comply with TUPE regulations could result in the </w:t>
      </w:r>
      <w:r w:rsidR="00DD0F7C" w:rsidRPr="003856FB">
        <w:t>employe</w:t>
      </w:r>
      <w:r w:rsidR="00F4601B" w:rsidRPr="003856FB">
        <w:t xml:space="preserve">e </w:t>
      </w:r>
      <w:r w:rsidR="00A72682" w:rsidRPr="003856FB">
        <w:t>making an unfair discrimination claim against the new employer</w:t>
      </w:r>
      <w:r w:rsidR="00BF3A7B" w:rsidRPr="003856FB">
        <w:t xml:space="preserve"> (UK GOV, 2025). There </w:t>
      </w:r>
      <w:r w:rsidR="004A0A92" w:rsidRPr="003856FB">
        <w:t xml:space="preserve">are occasions positive </w:t>
      </w:r>
      <w:r w:rsidR="00A11DFB" w:rsidRPr="003856FB">
        <w:t xml:space="preserve">changes to </w:t>
      </w:r>
      <w:r w:rsidR="005B228E" w:rsidRPr="003856FB">
        <w:t>employees’</w:t>
      </w:r>
      <w:r w:rsidR="00A11DFB" w:rsidRPr="003856FB">
        <w:t xml:space="preserve"> terms and conditions can be made </w:t>
      </w:r>
      <w:r w:rsidR="00106624" w:rsidRPr="003856FB">
        <w:t xml:space="preserve">if the employee </w:t>
      </w:r>
      <w:r w:rsidR="00BF3A7B" w:rsidRPr="003856FB">
        <w:t>agrees</w:t>
      </w:r>
      <w:r w:rsidR="00106624" w:rsidRPr="003856FB">
        <w:t xml:space="preserve"> such as increasing holiday entitlement to match the existing allowance </w:t>
      </w:r>
      <w:r w:rsidR="008146FF" w:rsidRPr="003856FB">
        <w:t xml:space="preserve">to promote equality amongst the workforce (UK Gov, 2025). </w:t>
      </w:r>
      <w:r w:rsidR="002A3AED" w:rsidRPr="003856FB">
        <w:t xml:space="preserve">Employees who choose to resign </w:t>
      </w:r>
      <w:r w:rsidR="00686C08" w:rsidRPr="003856FB">
        <w:t>because of</w:t>
      </w:r>
      <w:r w:rsidR="002A3AED" w:rsidRPr="003856FB">
        <w:t xml:space="preserve"> the </w:t>
      </w:r>
      <w:r w:rsidR="005F2300" w:rsidRPr="003856FB">
        <w:t>transfer</w:t>
      </w:r>
      <w:r w:rsidR="002A3AED" w:rsidRPr="003856FB">
        <w:t xml:space="preserve"> will not be entitled to </w:t>
      </w:r>
      <w:r w:rsidR="005D6EE3" w:rsidRPr="003856FB">
        <w:t xml:space="preserve">claim unfair dismissal or redundancy </w:t>
      </w:r>
      <w:r w:rsidR="005F2300" w:rsidRPr="003856FB">
        <w:t>pay, however no notice is required</w:t>
      </w:r>
      <w:r w:rsidR="00932C43" w:rsidRPr="003856FB">
        <w:t xml:space="preserve">, we would expect employees to inform </w:t>
      </w:r>
      <w:r w:rsidR="007F6B44" w:rsidRPr="003856FB">
        <w:t xml:space="preserve">the employer </w:t>
      </w:r>
      <w:r w:rsidR="00686C08" w:rsidRPr="003856FB">
        <w:t>and employment will end at time of the transfer.</w:t>
      </w:r>
      <w:r w:rsidR="00686C08">
        <w:rPr>
          <w:rFonts w:ascii="Segoe UI" w:hAnsi="Segoe UI" w:cs="Segoe UI"/>
          <w:color w:val="242424"/>
          <w:sz w:val="21"/>
          <w:szCs w:val="21"/>
          <w:shd w:val="clear" w:color="auto" w:fill="FAFAFA"/>
        </w:rPr>
        <w:t xml:space="preserve"> </w:t>
      </w:r>
    </w:p>
    <w:p w14:paraId="628D09AF" w14:textId="77777777" w:rsidR="00A27EF8" w:rsidRDefault="00A27EF8" w:rsidP="000866FB">
      <w:pPr>
        <w:spacing w:line="240" w:lineRule="auto"/>
        <w:rPr>
          <w:rFonts w:ascii="Segoe UI" w:hAnsi="Segoe UI" w:cs="Segoe UI"/>
          <w:color w:val="242424"/>
          <w:sz w:val="21"/>
          <w:szCs w:val="21"/>
          <w:shd w:val="clear" w:color="auto" w:fill="FAFAFA"/>
        </w:rPr>
      </w:pPr>
    </w:p>
    <w:p w14:paraId="14518888" w14:textId="77777777" w:rsidR="00B21926" w:rsidRPr="00922731" w:rsidRDefault="00B21926" w:rsidP="000866FB">
      <w:pPr>
        <w:spacing w:line="240" w:lineRule="auto"/>
        <w:rPr>
          <w:rFonts w:ascii="Trebuchet MS" w:hAnsi="Trebuchet MS"/>
          <w:b/>
          <w:bCs/>
        </w:rPr>
      </w:pPr>
    </w:p>
    <w:p w14:paraId="04529856" w14:textId="77777777" w:rsidR="000866FB" w:rsidRDefault="000866FB" w:rsidP="000866FB">
      <w:pPr>
        <w:spacing w:line="240" w:lineRule="auto"/>
        <w:rPr>
          <w:rFonts w:ascii="Trebuchet MS" w:hAnsi="Trebuchet MS"/>
          <w:b/>
          <w:bCs/>
        </w:rPr>
      </w:pPr>
    </w:p>
    <w:p w14:paraId="3B14E829" w14:textId="77777777" w:rsidR="009C66DD" w:rsidRDefault="009C66DD" w:rsidP="000866FB">
      <w:pPr>
        <w:spacing w:line="240" w:lineRule="auto"/>
        <w:rPr>
          <w:rFonts w:ascii="Trebuchet MS" w:hAnsi="Trebuchet MS"/>
          <w:b/>
          <w:bCs/>
        </w:rPr>
      </w:pPr>
    </w:p>
    <w:p w14:paraId="2D922AAD" w14:textId="77777777" w:rsidR="009C66DD" w:rsidRDefault="009C66DD" w:rsidP="000866FB">
      <w:pPr>
        <w:spacing w:line="240" w:lineRule="auto"/>
        <w:rPr>
          <w:rFonts w:ascii="Trebuchet MS" w:hAnsi="Trebuchet MS"/>
          <w:b/>
          <w:bCs/>
        </w:rPr>
      </w:pPr>
    </w:p>
    <w:p w14:paraId="0747B4D4" w14:textId="77777777"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8 (AC 4.1)</w:t>
      </w:r>
    </w:p>
    <w:p w14:paraId="64F0E6AE" w14:textId="77777777" w:rsidR="000866FB" w:rsidRPr="00922731" w:rsidRDefault="000866FB" w:rsidP="000866FB">
      <w:pPr>
        <w:spacing w:line="240" w:lineRule="auto"/>
        <w:rPr>
          <w:rFonts w:ascii="Trebuchet MS" w:hAnsi="Trebuchet MS"/>
          <w:b/>
          <w:bCs/>
        </w:rPr>
      </w:pPr>
    </w:p>
    <w:p w14:paraId="08CE8DDC" w14:textId="77777777" w:rsidR="000866FB" w:rsidRPr="00922731" w:rsidRDefault="000866FB" w:rsidP="000866FB">
      <w:pPr>
        <w:spacing w:line="240" w:lineRule="auto"/>
        <w:rPr>
          <w:rFonts w:ascii="Trebuchet MS" w:hAnsi="Trebuchet MS"/>
          <w:b/>
          <w:bCs/>
        </w:rPr>
      </w:pPr>
      <w:r w:rsidRPr="00922731">
        <w:rPr>
          <w:rFonts w:ascii="Trebuchet MS" w:hAnsi="Trebuchet MS"/>
        </w:rPr>
        <w:t xml:space="preserve">You are asked to </w:t>
      </w:r>
      <w:r>
        <w:rPr>
          <w:rFonts w:ascii="Trebuchet MS" w:hAnsi="Trebuchet MS"/>
        </w:rPr>
        <w:t>explain the</w:t>
      </w:r>
      <w:r w:rsidRPr="00922731">
        <w:rPr>
          <w:rFonts w:ascii="Trebuchet MS" w:hAnsi="Trebuchet MS"/>
        </w:rPr>
        <w:t xml:space="preserve"> regulatory requirements relating to the calculation of holiday pay</w:t>
      </w:r>
      <w:r>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7724F2EE" w14:textId="77777777" w:rsidR="000866FB" w:rsidRDefault="000866FB" w:rsidP="000866FB">
      <w:pPr>
        <w:spacing w:line="240" w:lineRule="auto"/>
        <w:rPr>
          <w:rFonts w:ascii="Trebuchet MS" w:hAnsi="Trebuchet MS"/>
          <w:b/>
          <w:bCs/>
        </w:rPr>
      </w:pPr>
    </w:p>
    <w:p w14:paraId="6432B291" w14:textId="7E11D104" w:rsidR="008201B8" w:rsidRPr="009949F7" w:rsidRDefault="00366213" w:rsidP="009949F7">
      <w:r w:rsidRPr="009949F7">
        <w:t>Statutory holiday entitlement applies to all workers covered by the Working Time Regulations 1998</w:t>
      </w:r>
      <w:r w:rsidR="008E54C3" w:rsidRPr="009949F7">
        <w:t xml:space="preserve"> (CIPD, 2025)</w:t>
      </w:r>
      <w:r w:rsidRPr="009949F7">
        <w:t>. These regulations include agency workers, irregular hours and part-year workers.</w:t>
      </w:r>
      <w:r w:rsidR="00CC44C2" w:rsidRPr="009949F7">
        <w:t xml:space="preserve"> </w:t>
      </w:r>
      <w:r w:rsidR="00C04AB8" w:rsidRPr="009949F7">
        <w:t xml:space="preserve">Bank </w:t>
      </w:r>
      <w:r w:rsidR="00CC44C2" w:rsidRPr="009949F7">
        <w:t>workers are entitled to annual leave pay for the duration of any engagement in the same way as any other worker</w:t>
      </w:r>
      <w:r w:rsidR="008E54C3" w:rsidRPr="009949F7">
        <w:t xml:space="preserve"> (CIPD, 2025).</w:t>
      </w:r>
      <w:r w:rsidR="00F6564D" w:rsidRPr="009949F7">
        <w:t xml:space="preserve"> </w:t>
      </w:r>
      <w:r w:rsidR="00C3374B" w:rsidRPr="009949F7">
        <w:t>The right to the full 28 days of annual leave assumes the individual is a five day a week full-time employee</w:t>
      </w:r>
      <w:r w:rsidR="006166FA" w:rsidRPr="009949F7">
        <w:t xml:space="preserve"> however it is important to </w:t>
      </w:r>
      <w:r w:rsidR="002360F9" w:rsidRPr="009949F7">
        <w:t xml:space="preserve">inform you this will not apply to every worker as the contractual hours will </w:t>
      </w:r>
      <w:r w:rsidR="00C431E7" w:rsidRPr="009949F7">
        <w:t>determine the leave allocation</w:t>
      </w:r>
      <w:r w:rsidR="008E54C3" w:rsidRPr="009949F7">
        <w:t xml:space="preserve"> (CIPD, 2025).</w:t>
      </w:r>
      <w:r w:rsidR="00ED10DB" w:rsidRPr="009949F7">
        <w:t xml:space="preserve"> </w:t>
      </w:r>
      <w:r w:rsidR="008201B8" w:rsidRPr="009949F7">
        <w:t>Other factors which will influence annual leave entitlement within the NHS include length of service</w:t>
      </w:r>
      <w:r w:rsidR="001A6913" w:rsidRPr="009949F7">
        <w:t xml:space="preserve"> as the allowance increases </w:t>
      </w:r>
      <w:r w:rsidR="00CB358D" w:rsidRPr="009949F7">
        <w:t>between 5-10 years</w:t>
      </w:r>
      <w:r w:rsidR="005C627B" w:rsidRPr="009949F7">
        <w:t xml:space="preserve"> (Public sector pay, 2024).</w:t>
      </w:r>
      <w:r w:rsidR="00CF410C" w:rsidRPr="009949F7">
        <w:t xml:space="preserve"> The NHS also accounts for paid public holiday entitlement</w:t>
      </w:r>
      <w:r w:rsidR="004978BB" w:rsidRPr="009949F7">
        <w:t xml:space="preserve"> however for some organisations </w:t>
      </w:r>
      <w:r w:rsidR="00B8657B" w:rsidRPr="009949F7">
        <w:t xml:space="preserve">it is not required by law to include them as paid leave. </w:t>
      </w:r>
    </w:p>
    <w:p w14:paraId="03B45387" w14:textId="77777777" w:rsidR="008201B8" w:rsidRPr="009949F7" w:rsidRDefault="008201B8" w:rsidP="009949F7"/>
    <w:p w14:paraId="5BBD5133" w14:textId="01E88861" w:rsidR="00C431E7" w:rsidRPr="009949F7" w:rsidRDefault="00ED10DB" w:rsidP="009949F7">
      <w:r w:rsidRPr="009949F7">
        <w:t>T</w:t>
      </w:r>
      <w:r w:rsidR="008C7C83" w:rsidRPr="009949F7">
        <w:t xml:space="preserve">he statutory </w:t>
      </w:r>
      <w:r w:rsidR="000022F9" w:rsidRPr="009949F7">
        <w:t>Entitlement</w:t>
      </w:r>
      <w:r w:rsidR="00EF503D" w:rsidRPr="009949F7">
        <w:t xml:space="preserve"> </w:t>
      </w:r>
      <w:r w:rsidR="000022F9" w:rsidRPr="009949F7">
        <w:t>workers</w:t>
      </w:r>
      <w:r w:rsidR="00EE226C" w:rsidRPr="009949F7">
        <w:t xml:space="preserve"> employed regularly but on a casual basis </w:t>
      </w:r>
      <w:r w:rsidR="000022F9" w:rsidRPr="009949F7">
        <w:t>are entitled to a minimum of 5.6 weeks of paid holiday per year</w:t>
      </w:r>
      <w:r w:rsidR="007C639D" w:rsidRPr="009949F7">
        <w:t xml:space="preserve"> if they’re leave </w:t>
      </w:r>
      <w:r w:rsidR="00541B87" w:rsidRPr="009949F7">
        <w:t>begins from 1St April 2024</w:t>
      </w:r>
      <w:r w:rsidR="00A43696" w:rsidRPr="009949F7">
        <w:t>, therefore for workers who work variable hours</w:t>
      </w:r>
      <w:r w:rsidR="00EF503D" w:rsidRPr="009949F7">
        <w:t>, holiday pay is calculated based on their average weekly earnings over a reference period</w:t>
      </w:r>
      <w:r w:rsidR="00B71019" w:rsidRPr="009949F7">
        <w:t xml:space="preserve"> normally 52 weeks</w:t>
      </w:r>
      <w:r w:rsidR="002448B0" w:rsidRPr="009949F7">
        <w:t xml:space="preserve"> </w:t>
      </w:r>
      <w:r w:rsidR="00ED3DF6">
        <w:t xml:space="preserve">and should </w:t>
      </w:r>
      <w:r w:rsidR="007557D1">
        <w:t>be calculated from the last full week that they worked.</w:t>
      </w:r>
      <w:r w:rsidR="007557D1" w:rsidRPr="009949F7">
        <w:t xml:space="preserve"> </w:t>
      </w:r>
      <w:r w:rsidR="002448B0" w:rsidRPr="009949F7">
        <w:t>(ACAS, 2025).</w:t>
      </w:r>
      <w:r w:rsidR="00A43696" w:rsidRPr="009949F7">
        <w:t xml:space="preserve"> </w:t>
      </w:r>
      <w:r w:rsidR="00B20CFB" w:rsidRPr="009949F7">
        <w:t xml:space="preserve">The holiday pay will also account for overtime, and </w:t>
      </w:r>
      <w:r w:rsidR="002D6A5F" w:rsidRPr="009949F7">
        <w:t xml:space="preserve">shift </w:t>
      </w:r>
      <w:r w:rsidR="00B20CFB" w:rsidRPr="009949F7">
        <w:t>enhancement pay</w:t>
      </w:r>
      <w:r w:rsidR="002D6A5F" w:rsidRPr="009949F7">
        <w:t xml:space="preserve"> to ensure workers are not financially disadvantaged</w:t>
      </w:r>
      <w:r w:rsidR="00B71019" w:rsidRPr="009949F7">
        <w:t xml:space="preserve"> when taking leave</w:t>
      </w:r>
      <w:r w:rsidR="002448B0" w:rsidRPr="009949F7">
        <w:t xml:space="preserve"> (ACAS, 2025).</w:t>
      </w:r>
      <w:r w:rsidR="002D6A5F" w:rsidRPr="009949F7">
        <w:t xml:space="preserve"> </w:t>
      </w:r>
      <w:r w:rsidR="006708D3" w:rsidRPr="009949F7">
        <w:t xml:space="preserve">For awareness some employers can </w:t>
      </w:r>
      <w:r w:rsidR="001B39DE" w:rsidRPr="009949F7">
        <w:t xml:space="preserve">use </w:t>
      </w:r>
      <w:r w:rsidR="0024364E" w:rsidRPr="009949F7">
        <w:t xml:space="preserve">rolled-up holiday pay </w:t>
      </w:r>
      <w:r w:rsidR="00021394" w:rsidRPr="009949F7">
        <w:t xml:space="preserve">which </w:t>
      </w:r>
      <w:r w:rsidR="0024364E" w:rsidRPr="009949F7">
        <w:t xml:space="preserve">means employees do not receive pay during their holiday, as their holiday pay is distributed throughout the year by adding an extra amount to their regular </w:t>
      </w:r>
      <w:r w:rsidR="009E6363" w:rsidRPr="009949F7">
        <w:t>pay, but this does not apply to irregular or part time workers.</w:t>
      </w:r>
      <w:r w:rsidR="00667B28" w:rsidRPr="009949F7">
        <w:t xml:space="preserve"> However</w:t>
      </w:r>
      <w:r w:rsidR="009E6363" w:rsidRPr="009949F7">
        <w:t>,</w:t>
      </w:r>
      <w:r w:rsidR="00667B28" w:rsidRPr="009949F7">
        <w:t xml:space="preserve"> this can influence </w:t>
      </w:r>
      <w:r w:rsidR="006925A7" w:rsidRPr="009949F7">
        <w:t>workers not to take their holiday entitlement and can have a negative effect on their health and well-being</w:t>
      </w:r>
      <w:r w:rsidR="008E54C3" w:rsidRPr="009949F7">
        <w:t xml:space="preserve"> (ACAS, 2025).</w:t>
      </w:r>
    </w:p>
    <w:p w14:paraId="44BF081B" w14:textId="77777777" w:rsidR="000103B3" w:rsidRPr="009949F7" w:rsidRDefault="000103B3" w:rsidP="009949F7"/>
    <w:p w14:paraId="6B8E3D99" w14:textId="77777777" w:rsidR="000103B3" w:rsidRPr="009949F7" w:rsidRDefault="000103B3" w:rsidP="009949F7"/>
    <w:p w14:paraId="5F8895A3" w14:textId="11CEE6E8" w:rsidR="000866FB" w:rsidRPr="009949F7" w:rsidRDefault="00F94030" w:rsidP="009949F7">
      <w:r w:rsidRPr="009949F7">
        <w:t xml:space="preserve">As a new employee starting after April 2024, part-time workers are entitled to accrue holidays while on sick leave or statutory leave </w:t>
      </w:r>
      <w:r w:rsidR="009949F7" w:rsidRPr="009949F7">
        <w:t xml:space="preserve">for example </w:t>
      </w:r>
      <w:r w:rsidRPr="009949F7">
        <w:t>maternity, paternity, or carers leave</w:t>
      </w:r>
      <w:r w:rsidR="009949F7" w:rsidRPr="009949F7">
        <w:t xml:space="preserve"> (ACAS, 2024b). </w:t>
      </w:r>
      <w:r w:rsidRPr="009949F7">
        <w:t>To ensure fairness, this allowance is calculated based on the average hours worked during a "relevant period" and applying the 12.07% rate</w:t>
      </w:r>
      <w:r w:rsidR="009949F7" w:rsidRPr="009949F7">
        <w:t xml:space="preserve"> (ACAS, 2024b). </w:t>
      </w:r>
      <w:r w:rsidRPr="009949F7">
        <w:t>Part-</w:t>
      </w:r>
      <w:r w:rsidRPr="009949F7">
        <w:lastRenderedPageBreak/>
        <w:t>time workers on long-term sick leave can carry over up to 5.6 weeks of accrued statutory holiday, which must be taken within 18 months from the end of the leave year in which it was accrued</w:t>
      </w:r>
      <w:r w:rsidR="009949F7" w:rsidRPr="009949F7">
        <w:t xml:space="preserve"> (ACAS, 2024b). </w:t>
      </w:r>
    </w:p>
    <w:p w14:paraId="136D365F" w14:textId="77777777" w:rsidR="00AC1688" w:rsidRDefault="00AC1688" w:rsidP="000866FB">
      <w:pPr>
        <w:spacing w:line="240" w:lineRule="auto"/>
        <w:rPr>
          <w:rFonts w:ascii="Trebuchet MS" w:hAnsi="Trebuchet MS"/>
          <w:b/>
          <w:bCs/>
        </w:rPr>
      </w:pPr>
    </w:p>
    <w:p w14:paraId="734FEE6C" w14:textId="77777777" w:rsidR="00AC1688" w:rsidRDefault="00AC1688" w:rsidP="000866FB">
      <w:pPr>
        <w:spacing w:line="240" w:lineRule="auto"/>
        <w:rPr>
          <w:rFonts w:ascii="Trebuchet MS" w:hAnsi="Trebuchet MS"/>
          <w:b/>
          <w:bCs/>
        </w:rPr>
      </w:pPr>
    </w:p>
    <w:p w14:paraId="2A37F72D" w14:textId="77777777" w:rsidR="009949F7" w:rsidRDefault="009949F7" w:rsidP="000866FB">
      <w:pPr>
        <w:spacing w:line="240" w:lineRule="auto"/>
        <w:rPr>
          <w:rFonts w:ascii="Trebuchet MS" w:hAnsi="Trebuchet MS"/>
          <w:b/>
          <w:bCs/>
        </w:rPr>
      </w:pPr>
    </w:p>
    <w:p w14:paraId="15E16DC0" w14:textId="7D1C1725"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9 (AC 4.2)</w:t>
      </w:r>
    </w:p>
    <w:p w14:paraId="043C28EF" w14:textId="77777777" w:rsidR="000866FB" w:rsidRPr="00922731" w:rsidRDefault="000866FB" w:rsidP="000866FB">
      <w:pPr>
        <w:spacing w:line="240" w:lineRule="auto"/>
        <w:rPr>
          <w:rFonts w:ascii="Trebuchet MS" w:hAnsi="Trebuchet MS"/>
          <w:b/>
          <w:bCs/>
        </w:rPr>
      </w:pPr>
    </w:p>
    <w:p w14:paraId="12FB058F" w14:textId="77777777" w:rsidR="000866FB" w:rsidRDefault="000866FB" w:rsidP="000866FB">
      <w:pPr>
        <w:spacing w:line="240" w:lineRule="auto"/>
        <w:rPr>
          <w:rFonts w:ascii="Trebuchet MS" w:hAnsi="Trebuchet M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1A80083B" w14:textId="77777777" w:rsidR="00EA7504" w:rsidRDefault="00EA7504" w:rsidP="000866FB">
      <w:pPr>
        <w:spacing w:line="240" w:lineRule="auto"/>
        <w:rPr>
          <w:rFonts w:ascii="Trebuchet MS" w:hAnsi="Trebuchet MS"/>
        </w:rPr>
      </w:pPr>
    </w:p>
    <w:p w14:paraId="4829E084" w14:textId="098105F0" w:rsidR="004A0FCC" w:rsidRPr="004C56F6" w:rsidRDefault="004A0FCC" w:rsidP="004C56F6">
      <w:r w:rsidRPr="004C56F6">
        <w:t>To help inform your decision-making, here are some key differences between maternity leave and shared parental leave. Maternity leave is typically available to biological mothers who have given birth. In contrast, shared parental leave is accessible to both parents, regardless of gender, allowing fathers, same-sex partners, and adoptive parents to take time off work to care for their child</w:t>
      </w:r>
      <w:r w:rsidR="0009421A">
        <w:t xml:space="preserve"> (</w:t>
      </w:r>
      <w:proofErr w:type="spellStart"/>
      <w:r w:rsidR="0009421A">
        <w:t>Ayling</w:t>
      </w:r>
      <w:proofErr w:type="spellEnd"/>
      <w:r w:rsidR="0009421A">
        <w:t xml:space="preserve"> and </w:t>
      </w:r>
      <w:proofErr w:type="spellStart"/>
      <w:r w:rsidR="0009421A">
        <w:t>Suff</w:t>
      </w:r>
      <w:proofErr w:type="spellEnd"/>
      <w:r w:rsidR="0009421A">
        <w:t>, 2025).</w:t>
      </w:r>
      <w:r w:rsidR="00F86409">
        <w:t xml:space="preserve"> </w:t>
      </w:r>
      <w:r w:rsidRPr="004C56F6">
        <w:t>Shared parental leave offers greater flexibility than maternity leave, as it enables parents to decide how to divide the leave between them, promoting a more balanced sharing of caregiving responsibilities. However, maternity leave generally provides more financial support than shared parental leave. In many countries, the pay rate for maternity leave is higher, making it more financially viable for mothers to take time off work to care for their child. This financial disparity can influence which parent decides to take leave</w:t>
      </w:r>
      <w:r w:rsidR="00D122F4">
        <w:t xml:space="preserve"> (UK Gov no date). </w:t>
      </w:r>
    </w:p>
    <w:p w14:paraId="04E05096" w14:textId="77777777" w:rsidR="006B191A" w:rsidRPr="004C56F6" w:rsidRDefault="006B191A" w:rsidP="004C56F6"/>
    <w:p w14:paraId="72FB2EA6" w14:textId="77777777" w:rsidR="00EA7504" w:rsidRPr="004C56F6" w:rsidRDefault="00EA7504" w:rsidP="004C56F6"/>
    <w:p w14:paraId="43110349" w14:textId="2B263B5F" w:rsidR="000866FB" w:rsidRPr="004C56F6" w:rsidRDefault="00816B3D" w:rsidP="004C56F6">
      <w:r w:rsidRPr="004C56F6">
        <w:t xml:space="preserve">Both maternity leave and shared parental leave can affect parents' careers. However, maternity leave is often viewed as more detrimental to a mother's career due to societal expectations of mothers as primary caregivers, leading to workplace </w:t>
      </w:r>
      <w:r w:rsidR="00234B27" w:rsidRPr="004C56F6">
        <w:t>biases</w:t>
      </w:r>
      <w:r w:rsidR="005A5049">
        <w:t xml:space="preserve"> (Maternity Action, 2025)</w:t>
      </w:r>
      <w:r w:rsidR="00234B27" w:rsidRPr="004C56F6">
        <w:t>.</w:t>
      </w:r>
      <w:r w:rsidR="007F10EC" w:rsidRPr="004C56F6">
        <w:t xml:space="preserve"> Employer support for maternity leave and shared parental leave can differ</w:t>
      </w:r>
      <w:r w:rsidR="005515A3">
        <w:t>, however both</w:t>
      </w:r>
      <w:r w:rsidR="00CA11DB">
        <w:rPr>
          <w:rFonts w:cs="Arial"/>
          <w:color w:val="202020"/>
          <w:sz w:val="27"/>
          <w:szCs w:val="27"/>
          <w:shd w:val="clear" w:color="auto" w:fill="FFFFFF"/>
        </w:rPr>
        <w:t xml:space="preserve"> </w:t>
      </w:r>
      <w:r w:rsidR="00CA11DB" w:rsidRPr="005515A3">
        <w:t>mother and partner must have worked for their employers continuously for at least 26 weeks up to the 15th week before the expected week of childbirth</w:t>
      </w:r>
      <w:r w:rsidR="005515A3">
        <w:t xml:space="preserve"> (</w:t>
      </w:r>
      <w:proofErr w:type="spellStart"/>
      <w:r w:rsidR="005515A3">
        <w:t>Ayling</w:t>
      </w:r>
      <w:proofErr w:type="spellEnd"/>
      <w:r w:rsidR="005515A3">
        <w:t xml:space="preserve"> and </w:t>
      </w:r>
      <w:proofErr w:type="spellStart"/>
      <w:r w:rsidR="005515A3">
        <w:t>Suff</w:t>
      </w:r>
      <w:proofErr w:type="spellEnd"/>
      <w:r w:rsidR="005515A3">
        <w:t xml:space="preserve">, 2025). </w:t>
      </w:r>
      <w:r w:rsidR="005515A3">
        <w:rPr>
          <w:rFonts w:cs="Arial"/>
          <w:color w:val="202020"/>
          <w:sz w:val="27"/>
          <w:szCs w:val="27"/>
          <w:shd w:val="clear" w:color="auto" w:fill="FFFFFF"/>
        </w:rPr>
        <w:t xml:space="preserve"> </w:t>
      </w:r>
    </w:p>
    <w:p w14:paraId="22F6AE4B" w14:textId="77777777" w:rsidR="00924F26" w:rsidRPr="004C56F6" w:rsidRDefault="00924F26" w:rsidP="004C56F6"/>
    <w:p w14:paraId="627F3D71" w14:textId="2A8D4C0A" w:rsidR="009D6A3A" w:rsidRPr="004C56F6" w:rsidRDefault="009D6A3A" w:rsidP="004C56F6">
      <w:r w:rsidRPr="004C56F6">
        <w:t>To help inform your decision</w:t>
      </w:r>
      <w:r w:rsidR="000B5F8C">
        <w:t xml:space="preserve"> further</w:t>
      </w:r>
      <w:r w:rsidRPr="004C56F6">
        <w:t>, here are some legal considerations regarding your rights. All employees are entitled to 52 weeks of maternity leave with the right to return to work. During this period, you retain your normal contractual terms and conditions, except for your salary</w:t>
      </w:r>
      <w:r w:rsidR="00A25161">
        <w:t xml:space="preserve"> (Maternity Action, 2025). </w:t>
      </w:r>
      <w:r w:rsidRPr="004C56F6">
        <w:t>You are entitled to 39 weeks of maternity pay if conditions are met. Statutory maternity pay is 90% of your average earnings for the first 6 weeks, followed by a standard rate of £187.18 per week (Apr-25-26) or 90% of your average earnings if lower. The last 13 weeks of maternity leave are unpaid if you choose to take the full 12 months</w:t>
      </w:r>
      <w:r w:rsidR="00A25161">
        <w:t xml:space="preserve"> (Maternity Action, 2025).</w:t>
      </w:r>
    </w:p>
    <w:p w14:paraId="5579D23A" w14:textId="77777777" w:rsidR="00563F21" w:rsidRPr="004C56F6" w:rsidRDefault="00563F21" w:rsidP="004C56F6"/>
    <w:p w14:paraId="56EA59C4" w14:textId="114AD800" w:rsidR="00C1394A" w:rsidRPr="004C56F6" w:rsidRDefault="00147924" w:rsidP="004C56F6">
      <w:r w:rsidRPr="004C56F6">
        <w:t xml:space="preserve">For adoption leave entitlement, </w:t>
      </w:r>
      <w:proofErr w:type="spellStart"/>
      <w:r w:rsidRPr="004C56F6">
        <w:t>Ayling</w:t>
      </w:r>
      <w:proofErr w:type="spellEnd"/>
      <w:r w:rsidRPr="004C56F6">
        <w:t xml:space="preserve"> and </w:t>
      </w:r>
      <w:proofErr w:type="spellStart"/>
      <w:r w:rsidRPr="004C56F6">
        <w:t>Suff</w:t>
      </w:r>
      <w:proofErr w:type="spellEnd"/>
      <w:r w:rsidRPr="004C56F6">
        <w:t xml:space="preserve"> (2025) state from </w:t>
      </w:r>
      <w:r w:rsidR="00C1394A" w:rsidRPr="004C56F6">
        <w:t>April 2015 statutory adoption leave and pay in the UK have been largely aligned with statutory maternity leave and pay, offering up to 52 weeks of adoption leave.</w:t>
      </w:r>
      <w:r w:rsidR="001D0A5D" w:rsidRPr="004C56F6">
        <w:t xml:space="preserve"> </w:t>
      </w:r>
      <w:r w:rsidR="00C1394A" w:rsidRPr="004C56F6">
        <w:t>Starting from 6 April 2024, parents on adoption leave will be given priority for redeployment offers in the event of redundancy, for a period of 18 months following the child's placement date or entry into Great Britain</w:t>
      </w:r>
      <w:r w:rsidR="00D122F4">
        <w:t xml:space="preserve"> (UK Gov no date).</w:t>
      </w:r>
    </w:p>
    <w:p w14:paraId="1C956F20" w14:textId="77777777" w:rsidR="00924F26" w:rsidRDefault="00924F26" w:rsidP="000866FB">
      <w:pPr>
        <w:spacing w:line="240" w:lineRule="auto"/>
        <w:rPr>
          <w:rFonts w:ascii="Trebuchet MS" w:hAnsi="Trebuchet MS"/>
          <w:b/>
          <w:bCs/>
        </w:rPr>
      </w:pPr>
    </w:p>
    <w:p w14:paraId="138F3F9F" w14:textId="77777777" w:rsidR="0009421A" w:rsidRDefault="0009421A" w:rsidP="000866FB">
      <w:pPr>
        <w:spacing w:line="240" w:lineRule="auto"/>
        <w:rPr>
          <w:rFonts w:ascii="Trebuchet MS" w:hAnsi="Trebuchet MS"/>
          <w:b/>
          <w:bCs/>
        </w:rPr>
      </w:pPr>
    </w:p>
    <w:p w14:paraId="7FEDA883" w14:textId="77777777" w:rsidR="0009421A" w:rsidRDefault="0009421A" w:rsidP="000866FB">
      <w:pPr>
        <w:spacing w:line="240" w:lineRule="auto"/>
        <w:rPr>
          <w:rFonts w:ascii="Trebuchet MS" w:hAnsi="Trebuchet MS"/>
          <w:b/>
          <w:bCs/>
        </w:rPr>
      </w:pPr>
    </w:p>
    <w:p w14:paraId="0BAC6C95" w14:textId="77777777" w:rsidR="0009421A" w:rsidRDefault="0009421A" w:rsidP="000866FB">
      <w:pPr>
        <w:spacing w:line="240" w:lineRule="auto"/>
        <w:rPr>
          <w:rFonts w:ascii="Trebuchet MS" w:hAnsi="Trebuchet MS"/>
          <w:b/>
          <w:bCs/>
        </w:rPr>
      </w:pPr>
    </w:p>
    <w:p w14:paraId="7DDD96B2" w14:textId="77777777" w:rsidR="00850933" w:rsidRDefault="00850933" w:rsidP="000866FB">
      <w:pPr>
        <w:spacing w:line="240" w:lineRule="auto"/>
        <w:rPr>
          <w:rFonts w:ascii="Trebuchet MS" w:hAnsi="Trebuchet MS"/>
          <w:b/>
          <w:bCs/>
        </w:rPr>
      </w:pPr>
    </w:p>
    <w:p w14:paraId="2FAA860D" w14:textId="77777777" w:rsidR="00850933" w:rsidRDefault="00850933" w:rsidP="000866FB">
      <w:pPr>
        <w:spacing w:line="240" w:lineRule="auto"/>
        <w:rPr>
          <w:rFonts w:ascii="Trebuchet MS" w:hAnsi="Trebuchet MS"/>
          <w:b/>
          <w:bCs/>
        </w:rPr>
      </w:pPr>
    </w:p>
    <w:p w14:paraId="6B7C706D" w14:textId="77777777" w:rsidR="00850933" w:rsidRDefault="00850933" w:rsidP="000866FB">
      <w:pPr>
        <w:spacing w:line="240" w:lineRule="auto"/>
        <w:rPr>
          <w:rFonts w:ascii="Trebuchet MS" w:hAnsi="Trebuchet MS"/>
          <w:b/>
          <w:bCs/>
        </w:rPr>
      </w:pPr>
    </w:p>
    <w:p w14:paraId="372C1EA4" w14:textId="77777777" w:rsidR="0009421A" w:rsidRDefault="0009421A" w:rsidP="000866FB">
      <w:pPr>
        <w:spacing w:line="240" w:lineRule="auto"/>
        <w:rPr>
          <w:rFonts w:ascii="Trebuchet MS" w:hAnsi="Trebuchet MS"/>
          <w:b/>
          <w:bCs/>
        </w:rPr>
      </w:pPr>
    </w:p>
    <w:p w14:paraId="6D536EDA" w14:textId="77777777" w:rsidR="000866FB" w:rsidRPr="00A3238A" w:rsidRDefault="000866FB" w:rsidP="000866FB">
      <w:pPr>
        <w:spacing w:line="240" w:lineRule="auto"/>
        <w:rPr>
          <w:rFonts w:ascii="Trebuchet MS" w:hAnsi="Trebuchet MS" w:cstheme="minorHAnsi"/>
          <w:b/>
          <w:bCs/>
          <w:color w:val="833C0B" w:themeColor="accent2" w:themeShade="80"/>
          <w:sz w:val="24"/>
        </w:rPr>
      </w:pPr>
      <w:r w:rsidRPr="00A3238A">
        <w:rPr>
          <w:rFonts w:ascii="Trebuchet MS" w:hAnsi="Trebuchet MS" w:cstheme="minorHAnsi"/>
          <w:b/>
          <w:bCs/>
          <w:color w:val="833C0B" w:themeColor="accent2" w:themeShade="80"/>
          <w:sz w:val="24"/>
        </w:rPr>
        <w:t>Email 10 (AC 4.3)</w:t>
      </w:r>
    </w:p>
    <w:p w14:paraId="34D09D81" w14:textId="77777777" w:rsidR="000866FB" w:rsidRPr="00922731" w:rsidRDefault="000866FB" w:rsidP="000866FB">
      <w:pPr>
        <w:spacing w:line="240" w:lineRule="auto"/>
        <w:rPr>
          <w:rFonts w:ascii="Trebuchet MS" w:hAnsi="Trebuchet MS"/>
          <w:b/>
          <w:bCs/>
        </w:rPr>
      </w:pPr>
    </w:p>
    <w:p w14:paraId="42371E87" w14:textId="77777777" w:rsidR="000866FB" w:rsidRPr="00922731" w:rsidRDefault="000866FB" w:rsidP="000866FB">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Pr>
          <w:rFonts w:ascii="Trebuchet MS" w:hAnsi="Trebuchet MS"/>
        </w:rPr>
        <w:t xml:space="preserve"> Include an explanation of employment rights in relation to flexible working in your answer.</w:t>
      </w:r>
    </w:p>
    <w:p w14:paraId="00F06245" w14:textId="77777777" w:rsidR="006E53D2" w:rsidRDefault="006E53D2"/>
    <w:p w14:paraId="5ED3C224" w14:textId="77777777" w:rsidR="009F61A0" w:rsidRDefault="009F61A0">
      <w:pPr>
        <w:rPr>
          <w:rFonts w:ascii="Segoe UI" w:hAnsi="Segoe UI" w:cs="Segoe UI"/>
          <w:color w:val="242424"/>
          <w:sz w:val="21"/>
          <w:szCs w:val="21"/>
          <w:shd w:val="clear" w:color="auto" w:fill="FAFAFA"/>
        </w:rPr>
      </w:pPr>
    </w:p>
    <w:p w14:paraId="61BA3129" w14:textId="28973AFD" w:rsidR="009C347E" w:rsidRPr="00532372" w:rsidRDefault="00B331C2" w:rsidP="002B5D9E">
      <w:pPr>
        <w:rPr>
          <w:strike/>
        </w:rPr>
      </w:pPr>
      <w:r w:rsidRPr="00532372">
        <w:rPr>
          <w:strike/>
        </w:rPr>
        <w:t>From April 6th</w:t>
      </w:r>
      <w:r w:rsidR="00A97EE2" w:rsidRPr="00532372">
        <w:rPr>
          <w:strike/>
        </w:rPr>
        <w:t>, 2024,</w:t>
      </w:r>
      <w:r w:rsidRPr="00532372">
        <w:rPr>
          <w:strike/>
        </w:rPr>
        <w:t xml:space="preserve"> employees now </w:t>
      </w:r>
      <w:r w:rsidR="00304E97" w:rsidRPr="00532372">
        <w:rPr>
          <w:strike/>
        </w:rPr>
        <w:t>can</w:t>
      </w:r>
      <w:r w:rsidRPr="00532372">
        <w:rPr>
          <w:strike/>
        </w:rPr>
        <w:t xml:space="preserve"> request </w:t>
      </w:r>
      <w:r w:rsidR="006D7957" w:rsidRPr="00532372">
        <w:rPr>
          <w:strike/>
        </w:rPr>
        <w:t xml:space="preserve">flexible working from day 1 of </w:t>
      </w:r>
      <w:r w:rsidR="00407292" w:rsidRPr="00532372">
        <w:rPr>
          <w:strike/>
        </w:rPr>
        <w:t>employment, however</w:t>
      </w:r>
      <w:r w:rsidR="006D7957" w:rsidRPr="00532372">
        <w:rPr>
          <w:strike/>
        </w:rPr>
        <w:t xml:space="preserve"> the </w:t>
      </w:r>
      <w:r w:rsidR="00853E53" w:rsidRPr="00532372">
        <w:rPr>
          <w:strike/>
        </w:rPr>
        <w:t xml:space="preserve">Employment Rights Bill will make flexible working a default day-one right </w:t>
      </w:r>
      <w:r w:rsidR="006D7957" w:rsidRPr="00532372">
        <w:rPr>
          <w:strike/>
        </w:rPr>
        <w:t>when this is appropriate to support</w:t>
      </w:r>
      <w:r w:rsidR="00A97EE2" w:rsidRPr="00532372">
        <w:rPr>
          <w:strike/>
        </w:rPr>
        <w:t xml:space="preserve"> (</w:t>
      </w:r>
      <w:r w:rsidR="00831593" w:rsidRPr="00532372">
        <w:rPr>
          <w:strike/>
        </w:rPr>
        <w:t>McCartney</w:t>
      </w:r>
      <w:r w:rsidR="00A97EE2" w:rsidRPr="00532372">
        <w:rPr>
          <w:strike/>
        </w:rPr>
        <w:t>, 2023).</w:t>
      </w:r>
      <w:r w:rsidR="00FF5FDE" w:rsidRPr="00532372">
        <w:rPr>
          <w:strike/>
        </w:rPr>
        <w:t xml:space="preserve"> </w:t>
      </w:r>
      <w:r w:rsidR="00116A4C" w:rsidRPr="00532372">
        <w:rPr>
          <w:strike/>
        </w:rPr>
        <w:t>To be eligible to make a flexible working request, a person must: (a) be an employee; and (b) not have made more than one flexible working request in the last 12 months</w:t>
      </w:r>
      <w:r w:rsidR="00A97EE2" w:rsidRPr="00532372">
        <w:rPr>
          <w:strike/>
        </w:rPr>
        <w:t xml:space="preserve"> (</w:t>
      </w:r>
      <w:r w:rsidR="00831593" w:rsidRPr="00532372">
        <w:rPr>
          <w:strike/>
        </w:rPr>
        <w:t>McCartney</w:t>
      </w:r>
      <w:r w:rsidR="00A97EE2" w:rsidRPr="00532372">
        <w:rPr>
          <w:strike/>
        </w:rPr>
        <w:t>, 2023).</w:t>
      </w:r>
      <w:r w:rsidR="00407292" w:rsidRPr="00532372">
        <w:rPr>
          <w:strike/>
        </w:rPr>
        <w:t xml:space="preserve"> Employees can make two requests within a </w:t>
      </w:r>
      <w:r w:rsidR="009C347E" w:rsidRPr="00532372">
        <w:rPr>
          <w:strike/>
        </w:rPr>
        <w:t>12-month</w:t>
      </w:r>
      <w:r w:rsidR="00407292" w:rsidRPr="00532372">
        <w:rPr>
          <w:strike/>
        </w:rPr>
        <w:t xml:space="preserve"> period, </w:t>
      </w:r>
      <w:r w:rsidR="009E6F74" w:rsidRPr="00532372">
        <w:rPr>
          <w:strike/>
        </w:rPr>
        <w:t>without the need to state how the change in working hours can impact the productivity of the employer</w:t>
      </w:r>
      <w:r w:rsidR="00A97EE2" w:rsidRPr="00532372">
        <w:rPr>
          <w:strike/>
        </w:rPr>
        <w:t xml:space="preserve"> (</w:t>
      </w:r>
      <w:r w:rsidR="00831593" w:rsidRPr="00532372">
        <w:rPr>
          <w:strike/>
        </w:rPr>
        <w:t>McCartney</w:t>
      </w:r>
      <w:r w:rsidR="00A97EE2" w:rsidRPr="00532372">
        <w:rPr>
          <w:strike/>
        </w:rPr>
        <w:t>, 2023).</w:t>
      </w:r>
      <w:r w:rsidR="00137A62" w:rsidRPr="00532372">
        <w:rPr>
          <w:strike/>
        </w:rPr>
        <w:t xml:space="preserve"> Once this request has been submitted, informally or formally an employer will have 2 months to consider the outcome but will need to ensure </w:t>
      </w:r>
      <w:r w:rsidR="009C347E" w:rsidRPr="00532372">
        <w:rPr>
          <w:strike/>
        </w:rPr>
        <w:t>this is not refused without consultation with the employee</w:t>
      </w:r>
      <w:r w:rsidR="00A97EE2" w:rsidRPr="00532372">
        <w:rPr>
          <w:strike/>
        </w:rPr>
        <w:t xml:space="preserve"> (</w:t>
      </w:r>
      <w:r w:rsidR="00831593" w:rsidRPr="00532372">
        <w:rPr>
          <w:strike/>
        </w:rPr>
        <w:t>McCartney</w:t>
      </w:r>
      <w:r w:rsidR="00A97EE2" w:rsidRPr="00532372">
        <w:rPr>
          <w:strike/>
        </w:rPr>
        <w:t>, 2023).</w:t>
      </w:r>
    </w:p>
    <w:p w14:paraId="086AA00F" w14:textId="77777777" w:rsidR="009C347E" w:rsidRDefault="009C347E" w:rsidP="002B5D9E"/>
    <w:p w14:paraId="48254028" w14:textId="39CA22FE" w:rsidR="008F2BF7" w:rsidRDefault="00CF4230" w:rsidP="00532372">
      <w:pPr>
        <w:rPr>
          <w:rFonts w:ascii="Segoe UI" w:hAnsi="Segoe UI" w:cs="Segoe UI"/>
          <w:color w:val="424242"/>
          <w:shd w:val="clear" w:color="auto" w:fill="FAFAFA"/>
        </w:rPr>
      </w:pPr>
      <w:r w:rsidRPr="00532372">
        <w:rPr>
          <w:color w:val="FF0000"/>
          <w:sz w:val="24"/>
        </w:rPr>
        <w:t>From 6 April 2024, UK employees gained the statutory right to request flexible working from day one of employment, under the Employment Relations (Flexible Working) Act 2023 (Legislation.gov.uk, 2023). This replaces the previous 26-week qualifying period. Employees can now make two requests per year without needing to justify the impact on business operations (GOV.UK, 2023). Employers must respond within two months, including appeals, and cannot refuse a request without first consulting the employee, ensuring a fair and transparent process (CIPD, 2023).</w:t>
      </w:r>
      <w:r w:rsidR="00706FBE" w:rsidRPr="00706FBE">
        <w:rPr>
          <w:rFonts w:ascii="Segoe UI" w:hAnsi="Segoe UI" w:cs="Segoe UI"/>
          <w:color w:val="424242"/>
          <w:shd w:val="clear" w:color="auto" w:fill="FAFAFA"/>
        </w:rPr>
        <w:t xml:space="preserve"> </w:t>
      </w:r>
      <w:r w:rsidR="00706FBE" w:rsidRPr="00366A4F">
        <w:rPr>
          <w:color w:val="FF0000"/>
          <w:sz w:val="24"/>
        </w:rPr>
        <w:t>The CIPD strongly supports this right, advocating for a culture where flexible working is the norm rather than the exception.</w:t>
      </w:r>
    </w:p>
    <w:p w14:paraId="63B87652" w14:textId="77777777" w:rsidR="00895970" w:rsidRDefault="00895970" w:rsidP="00532372">
      <w:pPr>
        <w:rPr>
          <w:rFonts w:ascii="Segoe UI" w:hAnsi="Segoe UI" w:cs="Segoe UI"/>
          <w:color w:val="424242"/>
          <w:shd w:val="clear" w:color="auto" w:fill="FAFAFA"/>
        </w:rPr>
      </w:pPr>
    </w:p>
    <w:p w14:paraId="73854D1C" w14:textId="77777777" w:rsidR="00895970" w:rsidRDefault="00895970" w:rsidP="00895970">
      <w:pPr>
        <w:rPr>
          <w:rFonts w:ascii="Segoe UI" w:hAnsi="Segoe UI" w:cs="Segoe UI"/>
          <w:color w:val="424242"/>
          <w:shd w:val="clear" w:color="auto" w:fill="FAFAFA"/>
        </w:rPr>
      </w:pPr>
    </w:p>
    <w:p w14:paraId="6FC2D551" w14:textId="77777777" w:rsidR="00A73177" w:rsidRPr="00366A4F" w:rsidRDefault="00895970" w:rsidP="00895970">
      <w:pPr>
        <w:rPr>
          <w:color w:val="FF0000"/>
          <w:sz w:val="24"/>
        </w:rPr>
      </w:pPr>
      <w:r w:rsidRPr="002B5D9E">
        <w:t>The ACAS code of practice on flexible working request sets out guidance for employers to consider when determining to support requests. ACAS, (2024</w:t>
      </w:r>
      <w:r>
        <w:t>c</w:t>
      </w:r>
      <w:r w:rsidRPr="002B5D9E">
        <w:t>) states a decision to reject a flexible working request must be based on one or more of the business reasons outlined in the Employment Rights Act 1996</w:t>
      </w:r>
      <w:r>
        <w:t>, a request should be granted unless there is a genuine reason not to support</w:t>
      </w:r>
      <w:r w:rsidRPr="00366A4F">
        <w:rPr>
          <w:color w:val="FF0000"/>
          <w:sz w:val="24"/>
        </w:rPr>
        <w:t>.</w:t>
      </w:r>
      <w:r w:rsidRPr="00366A4F">
        <w:rPr>
          <w:color w:val="FF0000"/>
          <w:sz w:val="24"/>
        </w:rPr>
        <w:t xml:space="preserve"> </w:t>
      </w:r>
      <w:r w:rsidRPr="00366A4F">
        <w:rPr>
          <w:color w:val="FF0000"/>
          <w:sz w:val="24"/>
        </w:rPr>
        <w:t>A consultation meeting should be held either in person or via video call</w:t>
      </w:r>
      <w:r w:rsidRPr="00366A4F">
        <w:rPr>
          <w:color w:val="FF0000"/>
          <w:sz w:val="24"/>
        </w:rPr>
        <w:t xml:space="preserve"> </w:t>
      </w:r>
      <w:r w:rsidRPr="00366A4F">
        <w:rPr>
          <w:color w:val="FF0000"/>
          <w:sz w:val="24"/>
        </w:rPr>
        <w:t xml:space="preserve">to allow meaningful discussion of the flexible working request (ACAS, 2024a). Employers must avoid unlawful discrimination when handling requests, particularly in relation to protected characteristics under the Equality Act 2010. Once a decision is made, it must be communicated in writing without undue delay and within the statutory two-month timeframe, including any appeal (ACAS, 2024a). </w:t>
      </w:r>
      <w:r w:rsidRPr="00366A4F">
        <w:rPr>
          <w:color w:val="FF0000"/>
          <w:sz w:val="24"/>
        </w:rPr>
        <w:lastRenderedPageBreak/>
        <w:t xml:space="preserve">The Employment Relations (Flexible Working) Act 2023 reinforces these expectations, promoting fair and transparent handling of requests (ACAS, 2024b). </w:t>
      </w:r>
    </w:p>
    <w:p w14:paraId="2EBEBCBD" w14:textId="77777777" w:rsidR="00A73177" w:rsidRDefault="00A73177" w:rsidP="00895970">
      <w:pPr>
        <w:rPr>
          <w:rFonts w:cs="Arial"/>
          <w:color w:val="FF0000"/>
          <w:shd w:val="clear" w:color="auto" w:fill="FFFFFF"/>
        </w:rPr>
      </w:pPr>
    </w:p>
    <w:p w14:paraId="30678BB7" w14:textId="52F4D453" w:rsidR="00343101" w:rsidRPr="00366A4F" w:rsidRDefault="00366A4F" w:rsidP="00366A4F">
      <w:pPr>
        <w:rPr>
          <w:color w:val="FF0000"/>
          <w:sz w:val="24"/>
          <w:lang w:eastAsia="en-GB"/>
        </w:rPr>
      </w:pPr>
      <w:r w:rsidRPr="00366A4F">
        <w:rPr>
          <w:color w:val="FF0000"/>
          <w:sz w:val="24"/>
          <w:lang w:eastAsia="en-GB"/>
        </w:rPr>
        <w:t>Denying a flexible working request solely due to concerns about future applications undermines the principles of fairness and transparency, and exposes the organisation to significant risk</w:t>
      </w:r>
      <w:r w:rsidRPr="00366A4F">
        <w:rPr>
          <w:color w:val="FF0000"/>
          <w:sz w:val="24"/>
        </w:rPr>
        <w:t xml:space="preserve"> (CIPD, 2024d).</w:t>
      </w:r>
      <w:r w:rsidRPr="00366A4F">
        <w:rPr>
          <w:color w:val="FF0000"/>
          <w:sz w:val="24"/>
          <w:lang w:eastAsia="en-GB"/>
        </w:rPr>
        <w:t xml:space="preserve"> </w:t>
      </w:r>
      <w:r w:rsidR="005966E8" w:rsidRPr="00BB416E">
        <w:rPr>
          <w:color w:val="FF0000"/>
          <w:sz w:val="24"/>
        </w:rPr>
        <w:t>There is also a potential for indirect discrimination under the Equality Act 2010. For instance, if a refusal to allow flexible working disproportionately affects women, carers, or disabled employees, it could be deemed discriminatory unless the employer can justify the decision as a proportionate means of achieving a legitimate aim</w:t>
      </w:r>
      <w:r w:rsidR="00505CB9">
        <w:rPr>
          <w:color w:val="FF0000"/>
          <w:sz w:val="24"/>
        </w:rPr>
        <w:t xml:space="preserve"> (CIPD, 2024d). </w:t>
      </w:r>
      <w:r w:rsidRPr="00366A4F">
        <w:rPr>
          <w:color w:val="FF0000"/>
          <w:sz w:val="24"/>
          <w:lang w:eastAsia="en-GB"/>
        </w:rPr>
        <w:t>Inconsistent or unfair handling of such requests can damage an organisation’s reputation</w:t>
      </w:r>
      <w:r w:rsidRPr="00366A4F">
        <w:rPr>
          <w:color w:val="FF0000"/>
          <w:sz w:val="24"/>
        </w:rPr>
        <w:t xml:space="preserve"> </w:t>
      </w:r>
      <w:r w:rsidRPr="00366A4F">
        <w:rPr>
          <w:color w:val="FF0000"/>
          <w:sz w:val="24"/>
          <w:lang w:eastAsia="en-GB"/>
        </w:rPr>
        <w:t>particularly in sectors like healthcare, where employee wellbeing is closely linked to service quality (CIPD, 2024</w:t>
      </w:r>
      <w:r w:rsidRPr="00366A4F">
        <w:rPr>
          <w:color w:val="FF0000"/>
          <w:sz w:val="24"/>
        </w:rPr>
        <w:t>d</w:t>
      </w:r>
      <w:r w:rsidRPr="00366A4F">
        <w:rPr>
          <w:color w:val="FF0000"/>
          <w:sz w:val="24"/>
          <w:lang w:eastAsia="en-GB"/>
        </w:rPr>
        <w:t>) The CIPD highlights that organisations embracing flexible working are more likely to be viewed as progressive, inclusive, and supportive, enhancing their employer brand and public image (CIPD, 2024b) In summary, rejecting a request based on speculative concerns is neither legally defensible nor strategically sound. The CIPD stresses that decisions must be based on objective, evidence-based criteria</w:t>
      </w:r>
      <w:r>
        <w:rPr>
          <w:color w:val="FF0000"/>
          <w:sz w:val="24"/>
          <w:lang w:eastAsia="en-GB"/>
        </w:rPr>
        <w:t xml:space="preserve">, </w:t>
      </w:r>
      <w:r w:rsidRPr="00366A4F">
        <w:rPr>
          <w:color w:val="FF0000"/>
          <w:sz w:val="24"/>
          <w:lang w:eastAsia="en-GB"/>
        </w:rPr>
        <w:t>not assumptions or fears (CIPD, 2024</w:t>
      </w:r>
      <w:r w:rsidRPr="00366A4F">
        <w:rPr>
          <w:color w:val="FF0000"/>
          <w:sz w:val="24"/>
        </w:rPr>
        <w:t>d</w:t>
      </w:r>
      <w:r w:rsidRPr="00366A4F">
        <w:rPr>
          <w:color w:val="FF0000"/>
          <w:sz w:val="24"/>
          <w:lang w:eastAsia="en-GB"/>
        </w:rPr>
        <w:t>)</w:t>
      </w:r>
      <w:r w:rsidR="00F434CB">
        <w:rPr>
          <w:color w:val="FF0000"/>
          <w:sz w:val="24"/>
          <w:lang w:eastAsia="en-GB"/>
        </w:rPr>
        <w:t xml:space="preserve">. </w:t>
      </w:r>
      <w:r w:rsidR="00F434CB" w:rsidRPr="002B03B9">
        <w:rPr>
          <w:color w:val="FF0000"/>
          <w:sz w:val="24"/>
        </w:rPr>
        <w:t>Embedding inclusive practices and flexible working helps address staffing challenges and supports underrepresented or overstretched groups (CIPD, no date d).</w:t>
      </w:r>
    </w:p>
    <w:p w14:paraId="1BA4E57B" w14:textId="77777777" w:rsidR="00343101" w:rsidRPr="00895970" w:rsidRDefault="00343101" w:rsidP="00895970">
      <w:pPr>
        <w:rPr>
          <w:rFonts w:ascii="Segoe UI" w:hAnsi="Segoe UI" w:cs="Segoe UI"/>
          <w:color w:val="424242"/>
          <w:shd w:val="clear" w:color="auto" w:fill="FAFAFA"/>
        </w:rPr>
      </w:pPr>
    </w:p>
    <w:p w14:paraId="35FED383" w14:textId="77777777" w:rsidR="00895970" w:rsidRPr="00532372" w:rsidRDefault="00895970" w:rsidP="00532372">
      <w:pPr>
        <w:rPr>
          <w:color w:val="FF0000"/>
          <w:sz w:val="24"/>
        </w:rPr>
      </w:pPr>
    </w:p>
    <w:p w14:paraId="5FB5D363" w14:textId="77777777" w:rsidR="00532372" w:rsidRPr="002B5D9E" w:rsidRDefault="00532372" w:rsidP="002B5D9E"/>
    <w:p w14:paraId="38A509F6" w14:textId="1149C55E" w:rsidR="00895970" w:rsidRDefault="00382EEE" w:rsidP="002B5D9E">
      <w:pPr>
        <w:rPr>
          <w:rFonts w:cs="Arial"/>
          <w:color w:val="1E1E1E"/>
          <w:shd w:val="clear" w:color="auto" w:fill="FFFFFF"/>
        </w:rPr>
      </w:pPr>
      <w:r w:rsidRPr="00895970">
        <w:rPr>
          <w:strike/>
        </w:rPr>
        <w:t xml:space="preserve">A consultation meeting should be held </w:t>
      </w:r>
      <w:r w:rsidR="0088036D" w:rsidRPr="00895970">
        <w:rPr>
          <w:strike/>
        </w:rPr>
        <w:t xml:space="preserve">without unreasonable delay </w:t>
      </w:r>
      <w:r w:rsidRPr="00895970">
        <w:rPr>
          <w:strike/>
        </w:rPr>
        <w:t xml:space="preserve">in </w:t>
      </w:r>
      <w:r w:rsidR="000E67C1" w:rsidRPr="00895970">
        <w:rPr>
          <w:strike/>
        </w:rPr>
        <w:t>person or video conference</w:t>
      </w:r>
      <w:r w:rsidR="0051056F" w:rsidRPr="00895970">
        <w:rPr>
          <w:strike/>
        </w:rPr>
        <w:t>, th</w:t>
      </w:r>
      <w:r w:rsidR="008F507A" w:rsidRPr="00895970">
        <w:rPr>
          <w:strike/>
        </w:rPr>
        <w:t>e discussion should allow for reasonable con</w:t>
      </w:r>
      <w:r w:rsidR="00792239" w:rsidRPr="00895970">
        <w:rPr>
          <w:strike/>
        </w:rPr>
        <w:t>sideration (ACAS</w:t>
      </w:r>
      <w:r w:rsidR="0083400C" w:rsidRPr="00895970">
        <w:rPr>
          <w:strike/>
        </w:rPr>
        <w:t>, 2024c</w:t>
      </w:r>
      <w:r w:rsidR="00C96DE2" w:rsidRPr="00895970">
        <w:rPr>
          <w:strike/>
        </w:rPr>
        <w:t>).</w:t>
      </w:r>
      <w:r w:rsidR="009E7773" w:rsidRPr="00895970">
        <w:rPr>
          <w:strike/>
        </w:rPr>
        <w:t xml:space="preserve"> When handling a request and any information disclosed by the employee, employers must ensure they do not unlawfully discriminate against the employee based on any of the protected characteristics outlined in the Equality Act 2010.</w:t>
      </w:r>
      <w:r w:rsidR="00CD285D" w:rsidRPr="00895970">
        <w:rPr>
          <w:strike/>
        </w:rPr>
        <w:t xml:space="preserve"> </w:t>
      </w:r>
      <w:r w:rsidR="00C96DE2" w:rsidRPr="00895970">
        <w:rPr>
          <w:strike/>
        </w:rPr>
        <w:t>Once a decision has been reached, the employer must inform the employee of their decision. This decision should be confirmed in writing without undue delay, considering the statutory two-month period for deciding on requests, including any appeal (ACAS, 2024c).</w:t>
      </w:r>
      <w:r w:rsidR="00FD6E2B" w:rsidRPr="00895970">
        <w:rPr>
          <w:rFonts w:cs="Arial"/>
          <w:strike/>
          <w:color w:val="1E1E1E"/>
          <w:shd w:val="clear" w:color="auto" w:fill="FFFFFF"/>
        </w:rPr>
        <w:t xml:space="preserve"> The Employment Relations (Flexible Working) Act 2023 also outlines the expectations required for the effective management of a flexible working request.</w:t>
      </w:r>
      <w:r w:rsidR="00FD6E2B">
        <w:rPr>
          <w:rFonts w:cs="Arial"/>
          <w:color w:val="1E1E1E"/>
          <w:shd w:val="clear" w:color="auto" w:fill="FFFFFF"/>
        </w:rPr>
        <w:t xml:space="preserve"> </w:t>
      </w:r>
      <w:r w:rsidR="00895970">
        <w:rPr>
          <w:rFonts w:cs="Arial"/>
          <w:color w:val="1E1E1E"/>
          <w:shd w:val="clear" w:color="auto" w:fill="FFFFFF"/>
        </w:rPr>
        <w:t xml:space="preserve"> </w:t>
      </w:r>
    </w:p>
    <w:p w14:paraId="660B88FA" w14:textId="77777777" w:rsidR="00895970" w:rsidRDefault="00895970" w:rsidP="002B5D9E">
      <w:pPr>
        <w:rPr>
          <w:rFonts w:cs="Arial"/>
          <w:color w:val="1E1E1E"/>
          <w:shd w:val="clear" w:color="auto" w:fill="FFFFFF"/>
        </w:rPr>
      </w:pPr>
    </w:p>
    <w:p w14:paraId="142CC62E" w14:textId="77777777" w:rsidR="00382EEE" w:rsidRDefault="00382EEE" w:rsidP="002B5D9E"/>
    <w:p w14:paraId="3A566C53" w14:textId="77777777" w:rsidR="00CD285D" w:rsidRPr="00FA0205" w:rsidRDefault="00CD285D" w:rsidP="00CD285D">
      <w:pPr>
        <w:rPr>
          <w:strike/>
        </w:rPr>
      </w:pPr>
      <w:r w:rsidRPr="00FA0205">
        <w:rPr>
          <w:strike/>
        </w:rPr>
        <w:t>In addition to requesting flexible working arrangements, employees have the right to reasonable time off for purposes like caring for a sick family member or attending a school event. They are also entitled to unpaid leave for jury duty or military service.</w:t>
      </w:r>
    </w:p>
    <w:p w14:paraId="788AD771" w14:textId="01C34774" w:rsidR="00382EEE" w:rsidRPr="00FA0205" w:rsidRDefault="00CD285D" w:rsidP="3ED70C7D">
      <w:pPr>
        <w:rPr>
          <w:strike/>
        </w:rPr>
      </w:pPr>
      <w:r w:rsidRPr="00FA0205">
        <w:rPr>
          <w:strike/>
        </w:rPr>
        <w:t>Employees must receive fair treatment, free from discrimination, harassment, and retaliation. They also have the right to join or form a union and engage in collective bargaining.</w:t>
      </w:r>
      <w:r w:rsidR="1B88C178" w:rsidRPr="00FA0205">
        <w:rPr>
          <w:strike/>
        </w:rPr>
        <w:t xml:space="preserve">  </w:t>
      </w:r>
    </w:p>
    <w:p w14:paraId="0881CAD3" w14:textId="77777777" w:rsidR="000560C7" w:rsidRDefault="000560C7" w:rsidP="3ED70C7D"/>
    <w:p w14:paraId="428F7C9C" w14:textId="77777777" w:rsidR="000560C7" w:rsidRDefault="000560C7" w:rsidP="3ED70C7D"/>
    <w:p w14:paraId="0F58C766" w14:textId="77777777" w:rsidR="000560C7" w:rsidRDefault="000560C7" w:rsidP="3ED70C7D"/>
    <w:p w14:paraId="2F389CB7" w14:textId="77777777" w:rsidR="000560C7" w:rsidRDefault="000560C7" w:rsidP="3ED70C7D"/>
    <w:p w14:paraId="318FB592" w14:textId="77777777" w:rsidR="000560C7" w:rsidRDefault="000560C7" w:rsidP="3ED70C7D"/>
    <w:p w14:paraId="2B937BC6" w14:textId="77777777" w:rsidR="000560C7" w:rsidRDefault="000560C7" w:rsidP="3ED70C7D"/>
    <w:p w14:paraId="25B349BA" w14:textId="77777777" w:rsidR="000560C7" w:rsidRDefault="000560C7" w:rsidP="3ED70C7D"/>
    <w:p w14:paraId="026EE4BC" w14:textId="77777777" w:rsidR="00D661A5" w:rsidRDefault="00D661A5" w:rsidP="000560C7">
      <w:pPr>
        <w:spacing w:after="160"/>
        <w:rPr>
          <w:rFonts w:asciiTheme="minorHAnsi" w:hAnsiTheme="minorHAnsi"/>
          <w:kern w:val="2"/>
          <w:szCs w:val="22"/>
          <w:u w:val="single"/>
          <w14:ligatures w14:val="standardContextual"/>
        </w:rPr>
      </w:pPr>
    </w:p>
    <w:p w14:paraId="6FBBAAFF" w14:textId="77777777" w:rsidR="00D661A5" w:rsidRDefault="00D661A5" w:rsidP="000560C7">
      <w:pPr>
        <w:spacing w:after="160"/>
        <w:rPr>
          <w:rFonts w:asciiTheme="minorHAnsi" w:hAnsiTheme="minorHAnsi"/>
          <w:kern w:val="2"/>
          <w:szCs w:val="22"/>
          <w:u w:val="single"/>
          <w14:ligatures w14:val="standardContextual"/>
        </w:rPr>
      </w:pPr>
    </w:p>
    <w:p w14:paraId="2FBDCEDC" w14:textId="77777777" w:rsidR="00D661A5" w:rsidRDefault="00D661A5" w:rsidP="000560C7">
      <w:pPr>
        <w:spacing w:after="160"/>
        <w:rPr>
          <w:rFonts w:asciiTheme="minorHAnsi" w:hAnsiTheme="minorHAnsi"/>
          <w:kern w:val="2"/>
          <w:szCs w:val="22"/>
          <w:u w:val="single"/>
          <w14:ligatures w14:val="standardContextual"/>
        </w:rPr>
      </w:pPr>
    </w:p>
    <w:p w14:paraId="55280F38" w14:textId="3C425427" w:rsidR="000560C7" w:rsidRPr="000560C7" w:rsidRDefault="000560C7" w:rsidP="000560C7">
      <w:pPr>
        <w:spacing w:after="160"/>
        <w:rPr>
          <w:rFonts w:asciiTheme="minorHAnsi" w:hAnsiTheme="minorHAnsi"/>
          <w:kern w:val="2"/>
          <w:szCs w:val="22"/>
          <w:u w:val="single"/>
          <w14:ligatures w14:val="standardContextual"/>
        </w:rPr>
      </w:pPr>
      <w:r w:rsidRPr="000560C7">
        <w:rPr>
          <w:rFonts w:asciiTheme="minorHAnsi" w:hAnsiTheme="minorHAnsi"/>
          <w:kern w:val="2"/>
          <w:szCs w:val="22"/>
          <w:u w:val="single"/>
          <w14:ligatures w14:val="standardContextual"/>
        </w:rPr>
        <w:t>References</w:t>
      </w:r>
    </w:p>
    <w:p w14:paraId="7CDCB2E7" w14:textId="6AEAADE0" w:rsidR="000560C7" w:rsidRPr="000560C7" w:rsidRDefault="000560C7" w:rsidP="000560C7">
      <w:pPr>
        <w:spacing w:after="160"/>
        <w:rPr>
          <w:rFonts w:cs="Arial"/>
          <w:kern w:val="2"/>
          <w:szCs w:val="22"/>
          <w14:ligatures w14:val="standardContextual"/>
        </w:rPr>
      </w:pPr>
      <w:proofErr w:type="spellStart"/>
      <w:r w:rsidRPr="000560C7">
        <w:rPr>
          <w:rFonts w:cs="Arial"/>
          <w:kern w:val="2"/>
          <w:szCs w:val="22"/>
          <w14:ligatures w14:val="standardContextual"/>
        </w:rPr>
        <w:t>A</w:t>
      </w:r>
      <w:r w:rsidR="00D661A5">
        <w:rPr>
          <w:rFonts w:cs="Arial"/>
          <w:kern w:val="2"/>
          <w:szCs w:val="22"/>
          <w14:ligatures w14:val="standardContextual"/>
        </w:rPr>
        <w:t>cas</w:t>
      </w:r>
      <w:proofErr w:type="spellEnd"/>
      <w:r w:rsidRPr="000560C7">
        <w:rPr>
          <w:rFonts w:cs="Arial"/>
          <w:kern w:val="2"/>
          <w:szCs w:val="22"/>
          <w14:ligatures w14:val="standardContextual"/>
        </w:rPr>
        <w:t>. (2025) </w:t>
      </w:r>
      <w:r w:rsidRPr="000560C7">
        <w:rPr>
          <w:rFonts w:cs="Arial"/>
          <w:i/>
          <w:iCs/>
          <w:kern w:val="2"/>
          <w:szCs w:val="22"/>
          <w14:ligatures w14:val="standardContextual"/>
        </w:rPr>
        <w:t>Irregular hours and part-year workers</w:t>
      </w:r>
      <w:r w:rsidRPr="000560C7">
        <w:rPr>
          <w:rFonts w:cs="Arial"/>
          <w:kern w:val="2"/>
          <w:szCs w:val="22"/>
          <w14:ligatures w14:val="standardContextual"/>
        </w:rPr>
        <w:t>: Carrying over holiday. Available at: </w:t>
      </w:r>
      <w:hyperlink r:id="rId6" w:history="1">
        <w:r w:rsidRPr="000560C7">
          <w:rPr>
            <w:rFonts w:cs="Arial"/>
            <w:color w:val="0563C1" w:themeColor="hyperlink"/>
            <w:kern w:val="2"/>
            <w:szCs w:val="22"/>
            <w:u w:val="single"/>
            <w14:ligatures w14:val="standardContextual"/>
          </w:rPr>
          <w:t>https://www.acas.org.uk/irregular-hours-and-part-year-workers/carrying-over-holiday</w:t>
        </w:r>
      </w:hyperlink>
      <w:r w:rsidRPr="000560C7">
        <w:rPr>
          <w:rFonts w:cs="Arial"/>
          <w:kern w:val="2"/>
          <w:szCs w:val="22"/>
          <w14:ligatures w14:val="standardContextual"/>
        </w:rPr>
        <w:t xml:space="preserve">  (Accessed: 1 March 2025).</w:t>
      </w:r>
    </w:p>
    <w:p w14:paraId="39C846C6" w14:textId="77777777" w:rsidR="000560C7" w:rsidRPr="000560C7" w:rsidRDefault="000560C7" w:rsidP="000560C7">
      <w:pPr>
        <w:spacing w:after="160"/>
        <w:rPr>
          <w:rFonts w:cs="Arial"/>
          <w:kern w:val="2"/>
          <w:szCs w:val="22"/>
          <w14:ligatures w14:val="standardContextual"/>
        </w:rPr>
      </w:pPr>
    </w:p>
    <w:p w14:paraId="534FE156" w14:textId="77777777" w:rsidR="000560C7" w:rsidRPr="000560C7" w:rsidRDefault="000560C7" w:rsidP="000560C7">
      <w:pPr>
        <w:spacing w:after="160"/>
        <w:rPr>
          <w:rFonts w:cs="Arial"/>
          <w:kern w:val="2"/>
          <w:szCs w:val="22"/>
          <w14:ligatures w14:val="standardContextual"/>
        </w:rPr>
      </w:pPr>
      <w:proofErr w:type="spellStart"/>
      <w:r w:rsidRPr="000560C7">
        <w:rPr>
          <w:rFonts w:cs="Arial"/>
          <w:kern w:val="2"/>
          <w:szCs w:val="22"/>
          <w14:ligatures w14:val="standardContextual"/>
        </w:rPr>
        <w:t>Acas</w:t>
      </w:r>
      <w:proofErr w:type="spellEnd"/>
      <w:r w:rsidRPr="000560C7">
        <w:rPr>
          <w:rFonts w:cs="Arial"/>
          <w:kern w:val="2"/>
          <w:szCs w:val="22"/>
          <w14:ligatures w14:val="standardContextual"/>
        </w:rPr>
        <w:t>. (2024). </w:t>
      </w:r>
      <w:r w:rsidRPr="000560C7">
        <w:rPr>
          <w:rFonts w:cs="Arial"/>
          <w:i/>
          <w:iCs/>
          <w:kern w:val="2"/>
          <w:szCs w:val="22"/>
          <w14:ligatures w14:val="standardContextual"/>
        </w:rPr>
        <w:t>Equal pay law.</w:t>
      </w:r>
      <w:r w:rsidRPr="000560C7">
        <w:rPr>
          <w:rFonts w:cs="Arial"/>
          <w:kern w:val="2"/>
          <w:szCs w:val="22"/>
          <w14:ligatures w14:val="standardContextual"/>
        </w:rPr>
        <w:t xml:space="preserve"> Available at: </w:t>
      </w:r>
      <w:hyperlink r:id="rId7" w:history="1">
        <w:r w:rsidRPr="000560C7">
          <w:rPr>
            <w:rFonts w:cs="Arial"/>
            <w:color w:val="0563C1" w:themeColor="hyperlink"/>
            <w:kern w:val="2"/>
            <w:szCs w:val="22"/>
            <w:u w:val="single"/>
            <w14:ligatures w14:val="standardContextual"/>
          </w:rPr>
          <w:t>https://www.acas.org.uk/equal-pay/equal-pay-law</w:t>
        </w:r>
      </w:hyperlink>
      <w:r w:rsidRPr="000560C7">
        <w:rPr>
          <w:rFonts w:cs="Arial"/>
          <w:kern w:val="2"/>
          <w:szCs w:val="22"/>
          <w14:ligatures w14:val="standardContextual"/>
        </w:rPr>
        <w:t xml:space="preserve">  (Accessed: 22 February 2025).</w:t>
      </w:r>
    </w:p>
    <w:p w14:paraId="3A847E0E" w14:textId="77777777" w:rsidR="000560C7" w:rsidRPr="000560C7" w:rsidRDefault="000560C7" w:rsidP="000560C7">
      <w:pPr>
        <w:spacing w:after="160"/>
        <w:rPr>
          <w:rFonts w:cs="Arial"/>
          <w:kern w:val="2"/>
          <w:szCs w:val="22"/>
          <w14:ligatures w14:val="standardContextual"/>
        </w:rPr>
      </w:pPr>
    </w:p>
    <w:p w14:paraId="07E4A273" w14:textId="77777777" w:rsidR="000560C7" w:rsidRPr="000560C7" w:rsidRDefault="000560C7" w:rsidP="000560C7">
      <w:pPr>
        <w:spacing w:after="160"/>
        <w:rPr>
          <w:rFonts w:cs="Arial"/>
          <w:kern w:val="2"/>
          <w:szCs w:val="22"/>
          <w14:ligatures w14:val="standardContextual"/>
        </w:rPr>
      </w:pPr>
      <w:proofErr w:type="spellStart"/>
      <w:r w:rsidRPr="000560C7">
        <w:rPr>
          <w:rFonts w:cs="Arial"/>
          <w:kern w:val="2"/>
          <w:szCs w:val="22"/>
          <w14:ligatures w14:val="standardContextual"/>
        </w:rPr>
        <w:t>Acas</w:t>
      </w:r>
      <w:proofErr w:type="spellEnd"/>
      <w:r w:rsidRPr="000560C7">
        <w:rPr>
          <w:rFonts w:cs="Arial"/>
          <w:kern w:val="2"/>
          <w:szCs w:val="22"/>
          <w14:ligatures w14:val="standardContextual"/>
        </w:rPr>
        <w:t>. (2024a). </w:t>
      </w:r>
      <w:r w:rsidRPr="000560C7">
        <w:rPr>
          <w:rFonts w:cs="Arial"/>
          <w:i/>
          <w:iCs/>
          <w:kern w:val="2"/>
          <w:szCs w:val="22"/>
          <w14:ligatures w14:val="standardContextual"/>
        </w:rPr>
        <w:t>Constructive dismissal</w:t>
      </w:r>
      <w:r w:rsidRPr="000560C7">
        <w:rPr>
          <w:rFonts w:cs="Arial"/>
          <w:kern w:val="2"/>
          <w:szCs w:val="22"/>
          <w14:ligatures w14:val="standardContextual"/>
        </w:rPr>
        <w:t>. Available at: https://www.acas.org.uk/dismissals/constructive-dismissal (Accessed: 22 February 2025).</w:t>
      </w:r>
    </w:p>
    <w:p w14:paraId="6938D491" w14:textId="77777777" w:rsidR="000560C7" w:rsidRPr="000560C7" w:rsidRDefault="000560C7" w:rsidP="000560C7">
      <w:pPr>
        <w:spacing w:after="160"/>
        <w:rPr>
          <w:rFonts w:cs="Arial"/>
          <w:kern w:val="2"/>
          <w:szCs w:val="22"/>
          <w14:ligatures w14:val="standardContextual"/>
        </w:rPr>
      </w:pPr>
    </w:p>
    <w:p w14:paraId="443FA0C2"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ACAS. (2024b) </w:t>
      </w:r>
      <w:r w:rsidRPr="000560C7">
        <w:rPr>
          <w:rFonts w:cs="Arial"/>
          <w:i/>
          <w:iCs/>
          <w:kern w:val="2"/>
          <w:szCs w:val="22"/>
          <w14:ligatures w14:val="standardContextual"/>
        </w:rPr>
        <w:t>Irregular hours and part-year workers:</w:t>
      </w:r>
      <w:r w:rsidRPr="000560C7">
        <w:rPr>
          <w:rFonts w:cs="Arial"/>
          <w:kern w:val="2"/>
          <w:szCs w:val="22"/>
          <w14:ligatures w14:val="standardContextual"/>
        </w:rPr>
        <w:t xml:space="preserve"> Rolled-up holiday pay. Available at: </w:t>
      </w:r>
      <w:hyperlink r:id="rId8" w:history="1">
        <w:r w:rsidRPr="000560C7">
          <w:rPr>
            <w:rFonts w:cs="Arial"/>
            <w:color w:val="0563C1" w:themeColor="hyperlink"/>
            <w:kern w:val="2"/>
            <w:szCs w:val="22"/>
            <w:u w:val="single"/>
            <w14:ligatures w14:val="standardContextual"/>
          </w:rPr>
          <w:t>https://www.acas.org.uk/irregular-hours-and-part-year-workers/rolled-up-holiday-pay</w:t>
        </w:r>
      </w:hyperlink>
      <w:r w:rsidRPr="000560C7">
        <w:rPr>
          <w:rFonts w:cs="Arial"/>
          <w:kern w:val="2"/>
          <w:szCs w:val="22"/>
          <w14:ligatures w14:val="standardContextual"/>
        </w:rPr>
        <w:t xml:space="preserve">  (Accessed: 1 March 2025).</w:t>
      </w:r>
    </w:p>
    <w:p w14:paraId="58070366" w14:textId="77777777" w:rsidR="000560C7" w:rsidRPr="000560C7" w:rsidRDefault="000560C7" w:rsidP="000560C7">
      <w:pPr>
        <w:spacing w:after="160"/>
        <w:rPr>
          <w:rFonts w:cs="Arial"/>
          <w:kern w:val="2"/>
          <w:szCs w:val="22"/>
          <w14:ligatures w14:val="standardContextual"/>
        </w:rPr>
      </w:pPr>
    </w:p>
    <w:p w14:paraId="201A407D" w14:textId="77777777" w:rsidR="000560C7" w:rsidRPr="000560C7" w:rsidRDefault="000560C7" w:rsidP="000560C7">
      <w:pPr>
        <w:spacing w:after="160"/>
        <w:rPr>
          <w:rFonts w:cs="Arial"/>
          <w:kern w:val="2"/>
          <w:szCs w:val="22"/>
          <w14:ligatures w14:val="standardContextual"/>
        </w:rPr>
      </w:pPr>
      <w:proofErr w:type="spellStart"/>
      <w:r w:rsidRPr="000560C7">
        <w:rPr>
          <w:rFonts w:cs="Arial"/>
          <w:kern w:val="2"/>
          <w:szCs w:val="22"/>
          <w14:ligatures w14:val="standardContextual"/>
        </w:rPr>
        <w:t>Ayling</w:t>
      </w:r>
      <w:proofErr w:type="spellEnd"/>
      <w:r w:rsidRPr="000560C7">
        <w:rPr>
          <w:rFonts w:cs="Arial"/>
          <w:kern w:val="2"/>
          <w:szCs w:val="22"/>
          <w14:ligatures w14:val="standardContextual"/>
        </w:rPr>
        <w:t xml:space="preserve">. L and </w:t>
      </w:r>
      <w:proofErr w:type="spellStart"/>
      <w:r w:rsidRPr="000560C7">
        <w:rPr>
          <w:rFonts w:cs="Arial"/>
          <w:kern w:val="2"/>
          <w:szCs w:val="22"/>
          <w14:ligatures w14:val="standardContextual"/>
        </w:rPr>
        <w:t>Suff</w:t>
      </w:r>
      <w:proofErr w:type="spellEnd"/>
      <w:r w:rsidRPr="000560C7">
        <w:rPr>
          <w:rFonts w:cs="Arial"/>
          <w:kern w:val="2"/>
          <w:szCs w:val="22"/>
          <w14:ligatures w14:val="standardContextual"/>
        </w:rPr>
        <w:t>, R. (no date)</w:t>
      </w:r>
      <w:r w:rsidRPr="000560C7">
        <w:rPr>
          <w:rFonts w:cs="Arial"/>
          <w:color w:val="242424"/>
          <w:kern w:val="2"/>
          <w:szCs w:val="22"/>
          <w:shd w:val="clear" w:color="auto" w:fill="FAFAFA"/>
          <w14:ligatures w14:val="standardContextual"/>
        </w:rPr>
        <w:t> </w:t>
      </w:r>
      <w:r w:rsidRPr="000560C7">
        <w:rPr>
          <w:rFonts w:cs="Arial"/>
          <w:i/>
          <w:iCs/>
          <w:kern w:val="2"/>
          <w:szCs w:val="22"/>
          <w14:ligatures w14:val="standardContextual"/>
        </w:rPr>
        <w:t>Dismissal</w:t>
      </w:r>
      <w:r w:rsidRPr="000560C7">
        <w:rPr>
          <w:rFonts w:cs="Arial"/>
          <w:kern w:val="2"/>
          <w:szCs w:val="22"/>
          <w14:ligatures w14:val="standardContextual"/>
        </w:rPr>
        <w:t>. Available at: </w:t>
      </w:r>
      <w:hyperlink r:id="rId9" w:anchor="constructive-dismissal" w:history="1">
        <w:r w:rsidRPr="000560C7">
          <w:rPr>
            <w:rFonts w:cs="Arial"/>
            <w:color w:val="0563C1" w:themeColor="hyperlink"/>
            <w:kern w:val="2"/>
            <w:szCs w:val="22"/>
            <w:u w:val="single"/>
            <w14:ligatures w14:val="standardContextual"/>
          </w:rPr>
          <w:t>https://www.cipd.org/uk/knowledge/factsheets/dismissal-factsheet/#constructive-dismissal</w:t>
        </w:r>
      </w:hyperlink>
      <w:r w:rsidRPr="000560C7">
        <w:rPr>
          <w:rFonts w:cs="Arial"/>
          <w:kern w:val="2"/>
          <w:szCs w:val="22"/>
          <w14:ligatures w14:val="standardContextual"/>
        </w:rPr>
        <w:t xml:space="preserve">  (Accessed: 22 February 2025).</w:t>
      </w:r>
    </w:p>
    <w:p w14:paraId="2A28CC7C" w14:textId="77777777" w:rsidR="000560C7" w:rsidRPr="000560C7" w:rsidRDefault="000560C7" w:rsidP="000560C7">
      <w:pPr>
        <w:spacing w:after="160"/>
        <w:rPr>
          <w:rFonts w:cs="Arial"/>
          <w:kern w:val="2"/>
          <w:szCs w:val="22"/>
          <w14:ligatures w14:val="standardContextual"/>
        </w:rPr>
      </w:pPr>
    </w:p>
    <w:p w14:paraId="7A39790D" w14:textId="77777777" w:rsidR="000560C7" w:rsidRDefault="000560C7" w:rsidP="000560C7">
      <w:pPr>
        <w:spacing w:after="160"/>
        <w:rPr>
          <w:rFonts w:cs="Arial"/>
          <w:kern w:val="2"/>
          <w:szCs w:val="22"/>
          <w14:ligatures w14:val="standardContextual"/>
        </w:rPr>
      </w:pPr>
      <w:proofErr w:type="spellStart"/>
      <w:r w:rsidRPr="000560C7">
        <w:rPr>
          <w:rFonts w:cs="Arial"/>
          <w:kern w:val="2"/>
          <w:szCs w:val="22"/>
          <w14:ligatures w14:val="standardContextual"/>
        </w:rPr>
        <w:t>Ayling</w:t>
      </w:r>
      <w:proofErr w:type="spellEnd"/>
      <w:r w:rsidRPr="000560C7">
        <w:rPr>
          <w:rFonts w:cs="Arial"/>
          <w:kern w:val="2"/>
          <w:szCs w:val="22"/>
          <w14:ligatures w14:val="standardContextual"/>
        </w:rPr>
        <w:t xml:space="preserve">, L. and </w:t>
      </w:r>
      <w:proofErr w:type="spellStart"/>
      <w:r w:rsidRPr="000560C7">
        <w:rPr>
          <w:rFonts w:cs="Arial"/>
          <w:kern w:val="2"/>
          <w:szCs w:val="22"/>
          <w14:ligatures w14:val="standardContextual"/>
        </w:rPr>
        <w:t>Suff</w:t>
      </w:r>
      <w:proofErr w:type="spellEnd"/>
      <w:r w:rsidRPr="000560C7">
        <w:rPr>
          <w:rFonts w:cs="Arial"/>
          <w:kern w:val="2"/>
          <w:szCs w:val="22"/>
          <w14:ligatures w14:val="standardContextual"/>
        </w:rPr>
        <w:t xml:space="preserve">, R. (2025) </w:t>
      </w:r>
      <w:r w:rsidRPr="000560C7">
        <w:rPr>
          <w:rFonts w:cs="Arial"/>
          <w:i/>
          <w:iCs/>
          <w:kern w:val="2"/>
          <w:szCs w:val="22"/>
          <w:lang w:eastAsia="en-GB"/>
          <w14:ligatures w14:val="standardContextual"/>
        </w:rPr>
        <w:t>Maternity, paternity, and adoption rights. Available at:</w:t>
      </w:r>
      <w:r w:rsidRPr="000560C7">
        <w:rPr>
          <w:rFonts w:cs="Arial"/>
          <w:kern w:val="2"/>
          <w:szCs w:val="22"/>
          <w:lang w:eastAsia="en-GB"/>
          <w14:ligatures w14:val="standardContextual"/>
        </w:rPr>
        <w:t xml:space="preserve"> </w:t>
      </w:r>
      <w:hyperlink r:id="rId10" w:history="1">
        <w:r w:rsidRPr="000560C7">
          <w:rPr>
            <w:rFonts w:cs="Arial"/>
            <w:color w:val="0563C1" w:themeColor="hyperlink"/>
            <w:kern w:val="2"/>
            <w:szCs w:val="22"/>
            <w:u w:val="single"/>
            <w14:ligatures w14:val="standardContextual"/>
          </w:rPr>
          <w:t>Maternity, Paternity &amp; Adoption Rights | Factsheets | CIPD</w:t>
        </w:r>
      </w:hyperlink>
      <w:r w:rsidRPr="000560C7">
        <w:rPr>
          <w:rFonts w:cs="Arial"/>
          <w:kern w:val="2"/>
          <w:szCs w:val="22"/>
          <w14:ligatures w14:val="standardContextual"/>
        </w:rPr>
        <w:t xml:space="preserve">. Accessed (31 March 2025). </w:t>
      </w:r>
    </w:p>
    <w:p w14:paraId="305009CE" w14:textId="77777777" w:rsidR="00B63A6D" w:rsidRPr="000560C7" w:rsidRDefault="00B63A6D" w:rsidP="00B63A6D"/>
    <w:p w14:paraId="09E5D6EB" w14:textId="40CCB558" w:rsidR="000560C7" w:rsidRPr="00B63A6D" w:rsidRDefault="00B63A6D" w:rsidP="00B63A6D">
      <w:r w:rsidRPr="00B63A6D">
        <w:t>Brodies LLP. (</w:t>
      </w:r>
      <w:r>
        <w:t>2024</w:t>
      </w:r>
      <w:r w:rsidRPr="00B63A6D">
        <w:t xml:space="preserve">). </w:t>
      </w:r>
      <w:r w:rsidRPr="00B63A6D">
        <w:rPr>
          <w:i/>
          <w:iCs/>
        </w:rPr>
        <w:t>Genuine Occupational Requirements</w:t>
      </w:r>
      <w:r w:rsidRPr="00B63A6D">
        <w:t>. Available at: </w:t>
      </w:r>
      <w:hyperlink r:id="rId11" w:history="1">
        <w:r w:rsidRPr="003F51BD">
          <w:rPr>
            <w:rStyle w:val="Hyperlink"/>
          </w:rPr>
          <w:t>https://brodies.com/insights/employment-and-immigration/genuine-occupational-requirements</w:t>
        </w:r>
      </w:hyperlink>
      <w:r>
        <w:t xml:space="preserve"> </w:t>
      </w:r>
      <w:r w:rsidRPr="00B63A6D">
        <w:t> (Accessed: 14 March 2025).</w:t>
      </w:r>
    </w:p>
    <w:p w14:paraId="33D4A785" w14:textId="77777777" w:rsidR="00B63A6D" w:rsidRPr="000560C7" w:rsidRDefault="00B63A6D" w:rsidP="000560C7">
      <w:pPr>
        <w:spacing w:after="160"/>
        <w:rPr>
          <w:rFonts w:cs="Arial"/>
          <w:kern w:val="2"/>
          <w:szCs w:val="22"/>
          <w14:ligatures w14:val="standardContextual"/>
        </w:rPr>
      </w:pPr>
    </w:p>
    <w:p w14:paraId="5172BE20"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CIPD. (2025) </w:t>
      </w:r>
      <w:r w:rsidRPr="000560C7">
        <w:rPr>
          <w:rFonts w:cs="Arial"/>
          <w:i/>
          <w:iCs/>
          <w:kern w:val="2"/>
          <w:szCs w:val="22"/>
          <w14:ligatures w14:val="standardContextual"/>
        </w:rPr>
        <w:t>Holidays and holiday pay.</w:t>
      </w:r>
      <w:r w:rsidRPr="000560C7">
        <w:rPr>
          <w:rFonts w:cs="Arial"/>
          <w:kern w:val="2"/>
          <w:szCs w:val="22"/>
          <w14:ligatures w14:val="standardContextual"/>
        </w:rPr>
        <w:t xml:space="preserve"> Available at: </w:t>
      </w:r>
      <w:hyperlink r:id="rId12" w:history="1">
        <w:r w:rsidRPr="000560C7">
          <w:rPr>
            <w:rFonts w:cs="Arial"/>
            <w:color w:val="0563C1" w:themeColor="hyperlink"/>
            <w:kern w:val="2"/>
            <w:szCs w:val="22"/>
            <w:u w:val="single"/>
            <w14:ligatures w14:val="standardContextual"/>
          </w:rPr>
          <w:t>https://www.cipd.org/uk/knowledge/employment-law/holidays/</w:t>
        </w:r>
      </w:hyperlink>
      <w:r w:rsidRPr="000560C7">
        <w:rPr>
          <w:rFonts w:cs="Arial"/>
          <w:kern w:val="2"/>
          <w:szCs w:val="22"/>
          <w14:ligatures w14:val="standardContextual"/>
        </w:rPr>
        <w:t xml:space="preserve">  (Accessed: 1 March 2025).</w:t>
      </w:r>
    </w:p>
    <w:p w14:paraId="39F4B9C7" w14:textId="77777777" w:rsidR="000560C7" w:rsidRPr="000560C7" w:rsidRDefault="000560C7" w:rsidP="000560C7">
      <w:pPr>
        <w:spacing w:after="160"/>
        <w:rPr>
          <w:rFonts w:cs="Arial"/>
          <w:kern w:val="2"/>
          <w:szCs w:val="22"/>
          <w14:ligatures w14:val="standardContextual"/>
        </w:rPr>
      </w:pPr>
    </w:p>
    <w:p w14:paraId="7C87CD33"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CIPD. (no date a). </w:t>
      </w:r>
      <w:r w:rsidRPr="000560C7">
        <w:rPr>
          <w:rFonts w:cs="Arial"/>
          <w:i/>
          <w:iCs/>
          <w:kern w:val="2"/>
          <w:szCs w:val="22"/>
          <w14:ligatures w14:val="standardContextual"/>
        </w:rPr>
        <w:t xml:space="preserve">Employment status, </w:t>
      </w:r>
      <w:proofErr w:type="gramStart"/>
      <w:r w:rsidRPr="000560C7">
        <w:rPr>
          <w:rFonts w:cs="Arial"/>
          <w:i/>
          <w:iCs/>
          <w:kern w:val="2"/>
          <w:szCs w:val="22"/>
          <w14:ligatures w14:val="standardContextual"/>
        </w:rPr>
        <w:t>rights</w:t>
      </w:r>
      <w:proofErr w:type="gramEnd"/>
      <w:r w:rsidRPr="000560C7">
        <w:rPr>
          <w:rFonts w:cs="Arial"/>
          <w:i/>
          <w:iCs/>
          <w:kern w:val="2"/>
          <w:szCs w:val="22"/>
          <w14:ligatures w14:val="standardContextual"/>
        </w:rPr>
        <w:t xml:space="preserve"> and regulation</w:t>
      </w:r>
      <w:r w:rsidRPr="000560C7">
        <w:rPr>
          <w:rFonts w:cs="Arial"/>
          <w:kern w:val="2"/>
          <w:szCs w:val="22"/>
          <w14:ligatures w14:val="standardContextual"/>
        </w:rPr>
        <w:t>. Available at: </w:t>
      </w:r>
      <w:hyperlink r:id="rId13" w:history="1">
        <w:r w:rsidRPr="000560C7">
          <w:rPr>
            <w:rFonts w:cs="Arial"/>
            <w:color w:val="0563C1" w:themeColor="hyperlink"/>
            <w:kern w:val="2"/>
            <w:szCs w:val="22"/>
            <w:u w:val="single"/>
            <w14:ligatures w14:val="standardContextual"/>
          </w:rPr>
          <w:t>https://www.cipd.org/uk/views-and-insights/cipd-viewpoint/employment-status-rights/</w:t>
        </w:r>
      </w:hyperlink>
      <w:r w:rsidRPr="000560C7">
        <w:rPr>
          <w:rFonts w:cs="Arial"/>
          <w:kern w:val="2"/>
          <w:szCs w:val="22"/>
          <w14:ligatures w14:val="standardContextual"/>
        </w:rPr>
        <w:t xml:space="preserve">  (Accessed: 22 February 2025)</w:t>
      </w:r>
    </w:p>
    <w:p w14:paraId="00D8096E" w14:textId="77777777" w:rsidR="000560C7" w:rsidRPr="000560C7" w:rsidRDefault="000560C7" w:rsidP="000560C7">
      <w:pPr>
        <w:spacing w:after="160"/>
        <w:rPr>
          <w:rFonts w:cs="Arial"/>
          <w:kern w:val="2"/>
          <w:szCs w:val="22"/>
          <w14:ligatures w14:val="standardContextual"/>
        </w:rPr>
      </w:pPr>
    </w:p>
    <w:p w14:paraId="7AEE63A6"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CIPD. (no date b). </w:t>
      </w:r>
      <w:r w:rsidRPr="000560C7">
        <w:rPr>
          <w:rFonts w:cs="Arial"/>
          <w:i/>
          <w:iCs/>
          <w:kern w:val="2"/>
          <w:szCs w:val="22"/>
          <w14:ligatures w14:val="standardContextual"/>
        </w:rPr>
        <w:t>Equal pay.</w:t>
      </w:r>
      <w:r w:rsidRPr="000560C7">
        <w:rPr>
          <w:rFonts w:cs="Arial"/>
          <w:kern w:val="2"/>
          <w:szCs w:val="22"/>
          <w14:ligatures w14:val="standardContextual"/>
        </w:rPr>
        <w:t xml:space="preserve"> Available at: </w:t>
      </w:r>
      <w:hyperlink r:id="rId14" w:history="1">
        <w:r w:rsidRPr="000560C7">
          <w:rPr>
            <w:rFonts w:cs="Arial"/>
            <w:color w:val="0563C1" w:themeColor="hyperlink"/>
            <w:kern w:val="2"/>
            <w:szCs w:val="22"/>
            <w:u w:val="single"/>
            <w14:ligatures w14:val="standardContextual"/>
          </w:rPr>
          <w:t>https://www.cipd.org/uk/knowledge/employment-law/equal-pay/</w:t>
        </w:r>
      </w:hyperlink>
      <w:r w:rsidRPr="000560C7">
        <w:rPr>
          <w:rFonts w:cs="Arial"/>
          <w:kern w:val="2"/>
          <w:szCs w:val="22"/>
          <w14:ligatures w14:val="standardContextual"/>
        </w:rPr>
        <w:t xml:space="preserve">  (Accessed: 22 February 2025).</w:t>
      </w:r>
    </w:p>
    <w:p w14:paraId="2671DB55" w14:textId="77777777" w:rsidR="000560C7" w:rsidRPr="000560C7" w:rsidRDefault="000560C7" w:rsidP="000560C7">
      <w:pPr>
        <w:spacing w:after="160"/>
        <w:rPr>
          <w:rFonts w:cs="Arial"/>
          <w:kern w:val="2"/>
          <w:szCs w:val="22"/>
          <w14:ligatures w14:val="standardContextual"/>
        </w:rPr>
      </w:pPr>
    </w:p>
    <w:p w14:paraId="5F118073" w14:textId="65E1051F"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lastRenderedPageBreak/>
        <w:t xml:space="preserve">CIPD. (no date c). </w:t>
      </w:r>
      <w:r w:rsidRPr="000560C7">
        <w:rPr>
          <w:rFonts w:cs="Arial"/>
          <w:i/>
          <w:iCs/>
          <w:kern w:val="2"/>
          <w:szCs w:val="22"/>
          <w14:ligatures w14:val="standardContextual"/>
        </w:rPr>
        <w:t>UK employment law and the EU</w:t>
      </w:r>
      <w:r w:rsidRPr="000560C7">
        <w:rPr>
          <w:rFonts w:cs="Arial"/>
          <w:kern w:val="2"/>
          <w:szCs w:val="22"/>
          <w14:ligatures w14:val="standardContextual"/>
        </w:rPr>
        <w:t>. Available at: </w:t>
      </w:r>
      <w:hyperlink r:id="rId15" w:history="1">
        <w:r w:rsidRPr="000560C7">
          <w:rPr>
            <w:rFonts w:cs="Arial"/>
            <w:color w:val="0563C1" w:themeColor="hyperlink"/>
            <w:kern w:val="2"/>
            <w:szCs w:val="22"/>
            <w:u w:val="single"/>
            <w14:ligatures w14:val="standardContextual"/>
          </w:rPr>
          <w:t>https://www.cipd.org/uk/knowledge/employment-law/uk-employment-law-eu/</w:t>
        </w:r>
      </w:hyperlink>
      <w:r w:rsidRPr="000560C7">
        <w:rPr>
          <w:rFonts w:cs="Arial"/>
          <w:kern w:val="2"/>
          <w:szCs w:val="22"/>
          <w14:ligatures w14:val="standardContextual"/>
        </w:rPr>
        <w:t xml:space="preserve">  (Accessed: 3 March 2025).</w:t>
      </w:r>
    </w:p>
    <w:p w14:paraId="39D3CDF5" w14:textId="77777777" w:rsidR="009B4045" w:rsidRDefault="009B4045" w:rsidP="000560C7">
      <w:pPr>
        <w:spacing w:after="160"/>
        <w:rPr>
          <w:rFonts w:cs="Arial"/>
          <w:kern w:val="2"/>
          <w:szCs w:val="22"/>
          <w14:ligatures w14:val="standardContextual"/>
        </w:rPr>
      </w:pPr>
    </w:p>
    <w:p w14:paraId="633C04AB" w14:textId="2BC70157" w:rsidR="003D2701" w:rsidRPr="003D2701" w:rsidRDefault="003D2701" w:rsidP="003D2701">
      <w:pPr>
        <w:rPr>
          <w:color w:val="FF0000"/>
        </w:rPr>
      </w:pPr>
      <w:r w:rsidRPr="003D2701">
        <w:rPr>
          <w:color w:val="FF0000"/>
        </w:rPr>
        <w:t xml:space="preserve">CIPD. (no date </w:t>
      </w:r>
      <w:r w:rsidRPr="003D2701">
        <w:rPr>
          <w:color w:val="FF0000"/>
        </w:rPr>
        <w:t>d</w:t>
      </w:r>
      <w:r w:rsidRPr="003D2701">
        <w:rPr>
          <w:color w:val="FF0000"/>
        </w:rPr>
        <w:t>) </w:t>
      </w:r>
      <w:r w:rsidRPr="003D2701">
        <w:rPr>
          <w:i/>
          <w:iCs/>
          <w:color w:val="FF0000"/>
        </w:rPr>
        <w:t>Employment regulation in the UK: burden or benefit?</w:t>
      </w:r>
      <w:r w:rsidRPr="003D2701">
        <w:rPr>
          <w:color w:val="FF0000"/>
        </w:rPr>
        <w:t> Available at: </w:t>
      </w:r>
      <w:hyperlink r:id="rId16" w:history="1">
        <w:r w:rsidRPr="003D2701">
          <w:rPr>
            <w:rStyle w:val="Hyperlink"/>
            <w:color w:val="FF0000"/>
          </w:rPr>
          <w:t>https://www.cipd.org/uk/knowledge/employment-law/employment-regulation-uk/</w:t>
        </w:r>
      </w:hyperlink>
      <w:r w:rsidRPr="003D2701">
        <w:rPr>
          <w:color w:val="FF0000"/>
        </w:rPr>
        <w:t xml:space="preserve"> </w:t>
      </w:r>
      <w:r w:rsidRPr="003D2701">
        <w:rPr>
          <w:color w:val="FF0000"/>
        </w:rPr>
        <w:t> (Accessed: 21 May 2025).</w:t>
      </w:r>
    </w:p>
    <w:p w14:paraId="1B9AECD0" w14:textId="77777777" w:rsidR="003D2701" w:rsidRDefault="003D2701" w:rsidP="000560C7">
      <w:pPr>
        <w:spacing w:after="160"/>
        <w:rPr>
          <w:rFonts w:cs="Arial"/>
          <w:kern w:val="2"/>
          <w:szCs w:val="22"/>
          <w14:ligatures w14:val="standardContextual"/>
        </w:rPr>
      </w:pPr>
    </w:p>
    <w:p w14:paraId="3D79AECB" w14:textId="09E9A3C2" w:rsid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CIPD. (2024a) </w:t>
      </w:r>
      <w:r w:rsidRPr="000560C7">
        <w:rPr>
          <w:rFonts w:cs="Arial"/>
          <w:i/>
          <w:iCs/>
          <w:kern w:val="2"/>
          <w:szCs w:val="22"/>
          <w14:ligatures w14:val="standardContextual"/>
        </w:rPr>
        <w:t>Redundancy: UK employment law</w:t>
      </w:r>
      <w:r w:rsidRPr="000560C7">
        <w:rPr>
          <w:rFonts w:cs="Arial"/>
          <w:kern w:val="2"/>
          <w:szCs w:val="22"/>
          <w14:ligatures w14:val="standardContextual"/>
        </w:rPr>
        <w:t xml:space="preserve">. Available at: </w:t>
      </w:r>
      <w:hyperlink r:id="rId17" w:history="1">
        <w:r w:rsidRPr="000560C7">
          <w:rPr>
            <w:rFonts w:cs="Arial"/>
            <w:color w:val="0000FF"/>
            <w:kern w:val="2"/>
            <w:szCs w:val="22"/>
            <w:u w:val="single"/>
            <w14:ligatures w14:val="standardContextual"/>
          </w:rPr>
          <w:t>Redundancy: UK employment law | CIPD</w:t>
        </w:r>
      </w:hyperlink>
      <w:r w:rsidRPr="000560C7">
        <w:rPr>
          <w:rFonts w:cs="Arial"/>
          <w:kern w:val="2"/>
          <w:szCs w:val="22"/>
          <w14:ligatures w14:val="standardContextual"/>
        </w:rPr>
        <w:t xml:space="preserve"> (Accessed: 23 February 2025). </w:t>
      </w:r>
    </w:p>
    <w:p w14:paraId="19B66BD6" w14:textId="77777777" w:rsidR="00B9615A" w:rsidRPr="000560C7" w:rsidRDefault="00B9615A" w:rsidP="000560C7">
      <w:pPr>
        <w:spacing w:after="160"/>
        <w:rPr>
          <w:rFonts w:cs="Arial"/>
          <w:kern w:val="2"/>
          <w:szCs w:val="22"/>
          <w14:ligatures w14:val="standardContextual"/>
        </w:rPr>
      </w:pPr>
    </w:p>
    <w:p w14:paraId="510DA731" w14:textId="77777777" w:rsidR="000560C7" w:rsidRDefault="000560C7" w:rsidP="000560C7">
      <w:pPr>
        <w:spacing w:after="160"/>
        <w:rPr>
          <w:rFonts w:cs="Arial"/>
          <w:kern w:val="2"/>
          <w:szCs w:val="22"/>
          <w14:ligatures w14:val="standardContextual"/>
        </w:rPr>
      </w:pPr>
      <w:r w:rsidRPr="000560C7">
        <w:rPr>
          <w:rFonts w:cs="Arial"/>
          <w:kern w:val="2"/>
          <w:szCs w:val="22"/>
          <w14:ligatures w14:val="standardContextual"/>
        </w:rPr>
        <w:t> CIPD. (2024b) </w:t>
      </w:r>
      <w:r w:rsidRPr="000560C7">
        <w:rPr>
          <w:rFonts w:cs="Arial"/>
          <w:i/>
          <w:iCs/>
          <w:kern w:val="2"/>
          <w:szCs w:val="22"/>
          <w14:ligatures w14:val="standardContextual"/>
        </w:rPr>
        <w:t>A guide to TUPE transfers</w:t>
      </w:r>
      <w:r w:rsidRPr="000560C7">
        <w:rPr>
          <w:rFonts w:cs="Arial"/>
          <w:kern w:val="2"/>
          <w:szCs w:val="22"/>
          <w14:ligatures w14:val="standardContextual"/>
        </w:rPr>
        <w:t>. Available at: </w:t>
      </w:r>
      <w:hyperlink r:id="rId18" w:anchor="how-to-plan-for-tupe-during-the-pretransfer-period" w:history="1">
        <w:r w:rsidRPr="000560C7">
          <w:rPr>
            <w:rFonts w:cs="Arial"/>
            <w:color w:val="0563C1" w:themeColor="hyperlink"/>
            <w:kern w:val="2"/>
            <w:szCs w:val="22"/>
            <w:u w:val="single"/>
            <w14:ligatures w14:val="standardContextual"/>
          </w:rPr>
          <w:t>https://www.cipd.org/uk/knowledge/guides/tupe-guide/#how-to-plan-for-tupe-during-the-pretransfer-period</w:t>
        </w:r>
      </w:hyperlink>
      <w:r w:rsidRPr="000560C7">
        <w:rPr>
          <w:rFonts w:cs="Arial"/>
          <w:kern w:val="2"/>
          <w:szCs w:val="22"/>
          <w14:ligatures w14:val="standardContextual"/>
        </w:rPr>
        <w:t xml:space="preserve">  (Accessed: 1 March 2025).</w:t>
      </w:r>
    </w:p>
    <w:p w14:paraId="5D717671" w14:textId="77777777" w:rsidR="00B9615A" w:rsidRDefault="00B9615A" w:rsidP="000560C7">
      <w:pPr>
        <w:spacing w:after="160"/>
        <w:rPr>
          <w:rFonts w:cs="Arial"/>
          <w:kern w:val="2"/>
          <w:szCs w:val="22"/>
          <w14:ligatures w14:val="standardContextual"/>
        </w:rPr>
      </w:pPr>
    </w:p>
    <w:p w14:paraId="22AEA9D3" w14:textId="77777777" w:rsidR="00B9615A" w:rsidRPr="000560C7" w:rsidRDefault="00B9615A" w:rsidP="00B9615A">
      <w:pPr>
        <w:spacing w:after="160"/>
        <w:rPr>
          <w:rFonts w:cs="Arial"/>
          <w:kern w:val="2"/>
          <w:szCs w:val="22"/>
          <w14:ligatures w14:val="standardContextual"/>
        </w:rPr>
      </w:pPr>
    </w:p>
    <w:p w14:paraId="21B5C5D1" w14:textId="4BAACACF" w:rsidR="00B9615A" w:rsidRPr="00B9615A" w:rsidRDefault="00B9615A" w:rsidP="00B9615A">
      <w:pPr>
        <w:rPr>
          <w:color w:val="FF0000"/>
        </w:rPr>
      </w:pPr>
      <w:r w:rsidRPr="00B9615A">
        <w:rPr>
          <w:color w:val="FF0000"/>
        </w:rPr>
        <w:t>CIPD. (2024</w:t>
      </w:r>
      <w:r w:rsidRPr="00B9615A">
        <w:rPr>
          <w:color w:val="FF0000"/>
        </w:rPr>
        <w:t>c</w:t>
      </w:r>
      <w:r w:rsidRPr="00B9615A">
        <w:rPr>
          <w:color w:val="FF0000"/>
        </w:rPr>
        <w:t>) </w:t>
      </w:r>
      <w:r w:rsidRPr="00B9615A">
        <w:rPr>
          <w:i/>
          <w:iCs/>
          <w:color w:val="FF0000"/>
        </w:rPr>
        <w:t>Employment law in the UK: How it is made</w:t>
      </w:r>
      <w:r w:rsidRPr="00B9615A">
        <w:rPr>
          <w:color w:val="FF0000"/>
        </w:rPr>
        <w:t>. Available at: </w:t>
      </w:r>
      <w:hyperlink r:id="rId19" w:history="1">
        <w:r w:rsidRPr="00B9615A">
          <w:rPr>
            <w:rStyle w:val="Hyperlink"/>
            <w:color w:val="FF0000"/>
          </w:rPr>
          <w:t>https://www.cipd.org/uk/knowledge/employment-law/employment-law-uk-how-made/</w:t>
        </w:r>
      </w:hyperlink>
      <w:r w:rsidRPr="00B9615A">
        <w:rPr>
          <w:color w:val="FF0000"/>
        </w:rPr>
        <w:t xml:space="preserve"> </w:t>
      </w:r>
      <w:r w:rsidRPr="00B9615A">
        <w:rPr>
          <w:color w:val="FF0000"/>
        </w:rPr>
        <w:t> (Accessed: 21 May 2025).</w:t>
      </w:r>
    </w:p>
    <w:p w14:paraId="0FFAC6F0" w14:textId="77777777" w:rsidR="00B9615A" w:rsidRPr="00280FE3" w:rsidRDefault="00B9615A" w:rsidP="000560C7">
      <w:pPr>
        <w:spacing w:after="160"/>
        <w:rPr>
          <w:rFonts w:cs="Arial"/>
          <w:color w:val="FF0000"/>
          <w:kern w:val="2"/>
          <w:szCs w:val="22"/>
          <w14:ligatures w14:val="standardContextual"/>
        </w:rPr>
      </w:pPr>
    </w:p>
    <w:p w14:paraId="13D3DBD2" w14:textId="06914932" w:rsidR="000560C7" w:rsidRDefault="00280FE3" w:rsidP="00280FE3">
      <w:pPr>
        <w:rPr>
          <w:color w:val="FF0000"/>
        </w:rPr>
      </w:pPr>
      <w:r w:rsidRPr="00280FE3">
        <w:rPr>
          <w:color w:val="FF0000"/>
        </w:rPr>
        <w:t>CIPD (2024</w:t>
      </w:r>
      <w:r w:rsidRPr="00280FE3">
        <w:rPr>
          <w:color w:val="FF0000"/>
        </w:rPr>
        <w:t>d</w:t>
      </w:r>
      <w:r w:rsidRPr="00280FE3">
        <w:rPr>
          <w:color w:val="FF0000"/>
        </w:rPr>
        <w:t>) </w:t>
      </w:r>
      <w:r w:rsidRPr="003242CD">
        <w:rPr>
          <w:i/>
          <w:iCs/>
          <w:color w:val="FF0000"/>
        </w:rPr>
        <w:t>People manager guide: Flexible working.</w:t>
      </w:r>
      <w:r w:rsidRPr="00280FE3">
        <w:rPr>
          <w:color w:val="FF0000"/>
        </w:rPr>
        <w:t xml:space="preserve"> [online] Available at: </w:t>
      </w:r>
      <w:hyperlink r:id="rId20" w:history="1">
        <w:r w:rsidRPr="00500C50">
          <w:rPr>
            <w:rStyle w:val="Hyperlink"/>
          </w:rPr>
          <w:t>https://www.cipd.org/uk/knowledge/guides/flexible-working-manager-guide/</w:t>
        </w:r>
      </w:hyperlink>
      <w:r>
        <w:rPr>
          <w:color w:val="FF0000"/>
        </w:rPr>
        <w:t xml:space="preserve"> </w:t>
      </w:r>
      <w:r w:rsidR="003242CD">
        <w:rPr>
          <w:color w:val="FF0000"/>
        </w:rPr>
        <w:t>(</w:t>
      </w:r>
      <w:r w:rsidRPr="00280FE3">
        <w:rPr>
          <w:color w:val="FF0000"/>
        </w:rPr>
        <w:t>Accessed 23 May 2025</w:t>
      </w:r>
      <w:r>
        <w:rPr>
          <w:color w:val="FF0000"/>
        </w:rPr>
        <w:t>)</w:t>
      </w:r>
    </w:p>
    <w:p w14:paraId="1731014D" w14:textId="77777777" w:rsidR="00F20F3F" w:rsidRDefault="00F20F3F" w:rsidP="00280FE3">
      <w:pPr>
        <w:rPr>
          <w:color w:val="FF0000"/>
        </w:rPr>
      </w:pPr>
    </w:p>
    <w:p w14:paraId="30E5C048" w14:textId="77777777" w:rsidR="00F20F3F" w:rsidRDefault="00F20F3F" w:rsidP="00280FE3">
      <w:pPr>
        <w:rPr>
          <w:color w:val="FF0000"/>
        </w:rPr>
      </w:pPr>
    </w:p>
    <w:p w14:paraId="6D6E6014" w14:textId="77777777" w:rsidR="00280FE3" w:rsidRPr="00F20F3F" w:rsidRDefault="00280FE3" w:rsidP="00280FE3">
      <w:pPr>
        <w:rPr>
          <w:color w:val="FF0000"/>
        </w:rPr>
      </w:pPr>
    </w:p>
    <w:p w14:paraId="11CB1986" w14:textId="38B198B7" w:rsidR="00F20F3F" w:rsidRPr="00F20F3F" w:rsidRDefault="00F20F3F" w:rsidP="00F20F3F">
      <w:pPr>
        <w:rPr>
          <w:color w:val="FF0000"/>
        </w:rPr>
      </w:pPr>
      <w:r w:rsidRPr="00F20F3F">
        <w:rPr>
          <w:color w:val="FF0000"/>
        </w:rPr>
        <w:t>CIPD (2024</w:t>
      </w:r>
      <w:r w:rsidRPr="00F20F3F">
        <w:rPr>
          <w:color w:val="FF0000"/>
        </w:rPr>
        <w:t>e</w:t>
      </w:r>
      <w:r w:rsidRPr="00F20F3F">
        <w:rPr>
          <w:color w:val="FF0000"/>
        </w:rPr>
        <w:t>) </w:t>
      </w:r>
      <w:r w:rsidRPr="00F20F3F">
        <w:rPr>
          <w:color w:val="FF0000"/>
          <w:u w:val="single"/>
        </w:rPr>
        <w:t>UK employment law and the EU.</w:t>
      </w:r>
      <w:r w:rsidRPr="00F20F3F">
        <w:rPr>
          <w:color w:val="FF0000"/>
        </w:rPr>
        <w:t xml:space="preserve"> [online] Available at: </w:t>
      </w:r>
      <w:hyperlink r:id="rId21" w:history="1">
        <w:r w:rsidRPr="00F20F3F">
          <w:rPr>
            <w:rStyle w:val="Hyperlink"/>
            <w:color w:val="FF0000"/>
          </w:rPr>
          <w:t>https://www.cipd.org/uk/knowledge/employment-law/uk-employment-law-eu/</w:t>
        </w:r>
      </w:hyperlink>
      <w:r w:rsidRPr="00F20F3F">
        <w:rPr>
          <w:color w:val="FF0000"/>
        </w:rPr>
        <w:t xml:space="preserve"> </w:t>
      </w:r>
      <w:r w:rsidRPr="00F20F3F">
        <w:rPr>
          <w:color w:val="FF0000"/>
        </w:rPr>
        <w:t> </w:t>
      </w:r>
      <w:r w:rsidRPr="00F20F3F">
        <w:rPr>
          <w:color w:val="FF0000"/>
        </w:rPr>
        <w:t>(</w:t>
      </w:r>
      <w:r w:rsidRPr="00F20F3F">
        <w:rPr>
          <w:color w:val="FF0000"/>
        </w:rPr>
        <w:t>Accessed 23 May 2025</w:t>
      </w:r>
      <w:r w:rsidRPr="00F20F3F">
        <w:rPr>
          <w:color w:val="FF0000"/>
        </w:rPr>
        <w:t>)</w:t>
      </w:r>
    </w:p>
    <w:p w14:paraId="01F9C8C5" w14:textId="77777777" w:rsidR="00280FE3" w:rsidRDefault="00280FE3" w:rsidP="00280FE3"/>
    <w:p w14:paraId="78F841CA" w14:textId="77777777" w:rsidR="00F20F3F" w:rsidRPr="00280FE3" w:rsidRDefault="00F20F3F" w:rsidP="00280FE3"/>
    <w:p w14:paraId="41A4C10F" w14:textId="77777777" w:rsidR="000560C7" w:rsidRPr="00584CE5" w:rsidRDefault="000560C7" w:rsidP="000560C7">
      <w:pPr>
        <w:spacing w:after="160"/>
        <w:rPr>
          <w:rFonts w:cs="Arial"/>
          <w:kern w:val="2"/>
          <w:szCs w:val="22"/>
          <w14:ligatures w14:val="standardContextual"/>
        </w:rPr>
      </w:pPr>
      <w:r w:rsidRPr="000560C7">
        <w:rPr>
          <w:rFonts w:cs="Arial"/>
          <w:kern w:val="2"/>
          <w:szCs w:val="22"/>
          <w14:ligatures w14:val="standardContextual"/>
        </w:rPr>
        <w:t>CIPD. (2023). </w:t>
      </w:r>
      <w:r w:rsidRPr="000560C7">
        <w:rPr>
          <w:rFonts w:cs="Arial"/>
          <w:i/>
          <w:iCs/>
          <w:kern w:val="2"/>
          <w:szCs w:val="22"/>
          <w14:ligatures w14:val="standardContextual"/>
        </w:rPr>
        <w:t>Recruitment: Factsheet</w:t>
      </w:r>
      <w:r w:rsidRPr="000560C7">
        <w:rPr>
          <w:rFonts w:cs="Arial"/>
          <w:kern w:val="2"/>
          <w:szCs w:val="22"/>
          <w14:ligatures w14:val="standardContextual"/>
        </w:rPr>
        <w:t>. Available at: </w:t>
      </w:r>
      <w:hyperlink r:id="rId22" w:history="1">
        <w:r w:rsidRPr="000560C7">
          <w:rPr>
            <w:rFonts w:cs="Arial"/>
            <w:color w:val="0563C1" w:themeColor="hyperlink"/>
            <w:kern w:val="2"/>
            <w:szCs w:val="22"/>
            <w:u w:val="single"/>
            <w14:ligatures w14:val="standardContextual"/>
          </w:rPr>
          <w:t>https://www.cipd.org/uk/knowledge/employment-law/recruitment/</w:t>
        </w:r>
      </w:hyperlink>
      <w:r w:rsidRPr="000560C7">
        <w:rPr>
          <w:rFonts w:cs="Arial"/>
          <w:kern w:val="2"/>
          <w:szCs w:val="22"/>
          <w14:ligatures w14:val="standardContextual"/>
        </w:rPr>
        <w:t xml:space="preserve">  (Accessed: 3 March 2025)</w:t>
      </w:r>
    </w:p>
    <w:p w14:paraId="01C8D3EF" w14:textId="77777777" w:rsidR="00CC4454" w:rsidRPr="000560C7" w:rsidRDefault="00CC4454" w:rsidP="000560C7">
      <w:pPr>
        <w:spacing w:after="160"/>
        <w:rPr>
          <w:rFonts w:cs="Arial"/>
          <w:kern w:val="2"/>
          <w:szCs w:val="22"/>
          <w14:ligatures w14:val="standardContextual"/>
        </w:rPr>
      </w:pPr>
    </w:p>
    <w:p w14:paraId="688F3802" w14:textId="155CE7C1" w:rsidR="000560C7" w:rsidRDefault="00CC4454" w:rsidP="00CC4454">
      <w:pPr>
        <w:rPr>
          <w:rFonts w:cs="Arial"/>
          <w:szCs w:val="22"/>
        </w:rPr>
      </w:pPr>
      <w:r w:rsidRPr="00584CE5">
        <w:rPr>
          <w:rFonts w:cs="Arial"/>
          <w:szCs w:val="22"/>
        </w:rPr>
        <w:t>Daniels, K. (2022) </w:t>
      </w:r>
      <w:r w:rsidRPr="00584CE5">
        <w:rPr>
          <w:rFonts w:cs="Arial"/>
          <w:i/>
          <w:iCs/>
          <w:szCs w:val="22"/>
        </w:rPr>
        <w:t xml:space="preserve">Introduction to employment </w:t>
      </w:r>
      <w:proofErr w:type="gramStart"/>
      <w:r w:rsidRPr="00584CE5">
        <w:rPr>
          <w:rFonts w:cs="Arial"/>
          <w:i/>
          <w:iCs/>
          <w:szCs w:val="22"/>
        </w:rPr>
        <w:t>law </w:t>
      </w:r>
      <w:r w:rsidRPr="00584CE5">
        <w:rPr>
          <w:rFonts w:cs="Arial"/>
          <w:szCs w:val="22"/>
        </w:rPr>
        <w:t>:</w:t>
      </w:r>
      <w:proofErr w:type="gramEnd"/>
      <w:r w:rsidRPr="00584CE5">
        <w:rPr>
          <w:rFonts w:cs="Arial"/>
          <w:szCs w:val="22"/>
        </w:rPr>
        <w:t xml:space="preserve"> fundamentals for HR and business students . Sixth edition. London, </w:t>
      </w:r>
      <w:proofErr w:type="gramStart"/>
      <w:r w:rsidRPr="00584CE5">
        <w:rPr>
          <w:rFonts w:cs="Arial"/>
          <w:szCs w:val="22"/>
        </w:rPr>
        <w:t>England ;</w:t>
      </w:r>
      <w:proofErr w:type="gramEnd"/>
      <w:r w:rsidRPr="00584CE5">
        <w:rPr>
          <w:rFonts w:cs="Arial"/>
          <w:szCs w:val="22"/>
        </w:rPr>
        <w:t xml:space="preserve"> New York, New York :; London, England ; New York, New York :, Kogan Page Limited.</w:t>
      </w:r>
    </w:p>
    <w:p w14:paraId="33BCD0DF" w14:textId="77777777" w:rsidR="008811B4" w:rsidRPr="00584CE5" w:rsidRDefault="008811B4" w:rsidP="00CC4454">
      <w:pPr>
        <w:rPr>
          <w:rFonts w:cs="Arial"/>
          <w:szCs w:val="22"/>
        </w:rPr>
      </w:pPr>
    </w:p>
    <w:p w14:paraId="6DC2EE5B" w14:textId="77777777" w:rsidR="00381442" w:rsidRPr="00584CE5" w:rsidRDefault="00381442" w:rsidP="00CC4454">
      <w:pPr>
        <w:rPr>
          <w:rFonts w:cs="Arial"/>
          <w:szCs w:val="22"/>
        </w:rPr>
      </w:pPr>
    </w:p>
    <w:p w14:paraId="5F835DD1" w14:textId="34E02526" w:rsidR="008811B4" w:rsidRPr="007F0E33" w:rsidRDefault="007F0E33" w:rsidP="007F0E33">
      <w:pPr>
        <w:rPr>
          <w:color w:val="FF0000"/>
        </w:rPr>
      </w:pPr>
      <w:r w:rsidRPr="007F0E33">
        <w:rPr>
          <w:color w:val="FF0000"/>
        </w:rPr>
        <w:t>Department of Health and Social Care. (2023) </w:t>
      </w:r>
      <w:r w:rsidRPr="007F0E33">
        <w:rPr>
          <w:color w:val="FF0000"/>
          <w:u w:val="single"/>
        </w:rPr>
        <w:t>NHS Long Term Workforce Plan fact sheet.</w:t>
      </w:r>
      <w:r w:rsidRPr="007F0E33">
        <w:rPr>
          <w:color w:val="FF0000"/>
        </w:rPr>
        <w:t xml:space="preserve"> Available at: </w:t>
      </w:r>
      <w:hyperlink r:id="rId23" w:history="1">
        <w:r w:rsidRPr="007F0E33">
          <w:rPr>
            <w:rStyle w:val="Hyperlink"/>
            <w:color w:val="FF0000"/>
          </w:rPr>
          <w:t>https://healthmedia.blog.gov.uk/2023/06/30/nhs-long-term-workforce-plan-fact-sheet/</w:t>
        </w:r>
      </w:hyperlink>
      <w:r w:rsidRPr="007F0E33">
        <w:rPr>
          <w:color w:val="FF0000"/>
        </w:rPr>
        <w:t xml:space="preserve"> </w:t>
      </w:r>
      <w:r w:rsidRPr="007F0E33">
        <w:rPr>
          <w:color w:val="FF0000"/>
        </w:rPr>
        <w:t> (Accessed: 21 May 2025).</w:t>
      </w:r>
    </w:p>
    <w:p w14:paraId="4707D912" w14:textId="77777777" w:rsidR="008811B4" w:rsidRDefault="008811B4" w:rsidP="008811B4"/>
    <w:p w14:paraId="721FC64E" w14:textId="77777777" w:rsidR="007F0E33" w:rsidRPr="008811B4" w:rsidRDefault="007F0E33" w:rsidP="008811B4"/>
    <w:p w14:paraId="5964A394"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Employment Case Update. (2019) </w:t>
      </w:r>
      <w:proofErr w:type="spellStart"/>
      <w:r w:rsidRPr="000560C7">
        <w:rPr>
          <w:rFonts w:cs="Arial"/>
          <w:i/>
          <w:iCs/>
          <w:kern w:val="2"/>
          <w:szCs w:val="22"/>
          <w14:ligatures w14:val="standardContextual"/>
        </w:rPr>
        <w:t>Federación</w:t>
      </w:r>
      <w:proofErr w:type="spellEnd"/>
      <w:r w:rsidRPr="000560C7">
        <w:rPr>
          <w:rFonts w:cs="Arial"/>
          <w:i/>
          <w:iCs/>
          <w:kern w:val="2"/>
          <w:szCs w:val="22"/>
          <w14:ligatures w14:val="standardContextual"/>
        </w:rPr>
        <w:t xml:space="preserve"> de </w:t>
      </w:r>
      <w:proofErr w:type="spellStart"/>
      <w:r w:rsidRPr="000560C7">
        <w:rPr>
          <w:rFonts w:cs="Arial"/>
          <w:i/>
          <w:iCs/>
          <w:kern w:val="2"/>
          <w:szCs w:val="22"/>
          <w14:ligatures w14:val="standardContextual"/>
        </w:rPr>
        <w:t>Servicios</w:t>
      </w:r>
      <w:proofErr w:type="spellEnd"/>
      <w:r w:rsidRPr="000560C7">
        <w:rPr>
          <w:rFonts w:cs="Arial"/>
          <w:i/>
          <w:iCs/>
          <w:kern w:val="2"/>
          <w:szCs w:val="22"/>
          <w14:ligatures w14:val="standardContextual"/>
        </w:rPr>
        <w:t xml:space="preserve"> de </w:t>
      </w:r>
      <w:proofErr w:type="spellStart"/>
      <w:r w:rsidRPr="000560C7">
        <w:rPr>
          <w:rFonts w:cs="Arial"/>
          <w:i/>
          <w:iCs/>
          <w:kern w:val="2"/>
          <w:szCs w:val="22"/>
          <w14:ligatures w14:val="standardContextual"/>
        </w:rPr>
        <w:t>Comisiones</w:t>
      </w:r>
      <w:proofErr w:type="spellEnd"/>
      <w:r w:rsidRPr="000560C7">
        <w:rPr>
          <w:rFonts w:cs="Arial"/>
          <w:i/>
          <w:iCs/>
          <w:kern w:val="2"/>
          <w:szCs w:val="22"/>
          <w14:ligatures w14:val="standardContextual"/>
        </w:rPr>
        <w:t xml:space="preserve"> </w:t>
      </w:r>
      <w:proofErr w:type="spellStart"/>
      <w:r w:rsidRPr="000560C7">
        <w:rPr>
          <w:rFonts w:cs="Arial"/>
          <w:i/>
          <w:iCs/>
          <w:kern w:val="2"/>
          <w:szCs w:val="22"/>
          <w14:ligatures w14:val="standardContextual"/>
        </w:rPr>
        <w:t>Obreras</w:t>
      </w:r>
      <w:proofErr w:type="spellEnd"/>
      <w:r w:rsidRPr="000560C7">
        <w:rPr>
          <w:rFonts w:cs="Arial"/>
          <w:i/>
          <w:iCs/>
          <w:kern w:val="2"/>
          <w:szCs w:val="22"/>
          <w14:ligatures w14:val="standardContextual"/>
        </w:rPr>
        <w:t xml:space="preserve"> (CCOO) v Deutsche Bank SAE (CJEU Case C-55/18)</w:t>
      </w:r>
      <w:r w:rsidRPr="000560C7">
        <w:rPr>
          <w:rFonts w:cs="Arial"/>
          <w:kern w:val="2"/>
          <w:szCs w:val="22"/>
          <w14:ligatures w14:val="standardContextual"/>
        </w:rPr>
        <w:t xml:space="preserve">. Available at: </w:t>
      </w:r>
      <w:hyperlink r:id="rId24" w:history="1">
        <w:r w:rsidRPr="000560C7">
          <w:rPr>
            <w:rFonts w:cs="Arial"/>
            <w:color w:val="0563C1" w:themeColor="hyperlink"/>
            <w:kern w:val="2"/>
            <w:szCs w:val="22"/>
            <w:u w:val="single"/>
            <w14:ligatures w14:val="standardContextual"/>
          </w:rPr>
          <w:t xml:space="preserve">Employment Cases Update: </w:t>
        </w:r>
        <w:proofErr w:type="spellStart"/>
        <w:r w:rsidRPr="000560C7">
          <w:rPr>
            <w:rFonts w:cs="Arial"/>
            <w:color w:val="0563C1" w:themeColor="hyperlink"/>
            <w:kern w:val="2"/>
            <w:szCs w:val="22"/>
            <w:u w:val="single"/>
            <w14:ligatures w14:val="standardContextual"/>
          </w:rPr>
          <w:t>Federación</w:t>
        </w:r>
        <w:proofErr w:type="spellEnd"/>
        <w:r w:rsidRPr="000560C7">
          <w:rPr>
            <w:rFonts w:cs="Arial"/>
            <w:color w:val="0563C1" w:themeColor="hyperlink"/>
            <w:kern w:val="2"/>
            <w:szCs w:val="22"/>
            <w:u w:val="single"/>
            <w14:ligatures w14:val="standardContextual"/>
          </w:rPr>
          <w:t xml:space="preserve"> de </w:t>
        </w:r>
        <w:proofErr w:type="spellStart"/>
        <w:r w:rsidRPr="000560C7">
          <w:rPr>
            <w:rFonts w:cs="Arial"/>
            <w:color w:val="0563C1" w:themeColor="hyperlink"/>
            <w:kern w:val="2"/>
            <w:szCs w:val="22"/>
            <w:u w:val="single"/>
            <w14:ligatures w14:val="standardContextual"/>
          </w:rPr>
          <w:t>Servicios</w:t>
        </w:r>
        <w:proofErr w:type="spellEnd"/>
        <w:r w:rsidRPr="000560C7">
          <w:rPr>
            <w:rFonts w:cs="Arial"/>
            <w:color w:val="0563C1" w:themeColor="hyperlink"/>
            <w:kern w:val="2"/>
            <w:szCs w:val="22"/>
            <w:u w:val="single"/>
            <w14:ligatures w14:val="standardContextual"/>
          </w:rPr>
          <w:t xml:space="preserve"> de </w:t>
        </w:r>
        <w:proofErr w:type="spellStart"/>
        <w:r w:rsidRPr="000560C7">
          <w:rPr>
            <w:rFonts w:cs="Arial"/>
            <w:color w:val="0563C1" w:themeColor="hyperlink"/>
            <w:kern w:val="2"/>
            <w:szCs w:val="22"/>
            <w:u w:val="single"/>
            <w14:ligatures w14:val="standardContextual"/>
          </w:rPr>
          <w:t>Comisiones</w:t>
        </w:r>
        <w:proofErr w:type="spellEnd"/>
        <w:r w:rsidRPr="000560C7">
          <w:rPr>
            <w:rFonts w:cs="Arial"/>
            <w:color w:val="0563C1" w:themeColor="hyperlink"/>
            <w:kern w:val="2"/>
            <w:szCs w:val="22"/>
            <w:u w:val="single"/>
            <w14:ligatures w14:val="standardContextual"/>
          </w:rPr>
          <w:t xml:space="preserve"> </w:t>
        </w:r>
        <w:proofErr w:type="spellStart"/>
        <w:r w:rsidRPr="000560C7">
          <w:rPr>
            <w:rFonts w:cs="Arial"/>
            <w:color w:val="0563C1" w:themeColor="hyperlink"/>
            <w:kern w:val="2"/>
            <w:szCs w:val="22"/>
            <w:u w:val="single"/>
            <w14:ligatures w14:val="standardContextual"/>
          </w:rPr>
          <w:t>Obreras</w:t>
        </w:r>
        <w:proofErr w:type="spellEnd"/>
        <w:r w:rsidRPr="000560C7">
          <w:rPr>
            <w:rFonts w:cs="Arial"/>
            <w:color w:val="0563C1" w:themeColor="hyperlink"/>
            <w:kern w:val="2"/>
            <w:szCs w:val="22"/>
            <w:u w:val="single"/>
            <w14:ligatures w14:val="standardContextual"/>
          </w:rPr>
          <w:t xml:space="preserve"> (CCOO) v Deutsche Bank SAE (CJEU Case C-55/18)</w:t>
        </w:r>
      </w:hyperlink>
      <w:r w:rsidRPr="000560C7">
        <w:rPr>
          <w:rFonts w:cs="Arial"/>
          <w:kern w:val="2"/>
          <w:szCs w:val="22"/>
          <w14:ligatures w14:val="standardContextual"/>
        </w:rPr>
        <w:t xml:space="preserve"> (Accessed 11 March 2025).</w:t>
      </w:r>
    </w:p>
    <w:p w14:paraId="04E45277" w14:textId="77777777" w:rsidR="000560C7" w:rsidRPr="000560C7" w:rsidRDefault="000560C7" w:rsidP="000560C7">
      <w:pPr>
        <w:spacing w:after="160"/>
        <w:rPr>
          <w:rFonts w:cs="Arial"/>
          <w:kern w:val="2"/>
          <w:szCs w:val="22"/>
          <w14:ligatures w14:val="standardContextual"/>
        </w:rPr>
      </w:pPr>
    </w:p>
    <w:p w14:paraId="463C4FB6" w14:textId="77777777" w:rsidR="000560C7" w:rsidRDefault="000560C7" w:rsidP="000560C7">
      <w:pPr>
        <w:spacing w:after="160"/>
        <w:rPr>
          <w:rFonts w:cs="Arial"/>
          <w:kern w:val="2"/>
          <w:szCs w:val="22"/>
          <w:lang w:eastAsia="en-GB"/>
          <w14:ligatures w14:val="standardContextual"/>
        </w:rPr>
      </w:pPr>
      <w:r w:rsidRPr="000560C7">
        <w:rPr>
          <w:rFonts w:cs="Arial"/>
          <w:kern w:val="2"/>
          <w:szCs w:val="22"/>
          <w:lang w:eastAsia="en-GB"/>
          <w14:ligatures w14:val="standardContextual"/>
        </w:rPr>
        <w:t>Equality and Human Rights Commission. (2023). </w:t>
      </w:r>
      <w:r w:rsidRPr="000560C7">
        <w:rPr>
          <w:rFonts w:cs="Arial"/>
          <w:i/>
          <w:iCs/>
          <w:kern w:val="2"/>
          <w:szCs w:val="22"/>
          <w:lang w:eastAsia="en-GB"/>
          <w14:ligatures w14:val="standardContextual"/>
        </w:rPr>
        <w:t>Employment Code of Practice</w:t>
      </w:r>
      <w:r w:rsidRPr="000560C7">
        <w:rPr>
          <w:rFonts w:cs="Arial"/>
          <w:kern w:val="2"/>
          <w:szCs w:val="22"/>
          <w:lang w:eastAsia="en-GB"/>
          <w14:ligatures w14:val="standardContextual"/>
        </w:rPr>
        <w:t>. Available at: </w:t>
      </w:r>
      <w:hyperlink r:id="rId25" w:history="1">
        <w:r w:rsidRPr="000560C7">
          <w:rPr>
            <w:rFonts w:cs="Arial"/>
            <w:color w:val="0563C1" w:themeColor="hyperlink"/>
            <w:kern w:val="2"/>
            <w:szCs w:val="22"/>
            <w:u w:val="single"/>
            <w:lang w:eastAsia="en-GB"/>
            <w14:ligatures w14:val="standardContextual"/>
          </w:rPr>
          <w:t>https://www.equalityhumanrights.com/equality/equality-act-2010/codes-practice/employment-code-practice-0</w:t>
        </w:r>
      </w:hyperlink>
      <w:r w:rsidRPr="000560C7">
        <w:rPr>
          <w:rFonts w:cs="Arial"/>
          <w:kern w:val="2"/>
          <w:szCs w:val="22"/>
          <w:lang w:eastAsia="en-GB"/>
          <w14:ligatures w14:val="standardContextual"/>
        </w:rPr>
        <w:t xml:space="preserve">  (Accessed: 3 March 2025).</w:t>
      </w:r>
    </w:p>
    <w:p w14:paraId="2A4DFFB8" w14:textId="77777777" w:rsidR="00B23F60" w:rsidRDefault="00B23F60" w:rsidP="000560C7">
      <w:pPr>
        <w:spacing w:after="160"/>
        <w:rPr>
          <w:rFonts w:cs="Arial"/>
          <w:kern w:val="2"/>
          <w:szCs w:val="22"/>
          <w:lang w:eastAsia="en-GB"/>
          <w14:ligatures w14:val="standardContextual"/>
        </w:rPr>
      </w:pPr>
    </w:p>
    <w:p w14:paraId="0619815B" w14:textId="7BC9BE55" w:rsidR="00B23F60" w:rsidRPr="00B23F60" w:rsidRDefault="00B23F60" w:rsidP="00B23F60">
      <w:pPr>
        <w:rPr>
          <w:color w:val="FF0000"/>
        </w:rPr>
      </w:pPr>
      <w:r w:rsidRPr="00B23F60">
        <w:rPr>
          <w:color w:val="FF0000"/>
        </w:rPr>
        <w:t>Equality Act 2010. (2010) </w:t>
      </w:r>
      <w:r w:rsidRPr="00B23F60">
        <w:rPr>
          <w:i/>
          <w:iCs/>
          <w:color w:val="FF0000"/>
        </w:rPr>
        <w:t>Public Sector Equality Duty</w:t>
      </w:r>
      <w:r w:rsidRPr="00B23F60">
        <w:rPr>
          <w:color w:val="FF0000"/>
        </w:rPr>
        <w:t>. Available at: https://www.legislation.gov.uk/ukpga/2010/15/section/149 (Accessed: 21 May 2025).</w:t>
      </w:r>
    </w:p>
    <w:p w14:paraId="12CAC09A" w14:textId="77777777" w:rsidR="000560C7" w:rsidRPr="000560C7" w:rsidRDefault="000560C7" w:rsidP="000560C7">
      <w:pPr>
        <w:spacing w:after="160"/>
        <w:rPr>
          <w:rFonts w:cs="Arial"/>
          <w:kern w:val="2"/>
          <w:szCs w:val="22"/>
          <w14:ligatures w14:val="standardContextual"/>
        </w:rPr>
      </w:pPr>
    </w:p>
    <w:p w14:paraId="074B925D"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Gateley. (2022) </w:t>
      </w:r>
      <w:r w:rsidRPr="000560C7">
        <w:rPr>
          <w:rFonts w:cs="Arial"/>
          <w:i/>
          <w:iCs/>
          <w:kern w:val="2"/>
          <w:szCs w:val="22"/>
          <w14:ligatures w14:val="standardContextual"/>
        </w:rPr>
        <w:t>TUPE or not to TUPE</w:t>
      </w:r>
      <w:r w:rsidRPr="000560C7">
        <w:rPr>
          <w:rFonts w:cs="Arial"/>
          <w:kern w:val="2"/>
          <w:szCs w:val="22"/>
          <w14:ligatures w14:val="standardContextual"/>
        </w:rPr>
        <w:t>: Service provision changes. Available at: </w:t>
      </w:r>
      <w:hyperlink r:id="rId26" w:history="1">
        <w:r w:rsidRPr="000560C7">
          <w:rPr>
            <w:rFonts w:cs="Arial"/>
            <w:color w:val="0563C1" w:themeColor="hyperlink"/>
            <w:kern w:val="2"/>
            <w:szCs w:val="22"/>
            <w:u w:val="single"/>
            <w14:ligatures w14:val="standardContextual"/>
          </w:rPr>
          <w:t>https://gateleyplc.com/insight/article/tupe-or-not-to-tupe-service-provision-changes/</w:t>
        </w:r>
      </w:hyperlink>
      <w:r w:rsidRPr="000560C7">
        <w:rPr>
          <w:rFonts w:cs="Arial"/>
          <w:kern w:val="2"/>
          <w:szCs w:val="22"/>
          <w14:ligatures w14:val="standardContextual"/>
        </w:rPr>
        <w:t xml:space="preserve">  (Accessed: 1 March 2025).</w:t>
      </w:r>
    </w:p>
    <w:p w14:paraId="793AB905" w14:textId="77777777" w:rsidR="000560C7" w:rsidRPr="000560C7" w:rsidRDefault="000560C7" w:rsidP="000560C7">
      <w:pPr>
        <w:spacing w:after="160"/>
        <w:rPr>
          <w:rFonts w:cs="Arial"/>
          <w:kern w:val="2"/>
          <w:szCs w:val="22"/>
          <w14:ligatures w14:val="standardContextual"/>
        </w:rPr>
      </w:pPr>
    </w:p>
    <w:p w14:paraId="5CD900B5"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HR, Zone (2024) </w:t>
      </w:r>
      <w:r w:rsidRPr="000560C7">
        <w:rPr>
          <w:rFonts w:cs="Arial"/>
          <w:i/>
          <w:iCs/>
          <w:kern w:val="2"/>
          <w:szCs w:val="22"/>
          <w:lang w:eastAsia="en-GB"/>
          <w14:ligatures w14:val="standardContextual"/>
        </w:rPr>
        <w:t>Applying a Genuine Occupational Requirement in Recruitment.</w:t>
      </w:r>
      <w:r w:rsidRPr="000560C7">
        <w:rPr>
          <w:rFonts w:cs="Arial"/>
          <w:kern w:val="2"/>
          <w:szCs w:val="22"/>
          <w:lang w:eastAsia="en-GB"/>
          <w14:ligatures w14:val="standardContextual"/>
        </w:rPr>
        <w:t xml:space="preserve"> </w:t>
      </w:r>
      <w:r w:rsidRPr="000560C7">
        <w:rPr>
          <w:rFonts w:cs="Arial"/>
          <w:kern w:val="2"/>
          <w:szCs w:val="22"/>
          <w14:ligatures w14:val="standardContextual"/>
        </w:rPr>
        <w:t xml:space="preserve">Available at: </w:t>
      </w:r>
      <w:hyperlink r:id="rId27" w:history="1">
        <w:r w:rsidRPr="000560C7">
          <w:rPr>
            <w:rFonts w:cs="Arial"/>
            <w:color w:val="0563C1" w:themeColor="hyperlink"/>
            <w:kern w:val="2"/>
            <w:szCs w:val="22"/>
            <w:u w:val="single"/>
            <w14:ligatures w14:val="standardContextual"/>
          </w:rPr>
          <w:t xml:space="preserve">Applying a Genuine Occupational Requirement in Recruitment - </w:t>
        </w:r>
        <w:proofErr w:type="spellStart"/>
        <w:r w:rsidRPr="000560C7">
          <w:rPr>
            <w:rFonts w:cs="Arial"/>
            <w:color w:val="0563C1" w:themeColor="hyperlink"/>
            <w:kern w:val="2"/>
            <w:szCs w:val="22"/>
            <w:u w:val="single"/>
            <w14:ligatures w14:val="standardContextual"/>
          </w:rPr>
          <w:t>HRZone</w:t>
        </w:r>
        <w:proofErr w:type="spellEnd"/>
      </w:hyperlink>
      <w:r w:rsidRPr="000560C7">
        <w:rPr>
          <w:rFonts w:cs="Arial"/>
          <w:kern w:val="2"/>
          <w:szCs w:val="22"/>
          <w14:ligatures w14:val="standardContextual"/>
        </w:rPr>
        <w:t>. (Accessed 12 March 2025)</w:t>
      </w:r>
    </w:p>
    <w:p w14:paraId="0BFCFE64" w14:textId="77777777" w:rsidR="000560C7" w:rsidRPr="000560C7" w:rsidRDefault="000560C7" w:rsidP="000560C7">
      <w:pPr>
        <w:spacing w:after="160"/>
        <w:rPr>
          <w:rFonts w:cs="Arial"/>
          <w:kern w:val="2"/>
          <w:szCs w:val="22"/>
          <w:lang w:eastAsia="en-GB"/>
          <w14:ligatures w14:val="standardContextual"/>
        </w:rPr>
      </w:pPr>
    </w:p>
    <w:p w14:paraId="03B8059E"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Landy, B. (2017). </w:t>
      </w:r>
      <w:r w:rsidRPr="000560C7">
        <w:rPr>
          <w:rFonts w:cs="Arial"/>
          <w:i/>
          <w:iCs/>
          <w:kern w:val="2"/>
          <w:szCs w:val="22"/>
          <w14:ligatures w14:val="standardContextual"/>
        </w:rPr>
        <w:t>Constructive dismissal guide</w:t>
      </w:r>
      <w:r w:rsidRPr="000560C7">
        <w:rPr>
          <w:rFonts w:cs="Arial"/>
          <w:kern w:val="2"/>
          <w:szCs w:val="22"/>
          <w14:ligatures w14:val="standardContextual"/>
        </w:rPr>
        <w:t>. Available at: </w:t>
      </w:r>
      <w:hyperlink r:id="rId28" w:history="1">
        <w:r w:rsidRPr="000560C7">
          <w:rPr>
            <w:rFonts w:cs="Arial"/>
            <w:color w:val="0563C1" w:themeColor="hyperlink"/>
            <w:kern w:val="2"/>
            <w:szCs w:val="22"/>
            <w:u w:val="single"/>
            <w14:ligatures w14:val="standardContextual"/>
          </w:rPr>
          <w:t>https://www.peoplemanagement.co.uk/article/1743377/constructive-dismissal-guide</w:t>
        </w:r>
      </w:hyperlink>
      <w:r w:rsidRPr="000560C7">
        <w:rPr>
          <w:rFonts w:cs="Arial"/>
          <w:kern w:val="2"/>
          <w:szCs w:val="22"/>
          <w14:ligatures w14:val="standardContextual"/>
        </w:rPr>
        <w:t xml:space="preserve">  (Accessed: 22 February 2025).</w:t>
      </w:r>
    </w:p>
    <w:p w14:paraId="3474A98B" w14:textId="77777777" w:rsidR="00F70355" w:rsidRDefault="00F70355" w:rsidP="000560C7">
      <w:pPr>
        <w:spacing w:after="160"/>
        <w:rPr>
          <w:rFonts w:cs="Arial"/>
          <w:color w:val="000000"/>
          <w:szCs w:val="22"/>
          <w:shd w:val="clear" w:color="auto" w:fill="FFFFFF"/>
        </w:rPr>
      </w:pPr>
    </w:p>
    <w:p w14:paraId="45BC3638" w14:textId="499356C5" w:rsidR="000560C7" w:rsidRPr="000560C7" w:rsidRDefault="005A2112" w:rsidP="000560C7">
      <w:pPr>
        <w:spacing w:after="160"/>
        <w:rPr>
          <w:rFonts w:cs="Arial"/>
          <w:kern w:val="2"/>
          <w:szCs w:val="22"/>
          <w14:ligatures w14:val="standardContextual"/>
        </w:rPr>
      </w:pPr>
      <w:r w:rsidRPr="005A2112">
        <w:rPr>
          <w:rFonts w:cs="Arial"/>
          <w:color w:val="000000"/>
          <w:szCs w:val="22"/>
          <w:shd w:val="clear" w:color="auto" w:fill="FFFFFF"/>
        </w:rPr>
        <w:t>Lewis, D. (2023) </w:t>
      </w:r>
      <w:r w:rsidRPr="005A2112">
        <w:rPr>
          <w:rFonts w:cs="Arial"/>
          <w:i/>
          <w:iCs/>
          <w:color w:val="000000"/>
          <w:szCs w:val="22"/>
          <w:shd w:val="clear" w:color="auto" w:fill="FFFFFF"/>
        </w:rPr>
        <w:t>Employment la</w:t>
      </w:r>
      <w:r>
        <w:rPr>
          <w:rFonts w:cs="Arial"/>
          <w:i/>
          <w:iCs/>
          <w:color w:val="000000"/>
          <w:szCs w:val="22"/>
          <w:shd w:val="clear" w:color="auto" w:fill="FFFFFF"/>
        </w:rPr>
        <w:t>w</w:t>
      </w:r>
      <w:r w:rsidRPr="005A2112">
        <w:rPr>
          <w:rFonts w:cs="Arial"/>
          <w:i/>
          <w:iCs/>
          <w:color w:val="000000"/>
          <w:szCs w:val="22"/>
          <w:shd w:val="clear" w:color="auto" w:fill="FFFFFF"/>
        </w:rPr>
        <w:t>: the essentials.</w:t>
      </w:r>
      <w:r w:rsidRPr="005A2112">
        <w:rPr>
          <w:rFonts w:cs="Arial"/>
          <w:color w:val="000000"/>
          <w:szCs w:val="22"/>
          <w:shd w:val="clear" w:color="auto" w:fill="FFFFFF"/>
        </w:rPr>
        <w:t xml:space="preserve"> Sixteenth edition. </w:t>
      </w:r>
      <w:proofErr w:type="gramStart"/>
      <w:r w:rsidRPr="005A2112">
        <w:rPr>
          <w:rFonts w:cs="Arial"/>
          <w:color w:val="000000"/>
          <w:szCs w:val="22"/>
          <w:shd w:val="clear" w:color="auto" w:fill="FFFFFF"/>
        </w:rPr>
        <w:t>London:,</w:t>
      </w:r>
      <w:proofErr w:type="gramEnd"/>
      <w:r w:rsidRPr="005A2112">
        <w:rPr>
          <w:rFonts w:cs="Arial"/>
          <w:color w:val="000000"/>
          <w:szCs w:val="22"/>
          <w:shd w:val="clear" w:color="auto" w:fill="FFFFFF"/>
        </w:rPr>
        <w:t xml:space="preserve"> Kogan Page.</w:t>
      </w:r>
    </w:p>
    <w:p w14:paraId="58BF354D" w14:textId="77777777" w:rsidR="005A2112" w:rsidRDefault="005A2112" w:rsidP="000560C7">
      <w:pPr>
        <w:spacing w:after="160"/>
        <w:rPr>
          <w:rFonts w:cs="Arial"/>
          <w:kern w:val="2"/>
          <w:szCs w:val="22"/>
          <w14:ligatures w14:val="standardContextual"/>
        </w:rPr>
      </w:pPr>
    </w:p>
    <w:p w14:paraId="6078E88B" w14:textId="2AB7658A" w:rsidR="000560C7" w:rsidRPr="00F70355" w:rsidRDefault="000560C7" w:rsidP="000560C7">
      <w:pPr>
        <w:spacing w:after="160"/>
        <w:rPr>
          <w:rFonts w:cs="Arial"/>
          <w:strike/>
          <w:kern w:val="2"/>
          <w:szCs w:val="22"/>
          <w:lang w:eastAsia="en-GB"/>
          <w14:ligatures w14:val="standardContextual"/>
        </w:rPr>
      </w:pPr>
      <w:r w:rsidRPr="00F70355">
        <w:rPr>
          <w:rFonts w:cs="Arial"/>
          <w:strike/>
          <w:kern w:val="2"/>
          <w:szCs w:val="22"/>
          <w14:ligatures w14:val="standardContextual"/>
        </w:rPr>
        <w:t>McCartney,</w:t>
      </w:r>
      <w:r w:rsidRPr="00F70355">
        <w:rPr>
          <w:rFonts w:cs="Arial"/>
          <w:strike/>
          <w:kern w:val="2"/>
          <w:szCs w:val="22"/>
          <w:lang w:eastAsia="en-GB"/>
          <w14:ligatures w14:val="standardContextual"/>
        </w:rPr>
        <w:t xml:space="preserve"> C. (2023). </w:t>
      </w:r>
      <w:r w:rsidRPr="00F70355">
        <w:rPr>
          <w:rFonts w:cs="Arial"/>
          <w:i/>
          <w:iCs/>
          <w:strike/>
          <w:kern w:val="2"/>
          <w:szCs w:val="22"/>
          <w:lang w:eastAsia="en-GB"/>
          <w14:ligatures w14:val="standardContextual"/>
        </w:rPr>
        <w:t>Flexible working</w:t>
      </w:r>
      <w:r w:rsidRPr="00F70355">
        <w:rPr>
          <w:rFonts w:cs="Arial"/>
          <w:strike/>
          <w:kern w:val="2"/>
          <w:szCs w:val="22"/>
          <w:lang w:eastAsia="en-GB"/>
          <w14:ligatures w14:val="standardContextual"/>
        </w:rPr>
        <w:t>: Factsheet. Available at: </w:t>
      </w:r>
      <w:hyperlink r:id="rId29" w:anchor="title2" w:history="1">
        <w:r w:rsidRPr="00F70355">
          <w:rPr>
            <w:rFonts w:cs="Arial"/>
            <w:strike/>
            <w:color w:val="0563C1" w:themeColor="hyperlink"/>
            <w:kern w:val="2"/>
            <w:szCs w:val="22"/>
            <w:u w:val="single"/>
            <w:lang w:eastAsia="en-GB"/>
            <w14:ligatures w14:val="standardContextual"/>
          </w:rPr>
          <w:t>https://www.cipd.org/uk/knowledge/factshe</w:t>
        </w:r>
        <w:r w:rsidRPr="00F70355">
          <w:rPr>
            <w:rFonts w:cs="Arial"/>
            <w:strike/>
            <w:color w:val="0563C1" w:themeColor="hyperlink"/>
            <w:kern w:val="2"/>
            <w:szCs w:val="22"/>
            <w:u w:val="single"/>
            <w:lang w:eastAsia="en-GB"/>
            <w14:ligatures w14:val="standardContextual"/>
          </w:rPr>
          <w:t>e</w:t>
        </w:r>
        <w:r w:rsidRPr="00F70355">
          <w:rPr>
            <w:rFonts w:cs="Arial"/>
            <w:strike/>
            <w:color w:val="0563C1" w:themeColor="hyperlink"/>
            <w:kern w:val="2"/>
            <w:szCs w:val="22"/>
            <w:u w:val="single"/>
            <w:lang w:eastAsia="en-GB"/>
            <w14:ligatures w14:val="standardContextual"/>
          </w:rPr>
          <w:t>ts/flexible-working-factsheet/#title2</w:t>
        </w:r>
      </w:hyperlink>
      <w:r w:rsidRPr="00F70355">
        <w:rPr>
          <w:rFonts w:cs="Arial"/>
          <w:strike/>
          <w:kern w:val="2"/>
          <w:szCs w:val="22"/>
          <w:lang w:eastAsia="en-GB"/>
          <w14:ligatures w14:val="standardContextual"/>
        </w:rPr>
        <w:t xml:space="preserve">  (Accessed: 3 March 2025).</w:t>
      </w:r>
    </w:p>
    <w:p w14:paraId="197E1369" w14:textId="77777777" w:rsidR="000560C7" w:rsidRPr="000560C7" w:rsidRDefault="000560C7" w:rsidP="000560C7">
      <w:pPr>
        <w:spacing w:after="160"/>
        <w:rPr>
          <w:rFonts w:cs="Arial"/>
          <w:kern w:val="2"/>
          <w:szCs w:val="22"/>
          <w14:ligatures w14:val="standardContextual"/>
        </w:rPr>
      </w:pPr>
    </w:p>
    <w:p w14:paraId="14BB60BD"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Maternity Action (2025) </w:t>
      </w:r>
      <w:r w:rsidRPr="000560C7">
        <w:rPr>
          <w:rFonts w:cs="Arial"/>
          <w:i/>
          <w:iCs/>
          <w:kern w:val="2"/>
          <w:szCs w:val="22"/>
          <w14:ligatures w14:val="standardContextual"/>
        </w:rPr>
        <w:t>Discrimination during maternity leave and on return to work.</w:t>
      </w:r>
      <w:r w:rsidRPr="000560C7">
        <w:rPr>
          <w:rFonts w:cs="Arial"/>
          <w:kern w:val="2"/>
          <w:szCs w:val="22"/>
          <w14:ligatures w14:val="standardContextual"/>
        </w:rPr>
        <w:t xml:space="preserve"> Available at: </w:t>
      </w:r>
      <w:hyperlink r:id="rId30" w:history="1">
        <w:r w:rsidRPr="000560C7">
          <w:rPr>
            <w:rFonts w:cs="Arial"/>
            <w:color w:val="0563C1" w:themeColor="hyperlink"/>
            <w:kern w:val="2"/>
            <w:szCs w:val="22"/>
            <w:u w:val="single"/>
            <w14:ligatures w14:val="standardContextual"/>
          </w:rPr>
          <w:t>https://maternityaction.org.uk/advice/discrimination-during-maternity-leave-and-on-return-to-work/</w:t>
        </w:r>
      </w:hyperlink>
      <w:r w:rsidRPr="000560C7">
        <w:rPr>
          <w:rFonts w:cs="Arial"/>
          <w:kern w:val="2"/>
          <w:szCs w:val="22"/>
          <w14:ligatures w14:val="standardContextual"/>
        </w:rPr>
        <w:t xml:space="preserve">  (Accessed: 1 March 2025).</w:t>
      </w:r>
    </w:p>
    <w:p w14:paraId="737AF1F9" w14:textId="77777777" w:rsidR="000560C7" w:rsidRPr="000560C7" w:rsidRDefault="000560C7" w:rsidP="000560C7">
      <w:pPr>
        <w:spacing w:after="160"/>
        <w:rPr>
          <w:rFonts w:cs="Arial"/>
          <w:kern w:val="2"/>
          <w:szCs w:val="22"/>
          <w14:ligatures w14:val="standardContextual"/>
        </w:rPr>
      </w:pPr>
    </w:p>
    <w:p w14:paraId="4EA1C9F4"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Morris, D. (2025) </w:t>
      </w:r>
      <w:r w:rsidRPr="000560C7">
        <w:rPr>
          <w:rFonts w:cs="Arial"/>
          <w:i/>
          <w:iCs/>
          <w:kern w:val="2"/>
          <w:szCs w:val="22"/>
          <w14:ligatures w14:val="standardContextual"/>
        </w:rPr>
        <w:t>HR Form for Redundancy’s.</w:t>
      </w:r>
      <w:r w:rsidRPr="000560C7">
        <w:rPr>
          <w:rFonts w:cs="Arial"/>
          <w:kern w:val="2"/>
          <w:szCs w:val="22"/>
          <w14:ligatures w14:val="standardContextual"/>
        </w:rPr>
        <w:t xml:space="preserve"> Available at: </w:t>
      </w:r>
      <w:hyperlink r:id="rId31" w:history="1">
        <w:r w:rsidRPr="000560C7">
          <w:rPr>
            <w:rFonts w:cs="Arial"/>
            <w:color w:val="0563C1" w:themeColor="hyperlink"/>
            <w:kern w:val="2"/>
            <w:szCs w:val="22"/>
            <w:u w:val="single"/>
            <w14:ligatures w14:val="standardContextual"/>
          </w:rPr>
          <w:t xml:space="preserve">HR1 Form for Redundancies | </w:t>
        </w:r>
        <w:proofErr w:type="spellStart"/>
        <w:r w:rsidRPr="000560C7">
          <w:rPr>
            <w:rFonts w:cs="Arial"/>
            <w:color w:val="0563C1" w:themeColor="hyperlink"/>
            <w:kern w:val="2"/>
            <w:szCs w:val="22"/>
            <w:u w:val="single"/>
            <w14:ligatures w14:val="standardContextual"/>
          </w:rPr>
          <w:t>DavidsonMorris</w:t>
        </w:r>
        <w:proofErr w:type="spellEnd"/>
      </w:hyperlink>
      <w:r w:rsidRPr="000560C7">
        <w:rPr>
          <w:rFonts w:cs="Arial"/>
          <w:kern w:val="2"/>
          <w:szCs w:val="22"/>
          <w14:ligatures w14:val="standardContextual"/>
        </w:rPr>
        <w:t xml:space="preserve"> (Accessed 23 February 2025). </w:t>
      </w:r>
    </w:p>
    <w:p w14:paraId="2FCD7015" w14:textId="77777777" w:rsidR="000560C7" w:rsidRPr="000560C7" w:rsidRDefault="000560C7" w:rsidP="000560C7">
      <w:pPr>
        <w:spacing w:after="160"/>
        <w:rPr>
          <w:rFonts w:cs="Arial"/>
          <w:kern w:val="2"/>
          <w:szCs w:val="22"/>
          <w14:ligatures w14:val="standardContextual"/>
        </w:rPr>
      </w:pPr>
    </w:p>
    <w:p w14:paraId="77519251"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lastRenderedPageBreak/>
        <w:t xml:space="preserve">People Management. (2025). </w:t>
      </w:r>
      <w:r w:rsidRPr="000560C7">
        <w:rPr>
          <w:rFonts w:cs="Arial"/>
          <w:i/>
          <w:iCs/>
          <w:kern w:val="2"/>
          <w:szCs w:val="22"/>
          <w14:ligatures w14:val="standardContextual"/>
        </w:rPr>
        <w:t>Employment law: What to expect in 2025.</w:t>
      </w:r>
      <w:r w:rsidRPr="000560C7">
        <w:rPr>
          <w:rFonts w:cs="Arial"/>
          <w:kern w:val="2"/>
          <w:szCs w:val="22"/>
          <w14:ligatures w14:val="standardContextual"/>
        </w:rPr>
        <w:t xml:space="preserve"> [online] Available at: </w:t>
      </w:r>
      <w:hyperlink r:id="rId32" w:history="1">
        <w:r w:rsidRPr="000560C7">
          <w:rPr>
            <w:rFonts w:cs="Arial"/>
            <w:color w:val="0563C1" w:themeColor="hyperlink"/>
            <w:kern w:val="2"/>
            <w:szCs w:val="22"/>
            <w:u w:val="single"/>
            <w14:ligatures w14:val="standardContextual"/>
          </w:rPr>
          <w:t>https://www.peoplemanagement.co.uk/article/1901051/employment-law-expect-2025</w:t>
        </w:r>
      </w:hyperlink>
      <w:r w:rsidRPr="000560C7">
        <w:rPr>
          <w:rFonts w:cs="Arial"/>
          <w:kern w:val="2"/>
          <w:szCs w:val="22"/>
          <w14:ligatures w14:val="standardContextual"/>
        </w:rPr>
        <w:t xml:space="preserve">  (Accessed 2 Mar. 2025).</w:t>
      </w:r>
    </w:p>
    <w:p w14:paraId="0F673294" w14:textId="77777777" w:rsidR="000560C7" w:rsidRPr="000560C7" w:rsidRDefault="000560C7" w:rsidP="000560C7">
      <w:pPr>
        <w:spacing w:after="160"/>
        <w:rPr>
          <w:rFonts w:cs="Arial"/>
          <w:kern w:val="2"/>
          <w:szCs w:val="22"/>
          <w14:ligatures w14:val="standardContextual"/>
        </w:rPr>
      </w:pPr>
    </w:p>
    <w:p w14:paraId="050C02B4" w14:textId="77777777" w:rsid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Public Sector Pay. (2024) </w:t>
      </w:r>
      <w:r w:rsidRPr="000560C7">
        <w:rPr>
          <w:rFonts w:cs="Arial"/>
          <w:i/>
          <w:iCs/>
          <w:kern w:val="2"/>
          <w:szCs w:val="22"/>
          <w14:ligatures w14:val="standardContextual"/>
        </w:rPr>
        <w:t>NHS Annual Leave.</w:t>
      </w:r>
      <w:r w:rsidRPr="000560C7">
        <w:rPr>
          <w:rFonts w:cs="Arial"/>
          <w:kern w:val="2"/>
          <w:szCs w:val="22"/>
          <w14:ligatures w14:val="standardContextual"/>
        </w:rPr>
        <w:t xml:space="preserve"> Available at</w:t>
      </w:r>
      <w:proofErr w:type="gramStart"/>
      <w:r w:rsidRPr="000560C7">
        <w:rPr>
          <w:rFonts w:cs="Arial"/>
          <w:kern w:val="2"/>
          <w:szCs w:val="22"/>
          <w14:ligatures w14:val="standardContextual"/>
        </w:rPr>
        <w:t>:  (</w:t>
      </w:r>
      <w:proofErr w:type="gramEnd"/>
      <w:r w:rsidR="00D254B4">
        <w:fldChar w:fldCharType="begin"/>
      </w:r>
      <w:r w:rsidR="00D254B4">
        <w:instrText>HYPERLINK "https://publicsectorpay.org.uk/nhs-annual-leave/"</w:instrText>
      </w:r>
      <w:r w:rsidR="00D254B4">
        <w:fldChar w:fldCharType="separate"/>
      </w:r>
      <w:r w:rsidRPr="000560C7">
        <w:rPr>
          <w:rFonts w:cs="Arial"/>
          <w:color w:val="0000FF"/>
          <w:kern w:val="2"/>
          <w:szCs w:val="22"/>
          <w:u w:val="single"/>
          <w14:ligatures w14:val="standardContextual"/>
        </w:rPr>
        <w:t>NHS Annual Leave – Public Sector Pay</w:t>
      </w:r>
      <w:r w:rsidR="00D254B4">
        <w:rPr>
          <w:rFonts w:cs="Arial"/>
          <w:color w:val="0000FF"/>
          <w:kern w:val="2"/>
          <w:szCs w:val="22"/>
          <w:u w:val="single"/>
          <w14:ligatures w14:val="standardContextual"/>
        </w:rPr>
        <w:fldChar w:fldCharType="end"/>
      </w:r>
      <w:r w:rsidRPr="000560C7">
        <w:rPr>
          <w:rFonts w:cs="Arial"/>
          <w:kern w:val="2"/>
          <w:szCs w:val="22"/>
          <w14:ligatures w14:val="standardContextual"/>
        </w:rPr>
        <w:t>. (Accessed 1 March 2025)</w:t>
      </w:r>
    </w:p>
    <w:p w14:paraId="0CED0DCB" w14:textId="77777777" w:rsidR="00AE3013" w:rsidRPr="00AE3013" w:rsidRDefault="00AE3013" w:rsidP="000560C7">
      <w:pPr>
        <w:spacing w:after="160"/>
        <w:rPr>
          <w:rFonts w:cs="Arial"/>
          <w:color w:val="FF0000"/>
          <w:kern w:val="2"/>
          <w:szCs w:val="22"/>
          <w14:ligatures w14:val="standardContextual"/>
        </w:rPr>
      </w:pPr>
    </w:p>
    <w:p w14:paraId="38D069F0" w14:textId="6701191F" w:rsidR="000560C7" w:rsidRPr="00AE3013" w:rsidRDefault="00AE3013" w:rsidP="00AE3013">
      <w:pPr>
        <w:rPr>
          <w:color w:val="FF0000"/>
        </w:rPr>
      </w:pPr>
      <w:r w:rsidRPr="00AE3013">
        <w:rPr>
          <w:color w:val="FF0000"/>
        </w:rPr>
        <w:t>Sherwood Forest Hospitals NHS Foundation Trust. (no date) </w:t>
      </w:r>
      <w:r w:rsidRPr="00AE3013">
        <w:rPr>
          <w:i/>
          <w:iCs/>
          <w:color w:val="FF0000"/>
        </w:rPr>
        <w:t xml:space="preserve">Equality, </w:t>
      </w:r>
      <w:proofErr w:type="gramStart"/>
      <w:r w:rsidRPr="00AE3013">
        <w:rPr>
          <w:i/>
          <w:iCs/>
          <w:color w:val="FF0000"/>
        </w:rPr>
        <w:t>diversity</w:t>
      </w:r>
      <w:proofErr w:type="gramEnd"/>
      <w:r w:rsidRPr="00AE3013">
        <w:rPr>
          <w:i/>
          <w:iCs/>
          <w:color w:val="FF0000"/>
        </w:rPr>
        <w:t xml:space="preserve"> and inclusion</w:t>
      </w:r>
      <w:r w:rsidRPr="00AE3013">
        <w:rPr>
          <w:color w:val="FF0000"/>
        </w:rPr>
        <w:t>. Available at: </w:t>
      </w:r>
      <w:hyperlink r:id="rId33" w:history="1">
        <w:r w:rsidRPr="00AE3013">
          <w:rPr>
            <w:rStyle w:val="Hyperlink"/>
            <w:color w:val="FF0000"/>
          </w:rPr>
          <w:t>https://www.sfh-tr.nhs.uk/about-us/equality-diversity-and-inclusion/</w:t>
        </w:r>
      </w:hyperlink>
      <w:r w:rsidRPr="00AE3013">
        <w:rPr>
          <w:color w:val="FF0000"/>
        </w:rPr>
        <w:t xml:space="preserve"> </w:t>
      </w:r>
      <w:r w:rsidRPr="00AE3013">
        <w:rPr>
          <w:color w:val="FF0000"/>
        </w:rPr>
        <w:t> (Accessed: 21 May 2025).</w:t>
      </w:r>
    </w:p>
    <w:p w14:paraId="3CD26BB7" w14:textId="77777777" w:rsidR="00AE3013" w:rsidRPr="000560C7" w:rsidRDefault="00AE3013" w:rsidP="000560C7">
      <w:pPr>
        <w:spacing w:after="160"/>
        <w:rPr>
          <w:rFonts w:cs="Arial"/>
          <w:kern w:val="2"/>
          <w:szCs w:val="22"/>
          <w14:ligatures w14:val="standardContextual"/>
        </w:rPr>
      </w:pPr>
    </w:p>
    <w:p w14:paraId="2E7CFF05"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 xml:space="preserve">Trade Union Congress (no date). </w:t>
      </w:r>
      <w:r w:rsidRPr="000560C7">
        <w:rPr>
          <w:rFonts w:cs="Arial"/>
          <w:i/>
          <w:iCs/>
          <w:kern w:val="2"/>
          <w:szCs w:val="22"/>
          <w14:ligatures w14:val="standardContextual"/>
        </w:rPr>
        <w:t>How Fords striking women drove The Equal Pay Act</w:t>
      </w:r>
      <w:r w:rsidRPr="000560C7">
        <w:rPr>
          <w:rFonts w:cs="Arial"/>
          <w:kern w:val="2"/>
          <w:szCs w:val="22"/>
          <w14:ligatures w14:val="standardContextual"/>
        </w:rPr>
        <w:t xml:space="preserve">. Available at: </w:t>
      </w:r>
      <w:hyperlink r:id="rId34" w:history="1">
        <w:r w:rsidRPr="000560C7">
          <w:rPr>
            <w:rFonts w:cs="Arial"/>
            <w:color w:val="0000FF"/>
            <w:kern w:val="2"/>
            <w:szCs w:val="22"/>
            <w:u w:val="single"/>
            <w14:ligatures w14:val="standardContextual"/>
          </w:rPr>
          <w:t>How Ford’s striking women drove the Equal Pay Act | TUC</w:t>
        </w:r>
      </w:hyperlink>
      <w:r w:rsidRPr="000560C7">
        <w:rPr>
          <w:rFonts w:cs="Arial"/>
          <w:kern w:val="2"/>
          <w:szCs w:val="22"/>
          <w14:ligatures w14:val="standardContextual"/>
        </w:rPr>
        <w:t xml:space="preserve"> (Accessed 11 March 2025).</w:t>
      </w:r>
    </w:p>
    <w:p w14:paraId="0C502CB3" w14:textId="77777777" w:rsidR="000560C7" w:rsidRPr="000560C7" w:rsidRDefault="000560C7" w:rsidP="000560C7">
      <w:pPr>
        <w:spacing w:after="160"/>
        <w:rPr>
          <w:rFonts w:cs="Arial"/>
          <w:color w:val="808080"/>
          <w:kern w:val="2"/>
          <w:szCs w:val="22"/>
          <w:shd w:val="clear" w:color="auto" w:fill="FFFFFF"/>
          <w14:ligatures w14:val="standardContextual"/>
        </w:rPr>
      </w:pPr>
    </w:p>
    <w:p w14:paraId="7ACF863F"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UK Government. (2023). </w:t>
      </w:r>
      <w:r w:rsidRPr="000560C7">
        <w:rPr>
          <w:rFonts w:cs="Arial"/>
          <w:i/>
          <w:iCs/>
          <w:kern w:val="2"/>
          <w:szCs w:val="22"/>
          <w14:ligatures w14:val="standardContextual"/>
        </w:rPr>
        <w:t>Protection from Redundancy</w:t>
      </w:r>
      <w:r w:rsidRPr="000560C7">
        <w:rPr>
          <w:rFonts w:cs="Arial"/>
          <w:kern w:val="2"/>
          <w:szCs w:val="22"/>
          <w14:ligatures w14:val="standardContextual"/>
        </w:rPr>
        <w:t xml:space="preserve"> (Pregnancy and Family Leave) Act 2023: Introduction. Available at: </w:t>
      </w:r>
      <w:hyperlink r:id="rId35" w:history="1">
        <w:r w:rsidRPr="000560C7">
          <w:rPr>
            <w:rFonts w:cs="Arial"/>
            <w:color w:val="0563C1" w:themeColor="hyperlink"/>
            <w:kern w:val="2"/>
            <w:szCs w:val="22"/>
            <w:u w:val="single"/>
            <w14:ligatures w14:val="standardContextual"/>
          </w:rPr>
          <w:t>https://www.legislation.gov.uk/ukpga/2023/17/introduction</w:t>
        </w:r>
      </w:hyperlink>
      <w:r w:rsidRPr="000560C7">
        <w:rPr>
          <w:rFonts w:cs="Arial"/>
          <w:kern w:val="2"/>
          <w:szCs w:val="22"/>
          <w14:ligatures w14:val="standardContextual"/>
        </w:rPr>
        <w:t xml:space="preserve">  (Accessed: 23 February 2025)</w:t>
      </w:r>
    </w:p>
    <w:p w14:paraId="065E1A13" w14:textId="77777777" w:rsidR="000560C7" w:rsidRPr="000560C7" w:rsidRDefault="000560C7" w:rsidP="000560C7">
      <w:pPr>
        <w:spacing w:after="160"/>
        <w:rPr>
          <w:rFonts w:cs="Arial"/>
          <w:kern w:val="2"/>
          <w:szCs w:val="22"/>
          <w14:ligatures w14:val="standardContextual"/>
        </w:rPr>
      </w:pPr>
    </w:p>
    <w:p w14:paraId="631AEFB1" w14:textId="77777777" w:rsidR="000560C7" w:rsidRPr="000560C7" w:rsidRDefault="000560C7" w:rsidP="000560C7">
      <w:pPr>
        <w:spacing w:after="160"/>
        <w:rPr>
          <w:rFonts w:cs="Arial"/>
          <w:kern w:val="2"/>
          <w:szCs w:val="22"/>
          <w:lang w:eastAsia="en-GB"/>
          <w14:ligatures w14:val="standardContextual"/>
        </w:rPr>
      </w:pPr>
      <w:r w:rsidRPr="000560C7">
        <w:rPr>
          <w:rFonts w:cs="Arial"/>
          <w:kern w:val="2"/>
          <w:szCs w:val="22"/>
          <w:lang w:eastAsia="en-GB"/>
          <w14:ligatures w14:val="standardContextual"/>
        </w:rPr>
        <w:t>UK Government. (2023a). </w:t>
      </w:r>
      <w:r w:rsidRPr="000560C7">
        <w:rPr>
          <w:rFonts w:cs="Arial"/>
          <w:i/>
          <w:iCs/>
          <w:kern w:val="2"/>
          <w:szCs w:val="22"/>
          <w:lang w:eastAsia="en-GB"/>
          <w14:ligatures w14:val="standardContextual"/>
        </w:rPr>
        <w:t xml:space="preserve">Employment status and employment rights: Guidance for HR professionals, legal </w:t>
      </w:r>
      <w:proofErr w:type="gramStart"/>
      <w:r w:rsidRPr="000560C7">
        <w:rPr>
          <w:rFonts w:cs="Arial"/>
          <w:i/>
          <w:iCs/>
          <w:kern w:val="2"/>
          <w:szCs w:val="22"/>
          <w:lang w:eastAsia="en-GB"/>
          <w14:ligatures w14:val="standardContextual"/>
        </w:rPr>
        <w:t>professionals</w:t>
      </w:r>
      <w:proofErr w:type="gramEnd"/>
      <w:r w:rsidRPr="000560C7">
        <w:rPr>
          <w:rFonts w:cs="Arial"/>
          <w:i/>
          <w:iCs/>
          <w:kern w:val="2"/>
          <w:szCs w:val="22"/>
          <w:lang w:eastAsia="en-GB"/>
          <w14:ligatures w14:val="standardContextual"/>
        </w:rPr>
        <w:t xml:space="preserve"> and other groups.</w:t>
      </w:r>
      <w:r w:rsidRPr="000560C7">
        <w:rPr>
          <w:rFonts w:cs="Arial"/>
          <w:kern w:val="2"/>
          <w:szCs w:val="22"/>
          <w:lang w:eastAsia="en-GB"/>
          <w14:ligatures w14:val="standardContextual"/>
        </w:rPr>
        <w:t xml:space="preserve"> Available at: </w:t>
      </w:r>
      <w:hyperlink r:id="rId36" w:history="1">
        <w:r w:rsidRPr="000560C7">
          <w:rPr>
            <w:rFonts w:cs="Arial"/>
            <w:color w:val="0563C1" w:themeColor="hyperlink"/>
            <w:kern w:val="2"/>
            <w:szCs w:val="22"/>
            <w:u w:val="single"/>
            <w:lang w:eastAsia="en-GB"/>
            <w14:ligatures w14:val="standardContextual"/>
          </w:rPr>
          <w:t>https://www.gov.uk/government/publications/employment-status-and-employment-rights/employment-status-and-employment-rights-guidance-for-hr-professionals-legal-professionals-and-other-groups</w:t>
        </w:r>
      </w:hyperlink>
      <w:r w:rsidRPr="000560C7">
        <w:rPr>
          <w:rFonts w:cs="Arial"/>
          <w:kern w:val="2"/>
          <w:szCs w:val="22"/>
          <w:lang w:eastAsia="en-GB"/>
          <w14:ligatures w14:val="standardContextual"/>
        </w:rPr>
        <w:t xml:space="preserve">  (Accessed: 3 March 2025).</w:t>
      </w:r>
    </w:p>
    <w:p w14:paraId="1B6A3A43" w14:textId="77777777" w:rsidR="000560C7" w:rsidRPr="000560C7" w:rsidRDefault="000560C7" w:rsidP="000560C7">
      <w:pPr>
        <w:spacing w:after="160"/>
        <w:rPr>
          <w:rFonts w:cs="Arial"/>
          <w:kern w:val="2"/>
          <w:szCs w:val="22"/>
          <w14:ligatures w14:val="standardContextual"/>
        </w:rPr>
      </w:pPr>
    </w:p>
    <w:p w14:paraId="5549D177" w14:textId="77777777" w:rsidR="000560C7" w:rsidRPr="000560C7" w:rsidRDefault="000560C7" w:rsidP="000560C7">
      <w:pPr>
        <w:spacing w:after="160"/>
        <w:rPr>
          <w:rFonts w:cs="Arial"/>
          <w:kern w:val="2"/>
          <w:szCs w:val="22"/>
          <w14:ligatures w14:val="standardContextual"/>
        </w:rPr>
      </w:pPr>
    </w:p>
    <w:p w14:paraId="0BF593C2"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UK Government. (2025) </w:t>
      </w:r>
      <w:r w:rsidRPr="000560C7">
        <w:rPr>
          <w:rFonts w:cs="Arial"/>
          <w:i/>
          <w:iCs/>
          <w:kern w:val="2"/>
          <w:szCs w:val="22"/>
          <w14:ligatures w14:val="standardContextual"/>
        </w:rPr>
        <w:t>Transfers of employment contracts</w:t>
      </w:r>
      <w:r w:rsidRPr="000560C7">
        <w:rPr>
          <w:rFonts w:cs="Arial"/>
          <w:kern w:val="2"/>
          <w:szCs w:val="22"/>
          <w14:ligatures w14:val="standardContextual"/>
        </w:rPr>
        <w:t>. Available at: </w:t>
      </w:r>
      <w:hyperlink r:id="rId37" w:history="1">
        <w:r w:rsidRPr="000560C7">
          <w:rPr>
            <w:rFonts w:cs="Arial"/>
            <w:color w:val="0563C1" w:themeColor="hyperlink"/>
            <w:kern w:val="2"/>
            <w:szCs w:val="22"/>
            <w:u w:val="single"/>
            <w14:ligatures w14:val="standardContextual"/>
          </w:rPr>
          <w:t>https://www.gov.uk/transfers-takeovers/transfers-of-employment-contracts</w:t>
        </w:r>
      </w:hyperlink>
      <w:r w:rsidRPr="000560C7">
        <w:rPr>
          <w:rFonts w:cs="Arial"/>
          <w:kern w:val="2"/>
          <w:szCs w:val="22"/>
          <w14:ligatures w14:val="standardContextual"/>
        </w:rPr>
        <w:t xml:space="preserve">  (Accessed: 1 March 2025).</w:t>
      </w:r>
    </w:p>
    <w:p w14:paraId="67321E90" w14:textId="77777777" w:rsidR="000560C7" w:rsidRPr="000560C7" w:rsidRDefault="000560C7" w:rsidP="000560C7">
      <w:pPr>
        <w:spacing w:after="160"/>
        <w:rPr>
          <w:rFonts w:cs="Arial"/>
          <w:kern w:val="2"/>
          <w:szCs w:val="22"/>
          <w14:ligatures w14:val="standardContextual"/>
        </w:rPr>
      </w:pPr>
    </w:p>
    <w:p w14:paraId="08CB7726" w14:textId="77777777" w:rsidR="000560C7" w:rsidRDefault="000560C7" w:rsidP="000560C7">
      <w:pPr>
        <w:spacing w:after="160"/>
        <w:rPr>
          <w:rFonts w:cs="Arial"/>
          <w:kern w:val="2"/>
          <w:szCs w:val="22"/>
          <w14:ligatures w14:val="standardContextual"/>
        </w:rPr>
      </w:pPr>
      <w:r w:rsidRPr="000560C7">
        <w:rPr>
          <w:rFonts w:cs="Arial"/>
          <w:kern w:val="2"/>
          <w:szCs w:val="22"/>
          <w14:ligatures w14:val="standardContextual"/>
        </w:rPr>
        <w:t>UK Government. (1992). </w:t>
      </w:r>
      <w:r w:rsidRPr="000560C7">
        <w:rPr>
          <w:rFonts w:cs="Arial"/>
          <w:i/>
          <w:iCs/>
          <w:kern w:val="2"/>
          <w:szCs w:val="22"/>
          <w14:ligatures w14:val="standardContextual"/>
        </w:rPr>
        <w:t>Trade Union and Labour Relations</w:t>
      </w:r>
      <w:r w:rsidRPr="000560C7">
        <w:rPr>
          <w:rFonts w:cs="Arial"/>
          <w:kern w:val="2"/>
          <w:szCs w:val="22"/>
          <w14:ligatures w14:val="standardContextual"/>
        </w:rPr>
        <w:t xml:space="preserve"> (Consolidation) Act 1992: Contents. Available at: </w:t>
      </w:r>
      <w:hyperlink r:id="rId38" w:history="1">
        <w:r w:rsidRPr="000560C7">
          <w:rPr>
            <w:rFonts w:cs="Arial"/>
            <w:color w:val="0563C1" w:themeColor="hyperlink"/>
            <w:kern w:val="2"/>
            <w:szCs w:val="22"/>
            <w:u w:val="single"/>
            <w14:ligatures w14:val="standardContextual"/>
          </w:rPr>
          <w:t>https://www.legislation.gov.uk/ukpga/1992/52/contents</w:t>
        </w:r>
      </w:hyperlink>
      <w:r w:rsidRPr="000560C7">
        <w:rPr>
          <w:rFonts w:cs="Arial"/>
          <w:kern w:val="2"/>
          <w:szCs w:val="22"/>
          <w14:ligatures w14:val="standardContextual"/>
        </w:rPr>
        <w:t xml:space="preserve">  (Accessed: 23 February 2025)</w:t>
      </w:r>
    </w:p>
    <w:p w14:paraId="61AA0236" w14:textId="77777777" w:rsidR="005C75BC" w:rsidRDefault="005C75BC" w:rsidP="000560C7">
      <w:pPr>
        <w:spacing w:after="160"/>
        <w:rPr>
          <w:rFonts w:cs="Arial"/>
          <w:kern w:val="2"/>
          <w:szCs w:val="22"/>
          <w14:ligatures w14:val="standardContextual"/>
        </w:rPr>
      </w:pPr>
    </w:p>
    <w:p w14:paraId="51CB8FE9" w14:textId="6A1E99CC" w:rsidR="005C75BC" w:rsidRPr="005C75BC" w:rsidRDefault="005C75BC" w:rsidP="005C75BC">
      <w:r w:rsidRPr="005C75BC">
        <w:t>GOV.UK. (</w:t>
      </w:r>
      <w:r>
        <w:t>no date</w:t>
      </w:r>
      <w:r w:rsidRPr="005C75BC">
        <w:t xml:space="preserve">). </w:t>
      </w:r>
      <w:r w:rsidRPr="005C75BC">
        <w:rPr>
          <w:i/>
          <w:iCs/>
        </w:rPr>
        <w:t>Shared Parental Leave and Pay</w:t>
      </w:r>
      <w:r w:rsidRPr="005C75BC">
        <w:t>. Available at: </w:t>
      </w:r>
      <w:hyperlink r:id="rId39" w:history="1">
        <w:r w:rsidRPr="003F51BD">
          <w:rPr>
            <w:rStyle w:val="Hyperlink"/>
          </w:rPr>
          <w:t>https://www.gov.uk/shared-parental-leave-and-pay</w:t>
        </w:r>
      </w:hyperlink>
      <w:r>
        <w:t xml:space="preserve"> </w:t>
      </w:r>
      <w:r w:rsidRPr="005C75BC">
        <w:t> (Accessed: 14 March 2025)</w:t>
      </w:r>
    </w:p>
    <w:p w14:paraId="46D22C61" w14:textId="77777777" w:rsidR="005C75BC" w:rsidRPr="000560C7" w:rsidRDefault="005C75BC" w:rsidP="000560C7">
      <w:pPr>
        <w:spacing w:after="160"/>
        <w:rPr>
          <w:rFonts w:cs="Arial"/>
          <w:kern w:val="2"/>
          <w:szCs w:val="22"/>
          <w14:ligatures w14:val="standardContextual"/>
        </w:rPr>
      </w:pPr>
    </w:p>
    <w:p w14:paraId="00A69173" w14:textId="77777777" w:rsidR="000560C7" w:rsidRPr="000560C7" w:rsidRDefault="000560C7" w:rsidP="000560C7">
      <w:pPr>
        <w:spacing w:after="160"/>
        <w:rPr>
          <w:rFonts w:cs="Arial"/>
          <w:kern w:val="2"/>
          <w:szCs w:val="22"/>
          <w14:ligatures w14:val="standardContextual"/>
        </w:rPr>
      </w:pPr>
    </w:p>
    <w:p w14:paraId="11269570" w14:textId="77777777" w:rsidR="000560C7" w:rsidRPr="000560C7" w:rsidRDefault="000560C7" w:rsidP="000560C7">
      <w:pPr>
        <w:spacing w:after="160"/>
        <w:rPr>
          <w:rFonts w:cs="Arial"/>
          <w:kern w:val="2"/>
          <w:szCs w:val="22"/>
          <w:u w:val="single"/>
          <w14:ligatures w14:val="standardContextual"/>
        </w:rPr>
      </w:pPr>
      <w:r w:rsidRPr="000560C7">
        <w:rPr>
          <w:rFonts w:cs="Arial"/>
          <w:kern w:val="2"/>
          <w:szCs w:val="22"/>
          <w:u w:val="single"/>
          <w14:ligatures w14:val="standardContextual"/>
        </w:rPr>
        <w:t xml:space="preserve">Bibliography </w:t>
      </w:r>
    </w:p>
    <w:p w14:paraId="103FA70F"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lastRenderedPageBreak/>
        <w:t xml:space="preserve">Daniels, K. (2022) </w:t>
      </w:r>
      <w:r w:rsidRPr="000560C7">
        <w:rPr>
          <w:rFonts w:cs="Arial"/>
          <w:i/>
          <w:iCs/>
          <w:kern w:val="2"/>
          <w:szCs w:val="22"/>
          <w14:ligatures w14:val="standardContextual"/>
        </w:rPr>
        <w:t>Introduction to Employment Law</w:t>
      </w:r>
      <w:r w:rsidRPr="000560C7">
        <w:rPr>
          <w:rFonts w:cs="Arial"/>
          <w:kern w:val="2"/>
          <w:szCs w:val="22"/>
          <w14:ligatures w14:val="standardContextual"/>
        </w:rPr>
        <w:t xml:space="preserve">. Fundamentals for HR and Business Students (6 ed.). London: CIPD </w:t>
      </w:r>
    </w:p>
    <w:p w14:paraId="74F8A05B" w14:textId="77777777" w:rsidR="000560C7" w:rsidRPr="000560C7" w:rsidRDefault="000560C7" w:rsidP="000560C7">
      <w:pPr>
        <w:spacing w:after="160"/>
        <w:rPr>
          <w:rFonts w:cs="Arial"/>
          <w:kern w:val="2"/>
          <w:szCs w:val="22"/>
          <w14:ligatures w14:val="standardContextual"/>
        </w:rPr>
      </w:pPr>
      <w:r w:rsidRPr="000560C7">
        <w:rPr>
          <w:rFonts w:cs="Arial"/>
          <w:kern w:val="2"/>
          <w:szCs w:val="22"/>
          <w14:ligatures w14:val="standardContextual"/>
        </w:rPr>
        <w:t>Armstrong’s Book of HRM Practice Armstrong and Taylor 16th ed</w:t>
      </w:r>
    </w:p>
    <w:p w14:paraId="6C6414BC" w14:textId="77777777" w:rsidR="000560C7" w:rsidRPr="00584CE5" w:rsidRDefault="000560C7" w:rsidP="3ED70C7D">
      <w:pPr>
        <w:rPr>
          <w:rFonts w:cs="Arial"/>
          <w:szCs w:val="22"/>
        </w:rPr>
      </w:pPr>
    </w:p>
    <w:p w14:paraId="7E7635EF" w14:textId="77777777" w:rsidR="000560C7" w:rsidRPr="00584CE5" w:rsidRDefault="000560C7" w:rsidP="3ED70C7D">
      <w:pPr>
        <w:rPr>
          <w:rFonts w:cs="Arial"/>
          <w:color w:val="FF0000"/>
          <w:szCs w:val="22"/>
        </w:rPr>
      </w:pPr>
    </w:p>
    <w:sectPr w:rsidR="000560C7" w:rsidRPr="00584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E4C1A"/>
    <w:multiLevelType w:val="multilevel"/>
    <w:tmpl w:val="8090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B8378B"/>
    <w:multiLevelType w:val="multilevel"/>
    <w:tmpl w:val="19FE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6B5935"/>
    <w:multiLevelType w:val="multilevel"/>
    <w:tmpl w:val="3BDC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772E5"/>
    <w:multiLevelType w:val="multilevel"/>
    <w:tmpl w:val="394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4A7334"/>
    <w:multiLevelType w:val="multilevel"/>
    <w:tmpl w:val="DF3ED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9236788">
    <w:abstractNumId w:val="1"/>
  </w:num>
  <w:num w:numId="2" w16cid:durableId="794980765">
    <w:abstractNumId w:val="2"/>
  </w:num>
  <w:num w:numId="3" w16cid:durableId="1314027299">
    <w:abstractNumId w:val="0"/>
  </w:num>
  <w:num w:numId="4" w16cid:durableId="1226379144">
    <w:abstractNumId w:val="3"/>
  </w:num>
  <w:num w:numId="5" w16cid:durableId="1260718191">
    <w:abstractNumId w:val="4"/>
  </w:num>
  <w:num w:numId="6" w16cid:durableId="47386393">
    <w:abstractNumId w:val="4"/>
    <w:lvlOverride w:ilvl="1">
      <w:lvl w:ilvl="1">
        <w:numFmt w:val="bullet"/>
        <w:lvlText w:val=""/>
        <w:lvlJc w:val="left"/>
        <w:pPr>
          <w:tabs>
            <w:tab w:val="num" w:pos="1440"/>
          </w:tabs>
          <w:ind w:left="1440" w:hanging="360"/>
        </w:pPr>
        <w:rPr>
          <w:rFonts w:ascii="Symbol" w:hAnsi="Symbol" w:hint="default"/>
          <w:sz w:val="20"/>
        </w:rPr>
      </w:lvl>
    </w:lvlOverride>
  </w:num>
  <w:num w:numId="7" w16cid:durableId="551313648">
    <w:abstractNumId w:val="4"/>
    <w:lvlOverride w:ilvl="1">
      <w:lvl w:ilvl="1">
        <w:numFmt w:val="bullet"/>
        <w:lvlText w:val=""/>
        <w:lvlJc w:val="left"/>
        <w:pPr>
          <w:tabs>
            <w:tab w:val="num" w:pos="1440"/>
          </w:tabs>
          <w:ind w:left="1440" w:hanging="360"/>
        </w:pPr>
        <w:rPr>
          <w:rFonts w:ascii="Symbol" w:hAnsi="Symbol" w:hint="default"/>
          <w:sz w:val="20"/>
        </w:rPr>
      </w:lvl>
    </w:lvlOverride>
  </w:num>
  <w:num w:numId="8" w16cid:durableId="887570020">
    <w:abstractNumId w:val="4"/>
    <w:lvlOverride w:ilvl="1">
      <w:lvl w:ilvl="1">
        <w:numFmt w:val="bullet"/>
        <w:lvlText w:val=""/>
        <w:lvlJc w:val="left"/>
        <w:pPr>
          <w:tabs>
            <w:tab w:val="num" w:pos="1440"/>
          </w:tabs>
          <w:ind w:left="1440" w:hanging="360"/>
        </w:pPr>
        <w:rPr>
          <w:rFonts w:ascii="Symbol" w:hAnsi="Symbol" w:hint="default"/>
          <w:sz w:val="20"/>
        </w:rPr>
      </w:lvl>
    </w:lvlOverride>
  </w:num>
  <w:num w:numId="9" w16cid:durableId="867186063">
    <w:abstractNumId w:val="4"/>
    <w:lvlOverride w:ilvl="1">
      <w:lvl w:ilvl="1">
        <w:numFmt w:val="bullet"/>
        <w:lvlText w:val=""/>
        <w:lvlJc w:val="left"/>
        <w:pPr>
          <w:tabs>
            <w:tab w:val="num" w:pos="1440"/>
          </w:tabs>
          <w:ind w:left="1440" w:hanging="360"/>
        </w:pPr>
        <w:rPr>
          <w:rFonts w:ascii="Symbol" w:hAnsi="Symbol" w:hint="default"/>
          <w:sz w:val="20"/>
        </w:rPr>
      </w:lvl>
    </w:lvlOverride>
  </w:num>
  <w:num w:numId="10" w16cid:durableId="1742756567">
    <w:abstractNumId w:val="4"/>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D2"/>
    <w:rsid w:val="000022F9"/>
    <w:rsid w:val="000028F3"/>
    <w:rsid w:val="000028F6"/>
    <w:rsid w:val="00003EDE"/>
    <w:rsid w:val="0000497E"/>
    <w:rsid w:val="00005192"/>
    <w:rsid w:val="00006DD4"/>
    <w:rsid w:val="00007416"/>
    <w:rsid w:val="0000776B"/>
    <w:rsid w:val="000103B3"/>
    <w:rsid w:val="00013C06"/>
    <w:rsid w:val="00014E7A"/>
    <w:rsid w:val="00021394"/>
    <w:rsid w:val="000232C6"/>
    <w:rsid w:val="00023CE6"/>
    <w:rsid w:val="00027768"/>
    <w:rsid w:val="0002778F"/>
    <w:rsid w:val="00030632"/>
    <w:rsid w:val="00032A09"/>
    <w:rsid w:val="00032F93"/>
    <w:rsid w:val="000334C5"/>
    <w:rsid w:val="00040E7B"/>
    <w:rsid w:val="00045814"/>
    <w:rsid w:val="0005342C"/>
    <w:rsid w:val="00053E2C"/>
    <w:rsid w:val="000560C7"/>
    <w:rsid w:val="00063137"/>
    <w:rsid w:val="0006448E"/>
    <w:rsid w:val="000675DE"/>
    <w:rsid w:val="00070338"/>
    <w:rsid w:val="000715AA"/>
    <w:rsid w:val="00071E53"/>
    <w:rsid w:val="000724CF"/>
    <w:rsid w:val="000749A4"/>
    <w:rsid w:val="00081CBF"/>
    <w:rsid w:val="0008368C"/>
    <w:rsid w:val="00083BA1"/>
    <w:rsid w:val="000866FB"/>
    <w:rsid w:val="000905CE"/>
    <w:rsid w:val="00091FDE"/>
    <w:rsid w:val="00092D51"/>
    <w:rsid w:val="0009421A"/>
    <w:rsid w:val="000A1AF9"/>
    <w:rsid w:val="000A2F2C"/>
    <w:rsid w:val="000B1E45"/>
    <w:rsid w:val="000B220B"/>
    <w:rsid w:val="000B360D"/>
    <w:rsid w:val="000B5173"/>
    <w:rsid w:val="000B54E0"/>
    <w:rsid w:val="000B5F8C"/>
    <w:rsid w:val="000B6676"/>
    <w:rsid w:val="000C445B"/>
    <w:rsid w:val="000C726F"/>
    <w:rsid w:val="000C7753"/>
    <w:rsid w:val="000D0A13"/>
    <w:rsid w:val="000D1886"/>
    <w:rsid w:val="000D3F6B"/>
    <w:rsid w:val="000D491B"/>
    <w:rsid w:val="000D59E9"/>
    <w:rsid w:val="000D5A81"/>
    <w:rsid w:val="000D5EFB"/>
    <w:rsid w:val="000E1AF1"/>
    <w:rsid w:val="000E67C1"/>
    <w:rsid w:val="000F0E0C"/>
    <w:rsid w:val="000F13D0"/>
    <w:rsid w:val="000F2391"/>
    <w:rsid w:val="000F2419"/>
    <w:rsid w:val="000F2F91"/>
    <w:rsid w:val="000F7908"/>
    <w:rsid w:val="001003DF"/>
    <w:rsid w:val="0010059C"/>
    <w:rsid w:val="00106624"/>
    <w:rsid w:val="00111F8D"/>
    <w:rsid w:val="00114ECB"/>
    <w:rsid w:val="00116A4C"/>
    <w:rsid w:val="00120B7F"/>
    <w:rsid w:val="00121878"/>
    <w:rsid w:val="001254D7"/>
    <w:rsid w:val="001258BA"/>
    <w:rsid w:val="001278AC"/>
    <w:rsid w:val="00130020"/>
    <w:rsid w:val="00133EC2"/>
    <w:rsid w:val="00137A62"/>
    <w:rsid w:val="00142EB8"/>
    <w:rsid w:val="00143287"/>
    <w:rsid w:val="00143ED3"/>
    <w:rsid w:val="001465EA"/>
    <w:rsid w:val="00147924"/>
    <w:rsid w:val="0015005E"/>
    <w:rsid w:val="00150165"/>
    <w:rsid w:val="00150BE3"/>
    <w:rsid w:val="0015190F"/>
    <w:rsid w:val="001522CE"/>
    <w:rsid w:val="001549CF"/>
    <w:rsid w:val="00162436"/>
    <w:rsid w:val="001716AF"/>
    <w:rsid w:val="001720BD"/>
    <w:rsid w:val="00174844"/>
    <w:rsid w:val="001753C1"/>
    <w:rsid w:val="00177752"/>
    <w:rsid w:val="001804D2"/>
    <w:rsid w:val="0018508B"/>
    <w:rsid w:val="00187B63"/>
    <w:rsid w:val="0019131C"/>
    <w:rsid w:val="0019215B"/>
    <w:rsid w:val="0019287C"/>
    <w:rsid w:val="00195C0D"/>
    <w:rsid w:val="001967D7"/>
    <w:rsid w:val="001A270B"/>
    <w:rsid w:val="001A5AB8"/>
    <w:rsid w:val="001A6913"/>
    <w:rsid w:val="001B39DE"/>
    <w:rsid w:val="001C1C24"/>
    <w:rsid w:val="001C221A"/>
    <w:rsid w:val="001C3D29"/>
    <w:rsid w:val="001C40C8"/>
    <w:rsid w:val="001C5149"/>
    <w:rsid w:val="001C5986"/>
    <w:rsid w:val="001D0A5D"/>
    <w:rsid w:val="001D2827"/>
    <w:rsid w:val="001D3116"/>
    <w:rsid w:val="001D354D"/>
    <w:rsid w:val="001D5521"/>
    <w:rsid w:val="001D6690"/>
    <w:rsid w:val="001E1BE1"/>
    <w:rsid w:val="001E330E"/>
    <w:rsid w:val="001E5829"/>
    <w:rsid w:val="001E7CC1"/>
    <w:rsid w:val="001F0F3F"/>
    <w:rsid w:val="001F58D9"/>
    <w:rsid w:val="001F5D9A"/>
    <w:rsid w:val="001F657F"/>
    <w:rsid w:val="001F7A80"/>
    <w:rsid w:val="00200FB0"/>
    <w:rsid w:val="00201AE9"/>
    <w:rsid w:val="0020542D"/>
    <w:rsid w:val="002078CF"/>
    <w:rsid w:val="00210588"/>
    <w:rsid w:val="002117F1"/>
    <w:rsid w:val="00213652"/>
    <w:rsid w:val="00215293"/>
    <w:rsid w:val="00224817"/>
    <w:rsid w:val="00226977"/>
    <w:rsid w:val="00227152"/>
    <w:rsid w:val="00230EF2"/>
    <w:rsid w:val="00231F40"/>
    <w:rsid w:val="00234B27"/>
    <w:rsid w:val="002360F9"/>
    <w:rsid w:val="00237027"/>
    <w:rsid w:val="00237F98"/>
    <w:rsid w:val="00243416"/>
    <w:rsid w:val="0024364E"/>
    <w:rsid w:val="002448B0"/>
    <w:rsid w:val="0024572A"/>
    <w:rsid w:val="0024715D"/>
    <w:rsid w:val="00252C5A"/>
    <w:rsid w:val="00260FB5"/>
    <w:rsid w:val="00261B3C"/>
    <w:rsid w:val="00265930"/>
    <w:rsid w:val="0026668C"/>
    <w:rsid w:val="00266ABB"/>
    <w:rsid w:val="00267007"/>
    <w:rsid w:val="00270AFD"/>
    <w:rsid w:val="00272485"/>
    <w:rsid w:val="0027271A"/>
    <w:rsid w:val="002746B9"/>
    <w:rsid w:val="002761E4"/>
    <w:rsid w:val="0028019A"/>
    <w:rsid w:val="00280FE3"/>
    <w:rsid w:val="00283ED8"/>
    <w:rsid w:val="00284035"/>
    <w:rsid w:val="00290539"/>
    <w:rsid w:val="00290DDD"/>
    <w:rsid w:val="0029497F"/>
    <w:rsid w:val="00294D09"/>
    <w:rsid w:val="002A25E1"/>
    <w:rsid w:val="002A3AED"/>
    <w:rsid w:val="002A4727"/>
    <w:rsid w:val="002A476F"/>
    <w:rsid w:val="002A48E4"/>
    <w:rsid w:val="002A5DC7"/>
    <w:rsid w:val="002A6AFA"/>
    <w:rsid w:val="002A7332"/>
    <w:rsid w:val="002B03B9"/>
    <w:rsid w:val="002B5D9E"/>
    <w:rsid w:val="002B7C32"/>
    <w:rsid w:val="002C13B4"/>
    <w:rsid w:val="002C4DD6"/>
    <w:rsid w:val="002D171A"/>
    <w:rsid w:val="002D3D2E"/>
    <w:rsid w:val="002D3FE1"/>
    <w:rsid w:val="002D41F3"/>
    <w:rsid w:val="002D6A5F"/>
    <w:rsid w:val="002E3005"/>
    <w:rsid w:val="002E3F3A"/>
    <w:rsid w:val="002F6C08"/>
    <w:rsid w:val="00300A7D"/>
    <w:rsid w:val="00302E4D"/>
    <w:rsid w:val="003036A9"/>
    <w:rsid w:val="0030374A"/>
    <w:rsid w:val="00303A0B"/>
    <w:rsid w:val="00304E97"/>
    <w:rsid w:val="00312199"/>
    <w:rsid w:val="0031306D"/>
    <w:rsid w:val="0031358D"/>
    <w:rsid w:val="003142C4"/>
    <w:rsid w:val="0031481B"/>
    <w:rsid w:val="00317360"/>
    <w:rsid w:val="00323535"/>
    <w:rsid w:val="003242CD"/>
    <w:rsid w:val="00326436"/>
    <w:rsid w:val="0032678E"/>
    <w:rsid w:val="00330048"/>
    <w:rsid w:val="003301B6"/>
    <w:rsid w:val="00332FDC"/>
    <w:rsid w:val="00333080"/>
    <w:rsid w:val="00341FCC"/>
    <w:rsid w:val="00343101"/>
    <w:rsid w:val="003531BA"/>
    <w:rsid w:val="00354129"/>
    <w:rsid w:val="00354C2A"/>
    <w:rsid w:val="00355940"/>
    <w:rsid w:val="0035767A"/>
    <w:rsid w:val="00360383"/>
    <w:rsid w:val="00360C56"/>
    <w:rsid w:val="00361029"/>
    <w:rsid w:val="00361D3D"/>
    <w:rsid w:val="00364153"/>
    <w:rsid w:val="00365A32"/>
    <w:rsid w:val="00366213"/>
    <w:rsid w:val="00366233"/>
    <w:rsid w:val="00366A4F"/>
    <w:rsid w:val="00367F0C"/>
    <w:rsid w:val="00375A0F"/>
    <w:rsid w:val="00376E49"/>
    <w:rsid w:val="00381442"/>
    <w:rsid w:val="00382EEE"/>
    <w:rsid w:val="0038496D"/>
    <w:rsid w:val="003856FB"/>
    <w:rsid w:val="00386D0D"/>
    <w:rsid w:val="00390514"/>
    <w:rsid w:val="003912B6"/>
    <w:rsid w:val="003922B8"/>
    <w:rsid w:val="003927F2"/>
    <w:rsid w:val="00393FAA"/>
    <w:rsid w:val="00394F19"/>
    <w:rsid w:val="00396549"/>
    <w:rsid w:val="00397CCD"/>
    <w:rsid w:val="003A0EEB"/>
    <w:rsid w:val="003A1D46"/>
    <w:rsid w:val="003A456F"/>
    <w:rsid w:val="003B7936"/>
    <w:rsid w:val="003C1D1A"/>
    <w:rsid w:val="003C33DF"/>
    <w:rsid w:val="003C7C8F"/>
    <w:rsid w:val="003D2701"/>
    <w:rsid w:val="003D2E33"/>
    <w:rsid w:val="003D47D9"/>
    <w:rsid w:val="003D5233"/>
    <w:rsid w:val="003D6E8F"/>
    <w:rsid w:val="003D7D61"/>
    <w:rsid w:val="003E05DE"/>
    <w:rsid w:val="003E16F2"/>
    <w:rsid w:val="003E1BAF"/>
    <w:rsid w:val="003E1C93"/>
    <w:rsid w:val="003E1EB6"/>
    <w:rsid w:val="003E1FB6"/>
    <w:rsid w:val="003E3717"/>
    <w:rsid w:val="003E47CD"/>
    <w:rsid w:val="003E7DCE"/>
    <w:rsid w:val="003F24AF"/>
    <w:rsid w:val="003F309E"/>
    <w:rsid w:val="003F3F96"/>
    <w:rsid w:val="003F6646"/>
    <w:rsid w:val="00403DA2"/>
    <w:rsid w:val="00407292"/>
    <w:rsid w:val="00407A92"/>
    <w:rsid w:val="004104CA"/>
    <w:rsid w:val="00414E1F"/>
    <w:rsid w:val="004200D9"/>
    <w:rsid w:val="00432749"/>
    <w:rsid w:val="00432EB0"/>
    <w:rsid w:val="00434201"/>
    <w:rsid w:val="0043692E"/>
    <w:rsid w:val="0043739B"/>
    <w:rsid w:val="004406E7"/>
    <w:rsid w:val="00440763"/>
    <w:rsid w:val="00440EA8"/>
    <w:rsid w:val="00441138"/>
    <w:rsid w:val="00441721"/>
    <w:rsid w:val="004421FD"/>
    <w:rsid w:val="004501CD"/>
    <w:rsid w:val="004545C2"/>
    <w:rsid w:val="004552A6"/>
    <w:rsid w:val="00457714"/>
    <w:rsid w:val="00460457"/>
    <w:rsid w:val="00465305"/>
    <w:rsid w:val="00465978"/>
    <w:rsid w:val="00480094"/>
    <w:rsid w:val="004837B5"/>
    <w:rsid w:val="0049096D"/>
    <w:rsid w:val="00493AAC"/>
    <w:rsid w:val="00494A8B"/>
    <w:rsid w:val="00496842"/>
    <w:rsid w:val="004978BB"/>
    <w:rsid w:val="004A04FF"/>
    <w:rsid w:val="004A0A92"/>
    <w:rsid w:val="004A0FCC"/>
    <w:rsid w:val="004A352D"/>
    <w:rsid w:val="004A35C0"/>
    <w:rsid w:val="004A4D0C"/>
    <w:rsid w:val="004B0DB5"/>
    <w:rsid w:val="004B1C1D"/>
    <w:rsid w:val="004B238F"/>
    <w:rsid w:val="004B36A3"/>
    <w:rsid w:val="004B473B"/>
    <w:rsid w:val="004C05A0"/>
    <w:rsid w:val="004C4954"/>
    <w:rsid w:val="004C56F6"/>
    <w:rsid w:val="004D5196"/>
    <w:rsid w:val="004D5283"/>
    <w:rsid w:val="004D5451"/>
    <w:rsid w:val="004E4C08"/>
    <w:rsid w:val="004E5B66"/>
    <w:rsid w:val="004E7736"/>
    <w:rsid w:val="004E7F70"/>
    <w:rsid w:val="004F0660"/>
    <w:rsid w:val="004F0BB5"/>
    <w:rsid w:val="004F1801"/>
    <w:rsid w:val="004F4DF5"/>
    <w:rsid w:val="00500C28"/>
    <w:rsid w:val="00501259"/>
    <w:rsid w:val="00505CB9"/>
    <w:rsid w:val="00507EB5"/>
    <w:rsid w:val="0051056F"/>
    <w:rsid w:val="0051492B"/>
    <w:rsid w:val="0051613E"/>
    <w:rsid w:val="005174B3"/>
    <w:rsid w:val="00525EB9"/>
    <w:rsid w:val="00532372"/>
    <w:rsid w:val="005365FA"/>
    <w:rsid w:val="00541B87"/>
    <w:rsid w:val="00543520"/>
    <w:rsid w:val="00543975"/>
    <w:rsid w:val="005445F1"/>
    <w:rsid w:val="0054474E"/>
    <w:rsid w:val="00545AE4"/>
    <w:rsid w:val="00547ED6"/>
    <w:rsid w:val="00550291"/>
    <w:rsid w:val="00550AE4"/>
    <w:rsid w:val="005513C6"/>
    <w:rsid w:val="005515A3"/>
    <w:rsid w:val="00553FC5"/>
    <w:rsid w:val="00554881"/>
    <w:rsid w:val="005551B7"/>
    <w:rsid w:val="00560A83"/>
    <w:rsid w:val="005632E0"/>
    <w:rsid w:val="00563F21"/>
    <w:rsid w:val="00573513"/>
    <w:rsid w:val="0057364D"/>
    <w:rsid w:val="005811CB"/>
    <w:rsid w:val="005818CE"/>
    <w:rsid w:val="00582E10"/>
    <w:rsid w:val="00584CE5"/>
    <w:rsid w:val="005852E3"/>
    <w:rsid w:val="00590831"/>
    <w:rsid w:val="00591047"/>
    <w:rsid w:val="00593516"/>
    <w:rsid w:val="00595364"/>
    <w:rsid w:val="005966E8"/>
    <w:rsid w:val="005A05FB"/>
    <w:rsid w:val="005A2112"/>
    <w:rsid w:val="005A3A7F"/>
    <w:rsid w:val="005A3DD2"/>
    <w:rsid w:val="005A4F52"/>
    <w:rsid w:val="005A5049"/>
    <w:rsid w:val="005A60FE"/>
    <w:rsid w:val="005A6B93"/>
    <w:rsid w:val="005A74EA"/>
    <w:rsid w:val="005A74FE"/>
    <w:rsid w:val="005B012A"/>
    <w:rsid w:val="005B1970"/>
    <w:rsid w:val="005B228E"/>
    <w:rsid w:val="005B279F"/>
    <w:rsid w:val="005B65CC"/>
    <w:rsid w:val="005B7283"/>
    <w:rsid w:val="005C1ADD"/>
    <w:rsid w:val="005C2313"/>
    <w:rsid w:val="005C2E41"/>
    <w:rsid w:val="005C4385"/>
    <w:rsid w:val="005C5789"/>
    <w:rsid w:val="005C627B"/>
    <w:rsid w:val="005C75BC"/>
    <w:rsid w:val="005C76C0"/>
    <w:rsid w:val="005D06DB"/>
    <w:rsid w:val="005D1125"/>
    <w:rsid w:val="005D1800"/>
    <w:rsid w:val="005D487E"/>
    <w:rsid w:val="005D5807"/>
    <w:rsid w:val="005D6EE3"/>
    <w:rsid w:val="005E6EF4"/>
    <w:rsid w:val="005E7C33"/>
    <w:rsid w:val="005F2300"/>
    <w:rsid w:val="005F345C"/>
    <w:rsid w:val="005F6013"/>
    <w:rsid w:val="005F6DFE"/>
    <w:rsid w:val="005F7FBF"/>
    <w:rsid w:val="00604A1A"/>
    <w:rsid w:val="00610B9A"/>
    <w:rsid w:val="006130A2"/>
    <w:rsid w:val="00613142"/>
    <w:rsid w:val="006138BB"/>
    <w:rsid w:val="00614473"/>
    <w:rsid w:val="006159A8"/>
    <w:rsid w:val="006166FA"/>
    <w:rsid w:val="00621131"/>
    <w:rsid w:val="00621D26"/>
    <w:rsid w:val="00623291"/>
    <w:rsid w:val="00623582"/>
    <w:rsid w:val="00624168"/>
    <w:rsid w:val="006254D7"/>
    <w:rsid w:val="00625BAB"/>
    <w:rsid w:val="00626307"/>
    <w:rsid w:val="00627AAB"/>
    <w:rsid w:val="00636293"/>
    <w:rsid w:val="006434F0"/>
    <w:rsid w:val="006454FE"/>
    <w:rsid w:val="0065128A"/>
    <w:rsid w:val="00652BE8"/>
    <w:rsid w:val="006532FB"/>
    <w:rsid w:val="00653DC5"/>
    <w:rsid w:val="00661BCC"/>
    <w:rsid w:val="006678FE"/>
    <w:rsid w:val="00667B28"/>
    <w:rsid w:val="00667CEC"/>
    <w:rsid w:val="006708D3"/>
    <w:rsid w:val="0067367F"/>
    <w:rsid w:val="0067418C"/>
    <w:rsid w:val="00675440"/>
    <w:rsid w:val="0067741F"/>
    <w:rsid w:val="00680224"/>
    <w:rsid w:val="0068256C"/>
    <w:rsid w:val="006837BC"/>
    <w:rsid w:val="00684F62"/>
    <w:rsid w:val="00685D5A"/>
    <w:rsid w:val="006861FE"/>
    <w:rsid w:val="0068677F"/>
    <w:rsid w:val="00686C08"/>
    <w:rsid w:val="0068738C"/>
    <w:rsid w:val="00691631"/>
    <w:rsid w:val="006925A7"/>
    <w:rsid w:val="0069413C"/>
    <w:rsid w:val="00694E15"/>
    <w:rsid w:val="00695924"/>
    <w:rsid w:val="00696F89"/>
    <w:rsid w:val="006A113C"/>
    <w:rsid w:val="006A2EB2"/>
    <w:rsid w:val="006A516E"/>
    <w:rsid w:val="006A5191"/>
    <w:rsid w:val="006B191A"/>
    <w:rsid w:val="006B29EB"/>
    <w:rsid w:val="006B798B"/>
    <w:rsid w:val="006C348F"/>
    <w:rsid w:val="006C433B"/>
    <w:rsid w:val="006C48F2"/>
    <w:rsid w:val="006C73E3"/>
    <w:rsid w:val="006C7BC6"/>
    <w:rsid w:val="006D7957"/>
    <w:rsid w:val="006E11FB"/>
    <w:rsid w:val="006E1300"/>
    <w:rsid w:val="006E53D2"/>
    <w:rsid w:val="006E6830"/>
    <w:rsid w:val="006E7434"/>
    <w:rsid w:val="006E7727"/>
    <w:rsid w:val="006F0869"/>
    <w:rsid w:val="006F2D58"/>
    <w:rsid w:val="006F3F84"/>
    <w:rsid w:val="00700FD7"/>
    <w:rsid w:val="00701626"/>
    <w:rsid w:val="007046E8"/>
    <w:rsid w:val="00705219"/>
    <w:rsid w:val="00705547"/>
    <w:rsid w:val="00706FBE"/>
    <w:rsid w:val="00715EDE"/>
    <w:rsid w:val="00716295"/>
    <w:rsid w:val="00717710"/>
    <w:rsid w:val="00720734"/>
    <w:rsid w:val="0072462D"/>
    <w:rsid w:val="00726FF4"/>
    <w:rsid w:val="0072764B"/>
    <w:rsid w:val="0073160A"/>
    <w:rsid w:val="00733890"/>
    <w:rsid w:val="00742016"/>
    <w:rsid w:val="00746AA6"/>
    <w:rsid w:val="00750B47"/>
    <w:rsid w:val="00754405"/>
    <w:rsid w:val="00755370"/>
    <w:rsid w:val="007557D1"/>
    <w:rsid w:val="00761C14"/>
    <w:rsid w:val="00764621"/>
    <w:rsid w:val="00764BF5"/>
    <w:rsid w:val="007654D6"/>
    <w:rsid w:val="00765ACA"/>
    <w:rsid w:val="0077193D"/>
    <w:rsid w:val="007722E8"/>
    <w:rsid w:val="00775424"/>
    <w:rsid w:val="00775F18"/>
    <w:rsid w:val="007760D2"/>
    <w:rsid w:val="00776CFB"/>
    <w:rsid w:val="0078137B"/>
    <w:rsid w:val="00782403"/>
    <w:rsid w:val="00782A19"/>
    <w:rsid w:val="00785670"/>
    <w:rsid w:val="00786D92"/>
    <w:rsid w:val="00787ED7"/>
    <w:rsid w:val="00790CC2"/>
    <w:rsid w:val="00792239"/>
    <w:rsid w:val="00794D2D"/>
    <w:rsid w:val="007A2E20"/>
    <w:rsid w:val="007A4BBC"/>
    <w:rsid w:val="007A71ED"/>
    <w:rsid w:val="007B0D94"/>
    <w:rsid w:val="007B201D"/>
    <w:rsid w:val="007B3C31"/>
    <w:rsid w:val="007C178B"/>
    <w:rsid w:val="007C3545"/>
    <w:rsid w:val="007C639D"/>
    <w:rsid w:val="007D15A0"/>
    <w:rsid w:val="007D1D99"/>
    <w:rsid w:val="007E00FF"/>
    <w:rsid w:val="007E06FD"/>
    <w:rsid w:val="007E072F"/>
    <w:rsid w:val="007E1433"/>
    <w:rsid w:val="007E2D26"/>
    <w:rsid w:val="007E3009"/>
    <w:rsid w:val="007E4A78"/>
    <w:rsid w:val="007F01FF"/>
    <w:rsid w:val="007F0E33"/>
    <w:rsid w:val="007F10EC"/>
    <w:rsid w:val="007F6B44"/>
    <w:rsid w:val="0080097D"/>
    <w:rsid w:val="00801630"/>
    <w:rsid w:val="00807678"/>
    <w:rsid w:val="00807B00"/>
    <w:rsid w:val="00812459"/>
    <w:rsid w:val="00812E20"/>
    <w:rsid w:val="00813B30"/>
    <w:rsid w:val="008146FF"/>
    <w:rsid w:val="00816B3D"/>
    <w:rsid w:val="008201B8"/>
    <w:rsid w:val="0082362D"/>
    <w:rsid w:val="00825E69"/>
    <w:rsid w:val="00826DBC"/>
    <w:rsid w:val="00831593"/>
    <w:rsid w:val="0083400C"/>
    <w:rsid w:val="00841396"/>
    <w:rsid w:val="008419F4"/>
    <w:rsid w:val="00843400"/>
    <w:rsid w:val="00844334"/>
    <w:rsid w:val="00846212"/>
    <w:rsid w:val="00850683"/>
    <w:rsid w:val="00850933"/>
    <w:rsid w:val="00853E53"/>
    <w:rsid w:val="008541DC"/>
    <w:rsid w:val="00856246"/>
    <w:rsid w:val="00856A3D"/>
    <w:rsid w:val="00857E55"/>
    <w:rsid w:val="008626BD"/>
    <w:rsid w:val="00863B60"/>
    <w:rsid w:val="00864496"/>
    <w:rsid w:val="00865FB1"/>
    <w:rsid w:val="00866A71"/>
    <w:rsid w:val="00870B08"/>
    <w:rsid w:val="008721CE"/>
    <w:rsid w:val="0087587E"/>
    <w:rsid w:val="008766F4"/>
    <w:rsid w:val="0088036D"/>
    <w:rsid w:val="008811B4"/>
    <w:rsid w:val="008855FC"/>
    <w:rsid w:val="00887AB1"/>
    <w:rsid w:val="00891CC6"/>
    <w:rsid w:val="00892CEE"/>
    <w:rsid w:val="00892F88"/>
    <w:rsid w:val="008934F0"/>
    <w:rsid w:val="00895970"/>
    <w:rsid w:val="008A0963"/>
    <w:rsid w:val="008A2935"/>
    <w:rsid w:val="008A2D33"/>
    <w:rsid w:val="008A3B18"/>
    <w:rsid w:val="008A4C50"/>
    <w:rsid w:val="008B54C4"/>
    <w:rsid w:val="008B6562"/>
    <w:rsid w:val="008B76EA"/>
    <w:rsid w:val="008B7F09"/>
    <w:rsid w:val="008C10F4"/>
    <w:rsid w:val="008C3586"/>
    <w:rsid w:val="008C7C83"/>
    <w:rsid w:val="008D0255"/>
    <w:rsid w:val="008D03AE"/>
    <w:rsid w:val="008D12C7"/>
    <w:rsid w:val="008D27AB"/>
    <w:rsid w:val="008D3510"/>
    <w:rsid w:val="008D3553"/>
    <w:rsid w:val="008D53EF"/>
    <w:rsid w:val="008D56A5"/>
    <w:rsid w:val="008D6296"/>
    <w:rsid w:val="008D6598"/>
    <w:rsid w:val="008E08EF"/>
    <w:rsid w:val="008E217B"/>
    <w:rsid w:val="008E54C3"/>
    <w:rsid w:val="008E6566"/>
    <w:rsid w:val="008F171D"/>
    <w:rsid w:val="008F2BF7"/>
    <w:rsid w:val="008F507A"/>
    <w:rsid w:val="008F50FC"/>
    <w:rsid w:val="008F6DDD"/>
    <w:rsid w:val="008F7668"/>
    <w:rsid w:val="00903736"/>
    <w:rsid w:val="0090390C"/>
    <w:rsid w:val="00903B20"/>
    <w:rsid w:val="0090442C"/>
    <w:rsid w:val="0090571D"/>
    <w:rsid w:val="00907D0C"/>
    <w:rsid w:val="009131C0"/>
    <w:rsid w:val="00916782"/>
    <w:rsid w:val="009210AA"/>
    <w:rsid w:val="009228FB"/>
    <w:rsid w:val="009247D5"/>
    <w:rsid w:val="00924F26"/>
    <w:rsid w:val="009253FE"/>
    <w:rsid w:val="00927259"/>
    <w:rsid w:val="0093086A"/>
    <w:rsid w:val="00932C43"/>
    <w:rsid w:val="009338A2"/>
    <w:rsid w:val="00934D2E"/>
    <w:rsid w:val="00934E13"/>
    <w:rsid w:val="0094208F"/>
    <w:rsid w:val="00942517"/>
    <w:rsid w:val="0094420A"/>
    <w:rsid w:val="00944965"/>
    <w:rsid w:val="00945749"/>
    <w:rsid w:val="00945B5C"/>
    <w:rsid w:val="00946569"/>
    <w:rsid w:val="00957E01"/>
    <w:rsid w:val="009660B6"/>
    <w:rsid w:val="00967301"/>
    <w:rsid w:val="00972F66"/>
    <w:rsid w:val="00972F6F"/>
    <w:rsid w:val="00973E2F"/>
    <w:rsid w:val="00973E6B"/>
    <w:rsid w:val="009741A1"/>
    <w:rsid w:val="009803BE"/>
    <w:rsid w:val="00981327"/>
    <w:rsid w:val="0098145A"/>
    <w:rsid w:val="00985902"/>
    <w:rsid w:val="00986154"/>
    <w:rsid w:val="00992B93"/>
    <w:rsid w:val="009933F2"/>
    <w:rsid w:val="009949F7"/>
    <w:rsid w:val="009963C9"/>
    <w:rsid w:val="009A0C41"/>
    <w:rsid w:val="009A2347"/>
    <w:rsid w:val="009A31C8"/>
    <w:rsid w:val="009A5AF5"/>
    <w:rsid w:val="009A65CC"/>
    <w:rsid w:val="009B2BE5"/>
    <w:rsid w:val="009B4045"/>
    <w:rsid w:val="009B5F8D"/>
    <w:rsid w:val="009C0CB9"/>
    <w:rsid w:val="009C347E"/>
    <w:rsid w:val="009C454E"/>
    <w:rsid w:val="009C66DD"/>
    <w:rsid w:val="009D4455"/>
    <w:rsid w:val="009D6A3A"/>
    <w:rsid w:val="009D7096"/>
    <w:rsid w:val="009E04A9"/>
    <w:rsid w:val="009E493D"/>
    <w:rsid w:val="009E504D"/>
    <w:rsid w:val="009E53A1"/>
    <w:rsid w:val="009E5E39"/>
    <w:rsid w:val="009E6363"/>
    <w:rsid w:val="009E6F74"/>
    <w:rsid w:val="009E7773"/>
    <w:rsid w:val="009F2BE1"/>
    <w:rsid w:val="009F50BD"/>
    <w:rsid w:val="009F56DD"/>
    <w:rsid w:val="009F61A0"/>
    <w:rsid w:val="00A028F9"/>
    <w:rsid w:val="00A02998"/>
    <w:rsid w:val="00A11DFB"/>
    <w:rsid w:val="00A12A2A"/>
    <w:rsid w:val="00A157F4"/>
    <w:rsid w:val="00A17DD5"/>
    <w:rsid w:val="00A2017B"/>
    <w:rsid w:val="00A209A3"/>
    <w:rsid w:val="00A2301C"/>
    <w:rsid w:val="00A25161"/>
    <w:rsid w:val="00A27EF8"/>
    <w:rsid w:val="00A328EE"/>
    <w:rsid w:val="00A33EAE"/>
    <w:rsid w:val="00A40767"/>
    <w:rsid w:val="00A43696"/>
    <w:rsid w:val="00A438C6"/>
    <w:rsid w:val="00A46E48"/>
    <w:rsid w:val="00A5082F"/>
    <w:rsid w:val="00A54566"/>
    <w:rsid w:val="00A5464E"/>
    <w:rsid w:val="00A614F8"/>
    <w:rsid w:val="00A61B2F"/>
    <w:rsid w:val="00A72682"/>
    <w:rsid w:val="00A73177"/>
    <w:rsid w:val="00A75B05"/>
    <w:rsid w:val="00A769E9"/>
    <w:rsid w:val="00A76B76"/>
    <w:rsid w:val="00A81915"/>
    <w:rsid w:val="00A84C51"/>
    <w:rsid w:val="00A85292"/>
    <w:rsid w:val="00A873EE"/>
    <w:rsid w:val="00A917A9"/>
    <w:rsid w:val="00A92587"/>
    <w:rsid w:val="00A938A1"/>
    <w:rsid w:val="00A939A1"/>
    <w:rsid w:val="00A9516D"/>
    <w:rsid w:val="00A95FE3"/>
    <w:rsid w:val="00A97C9F"/>
    <w:rsid w:val="00A97EE2"/>
    <w:rsid w:val="00AA474B"/>
    <w:rsid w:val="00AB1A34"/>
    <w:rsid w:val="00AB3E01"/>
    <w:rsid w:val="00AB602F"/>
    <w:rsid w:val="00AB78CA"/>
    <w:rsid w:val="00AB7D3B"/>
    <w:rsid w:val="00AC03BF"/>
    <w:rsid w:val="00AC1688"/>
    <w:rsid w:val="00AC2EF9"/>
    <w:rsid w:val="00AD08AB"/>
    <w:rsid w:val="00AD0C54"/>
    <w:rsid w:val="00AD3DAF"/>
    <w:rsid w:val="00AD3E5E"/>
    <w:rsid w:val="00AE0155"/>
    <w:rsid w:val="00AE102B"/>
    <w:rsid w:val="00AE2874"/>
    <w:rsid w:val="00AE3013"/>
    <w:rsid w:val="00AF10A8"/>
    <w:rsid w:val="00AF19C7"/>
    <w:rsid w:val="00AF378C"/>
    <w:rsid w:val="00AF3D58"/>
    <w:rsid w:val="00AF5328"/>
    <w:rsid w:val="00B021C2"/>
    <w:rsid w:val="00B03F83"/>
    <w:rsid w:val="00B10FD6"/>
    <w:rsid w:val="00B13B18"/>
    <w:rsid w:val="00B1662F"/>
    <w:rsid w:val="00B1796E"/>
    <w:rsid w:val="00B208F0"/>
    <w:rsid w:val="00B20CFB"/>
    <w:rsid w:val="00B21926"/>
    <w:rsid w:val="00B23F60"/>
    <w:rsid w:val="00B278B7"/>
    <w:rsid w:val="00B31371"/>
    <w:rsid w:val="00B31388"/>
    <w:rsid w:val="00B31EC9"/>
    <w:rsid w:val="00B331C2"/>
    <w:rsid w:val="00B334EE"/>
    <w:rsid w:val="00B34698"/>
    <w:rsid w:val="00B3559C"/>
    <w:rsid w:val="00B40213"/>
    <w:rsid w:val="00B41550"/>
    <w:rsid w:val="00B41DDC"/>
    <w:rsid w:val="00B424B2"/>
    <w:rsid w:val="00B42DB8"/>
    <w:rsid w:val="00B443DF"/>
    <w:rsid w:val="00B44928"/>
    <w:rsid w:val="00B45FB0"/>
    <w:rsid w:val="00B4602F"/>
    <w:rsid w:val="00B54211"/>
    <w:rsid w:val="00B55D4F"/>
    <w:rsid w:val="00B60A60"/>
    <w:rsid w:val="00B61520"/>
    <w:rsid w:val="00B616C6"/>
    <w:rsid w:val="00B62224"/>
    <w:rsid w:val="00B63A6D"/>
    <w:rsid w:val="00B656FC"/>
    <w:rsid w:val="00B70980"/>
    <w:rsid w:val="00B71019"/>
    <w:rsid w:val="00B730A7"/>
    <w:rsid w:val="00B732BD"/>
    <w:rsid w:val="00B76D47"/>
    <w:rsid w:val="00B808B0"/>
    <w:rsid w:val="00B81E22"/>
    <w:rsid w:val="00B83749"/>
    <w:rsid w:val="00B847A9"/>
    <w:rsid w:val="00B8657B"/>
    <w:rsid w:val="00B90628"/>
    <w:rsid w:val="00B9247D"/>
    <w:rsid w:val="00B9615A"/>
    <w:rsid w:val="00BA1045"/>
    <w:rsid w:val="00BA26F7"/>
    <w:rsid w:val="00BB2CFF"/>
    <w:rsid w:val="00BB416E"/>
    <w:rsid w:val="00BB4E95"/>
    <w:rsid w:val="00BB7414"/>
    <w:rsid w:val="00BC21B8"/>
    <w:rsid w:val="00BC7FFB"/>
    <w:rsid w:val="00BD213E"/>
    <w:rsid w:val="00BD2243"/>
    <w:rsid w:val="00BD4156"/>
    <w:rsid w:val="00BD4E86"/>
    <w:rsid w:val="00BD6AB1"/>
    <w:rsid w:val="00BD7390"/>
    <w:rsid w:val="00BE19C4"/>
    <w:rsid w:val="00BE741A"/>
    <w:rsid w:val="00BF0032"/>
    <w:rsid w:val="00BF0AF7"/>
    <w:rsid w:val="00BF2EED"/>
    <w:rsid w:val="00BF3A7B"/>
    <w:rsid w:val="00BF5AD0"/>
    <w:rsid w:val="00C01C24"/>
    <w:rsid w:val="00C022B9"/>
    <w:rsid w:val="00C03213"/>
    <w:rsid w:val="00C04AB8"/>
    <w:rsid w:val="00C11421"/>
    <w:rsid w:val="00C1394A"/>
    <w:rsid w:val="00C14C18"/>
    <w:rsid w:val="00C17F01"/>
    <w:rsid w:val="00C206C6"/>
    <w:rsid w:val="00C21B11"/>
    <w:rsid w:val="00C23552"/>
    <w:rsid w:val="00C268D9"/>
    <w:rsid w:val="00C30ECE"/>
    <w:rsid w:val="00C30FAB"/>
    <w:rsid w:val="00C31CF1"/>
    <w:rsid w:val="00C322FF"/>
    <w:rsid w:val="00C3374B"/>
    <w:rsid w:val="00C35CCC"/>
    <w:rsid w:val="00C37376"/>
    <w:rsid w:val="00C3789C"/>
    <w:rsid w:val="00C37A6B"/>
    <w:rsid w:val="00C40411"/>
    <w:rsid w:val="00C42F57"/>
    <w:rsid w:val="00C431E7"/>
    <w:rsid w:val="00C46B1E"/>
    <w:rsid w:val="00C46D41"/>
    <w:rsid w:val="00C46EE8"/>
    <w:rsid w:val="00C47B3D"/>
    <w:rsid w:val="00C50466"/>
    <w:rsid w:val="00C5448B"/>
    <w:rsid w:val="00C57F6C"/>
    <w:rsid w:val="00C63C23"/>
    <w:rsid w:val="00C64A20"/>
    <w:rsid w:val="00C70656"/>
    <w:rsid w:val="00C7128E"/>
    <w:rsid w:val="00C71949"/>
    <w:rsid w:val="00C71D70"/>
    <w:rsid w:val="00C71F1B"/>
    <w:rsid w:val="00C73D91"/>
    <w:rsid w:val="00C741F8"/>
    <w:rsid w:val="00C76E9D"/>
    <w:rsid w:val="00C824CC"/>
    <w:rsid w:val="00C87AEC"/>
    <w:rsid w:val="00C934E6"/>
    <w:rsid w:val="00C96DE2"/>
    <w:rsid w:val="00CA0F6E"/>
    <w:rsid w:val="00CA11DB"/>
    <w:rsid w:val="00CA147D"/>
    <w:rsid w:val="00CA6840"/>
    <w:rsid w:val="00CB0482"/>
    <w:rsid w:val="00CB0F21"/>
    <w:rsid w:val="00CB192E"/>
    <w:rsid w:val="00CB358D"/>
    <w:rsid w:val="00CB3597"/>
    <w:rsid w:val="00CB379A"/>
    <w:rsid w:val="00CB66BE"/>
    <w:rsid w:val="00CC4454"/>
    <w:rsid w:val="00CC44C2"/>
    <w:rsid w:val="00CC79CC"/>
    <w:rsid w:val="00CD1017"/>
    <w:rsid w:val="00CD1363"/>
    <w:rsid w:val="00CD1B3E"/>
    <w:rsid w:val="00CD2055"/>
    <w:rsid w:val="00CD285D"/>
    <w:rsid w:val="00CD4DA3"/>
    <w:rsid w:val="00CD4DAD"/>
    <w:rsid w:val="00CE1B99"/>
    <w:rsid w:val="00CE3FCE"/>
    <w:rsid w:val="00CE5254"/>
    <w:rsid w:val="00CE6E4E"/>
    <w:rsid w:val="00CF2CFE"/>
    <w:rsid w:val="00CF410C"/>
    <w:rsid w:val="00CF4230"/>
    <w:rsid w:val="00CF4A80"/>
    <w:rsid w:val="00CF6FE1"/>
    <w:rsid w:val="00D04A48"/>
    <w:rsid w:val="00D05ED6"/>
    <w:rsid w:val="00D11032"/>
    <w:rsid w:val="00D11460"/>
    <w:rsid w:val="00D122F4"/>
    <w:rsid w:val="00D22F79"/>
    <w:rsid w:val="00D24F30"/>
    <w:rsid w:val="00D254B4"/>
    <w:rsid w:val="00D27E76"/>
    <w:rsid w:val="00D27FC6"/>
    <w:rsid w:val="00D33223"/>
    <w:rsid w:val="00D339BA"/>
    <w:rsid w:val="00D51777"/>
    <w:rsid w:val="00D5481C"/>
    <w:rsid w:val="00D55888"/>
    <w:rsid w:val="00D55A94"/>
    <w:rsid w:val="00D57866"/>
    <w:rsid w:val="00D6109C"/>
    <w:rsid w:val="00D62319"/>
    <w:rsid w:val="00D64BEF"/>
    <w:rsid w:val="00D6548A"/>
    <w:rsid w:val="00D661A5"/>
    <w:rsid w:val="00D66A20"/>
    <w:rsid w:val="00D66A5A"/>
    <w:rsid w:val="00D7077E"/>
    <w:rsid w:val="00D72E65"/>
    <w:rsid w:val="00D77F5D"/>
    <w:rsid w:val="00D80EE2"/>
    <w:rsid w:val="00D81526"/>
    <w:rsid w:val="00D83801"/>
    <w:rsid w:val="00D865E9"/>
    <w:rsid w:val="00D86C41"/>
    <w:rsid w:val="00D87886"/>
    <w:rsid w:val="00D87F78"/>
    <w:rsid w:val="00D93A72"/>
    <w:rsid w:val="00D9644C"/>
    <w:rsid w:val="00D97C9C"/>
    <w:rsid w:val="00DA2CBE"/>
    <w:rsid w:val="00DB25EA"/>
    <w:rsid w:val="00DB3A88"/>
    <w:rsid w:val="00DB3AC2"/>
    <w:rsid w:val="00DB4D74"/>
    <w:rsid w:val="00DB6A09"/>
    <w:rsid w:val="00DB7000"/>
    <w:rsid w:val="00DB7A54"/>
    <w:rsid w:val="00DC12D3"/>
    <w:rsid w:val="00DC2304"/>
    <w:rsid w:val="00DC371C"/>
    <w:rsid w:val="00DC41A4"/>
    <w:rsid w:val="00DC52C9"/>
    <w:rsid w:val="00DC7685"/>
    <w:rsid w:val="00DD0945"/>
    <w:rsid w:val="00DD0F7C"/>
    <w:rsid w:val="00DD0FA4"/>
    <w:rsid w:val="00DD172C"/>
    <w:rsid w:val="00DD1BFD"/>
    <w:rsid w:val="00DD35B6"/>
    <w:rsid w:val="00DD44C5"/>
    <w:rsid w:val="00DD63D6"/>
    <w:rsid w:val="00DD662E"/>
    <w:rsid w:val="00DD7B1B"/>
    <w:rsid w:val="00DE0033"/>
    <w:rsid w:val="00DE334A"/>
    <w:rsid w:val="00DE3857"/>
    <w:rsid w:val="00DE61A0"/>
    <w:rsid w:val="00DF1546"/>
    <w:rsid w:val="00DF5A7B"/>
    <w:rsid w:val="00DF6314"/>
    <w:rsid w:val="00E01692"/>
    <w:rsid w:val="00E02DAB"/>
    <w:rsid w:val="00E037B4"/>
    <w:rsid w:val="00E06687"/>
    <w:rsid w:val="00E06885"/>
    <w:rsid w:val="00E07330"/>
    <w:rsid w:val="00E1017A"/>
    <w:rsid w:val="00E1054A"/>
    <w:rsid w:val="00E11171"/>
    <w:rsid w:val="00E11879"/>
    <w:rsid w:val="00E1260F"/>
    <w:rsid w:val="00E162C8"/>
    <w:rsid w:val="00E17B8F"/>
    <w:rsid w:val="00E2045C"/>
    <w:rsid w:val="00E20F79"/>
    <w:rsid w:val="00E211C5"/>
    <w:rsid w:val="00E23706"/>
    <w:rsid w:val="00E30C46"/>
    <w:rsid w:val="00E32489"/>
    <w:rsid w:val="00E353EA"/>
    <w:rsid w:val="00E355B3"/>
    <w:rsid w:val="00E37154"/>
    <w:rsid w:val="00E37CCC"/>
    <w:rsid w:val="00E4185F"/>
    <w:rsid w:val="00E42B03"/>
    <w:rsid w:val="00E43AFF"/>
    <w:rsid w:val="00E43BF4"/>
    <w:rsid w:val="00E43CA1"/>
    <w:rsid w:val="00E453CE"/>
    <w:rsid w:val="00E45A6E"/>
    <w:rsid w:val="00E45AA9"/>
    <w:rsid w:val="00E525AD"/>
    <w:rsid w:val="00E52971"/>
    <w:rsid w:val="00E52A66"/>
    <w:rsid w:val="00E5767B"/>
    <w:rsid w:val="00E578B0"/>
    <w:rsid w:val="00E600A5"/>
    <w:rsid w:val="00E60820"/>
    <w:rsid w:val="00E63621"/>
    <w:rsid w:val="00E65291"/>
    <w:rsid w:val="00E65426"/>
    <w:rsid w:val="00E661A7"/>
    <w:rsid w:val="00E67B24"/>
    <w:rsid w:val="00E701B0"/>
    <w:rsid w:val="00E713B5"/>
    <w:rsid w:val="00E73171"/>
    <w:rsid w:val="00E752F2"/>
    <w:rsid w:val="00E770F1"/>
    <w:rsid w:val="00E7789C"/>
    <w:rsid w:val="00E82642"/>
    <w:rsid w:val="00E829BE"/>
    <w:rsid w:val="00E82B2E"/>
    <w:rsid w:val="00E85E49"/>
    <w:rsid w:val="00E91913"/>
    <w:rsid w:val="00E91F84"/>
    <w:rsid w:val="00E9542D"/>
    <w:rsid w:val="00E9706C"/>
    <w:rsid w:val="00EA3BB7"/>
    <w:rsid w:val="00EA7504"/>
    <w:rsid w:val="00EA7891"/>
    <w:rsid w:val="00EB1684"/>
    <w:rsid w:val="00EB3025"/>
    <w:rsid w:val="00EC67D3"/>
    <w:rsid w:val="00ED10DB"/>
    <w:rsid w:val="00ED2A9E"/>
    <w:rsid w:val="00ED3DF6"/>
    <w:rsid w:val="00ED4099"/>
    <w:rsid w:val="00ED58BB"/>
    <w:rsid w:val="00EE16D6"/>
    <w:rsid w:val="00EE226C"/>
    <w:rsid w:val="00EE490D"/>
    <w:rsid w:val="00EE4FBF"/>
    <w:rsid w:val="00EE62AD"/>
    <w:rsid w:val="00EE73DD"/>
    <w:rsid w:val="00EF21B5"/>
    <w:rsid w:val="00EF32CC"/>
    <w:rsid w:val="00EF503D"/>
    <w:rsid w:val="00EF5F53"/>
    <w:rsid w:val="00EF69E8"/>
    <w:rsid w:val="00EF70D8"/>
    <w:rsid w:val="00F00FCC"/>
    <w:rsid w:val="00F01C06"/>
    <w:rsid w:val="00F05950"/>
    <w:rsid w:val="00F115B0"/>
    <w:rsid w:val="00F128B5"/>
    <w:rsid w:val="00F14D99"/>
    <w:rsid w:val="00F17C09"/>
    <w:rsid w:val="00F20F3F"/>
    <w:rsid w:val="00F24E3F"/>
    <w:rsid w:val="00F27BCB"/>
    <w:rsid w:val="00F27ECA"/>
    <w:rsid w:val="00F31511"/>
    <w:rsid w:val="00F31C51"/>
    <w:rsid w:val="00F3316C"/>
    <w:rsid w:val="00F339BF"/>
    <w:rsid w:val="00F434CB"/>
    <w:rsid w:val="00F4351A"/>
    <w:rsid w:val="00F43631"/>
    <w:rsid w:val="00F4601B"/>
    <w:rsid w:val="00F52E6A"/>
    <w:rsid w:val="00F534C2"/>
    <w:rsid w:val="00F53D78"/>
    <w:rsid w:val="00F54CEC"/>
    <w:rsid w:val="00F62CCA"/>
    <w:rsid w:val="00F631F0"/>
    <w:rsid w:val="00F6564D"/>
    <w:rsid w:val="00F67413"/>
    <w:rsid w:val="00F67B13"/>
    <w:rsid w:val="00F70355"/>
    <w:rsid w:val="00F70545"/>
    <w:rsid w:val="00F71BFD"/>
    <w:rsid w:val="00F72983"/>
    <w:rsid w:val="00F733B4"/>
    <w:rsid w:val="00F7404E"/>
    <w:rsid w:val="00F7493A"/>
    <w:rsid w:val="00F767DA"/>
    <w:rsid w:val="00F77E81"/>
    <w:rsid w:val="00F81CF1"/>
    <w:rsid w:val="00F82FF8"/>
    <w:rsid w:val="00F86409"/>
    <w:rsid w:val="00F86EBA"/>
    <w:rsid w:val="00F900BF"/>
    <w:rsid w:val="00F94030"/>
    <w:rsid w:val="00F945C9"/>
    <w:rsid w:val="00F95D6E"/>
    <w:rsid w:val="00F961E1"/>
    <w:rsid w:val="00F96668"/>
    <w:rsid w:val="00FA0205"/>
    <w:rsid w:val="00FA0765"/>
    <w:rsid w:val="00FA2098"/>
    <w:rsid w:val="00FA325B"/>
    <w:rsid w:val="00FA6214"/>
    <w:rsid w:val="00FB2594"/>
    <w:rsid w:val="00FB3413"/>
    <w:rsid w:val="00FB45E7"/>
    <w:rsid w:val="00FC3B08"/>
    <w:rsid w:val="00FD00D1"/>
    <w:rsid w:val="00FD1873"/>
    <w:rsid w:val="00FD19DF"/>
    <w:rsid w:val="00FD3C19"/>
    <w:rsid w:val="00FD6E2B"/>
    <w:rsid w:val="00FD7579"/>
    <w:rsid w:val="00FD772C"/>
    <w:rsid w:val="00FE22FB"/>
    <w:rsid w:val="00FE2A8E"/>
    <w:rsid w:val="00FE404D"/>
    <w:rsid w:val="00FE6313"/>
    <w:rsid w:val="00FE7AA5"/>
    <w:rsid w:val="00FF193C"/>
    <w:rsid w:val="00FF1B6F"/>
    <w:rsid w:val="00FF1B76"/>
    <w:rsid w:val="00FF1D75"/>
    <w:rsid w:val="00FF5FDE"/>
    <w:rsid w:val="0354E2DC"/>
    <w:rsid w:val="03D9FC4F"/>
    <w:rsid w:val="044334A5"/>
    <w:rsid w:val="0615AFFB"/>
    <w:rsid w:val="06D8F9B2"/>
    <w:rsid w:val="07BB2116"/>
    <w:rsid w:val="087B2EEC"/>
    <w:rsid w:val="09626B3E"/>
    <w:rsid w:val="09754D2F"/>
    <w:rsid w:val="0B254D88"/>
    <w:rsid w:val="0FB9DD08"/>
    <w:rsid w:val="1326A593"/>
    <w:rsid w:val="145DA885"/>
    <w:rsid w:val="146AE51F"/>
    <w:rsid w:val="15F698E2"/>
    <w:rsid w:val="17F1A836"/>
    <w:rsid w:val="1811C7EC"/>
    <w:rsid w:val="18F4810B"/>
    <w:rsid w:val="199CF407"/>
    <w:rsid w:val="19C8FD3A"/>
    <w:rsid w:val="1A4C7416"/>
    <w:rsid w:val="1B37F9A9"/>
    <w:rsid w:val="1B88C178"/>
    <w:rsid w:val="1C4F25ED"/>
    <w:rsid w:val="1DCA8378"/>
    <w:rsid w:val="1E26E5FD"/>
    <w:rsid w:val="1F501CB9"/>
    <w:rsid w:val="2299B8A8"/>
    <w:rsid w:val="23A15DAC"/>
    <w:rsid w:val="23BFA0B6"/>
    <w:rsid w:val="24AF5973"/>
    <w:rsid w:val="24F43C37"/>
    <w:rsid w:val="2592BA34"/>
    <w:rsid w:val="28590AAD"/>
    <w:rsid w:val="285C33E7"/>
    <w:rsid w:val="2908143F"/>
    <w:rsid w:val="2C1BAE11"/>
    <w:rsid w:val="2CA425A9"/>
    <w:rsid w:val="2E0A017A"/>
    <w:rsid w:val="2E1C5B3A"/>
    <w:rsid w:val="2E36162D"/>
    <w:rsid w:val="31B78A6E"/>
    <w:rsid w:val="3270F865"/>
    <w:rsid w:val="356B9B7E"/>
    <w:rsid w:val="3810698D"/>
    <w:rsid w:val="3885C0A9"/>
    <w:rsid w:val="3978ED76"/>
    <w:rsid w:val="3AF90322"/>
    <w:rsid w:val="3C5162E7"/>
    <w:rsid w:val="3D800FAE"/>
    <w:rsid w:val="3DFEF318"/>
    <w:rsid w:val="3ED70C7D"/>
    <w:rsid w:val="3EDD6C10"/>
    <w:rsid w:val="3EE52813"/>
    <w:rsid w:val="3FA07D6D"/>
    <w:rsid w:val="3FF5629F"/>
    <w:rsid w:val="4182DF29"/>
    <w:rsid w:val="447CEB89"/>
    <w:rsid w:val="44CE3056"/>
    <w:rsid w:val="46FAB991"/>
    <w:rsid w:val="47065F79"/>
    <w:rsid w:val="47EE3A3D"/>
    <w:rsid w:val="48715FC7"/>
    <w:rsid w:val="48EDB0A5"/>
    <w:rsid w:val="49DB4036"/>
    <w:rsid w:val="4D673332"/>
    <w:rsid w:val="4D87C3BF"/>
    <w:rsid w:val="4DFDA9D0"/>
    <w:rsid w:val="4F2A0F03"/>
    <w:rsid w:val="506C6F45"/>
    <w:rsid w:val="5257A818"/>
    <w:rsid w:val="5328B8AD"/>
    <w:rsid w:val="5345D7A0"/>
    <w:rsid w:val="53D870DA"/>
    <w:rsid w:val="54622540"/>
    <w:rsid w:val="56B5DADD"/>
    <w:rsid w:val="56D4C67E"/>
    <w:rsid w:val="5894C21A"/>
    <w:rsid w:val="5A4F0C01"/>
    <w:rsid w:val="5B179E44"/>
    <w:rsid w:val="5C026FC7"/>
    <w:rsid w:val="5C924D57"/>
    <w:rsid w:val="5EEF6F9E"/>
    <w:rsid w:val="60664DF7"/>
    <w:rsid w:val="61E4F225"/>
    <w:rsid w:val="62723D07"/>
    <w:rsid w:val="62D239F5"/>
    <w:rsid w:val="62EAD730"/>
    <w:rsid w:val="635E7151"/>
    <w:rsid w:val="638DFA86"/>
    <w:rsid w:val="66FE1B1B"/>
    <w:rsid w:val="67F10C48"/>
    <w:rsid w:val="68CAB619"/>
    <w:rsid w:val="6A524EA6"/>
    <w:rsid w:val="6B2993E5"/>
    <w:rsid w:val="6C51A7D2"/>
    <w:rsid w:val="6DA5BED4"/>
    <w:rsid w:val="6E1B7BE0"/>
    <w:rsid w:val="6F6A8D65"/>
    <w:rsid w:val="706B4A5E"/>
    <w:rsid w:val="75B3507D"/>
    <w:rsid w:val="75D01833"/>
    <w:rsid w:val="769D8818"/>
    <w:rsid w:val="775D8B91"/>
    <w:rsid w:val="7792D432"/>
    <w:rsid w:val="77AFDE61"/>
    <w:rsid w:val="791CA33A"/>
    <w:rsid w:val="7A021B5F"/>
    <w:rsid w:val="7D0D4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7CC40"/>
  <w15:chartTrackingRefBased/>
  <w15:docId w15:val="{8FF8A883-F104-4B67-B3F8-9702D59B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53D2"/>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6867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ne">
    <w:name w:val="None"/>
    <w:rsid w:val="006E53D2"/>
  </w:style>
  <w:style w:type="paragraph" w:customStyle="1" w:styleId="Listparag">
    <w:name w:val="List parag"/>
    <w:basedOn w:val="ListParagraph"/>
    <w:link w:val="ListparagChar"/>
    <w:qFormat/>
    <w:rsid w:val="000866FB"/>
    <w:pPr>
      <w:spacing w:after="120" w:line="264" w:lineRule="auto"/>
      <w:ind w:left="0"/>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DefaultParagraphFont"/>
    <w:link w:val="Listparag"/>
    <w:rsid w:val="000866FB"/>
    <w:rPr>
      <w:rFonts w:eastAsia="Times New Roman" w:cstheme="minorHAnsi"/>
      <w:color w:val="000000"/>
      <w:kern w:val="0"/>
      <w:lang w:eastAsia="en-GB"/>
      <w14:ligatures w14:val="none"/>
    </w:rPr>
  </w:style>
  <w:style w:type="paragraph" w:styleId="ListParagraph">
    <w:name w:val="List Paragraph"/>
    <w:basedOn w:val="Normal"/>
    <w:uiPriority w:val="34"/>
    <w:qFormat/>
    <w:rsid w:val="000866FB"/>
    <w:pPr>
      <w:ind w:left="720"/>
      <w:contextualSpacing/>
    </w:pPr>
  </w:style>
  <w:style w:type="paragraph" w:customStyle="1" w:styleId="Body">
    <w:name w:val="Body"/>
    <w:rsid w:val="006C48F2"/>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Heading">
    <w:name w:val="Heading"/>
    <w:next w:val="Body"/>
    <w:rsid w:val="006C48F2"/>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character" w:styleId="Strong">
    <w:name w:val="Strong"/>
    <w:basedOn w:val="DefaultParagraphFont"/>
    <w:uiPriority w:val="22"/>
    <w:qFormat/>
    <w:rsid w:val="00AC03BF"/>
    <w:rPr>
      <w:b/>
      <w:bCs/>
    </w:rPr>
  </w:style>
  <w:style w:type="paragraph" w:styleId="NormalWeb">
    <w:name w:val="Normal (Web)"/>
    <w:basedOn w:val="Normal"/>
    <w:uiPriority w:val="99"/>
    <w:unhideWhenUsed/>
    <w:rsid w:val="00C1394A"/>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Heading1Char">
    <w:name w:val="Heading 1 Char"/>
    <w:basedOn w:val="DefaultParagraphFont"/>
    <w:link w:val="Heading1"/>
    <w:uiPriority w:val="9"/>
    <w:rsid w:val="0068677F"/>
    <w:rPr>
      <w:rFonts w:asciiTheme="majorHAnsi" w:eastAsiaTheme="majorEastAsia" w:hAnsiTheme="majorHAnsi" w:cstheme="majorBidi"/>
      <w:color w:val="2F5496" w:themeColor="accent1" w:themeShade="BF"/>
      <w:kern w:val="0"/>
      <w:sz w:val="32"/>
      <w:szCs w:val="32"/>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kern w:val="0"/>
      <w:sz w:val="20"/>
      <w:szCs w:val="20"/>
      <w14:ligatures w14:val="none"/>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B63A6D"/>
    <w:rPr>
      <w:color w:val="0563C1" w:themeColor="hyperlink"/>
      <w:u w:val="single"/>
    </w:rPr>
  </w:style>
  <w:style w:type="character" w:styleId="UnresolvedMention">
    <w:name w:val="Unresolved Mention"/>
    <w:basedOn w:val="DefaultParagraphFont"/>
    <w:uiPriority w:val="99"/>
    <w:semiHidden/>
    <w:unhideWhenUsed/>
    <w:rsid w:val="00B63A6D"/>
    <w:rPr>
      <w:color w:val="605E5C"/>
      <w:shd w:val="clear" w:color="auto" w:fill="E1DFDD"/>
    </w:rPr>
  </w:style>
  <w:style w:type="character" w:styleId="Emphasis">
    <w:name w:val="Emphasis"/>
    <w:basedOn w:val="DefaultParagraphFont"/>
    <w:uiPriority w:val="20"/>
    <w:qFormat/>
    <w:rsid w:val="009A2347"/>
    <w:rPr>
      <w:i/>
      <w:iCs/>
    </w:rPr>
  </w:style>
  <w:style w:type="character" w:styleId="FollowedHyperlink">
    <w:name w:val="FollowedHyperlink"/>
    <w:basedOn w:val="DefaultParagraphFont"/>
    <w:uiPriority w:val="99"/>
    <w:semiHidden/>
    <w:unhideWhenUsed/>
    <w:rsid w:val="00F20F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3515">
      <w:bodyDiv w:val="1"/>
      <w:marLeft w:val="0"/>
      <w:marRight w:val="0"/>
      <w:marTop w:val="0"/>
      <w:marBottom w:val="0"/>
      <w:divBdr>
        <w:top w:val="none" w:sz="0" w:space="0" w:color="auto"/>
        <w:left w:val="none" w:sz="0" w:space="0" w:color="auto"/>
        <w:bottom w:val="none" w:sz="0" w:space="0" w:color="auto"/>
        <w:right w:val="none" w:sz="0" w:space="0" w:color="auto"/>
      </w:divBdr>
    </w:div>
    <w:div w:id="60493898">
      <w:bodyDiv w:val="1"/>
      <w:marLeft w:val="0"/>
      <w:marRight w:val="0"/>
      <w:marTop w:val="0"/>
      <w:marBottom w:val="0"/>
      <w:divBdr>
        <w:top w:val="none" w:sz="0" w:space="0" w:color="auto"/>
        <w:left w:val="none" w:sz="0" w:space="0" w:color="auto"/>
        <w:bottom w:val="none" w:sz="0" w:space="0" w:color="auto"/>
        <w:right w:val="none" w:sz="0" w:space="0" w:color="auto"/>
      </w:divBdr>
    </w:div>
    <w:div w:id="97412757">
      <w:bodyDiv w:val="1"/>
      <w:marLeft w:val="0"/>
      <w:marRight w:val="0"/>
      <w:marTop w:val="0"/>
      <w:marBottom w:val="0"/>
      <w:divBdr>
        <w:top w:val="none" w:sz="0" w:space="0" w:color="auto"/>
        <w:left w:val="none" w:sz="0" w:space="0" w:color="auto"/>
        <w:bottom w:val="none" w:sz="0" w:space="0" w:color="auto"/>
        <w:right w:val="none" w:sz="0" w:space="0" w:color="auto"/>
      </w:divBdr>
    </w:div>
    <w:div w:id="121652362">
      <w:bodyDiv w:val="1"/>
      <w:marLeft w:val="0"/>
      <w:marRight w:val="0"/>
      <w:marTop w:val="0"/>
      <w:marBottom w:val="0"/>
      <w:divBdr>
        <w:top w:val="none" w:sz="0" w:space="0" w:color="auto"/>
        <w:left w:val="none" w:sz="0" w:space="0" w:color="auto"/>
        <w:bottom w:val="none" w:sz="0" w:space="0" w:color="auto"/>
        <w:right w:val="none" w:sz="0" w:space="0" w:color="auto"/>
      </w:divBdr>
    </w:div>
    <w:div w:id="153301665">
      <w:bodyDiv w:val="1"/>
      <w:marLeft w:val="0"/>
      <w:marRight w:val="0"/>
      <w:marTop w:val="0"/>
      <w:marBottom w:val="0"/>
      <w:divBdr>
        <w:top w:val="none" w:sz="0" w:space="0" w:color="auto"/>
        <w:left w:val="none" w:sz="0" w:space="0" w:color="auto"/>
        <w:bottom w:val="none" w:sz="0" w:space="0" w:color="auto"/>
        <w:right w:val="none" w:sz="0" w:space="0" w:color="auto"/>
      </w:divBdr>
      <w:divsChild>
        <w:div w:id="1800758253">
          <w:marLeft w:val="0"/>
          <w:marRight w:val="0"/>
          <w:marTop w:val="0"/>
          <w:marBottom w:val="0"/>
          <w:divBdr>
            <w:top w:val="none" w:sz="0" w:space="0" w:color="auto"/>
            <w:left w:val="none" w:sz="0" w:space="0" w:color="auto"/>
            <w:bottom w:val="none" w:sz="0" w:space="0" w:color="auto"/>
            <w:right w:val="none" w:sz="0" w:space="0" w:color="auto"/>
          </w:divBdr>
        </w:div>
        <w:div w:id="234634647">
          <w:marLeft w:val="0"/>
          <w:marRight w:val="0"/>
          <w:marTop w:val="0"/>
          <w:marBottom w:val="0"/>
          <w:divBdr>
            <w:top w:val="none" w:sz="0" w:space="0" w:color="auto"/>
            <w:left w:val="none" w:sz="0" w:space="0" w:color="auto"/>
            <w:bottom w:val="none" w:sz="0" w:space="0" w:color="auto"/>
            <w:right w:val="none" w:sz="0" w:space="0" w:color="auto"/>
          </w:divBdr>
        </w:div>
        <w:div w:id="1360666936">
          <w:marLeft w:val="0"/>
          <w:marRight w:val="0"/>
          <w:marTop w:val="0"/>
          <w:marBottom w:val="0"/>
          <w:divBdr>
            <w:top w:val="none" w:sz="0" w:space="0" w:color="auto"/>
            <w:left w:val="none" w:sz="0" w:space="0" w:color="auto"/>
            <w:bottom w:val="none" w:sz="0" w:space="0" w:color="auto"/>
            <w:right w:val="none" w:sz="0" w:space="0" w:color="auto"/>
          </w:divBdr>
        </w:div>
        <w:div w:id="2139757036">
          <w:marLeft w:val="0"/>
          <w:marRight w:val="0"/>
          <w:marTop w:val="0"/>
          <w:marBottom w:val="0"/>
          <w:divBdr>
            <w:top w:val="none" w:sz="0" w:space="0" w:color="auto"/>
            <w:left w:val="none" w:sz="0" w:space="0" w:color="auto"/>
            <w:bottom w:val="none" w:sz="0" w:space="0" w:color="auto"/>
            <w:right w:val="none" w:sz="0" w:space="0" w:color="auto"/>
          </w:divBdr>
        </w:div>
      </w:divsChild>
    </w:div>
    <w:div w:id="158273386">
      <w:bodyDiv w:val="1"/>
      <w:marLeft w:val="0"/>
      <w:marRight w:val="0"/>
      <w:marTop w:val="0"/>
      <w:marBottom w:val="0"/>
      <w:divBdr>
        <w:top w:val="none" w:sz="0" w:space="0" w:color="auto"/>
        <w:left w:val="none" w:sz="0" w:space="0" w:color="auto"/>
        <w:bottom w:val="none" w:sz="0" w:space="0" w:color="auto"/>
        <w:right w:val="none" w:sz="0" w:space="0" w:color="auto"/>
      </w:divBdr>
    </w:div>
    <w:div w:id="176697359">
      <w:bodyDiv w:val="1"/>
      <w:marLeft w:val="0"/>
      <w:marRight w:val="0"/>
      <w:marTop w:val="0"/>
      <w:marBottom w:val="0"/>
      <w:divBdr>
        <w:top w:val="none" w:sz="0" w:space="0" w:color="auto"/>
        <w:left w:val="none" w:sz="0" w:space="0" w:color="auto"/>
        <w:bottom w:val="none" w:sz="0" w:space="0" w:color="auto"/>
        <w:right w:val="none" w:sz="0" w:space="0" w:color="auto"/>
      </w:divBdr>
      <w:divsChild>
        <w:div w:id="1212033213">
          <w:marLeft w:val="0"/>
          <w:marRight w:val="0"/>
          <w:marTop w:val="0"/>
          <w:marBottom w:val="0"/>
          <w:divBdr>
            <w:top w:val="none" w:sz="0" w:space="0" w:color="auto"/>
            <w:left w:val="none" w:sz="0" w:space="0" w:color="auto"/>
            <w:bottom w:val="none" w:sz="0" w:space="0" w:color="auto"/>
            <w:right w:val="none" w:sz="0" w:space="0" w:color="auto"/>
          </w:divBdr>
        </w:div>
        <w:div w:id="2119443410">
          <w:marLeft w:val="0"/>
          <w:marRight w:val="0"/>
          <w:marTop w:val="0"/>
          <w:marBottom w:val="0"/>
          <w:divBdr>
            <w:top w:val="none" w:sz="0" w:space="0" w:color="auto"/>
            <w:left w:val="none" w:sz="0" w:space="0" w:color="auto"/>
            <w:bottom w:val="none" w:sz="0" w:space="0" w:color="auto"/>
            <w:right w:val="none" w:sz="0" w:space="0" w:color="auto"/>
          </w:divBdr>
        </w:div>
        <w:div w:id="1376655762">
          <w:marLeft w:val="0"/>
          <w:marRight w:val="0"/>
          <w:marTop w:val="0"/>
          <w:marBottom w:val="0"/>
          <w:divBdr>
            <w:top w:val="none" w:sz="0" w:space="0" w:color="auto"/>
            <w:left w:val="none" w:sz="0" w:space="0" w:color="auto"/>
            <w:bottom w:val="none" w:sz="0" w:space="0" w:color="auto"/>
            <w:right w:val="none" w:sz="0" w:space="0" w:color="auto"/>
          </w:divBdr>
        </w:div>
        <w:div w:id="1975868709">
          <w:marLeft w:val="0"/>
          <w:marRight w:val="0"/>
          <w:marTop w:val="0"/>
          <w:marBottom w:val="0"/>
          <w:divBdr>
            <w:top w:val="none" w:sz="0" w:space="0" w:color="auto"/>
            <w:left w:val="none" w:sz="0" w:space="0" w:color="auto"/>
            <w:bottom w:val="none" w:sz="0" w:space="0" w:color="auto"/>
            <w:right w:val="none" w:sz="0" w:space="0" w:color="auto"/>
          </w:divBdr>
        </w:div>
        <w:div w:id="1900047864">
          <w:marLeft w:val="0"/>
          <w:marRight w:val="0"/>
          <w:marTop w:val="0"/>
          <w:marBottom w:val="0"/>
          <w:divBdr>
            <w:top w:val="none" w:sz="0" w:space="0" w:color="auto"/>
            <w:left w:val="none" w:sz="0" w:space="0" w:color="auto"/>
            <w:bottom w:val="none" w:sz="0" w:space="0" w:color="auto"/>
            <w:right w:val="none" w:sz="0" w:space="0" w:color="auto"/>
          </w:divBdr>
        </w:div>
        <w:div w:id="2104105712">
          <w:marLeft w:val="0"/>
          <w:marRight w:val="0"/>
          <w:marTop w:val="0"/>
          <w:marBottom w:val="0"/>
          <w:divBdr>
            <w:top w:val="none" w:sz="0" w:space="0" w:color="auto"/>
            <w:left w:val="none" w:sz="0" w:space="0" w:color="auto"/>
            <w:bottom w:val="none" w:sz="0" w:space="0" w:color="auto"/>
            <w:right w:val="none" w:sz="0" w:space="0" w:color="auto"/>
          </w:divBdr>
        </w:div>
      </w:divsChild>
    </w:div>
    <w:div w:id="195898113">
      <w:bodyDiv w:val="1"/>
      <w:marLeft w:val="0"/>
      <w:marRight w:val="0"/>
      <w:marTop w:val="0"/>
      <w:marBottom w:val="0"/>
      <w:divBdr>
        <w:top w:val="none" w:sz="0" w:space="0" w:color="auto"/>
        <w:left w:val="none" w:sz="0" w:space="0" w:color="auto"/>
        <w:bottom w:val="none" w:sz="0" w:space="0" w:color="auto"/>
        <w:right w:val="none" w:sz="0" w:space="0" w:color="auto"/>
      </w:divBdr>
    </w:div>
    <w:div w:id="491533578">
      <w:bodyDiv w:val="1"/>
      <w:marLeft w:val="0"/>
      <w:marRight w:val="0"/>
      <w:marTop w:val="0"/>
      <w:marBottom w:val="0"/>
      <w:divBdr>
        <w:top w:val="none" w:sz="0" w:space="0" w:color="auto"/>
        <w:left w:val="none" w:sz="0" w:space="0" w:color="auto"/>
        <w:bottom w:val="none" w:sz="0" w:space="0" w:color="auto"/>
        <w:right w:val="none" w:sz="0" w:space="0" w:color="auto"/>
      </w:divBdr>
    </w:div>
    <w:div w:id="605694034">
      <w:bodyDiv w:val="1"/>
      <w:marLeft w:val="0"/>
      <w:marRight w:val="0"/>
      <w:marTop w:val="0"/>
      <w:marBottom w:val="0"/>
      <w:divBdr>
        <w:top w:val="none" w:sz="0" w:space="0" w:color="auto"/>
        <w:left w:val="none" w:sz="0" w:space="0" w:color="auto"/>
        <w:bottom w:val="none" w:sz="0" w:space="0" w:color="auto"/>
        <w:right w:val="none" w:sz="0" w:space="0" w:color="auto"/>
      </w:divBdr>
    </w:div>
    <w:div w:id="631979087">
      <w:bodyDiv w:val="1"/>
      <w:marLeft w:val="0"/>
      <w:marRight w:val="0"/>
      <w:marTop w:val="0"/>
      <w:marBottom w:val="0"/>
      <w:divBdr>
        <w:top w:val="none" w:sz="0" w:space="0" w:color="auto"/>
        <w:left w:val="none" w:sz="0" w:space="0" w:color="auto"/>
        <w:bottom w:val="none" w:sz="0" w:space="0" w:color="auto"/>
        <w:right w:val="none" w:sz="0" w:space="0" w:color="auto"/>
      </w:divBdr>
    </w:div>
    <w:div w:id="870805257">
      <w:bodyDiv w:val="1"/>
      <w:marLeft w:val="0"/>
      <w:marRight w:val="0"/>
      <w:marTop w:val="0"/>
      <w:marBottom w:val="0"/>
      <w:divBdr>
        <w:top w:val="none" w:sz="0" w:space="0" w:color="auto"/>
        <w:left w:val="none" w:sz="0" w:space="0" w:color="auto"/>
        <w:bottom w:val="none" w:sz="0" w:space="0" w:color="auto"/>
        <w:right w:val="none" w:sz="0" w:space="0" w:color="auto"/>
      </w:divBdr>
      <w:divsChild>
        <w:div w:id="396050624">
          <w:marLeft w:val="0"/>
          <w:marRight w:val="0"/>
          <w:marTop w:val="0"/>
          <w:marBottom w:val="0"/>
          <w:divBdr>
            <w:top w:val="none" w:sz="0" w:space="0" w:color="auto"/>
            <w:left w:val="none" w:sz="0" w:space="0" w:color="auto"/>
            <w:bottom w:val="none" w:sz="0" w:space="0" w:color="auto"/>
            <w:right w:val="none" w:sz="0" w:space="0" w:color="auto"/>
          </w:divBdr>
        </w:div>
      </w:divsChild>
    </w:div>
    <w:div w:id="1065880781">
      <w:bodyDiv w:val="1"/>
      <w:marLeft w:val="0"/>
      <w:marRight w:val="0"/>
      <w:marTop w:val="0"/>
      <w:marBottom w:val="0"/>
      <w:divBdr>
        <w:top w:val="none" w:sz="0" w:space="0" w:color="auto"/>
        <w:left w:val="none" w:sz="0" w:space="0" w:color="auto"/>
        <w:bottom w:val="none" w:sz="0" w:space="0" w:color="auto"/>
        <w:right w:val="none" w:sz="0" w:space="0" w:color="auto"/>
      </w:divBdr>
    </w:div>
    <w:div w:id="1307932218">
      <w:bodyDiv w:val="1"/>
      <w:marLeft w:val="0"/>
      <w:marRight w:val="0"/>
      <w:marTop w:val="0"/>
      <w:marBottom w:val="0"/>
      <w:divBdr>
        <w:top w:val="none" w:sz="0" w:space="0" w:color="auto"/>
        <w:left w:val="none" w:sz="0" w:space="0" w:color="auto"/>
        <w:bottom w:val="none" w:sz="0" w:space="0" w:color="auto"/>
        <w:right w:val="none" w:sz="0" w:space="0" w:color="auto"/>
      </w:divBdr>
    </w:div>
    <w:div w:id="1381830681">
      <w:bodyDiv w:val="1"/>
      <w:marLeft w:val="0"/>
      <w:marRight w:val="0"/>
      <w:marTop w:val="0"/>
      <w:marBottom w:val="0"/>
      <w:divBdr>
        <w:top w:val="none" w:sz="0" w:space="0" w:color="auto"/>
        <w:left w:val="none" w:sz="0" w:space="0" w:color="auto"/>
        <w:bottom w:val="none" w:sz="0" w:space="0" w:color="auto"/>
        <w:right w:val="none" w:sz="0" w:space="0" w:color="auto"/>
      </w:divBdr>
      <w:divsChild>
        <w:div w:id="1439987987">
          <w:marLeft w:val="0"/>
          <w:marRight w:val="0"/>
          <w:marTop w:val="0"/>
          <w:marBottom w:val="0"/>
          <w:divBdr>
            <w:top w:val="none" w:sz="0" w:space="0" w:color="auto"/>
            <w:left w:val="none" w:sz="0" w:space="0" w:color="auto"/>
            <w:bottom w:val="none" w:sz="0" w:space="0" w:color="auto"/>
            <w:right w:val="none" w:sz="0" w:space="0" w:color="auto"/>
          </w:divBdr>
        </w:div>
        <w:div w:id="1662615459">
          <w:marLeft w:val="0"/>
          <w:marRight w:val="0"/>
          <w:marTop w:val="0"/>
          <w:marBottom w:val="0"/>
          <w:divBdr>
            <w:top w:val="none" w:sz="0" w:space="0" w:color="auto"/>
            <w:left w:val="none" w:sz="0" w:space="0" w:color="auto"/>
            <w:bottom w:val="none" w:sz="0" w:space="0" w:color="auto"/>
            <w:right w:val="none" w:sz="0" w:space="0" w:color="auto"/>
          </w:divBdr>
        </w:div>
        <w:div w:id="1927230263">
          <w:marLeft w:val="0"/>
          <w:marRight w:val="0"/>
          <w:marTop w:val="0"/>
          <w:marBottom w:val="0"/>
          <w:divBdr>
            <w:top w:val="none" w:sz="0" w:space="0" w:color="auto"/>
            <w:left w:val="none" w:sz="0" w:space="0" w:color="auto"/>
            <w:bottom w:val="none" w:sz="0" w:space="0" w:color="auto"/>
            <w:right w:val="none" w:sz="0" w:space="0" w:color="auto"/>
          </w:divBdr>
        </w:div>
        <w:div w:id="1281493830">
          <w:marLeft w:val="0"/>
          <w:marRight w:val="0"/>
          <w:marTop w:val="0"/>
          <w:marBottom w:val="0"/>
          <w:divBdr>
            <w:top w:val="none" w:sz="0" w:space="0" w:color="auto"/>
            <w:left w:val="none" w:sz="0" w:space="0" w:color="auto"/>
            <w:bottom w:val="none" w:sz="0" w:space="0" w:color="auto"/>
            <w:right w:val="none" w:sz="0" w:space="0" w:color="auto"/>
          </w:divBdr>
        </w:div>
        <w:div w:id="921643553">
          <w:marLeft w:val="0"/>
          <w:marRight w:val="0"/>
          <w:marTop w:val="0"/>
          <w:marBottom w:val="0"/>
          <w:divBdr>
            <w:top w:val="none" w:sz="0" w:space="0" w:color="auto"/>
            <w:left w:val="none" w:sz="0" w:space="0" w:color="auto"/>
            <w:bottom w:val="none" w:sz="0" w:space="0" w:color="auto"/>
            <w:right w:val="none" w:sz="0" w:space="0" w:color="auto"/>
          </w:divBdr>
        </w:div>
      </w:divsChild>
    </w:div>
    <w:div w:id="1665084833">
      <w:bodyDiv w:val="1"/>
      <w:marLeft w:val="0"/>
      <w:marRight w:val="0"/>
      <w:marTop w:val="0"/>
      <w:marBottom w:val="0"/>
      <w:divBdr>
        <w:top w:val="none" w:sz="0" w:space="0" w:color="auto"/>
        <w:left w:val="none" w:sz="0" w:space="0" w:color="auto"/>
        <w:bottom w:val="none" w:sz="0" w:space="0" w:color="auto"/>
        <w:right w:val="none" w:sz="0" w:space="0" w:color="auto"/>
      </w:divBdr>
    </w:div>
    <w:div w:id="1783258497">
      <w:bodyDiv w:val="1"/>
      <w:marLeft w:val="0"/>
      <w:marRight w:val="0"/>
      <w:marTop w:val="0"/>
      <w:marBottom w:val="0"/>
      <w:divBdr>
        <w:top w:val="none" w:sz="0" w:space="0" w:color="auto"/>
        <w:left w:val="none" w:sz="0" w:space="0" w:color="auto"/>
        <w:bottom w:val="none" w:sz="0" w:space="0" w:color="auto"/>
        <w:right w:val="none" w:sz="0" w:space="0" w:color="auto"/>
      </w:divBdr>
      <w:divsChild>
        <w:div w:id="2113668613">
          <w:marLeft w:val="0"/>
          <w:marRight w:val="0"/>
          <w:marTop w:val="0"/>
          <w:marBottom w:val="0"/>
          <w:divBdr>
            <w:top w:val="none" w:sz="0" w:space="0" w:color="auto"/>
            <w:left w:val="none" w:sz="0" w:space="0" w:color="auto"/>
            <w:bottom w:val="none" w:sz="0" w:space="0" w:color="auto"/>
            <w:right w:val="none" w:sz="0" w:space="0" w:color="auto"/>
          </w:divBdr>
        </w:div>
      </w:divsChild>
    </w:div>
    <w:div w:id="1961640837">
      <w:bodyDiv w:val="1"/>
      <w:marLeft w:val="0"/>
      <w:marRight w:val="0"/>
      <w:marTop w:val="0"/>
      <w:marBottom w:val="0"/>
      <w:divBdr>
        <w:top w:val="none" w:sz="0" w:space="0" w:color="auto"/>
        <w:left w:val="none" w:sz="0" w:space="0" w:color="auto"/>
        <w:bottom w:val="none" w:sz="0" w:space="0" w:color="auto"/>
        <w:right w:val="none" w:sz="0" w:space="0" w:color="auto"/>
      </w:divBdr>
    </w:div>
    <w:div w:id="1974603171">
      <w:bodyDiv w:val="1"/>
      <w:marLeft w:val="0"/>
      <w:marRight w:val="0"/>
      <w:marTop w:val="0"/>
      <w:marBottom w:val="0"/>
      <w:divBdr>
        <w:top w:val="none" w:sz="0" w:space="0" w:color="auto"/>
        <w:left w:val="none" w:sz="0" w:space="0" w:color="auto"/>
        <w:bottom w:val="none" w:sz="0" w:space="0" w:color="auto"/>
        <w:right w:val="none" w:sz="0" w:space="0" w:color="auto"/>
      </w:divBdr>
    </w:div>
    <w:div w:id="2107067780">
      <w:bodyDiv w:val="1"/>
      <w:marLeft w:val="0"/>
      <w:marRight w:val="0"/>
      <w:marTop w:val="0"/>
      <w:marBottom w:val="0"/>
      <w:divBdr>
        <w:top w:val="none" w:sz="0" w:space="0" w:color="auto"/>
        <w:left w:val="none" w:sz="0" w:space="0" w:color="auto"/>
        <w:bottom w:val="none" w:sz="0" w:space="0" w:color="auto"/>
        <w:right w:val="none" w:sz="0" w:space="0" w:color="auto"/>
      </w:divBdr>
      <w:divsChild>
        <w:div w:id="1813792977">
          <w:marLeft w:val="0"/>
          <w:marRight w:val="0"/>
          <w:marTop w:val="0"/>
          <w:marBottom w:val="0"/>
          <w:divBdr>
            <w:top w:val="none" w:sz="0" w:space="0" w:color="auto"/>
            <w:left w:val="none" w:sz="0" w:space="0" w:color="auto"/>
            <w:bottom w:val="none" w:sz="0" w:space="0" w:color="auto"/>
            <w:right w:val="none" w:sz="0" w:space="0" w:color="auto"/>
          </w:divBdr>
        </w:div>
        <w:div w:id="334959213">
          <w:marLeft w:val="0"/>
          <w:marRight w:val="0"/>
          <w:marTop w:val="0"/>
          <w:marBottom w:val="0"/>
          <w:divBdr>
            <w:top w:val="none" w:sz="0" w:space="0" w:color="auto"/>
            <w:left w:val="none" w:sz="0" w:space="0" w:color="auto"/>
            <w:bottom w:val="none" w:sz="0" w:space="0" w:color="auto"/>
            <w:right w:val="none" w:sz="0" w:space="0" w:color="auto"/>
          </w:divBdr>
        </w:div>
      </w:divsChild>
    </w:div>
    <w:div w:id="213051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cipd-viewpoint/employment-status-rights/" TargetMode="External"/><Relationship Id="rId18" Type="http://schemas.openxmlformats.org/officeDocument/2006/relationships/hyperlink" Target="https://www.cipd.org/uk/knowledge/guides/tupe-guide/" TargetMode="External"/><Relationship Id="rId26" Type="http://schemas.openxmlformats.org/officeDocument/2006/relationships/hyperlink" Target="https://gateleyplc.com/insight/article/tupe-or-not-to-tupe-service-provision-changes/" TargetMode="External"/><Relationship Id="rId39" Type="http://schemas.openxmlformats.org/officeDocument/2006/relationships/hyperlink" Target="https://www.gov.uk/shared-parental-leave-and-pay" TargetMode="External"/><Relationship Id="rId21" Type="http://schemas.openxmlformats.org/officeDocument/2006/relationships/hyperlink" Target="https://www.cipd.org/uk/knowledge/employment-law/uk-employment-law-eu/" TargetMode="External"/><Relationship Id="rId34" Type="http://schemas.openxmlformats.org/officeDocument/2006/relationships/hyperlink" Target="https://www.tuc.org.uk/workplace-guidance/case-studies/how-fords-striking-women-drove-equal-pay-act" TargetMode="External"/><Relationship Id="rId7" Type="http://schemas.openxmlformats.org/officeDocument/2006/relationships/hyperlink" Target="https://www.acas.org.uk/equal-pay/equal-pay-law" TargetMode="External"/><Relationship Id="rId2" Type="http://schemas.openxmlformats.org/officeDocument/2006/relationships/numbering" Target="numbering.xml"/><Relationship Id="rId16" Type="http://schemas.openxmlformats.org/officeDocument/2006/relationships/hyperlink" Target="https://www.cipd.org/uk/knowledge/employment-law/employment-regulation-uk/" TargetMode="External"/><Relationship Id="rId20" Type="http://schemas.openxmlformats.org/officeDocument/2006/relationships/hyperlink" Target="https://www.cipd.org/uk/knowledge/guides/flexible-working-manager-guide/" TargetMode="External"/><Relationship Id="rId29" Type="http://schemas.openxmlformats.org/officeDocument/2006/relationships/hyperlink" Target="https://www.cipd.org/uk/knowledge/factsheets/flexible-working-factshee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s.org.uk/irregular-hours-and-part-year-workers/carrying-over-holiday" TargetMode="External"/><Relationship Id="rId11" Type="http://schemas.openxmlformats.org/officeDocument/2006/relationships/hyperlink" Target="https://brodies.com/insights/employment-and-immigration/genuine-occupational-requirements" TargetMode="External"/><Relationship Id="rId24" Type="http://schemas.openxmlformats.org/officeDocument/2006/relationships/hyperlink" Target="https://employmentcasesupdate.co.uk/content/federaci%C3%B3n-de-servicios-de-comisiones-obreras-ccoo-v-deutsche-bank-sae-cjeu-case-c-55-18.fb73cd720d0443bba675a081c36aca7a.htm" TargetMode="External"/><Relationship Id="rId32" Type="http://schemas.openxmlformats.org/officeDocument/2006/relationships/hyperlink" Target="https://www.peoplemanagement.co.uk/article/1901051/employment-law-expect-2025" TargetMode="External"/><Relationship Id="rId37" Type="http://schemas.openxmlformats.org/officeDocument/2006/relationships/hyperlink" Target="https://www.gov.uk/transfers-takeovers/transfers-of-employment-contract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uk/knowledge/employment-law/uk-employment-law-eu/" TargetMode="External"/><Relationship Id="rId23" Type="http://schemas.openxmlformats.org/officeDocument/2006/relationships/hyperlink" Target="https://healthmedia.blog.gov.uk/2023/06/30/nhs-long-term-workforce-plan-fact-sheet/" TargetMode="External"/><Relationship Id="rId28" Type="http://schemas.openxmlformats.org/officeDocument/2006/relationships/hyperlink" Target="https://www.peoplemanagement.co.uk/article/1743377/constructive-dismissal-guide" TargetMode="External"/><Relationship Id="rId36"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10" Type="http://schemas.openxmlformats.org/officeDocument/2006/relationships/hyperlink" Target="https://www.cipd.org/uk/knowledge/factsheets/maternity-paternity-rights-factsheet/" TargetMode="External"/><Relationship Id="rId19" Type="http://schemas.openxmlformats.org/officeDocument/2006/relationships/hyperlink" Target="https://www.cipd.org/uk/knowledge/employment-law/employment-law-uk-how-made/" TargetMode="External"/><Relationship Id="rId31" Type="http://schemas.openxmlformats.org/officeDocument/2006/relationships/hyperlink" Target="https://www.davidsonmorris.com/hr1-form/" TargetMode="External"/><Relationship Id="rId4" Type="http://schemas.openxmlformats.org/officeDocument/2006/relationships/settings" Target="settings.xml"/><Relationship Id="rId9" Type="http://schemas.openxmlformats.org/officeDocument/2006/relationships/hyperlink" Target="https://www.cipd.org/uk/knowledge/factsheets/dismissal-factsheet/" TargetMode="External"/><Relationship Id="rId14" Type="http://schemas.openxmlformats.org/officeDocument/2006/relationships/hyperlink" Target="https://www.cipd.org/uk/knowledge/employment-law/equal-pay/" TargetMode="External"/><Relationship Id="rId22" Type="http://schemas.openxmlformats.org/officeDocument/2006/relationships/hyperlink" Target="https://www.cipd.org/uk/knowledge/employment-law/recruitment/" TargetMode="External"/><Relationship Id="rId27" Type="http://schemas.openxmlformats.org/officeDocument/2006/relationships/hyperlink" Target="https://hrzone.com/blog/applying-a-genuine-occupational-requirement-in-recruitment/" TargetMode="External"/><Relationship Id="rId30" Type="http://schemas.openxmlformats.org/officeDocument/2006/relationships/hyperlink" Target="https://maternityaction.org.uk/advice/discrimination-during-maternity-leave-and-on-return-to-work/" TargetMode="External"/><Relationship Id="rId35" Type="http://schemas.openxmlformats.org/officeDocument/2006/relationships/hyperlink" Target="https://www.legislation.gov.uk/ukpga/2023/17/introduction" TargetMode="External"/><Relationship Id="rId8" Type="http://schemas.openxmlformats.org/officeDocument/2006/relationships/hyperlink" Target="https://www.acas.org.uk/irregular-hours-and-part-year-workers/rolled-up-holiday-pay" TargetMode="External"/><Relationship Id="rId3" Type="http://schemas.openxmlformats.org/officeDocument/2006/relationships/styles" Target="styles.xml"/><Relationship Id="rId12" Type="http://schemas.openxmlformats.org/officeDocument/2006/relationships/hyperlink" Target="https://www.cipd.org/uk/knowledge/employment-law/holidays/" TargetMode="External"/><Relationship Id="rId17" Type="http://schemas.openxmlformats.org/officeDocument/2006/relationships/hyperlink" Target="https://www.cipd.org/uk/knowledge/employment-law/redundancy/" TargetMode="External"/><Relationship Id="rId25" Type="http://schemas.openxmlformats.org/officeDocument/2006/relationships/hyperlink" Target="https://www.equalityhumanrights.com/equality/equality-act-2010/codes-practice/employment-code-practice-0" TargetMode="External"/><Relationship Id="rId33" Type="http://schemas.openxmlformats.org/officeDocument/2006/relationships/hyperlink" Target="https://www.sfh-tr.nhs.uk/about-us/equality-diversity-and-inclusion/" TargetMode="External"/><Relationship Id="rId38" Type="http://schemas.openxmlformats.org/officeDocument/2006/relationships/hyperlink" Target="https://www.legislation.gov.uk/ukpga/1992/5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777EB-2997-45BE-B99A-275076059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7871</Words>
  <Characters>44869</Characters>
  <Application>Microsoft Office Word</Application>
  <DocSecurity>0</DocSecurity>
  <Lines>373</Lines>
  <Paragraphs>105</Paragraphs>
  <ScaleCrop>false</ScaleCrop>
  <Company>Hywel Dda University Health Board</Company>
  <LinksUpToDate>false</LinksUpToDate>
  <CharactersWithSpaces>52635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2</cp:revision>
  <dcterms:created xsi:type="dcterms:W3CDTF">2025-05-23T13:08:00Z</dcterms:created>
  <dcterms:modified xsi:type="dcterms:W3CDTF">2025-05-23T13:08:00Z</dcterms:modified>
</cp:coreProperties>
</file>