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BA International Hotel Management </w:t>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Foreign Languages &amp; Cultural Awareness </w:t>
      </w: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BMIH5003 </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Intercultural Competence Report </w:t>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Date: 19.02.2024</w:t>
      </w:r>
    </w:p>
    <w:p w:rsidR="00000000" w:rsidDel="00000000" w:rsidP="00000000" w:rsidRDefault="00000000" w:rsidRPr="00000000" w14:paraId="0000000B">
      <w:pPr>
        <w:rPr/>
      </w:pPr>
      <w:r w:rsidDel="00000000" w:rsidR="00000000" w:rsidRPr="00000000">
        <w:rPr>
          <w:rtl w:val="0"/>
        </w:rPr>
        <w:t xml:space="preserve">Flor Yasmin Perez Paula</w:t>
      </w:r>
    </w:p>
    <w:p w:rsidR="00000000" w:rsidDel="00000000" w:rsidP="00000000" w:rsidRDefault="00000000" w:rsidRPr="00000000" w14:paraId="0000000C">
      <w:pPr>
        <w:rPr/>
      </w:pPr>
      <w:r w:rsidDel="00000000" w:rsidR="00000000" w:rsidRPr="00000000">
        <w:rPr>
          <w:rtl w:val="0"/>
        </w:rPr>
        <w:t xml:space="preserve">Student ID: 2226712</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Word count: 1,044</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pStyle w:val="Heading1"/>
        <w:rPr/>
      </w:pPr>
      <w:bookmarkStart w:colFirst="0" w:colLast="0" w:name="_gjdgxs" w:id="0"/>
      <w:bookmarkEnd w:id="0"/>
      <w:r w:rsidDel="00000000" w:rsidR="00000000" w:rsidRPr="00000000">
        <w:rPr>
          <w:rtl w:val="0"/>
        </w:rPr>
        <w:t xml:space="preserve">Executive Summary</w:t>
      </w:r>
    </w:p>
    <w:p w:rsidR="00000000" w:rsidDel="00000000" w:rsidP="00000000" w:rsidRDefault="00000000" w:rsidRPr="00000000" w14:paraId="00000025">
      <w:pPr>
        <w:rPr/>
      </w:pPr>
      <w:r w:rsidDel="00000000" w:rsidR="00000000" w:rsidRPr="00000000">
        <w:rPr>
          <w:rtl w:val="0"/>
        </w:rPr>
        <w:t xml:space="preserve">The report aims to contribute to enhancing the understanding of international customs and culture that support a superior customer experience at the 5-star Inclusivity Hotel &amp; Spa in London, England, which is part of an international hotel chain headquartered in Spain. The purpose of the report is to offer the General Manager of the Inclusivity Hotel &amp; Spa in London a culture overview outlining the key differences between England and Spain, a country comparison and analysis using the GLOBE Project’s culture and leadership study, which outlines the most relevant practices and values, a critical discussion of the challenges of intercultural leadership in the hospitality business, and to provide three recommendations for overcoming these challenges.</w:t>
      </w:r>
    </w:p>
    <w:p w:rsidR="00000000" w:rsidDel="00000000" w:rsidP="00000000" w:rsidRDefault="00000000" w:rsidRPr="00000000" w14:paraId="00000026">
      <w:pPr>
        <w:rPr/>
      </w:pPr>
      <w:r w:rsidDel="00000000" w:rsidR="00000000" w:rsidRPr="00000000">
        <w:rPr>
          <w:rtl w:val="0"/>
        </w:rPr>
        <w:t xml:space="preserve">The findings show that Spain and England are very similar in terms of leadership scores for outstanding leadership, while there are few differences in cultural practices and values. Potential areas of conflict in managing an intercultural team include assertiveness practices, future orientation, institutional collectivism, in-group collectivism, and power distance.</w:t>
      </w:r>
    </w:p>
    <w:p w:rsidR="00000000" w:rsidDel="00000000" w:rsidP="00000000" w:rsidRDefault="00000000" w:rsidRPr="00000000" w14:paraId="00000027">
      <w:pPr>
        <w:rPr/>
      </w:pPr>
      <w:r w:rsidDel="00000000" w:rsidR="00000000" w:rsidRPr="00000000">
        <w:rPr>
          <w:rtl w:val="0"/>
        </w:rPr>
        <w:t xml:space="preserve">It is recommended to maintain the leadership approach, enhance assertiveness practices, clarify and implement key performance goals to avoid differences in future orientation, and implement training programmes for teamwork and cultural awareness to diminish the differences regarding institutional collectivism, in-group collectivism, and power distance.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2f5496"/>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Culture Overview</w:t>
              <w:tab/>
              <w:t xml:space="preserve">4</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Country comparison – GLOBE Project’s culture and leadership study</w:t>
              <w:tab/>
              <w:t xml:space="preserve">6</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Spain</w:t>
              <w:tab/>
              <w:t xml:space="preserve">6</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England</w:t>
              <w:tab/>
              <w:t xml:space="preserve">7</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9</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4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2">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1. Hofstede's cultural comparison</w:t>
              <w:tab/>
              <w:t xml:space="preserve">5</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2. Culture visualisation – Spain</w:t>
              <w:tab/>
              <w:t xml:space="preserve">6</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3. Leadership visualisation - Spain</w:t>
              <w:tab/>
              <w:t xml:space="preserve">7</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4. Culture visualization -England</w:t>
              <w:tab/>
              <w:t xml:space="preserve">8</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5. Leadership visualization – England</w:t>
              <w:tab/>
              <w:t xml:space="preserve">9</w:t>
            </w:r>
          </w:hyperlink>
          <w:r w:rsidDel="00000000" w:rsidR="00000000" w:rsidRPr="00000000">
            <w:rPr>
              <w:rtl w:val="0"/>
            </w:rPr>
          </w:r>
        </w:p>
        <w:p w:rsidR="00000000" w:rsidDel="00000000" w:rsidP="00000000" w:rsidRDefault="00000000" w:rsidRPr="00000000" w14:paraId="0000004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1. Key differences between England and Spain</w:t>
              <w:tab/>
              <w:t xml:space="preserve">5</w:t>
            </w:r>
          </w:hyperlink>
          <w:r w:rsidDel="00000000" w:rsidR="00000000" w:rsidRPr="00000000">
            <w:rPr>
              <w:rtl w:val="0"/>
            </w:rPr>
          </w:r>
        </w:p>
        <w:p w:rsidR="00000000" w:rsidDel="00000000" w:rsidP="00000000" w:rsidRDefault="00000000" w:rsidRPr="00000000" w14:paraId="0000004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59">
      <w:pPr>
        <w:rPr/>
      </w:pPr>
      <w:r w:rsidDel="00000000" w:rsidR="00000000" w:rsidRPr="00000000">
        <w:rPr>
          <w:rtl w:val="0"/>
        </w:rPr>
        <w:t xml:space="preserve">The report aims to contribute to enhancing the understanding of international customs and culture that support a superior customer experience at the 5-star Inclusivity Hotel &amp; Spa in London, England, which is part of an international hotel chain headquartered in Spain. The purpose of the report is to offer the General Manager of the Inclusivity Hotel &amp; Spa in London a culture overview outlining the key differences between England and Spain, a country comparison and analysis using the GLOBE Project’s culture and leadership study, which outlines the most relevant practices and values, a critical discussion of the challenges of intercultural leadership in the hospitality business, and to provide three recommendations for overcoming these challenges.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1"/>
        <w:rPr/>
      </w:pPr>
      <w:bookmarkStart w:colFirst="0" w:colLast="0" w:name="_1fob9te" w:id="2"/>
      <w:bookmarkEnd w:id="2"/>
      <w:r w:rsidDel="00000000" w:rsidR="00000000" w:rsidRPr="00000000">
        <w:rPr>
          <w:rtl w:val="0"/>
        </w:rPr>
        <w:t xml:space="preserve">Culture Overview</w:t>
      </w:r>
    </w:p>
    <w:p w:rsidR="00000000" w:rsidDel="00000000" w:rsidP="00000000" w:rsidRDefault="00000000" w:rsidRPr="00000000" w14:paraId="0000005C">
      <w:pPr>
        <w:rPr/>
      </w:pPr>
      <w:r w:rsidDel="00000000" w:rsidR="00000000" w:rsidRPr="00000000">
        <w:rPr>
          <w:rtl w:val="0"/>
        </w:rPr>
        <w:t xml:space="preserve">In the hospitality sector, effective intercultural skills determine efficient professional behaviour (Korez-Vide, Tansek, and Milfelner, 2016) and improve the cross-cultural and interpersonal intelligence of tourism workers (Jhaiyanuntana and Nomnian, 2020). However, culture is a critical concept that is characterised by complexity, including different aspects such as ethnicity, language, beliefs, traditions and norms, behaviours, religions, etc. (Vaughn, 2019).</w:t>
      </w:r>
    </w:p>
    <w:p w:rsidR="00000000" w:rsidDel="00000000" w:rsidP="00000000" w:rsidRDefault="00000000" w:rsidRPr="00000000" w14:paraId="0000005D">
      <w:pPr>
        <w:rPr/>
      </w:pPr>
      <w:r w:rsidDel="00000000" w:rsidR="00000000" w:rsidRPr="00000000">
        <w:rPr>
          <w:rtl w:val="0"/>
        </w:rPr>
        <w:t xml:space="preserve">In terms of culture, there are many differences between England and Spain. Please see the following table, which synthesises the main aspects of cultural differences.</w:t>
      </w:r>
    </w:p>
    <w:p w:rsidR="00000000" w:rsidDel="00000000" w:rsidP="00000000" w:rsidRDefault="00000000" w:rsidRPr="00000000" w14:paraId="0000005E">
      <w:pPr>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13"/>
        <w:gridCol w:w="3827"/>
        <w:gridCol w:w="3776"/>
        <w:tblGridChange w:id="0">
          <w:tblGrid>
            <w:gridCol w:w="1413"/>
            <w:gridCol w:w="3827"/>
            <w:gridCol w:w="3776"/>
          </w:tblGrid>
        </w:tblGridChange>
      </w:tblGrid>
      <w:tr>
        <w:trPr>
          <w:cantSplit w:val="0"/>
          <w:tblHeader w:val="0"/>
        </w:trPr>
        <w:tc>
          <w:tcPr/>
          <w:p w:rsidR="00000000" w:rsidDel="00000000" w:rsidP="00000000" w:rsidRDefault="00000000" w:rsidRPr="00000000" w14:paraId="0000005F">
            <w:pPr>
              <w:rPr/>
            </w:pPr>
            <w:r w:rsidDel="00000000" w:rsidR="00000000" w:rsidRPr="00000000">
              <w:rPr>
                <w:rtl w:val="0"/>
              </w:rPr>
              <w:t xml:space="preserve"> </w:t>
            </w:r>
          </w:p>
        </w:tc>
        <w:tc>
          <w:tcPr/>
          <w:p w:rsidR="00000000" w:rsidDel="00000000" w:rsidP="00000000" w:rsidRDefault="00000000" w:rsidRPr="00000000" w14:paraId="00000060">
            <w:pPr>
              <w:rPr/>
            </w:pPr>
            <w:r w:rsidDel="00000000" w:rsidR="00000000" w:rsidRPr="00000000">
              <w:rPr>
                <w:rtl w:val="0"/>
              </w:rPr>
              <w:t xml:space="preserve">England</w:t>
            </w:r>
          </w:p>
        </w:tc>
        <w:tc>
          <w:tcPr/>
          <w:p w:rsidR="00000000" w:rsidDel="00000000" w:rsidP="00000000" w:rsidRDefault="00000000" w:rsidRPr="00000000" w14:paraId="00000061">
            <w:pPr>
              <w:rPr/>
            </w:pPr>
            <w:r w:rsidDel="00000000" w:rsidR="00000000" w:rsidRPr="00000000">
              <w:rPr>
                <w:rtl w:val="0"/>
              </w:rPr>
              <w:t xml:space="preserve">Spain</w:t>
            </w:r>
          </w:p>
        </w:tc>
      </w:tr>
      <w:tr>
        <w:trPr>
          <w:cantSplit w:val="0"/>
          <w:tblHeader w:val="0"/>
        </w:trPr>
        <w:tc>
          <w:tcPr/>
          <w:p w:rsidR="00000000" w:rsidDel="00000000" w:rsidP="00000000" w:rsidRDefault="00000000" w:rsidRPr="00000000" w14:paraId="00000062">
            <w:pPr>
              <w:rPr/>
            </w:pPr>
            <w:r w:rsidDel="00000000" w:rsidR="00000000" w:rsidRPr="00000000">
              <w:rPr>
                <w:rtl w:val="0"/>
              </w:rPr>
              <w:t xml:space="preserve">Language</w:t>
            </w:r>
          </w:p>
        </w:tc>
        <w:tc>
          <w:tcPr/>
          <w:p w:rsidR="00000000" w:rsidDel="00000000" w:rsidP="00000000" w:rsidRDefault="00000000" w:rsidRPr="00000000" w14:paraId="00000063">
            <w:pPr>
              <w:rPr/>
            </w:pPr>
            <w:r w:rsidDel="00000000" w:rsidR="00000000" w:rsidRPr="00000000">
              <w:rPr>
                <w:rtl w:val="0"/>
              </w:rPr>
              <w:t xml:space="preserve">English (first global lingua franca) (Lacey, 2015)</w:t>
            </w:r>
          </w:p>
        </w:tc>
        <w:tc>
          <w:tcPr/>
          <w:p w:rsidR="00000000" w:rsidDel="00000000" w:rsidP="00000000" w:rsidRDefault="00000000" w:rsidRPr="00000000" w14:paraId="00000064">
            <w:pPr>
              <w:rPr/>
            </w:pPr>
            <w:r w:rsidDel="00000000" w:rsidR="00000000" w:rsidRPr="00000000">
              <w:rPr>
                <w:rtl w:val="0"/>
              </w:rPr>
              <w:t xml:space="preserve">Spanish (second global lingua franca) (Mar-Molinero, 2002)</w:t>
            </w:r>
          </w:p>
        </w:tc>
      </w:tr>
      <w:tr>
        <w:trPr>
          <w:cantSplit w:val="0"/>
          <w:tblHeader w:val="0"/>
        </w:trPr>
        <w:tc>
          <w:tcPr/>
          <w:p w:rsidR="00000000" w:rsidDel="00000000" w:rsidP="00000000" w:rsidRDefault="00000000" w:rsidRPr="00000000" w14:paraId="00000065">
            <w:pPr>
              <w:rPr/>
            </w:pPr>
            <w:r w:rsidDel="00000000" w:rsidR="00000000" w:rsidRPr="00000000">
              <w:rPr>
                <w:rtl w:val="0"/>
              </w:rPr>
              <w:t xml:space="preserve">Ethnicity</w:t>
            </w:r>
          </w:p>
        </w:tc>
        <w:tc>
          <w:tcPr/>
          <w:p w:rsidR="00000000" w:rsidDel="00000000" w:rsidP="00000000" w:rsidRDefault="00000000" w:rsidRPr="00000000" w14:paraId="00000066">
            <w:pPr>
              <w:rPr/>
            </w:pPr>
            <w:r w:rsidDel="00000000" w:rsidR="00000000" w:rsidRPr="00000000">
              <w:rPr>
                <w:rtl w:val="0"/>
              </w:rPr>
              <w:t xml:space="preserve">81.7% white, 9.3% Asian, 4% black, 2.9% mixed, and 2.1% other (Gov.uk, 2022)</w:t>
            </w:r>
          </w:p>
        </w:tc>
        <w:tc>
          <w:tcPr/>
          <w:p w:rsidR="00000000" w:rsidDel="00000000" w:rsidP="00000000" w:rsidRDefault="00000000" w:rsidRPr="00000000" w14:paraId="00000067">
            <w:pPr>
              <w:rPr/>
            </w:pPr>
            <w:r w:rsidDel="00000000" w:rsidR="00000000" w:rsidRPr="00000000">
              <w:rPr>
                <w:rtl w:val="0"/>
              </w:rPr>
              <w:t xml:space="preserve">88.6% Spanish, 7.4% other, 1.6% Moroccan, 1% Romanian, 0.7% UK,  0.7% Colombian (Harrison, Richardson, and Schubert, 2024)</w:t>
            </w:r>
          </w:p>
        </w:tc>
      </w:tr>
      <w:tr>
        <w:trPr>
          <w:cantSplit w:val="0"/>
          <w:tblHeader w:val="0"/>
        </w:trPr>
        <w:tc>
          <w:tcPr/>
          <w:p w:rsidR="00000000" w:rsidDel="00000000" w:rsidP="00000000" w:rsidRDefault="00000000" w:rsidRPr="00000000" w14:paraId="00000068">
            <w:pPr>
              <w:rPr/>
            </w:pPr>
            <w:r w:rsidDel="00000000" w:rsidR="00000000" w:rsidRPr="00000000">
              <w:rPr>
                <w:rtl w:val="0"/>
              </w:rPr>
              <w:t xml:space="preserve">Religion</w:t>
            </w:r>
          </w:p>
        </w:tc>
        <w:tc>
          <w:tcPr/>
          <w:p w:rsidR="00000000" w:rsidDel="00000000" w:rsidP="00000000" w:rsidRDefault="00000000" w:rsidRPr="00000000" w14:paraId="00000069">
            <w:pPr>
              <w:rPr/>
            </w:pPr>
            <w:r w:rsidDel="00000000" w:rsidR="00000000" w:rsidRPr="00000000">
              <w:rPr>
                <w:rtl w:val="0"/>
              </w:rPr>
              <w:t xml:space="preserve">Church of England (Kellner and Thomas, 2024)</w:t>
            </w:r>
          </w:p>
        </w:tc>
        <w:tc>
          <w:tcPr/>
          <w:p w:rsidR="00000000" w:rsidDel="00000000" w:rsidP="00000000" w:rsidRDefault="00000000" w:rsidRPr="00000000" w14:paraId="0000006A">
            <w:pPr>
              <w:rPr/>
            </w:pPr>
            <w:r w:rsidDel="00000000" w:rsidR="00000000" w:rsidRPr="00000000">
              <w:rPr>
                <w:rtl w:val="0"/>
              </w:rPr>
              <w:t xml:space="preserve">Roman Catholic (Harrison, Richardson, and Schubert, 2024)</w:t>
            </w:r>
          </w:p>
        </w:tc>
      </w:tr>
      <w:tr>
        <w:trPr>
          <w:cantSplit w:val="0"/>
          <w:tblHeader w:val="0"/>
        </w:trPr>
        <w:tc>
          <w:tcPr/>
          <w:p w:rsidR="00000000" w:rsidDel="00000000" w:rsidP="00000000" w:rsidRDefault="00000000" w:rsidRPr="00000000" w14:paraId="0000006B">
            <w:pPr>
              <w:rPr/>
            </w:pPr>
            <w:r w:rsidDel="00000000" w:rsidR="00000000" w:rsidRPr="00000000">
              <w:rPr>
                <w:rtl w:val="0"/>
              </w:rPr>
              <w:t xml:space="preserve">Culture</w:t>
            </w:r>
          </w:p>
        </w:tc>
        <w:tc>
          <w:tcPr/>
          <w:p w:rsidR="00000000" w:rsidDel="00000000" w:rsidP="00000000" w:rsidRDefault="00000000" w:rsidRPr="00000000" w14:paraId="0000006C">
            <w:pPr>
              <w:rPr/>
            </w:pPr>
            <w:r w:rsidDel="00000000" w:rsidR="00000000" w:rsidRPr="00000000">
              <w:rPr>
                <w:rtl w:val="0"/>
              </w:rPr>
              <w:t xml:space="preserve">Homogenous; cultural institutions (Kellner and Thomas, 2024)</w:t>
            </w:r>
          </w:p>
        </w:tc>
        <w:tc>
          <w:tcPr/>
          <w:p w:rsidR="00000000" w:rsidDel="00000000" w:rsidP="00000000" w:rsidRDefault="00000000" w:rsidRPr="00000000" w14:paraId="0000006D">
            <w:pPr>
              <w:rPr/>
            </w:pPr>
            <w:r w:rsidDel="00000000" w:rsidR="00000000" w:rsidRPr="00000000">
              <w:rPr>
                <w:rtl w:val="0"/>
              </w:rPr>
              <w:t xml:space="preserve">Cultural milieu</w:t>
            </w:r>
          </w:p>
        </w:tc>
      </w:tr>
      <w:tr>
        <w:trPr>
          <w:cantSplit w:val="0"/>
          <w:tblHeader w:val="0"/>
        </w:trPr>
        <w:tc>
          <w:tcPr/>
          <w:p w:rsidR="00000000" w:rsidDel="00000000" w:rsidP="00000000" w:rsidRDefault="00000000" w:rsidRPr="00000000" w14:paraId="0000006E">
            <w:pPr>
              <w:rPr/>
            </w:pPr>
            <w:r w:rsidDel="00000000" w:rsidR="00000000" w:rsidRPr="00000000">
              <w:rPr>
                <w:rtl w:val="0"/>
              </w:rPr>
              <w:t xml:space="preserve">Society and customs</w:t>
            </w:r>
          </w:p>
        </w:tc>
        <w:tc>
          <w:tcPr/>
          <w:p w:rsidR="00000000" w:rsidDel="00000000" w:rsidP="00000000" w:rsidRDefault="00000000" w:rsidRPr="00000000" w14:paraId="0000006F">
            <w:pPr>
              <w:rPr/>
            </w:pPr>
            <w:r w:rsidDel="00000000" w:rsidR="00000000" w:rsidRPr="00000000">
              <w:rPr>
                <w:rtl w:val="0"/>
              </w:rPr>
              <w:t xml:space="preserve">Differences among urban and rural communities</w:t>
            </w:r>
          </w:p>
        </w:tc>
        <w:tc>
          <w:tcPr/>
          <w:p w:rsidR="00000000" w:rsidDel="00000000" w:rsidP="00000000" w:rsidRDefault="00000000" w:rsidRPr="00000000" w14:paraId="00000070">
            <w:pPr>
              <w:rPr/>
            </w:pPr>
            <w:r w:rsidDel="00000000" w:rsidR="00000000" w:rsidRPr="00000000">
              <w:rPr>
                <w:rtl w:val="0"/>
              </w:rPr>
              <w:t xml:space="preserve">Scheduling of meals, festivals</w:t>
            </w:r>
          </w:p>
        </w:tc>
      </w:tr>
      <w:tr>
        <w:trPr>
          <w:cantSplit w:val="0"/>
          <w:tblHeader w:val="0"/>
        </w:trPr>
        <w:tc>
          <w:tcPr/>
          <w:p w:rsidR="00000000" w:rsidDel="00000000" w:rsidP="00000000" w:rsidRDefault="00000000" w:rsidRPr="00000000" w14:paraId="00000071">
            <w:pPr>
              <w:rPr/>
            </w:pPr>
            <w:r w:rsidDel="00000000" w:rsidR="00000000" w:rsidRPr="00000000">
              <w:rPr>
                <w:rtl w:val="0"/>
              </w:rPr>
              <w:t xml:space="preserve">Arts</w:t>
            </w:r>
          </w:p>
        </w:tc>
        <w:tc>
          <w:tcPr/>
          <w:p w:rsidR="00000000" w:rsidDel="00000000" w:rsidP="00000000" w:rsidRDefault="00000000" w:rsidRPr="00000000" w14:paraId="00000072">
            <w:pPr>
              <w:rPr/>
            </w:pPr>
            <w:r w:rsidDel="00000000" w:rsidR="00000000" w:rsidRPr="00000000">
              <w:rPr>
                <w:rtl w:val="0"/>
              </w:rPr>
              <w:t xml:space="preserve">Literature, architecture, visual arts, performing arts, music and dance (Kellner and Thomas, 2024)</w:t>
            </w:r>
          </w:p>
        </w:tc>
        <w:tc>
          <w:tcPr/>
          <w:p w:rsidR="00000000" w:rsidDel="00000000" w:rsidP="00000000" w:rsidRDefault="00000000" w:rsidRPr="00000000" w14:paraId="00000073">
            <w:pPr>
              <w:rPr/>
            </w:pPr>
            <w:r w:rsidDel="00000000" w:rsidR="00000000" w:rsidRPr="00000000">
              <w:rPr>
                <w:rtl w:val="0"/>
              </w:rPr>
              <w:t xml:space="preserve">Music, literature, performing arts, architecture, etc (Harrison, Richardson, and Schubert, 2024)</w:t>
            </w:r>
          </w:p>
        </w:tc>
      </w:tr>
    </w:tbl>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i w:val="1"/>
          <w:smallCaps w:val="0"/>
          <w:strike w:val="0"/>
          <w:color w:val="44546a"/>
          <w:sz w:val="18"/>
          <w:szCs w:val="18"/>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44546a"/>
          <w:sz w:val="18"/>
          <w:szCs w:val="18"/>
          <w:u w:val="none"/>
          <w:shd w:fill="auto" w:val="clear"/>
          <w:vertAlign w:val="baseline"/>
        </w:rPr>
      </w:pPr>
      <w:bookmarkStart w:colFirst="0" w:colLast="0" w:name="_3znysh7" w:id="3"/>
      <w:bookmarkEnd w:id="3"/>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Table 1. Key differences between England and Spain</w:t>
      </w:r>
    </w:p>
    <w:p w:rsidR="00000000" w:rsidDel="00000000" w:rsidP="00000000" w:rsidRDefault="00000000" w:rsidRPr="00000000" w14:paraId="00000076">
      <w:pPr>
        <w:rPr/>
      </w:pPr>
      <w:r w:rsidDel="00000000" w:rsidR="00000000" w:rsidRPr="00000000">
        <w:rPr>
          <w:rtl w:val="0"/>
        </w:rPr>
        <w:t xml:space="preserve">England and Spain are different from a cultural perspective as well as from their geographical position, socio-economic development, and historical development. Moreover, according to Barros García and Terkourafi (2014), Spanish-speaking cultures are the rapprochement type that link politeness to positively assessing the addressee and to forming friendship and collaboration connections, while English-speaking cultures are distancing cultures. Accordingly, Hofstede Insights (2024) emphasises the key differences between the two countries regarding power distance, individualism, long-term orientation, motivation towards achievement and success, uncertainty avoidance, and indulgence. Please see the following figure for an illustration of the differences.</w:t>
      </w:r>
    </w:p>
    <w:p w:rsidR="00000000" w:rsidDel="00000000" w:rsidP="00000000" w:rsidRDefault="00000000" w:rsidRPr="00000000" w14:paraId="00000077">
      <w:pPr>
        <w:rPr/>
      </w:pPr>
      <w:r w:rsidDel="00000000" w:rsidR="00000000" w:rsidRPr="00000000">
        <w:rPr/>
        <w:drawing>
          <wp:inline distB="0" distT="0" distL="0" distR="0">
            <wp:extent cx="5731510" cy="2407920"/>
            <wp:effectExtent b="0" l="0" r="0" t="0"/>
            <wp:docPr descr="A graph of different colored columns&#10;&#10;Description automatically generated with medium confidence" id="1" name="image1.png"/>
            <a:graphic>
              <a:graphicData uri="http://schemas.openxmlformats.org/drawingml/2006/picture">
                <pic:pic>
                  <pic:nvPicPr>
                    <pic:cNvPr descr="A graph of different colored columns&#10;&#10;Description automatically generated with medium confidence" id="0" name="image1.png"/>
                    <pic:cNvPicPr preferRelativeResize="0"/>
                  </pic:nvPicPr>
                  <pic:blipFill>
                    <a:blip r:embed="rId6"/>
                    <a:srcRect b="0" l="0" r="0" t="0"/>
                    <a:stretch>
                      <a:fillRect/>
                    </a:stretch>
                  </pic:blipFill>
                  <pic:spPr>
                    <a:xfrm>
                      <a:off x="0" y="0"/>
                      <a:ext cx="5731510" cy="240792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44546a"/>
          <w:sz w:val="18"/>
          <w:szCs w:val="18"/>
          <w:u w:val="none"/>
          <w:shd w:fill="auto" w:val="clear"/>
          <w:vertAlign w:val="baseline"/>
        </w:rPr>
      </w:pPr>
      <w:bookmarkStart w:colFirst="0" w:colLast="0" w:name="_2et92p0" w:id="4"/>
      <w:bookmarkEnd w:id="4"/>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1. Hofstede's cultural comparison</w:t>
      </w:r>
    </w:p>
    <w:p w:rsidR="00000000" w:rsidDel="00000000" w:rsidP="00000000" w:rsidRDefault="00000000" w:rsidRPr="00000000" w14:paraId="0000007A">
      <w:pPr>
        <w:jc w:val="center"/>
        <w:rPr/>
      </w:pPr>
      <w:r w:rsidDel="00000000" w:rsidR="00000000" w:rsidRPr="00000000">
        <w:rPr>
          <w:rtl w:val="0"/>
        </w:rPr>
        <w:t xml:space="preserve">Source: Hofstede Insights, 2024</w:t>
      </w:r>
    </w:p>
    <w:p w:rsidR="00000000" w:rsidDel="00000000" w:rsidP="00000000" w:rsidRDefault="00000000" w:rsidRPr="00000000" w14:paraId="0000007B">
      <w:pPr>
        <w:pStyle w:val="Heading1"/>
        <w:rPr/>
      </w:pPr>
      <w:bookmarkStart w:colFirst="0" w:colLast="0" w:name="_tyjcwt" w:id="5"/>
      <w:bookmarkEnd w:id="5"/>
      <w:r w:rsidDel="00000000" w:rsidR="00000000" w:rsidRPr="00000000">
        <w:rPr>
          <w:rtl w:val="0"/>
        </w:rPr>
        <w:t xml:space="preserve">Country comparison – GLOBE Project’s culture and leadership study</w:t>
      </w:r>
    </w:p>
    <w:p w:rsidR="00000000" w:rsidDel="00000000" w:rsidP="00000000" w:rsidRDefault="00000000" w:rsidRPr="00000000" w14:paraId="0000007C">
      <w:pPr>
        <w:pStyle w:val="Heading2"/>
        <w:rPr/>
      </w:pPr>
      <w:bookmarkStart w:colFirst="0" w:colLast="0" w:name="_3dy6vkm" w:id="6"/>
      <w:bookmarkEnd w:id="6"/>
      <w:r w:rsidDel="00000000" w:rsidR="00000000" w:rsidRPr="00000000">
        <w:rPr>
          <w:rtl w:val="0"/>
        </w:rPr>
        <w:t xml:space="preserve">Spain</w:t>
      </w:r>
    </w:p>
    <w:p w:rsidR="00000000" w:rsidDel="00000000" w:rsidP="00000000" w:rsidRDefault="00000000" w:rsidRPr="00000000" w14:paraId="0000007D">
      <w:pPr>
        <w:rPr/>
      </w:pPr>
      <w:r w:rsidDel="00000000" w:rsidR="00000000" w:rsidRPr="00000000">
        <w:rPr>
          <w:rtl w:val="0"/>
        </w:rPr>
        <w:t xml:space="preserve">In Spain, the performance orientation practices score is medium and the country value score is relatively high; the assertiveness practices score and country value score are medium; the future orientation score is relatively low while the country value score is relatively high; the humane orientation practices score is relatively low, while the country value score is relatively high; the institutional collectivism practices score is relatively low, while the country value score is relatively high; the in-group collectivism practices score and country value score are relatively high; the gender egalitarianism practices score is relatively low, while the country value score is relatively high; the power distance practices score is relatively high, while the country value score is low; the uncertainty avoidance practices score is relatively low, while the country value score is medium (GLOBE Project, 2020a). Please see the following figure for an illustration.</w:t>
      </w:r>
    </w:p>
    <w:p w:rsidR="00000000" w:rsidDel="00000000" w:rsidP="00000000" w:rsidRDefault="00000000" w:rsidRPr="00000000" w14:paraId="0000007E">
      <w:pPr>
        <w:rPr/>
      </w:pPr>
      <w:r w:rsidDel="00000000" w:rsidR="00000000" w:rsidRPr="00000000">
        <w:rPr/>
        <w:drawing>
          <wp:inline distB="0" distT="0" distL="0" distR="0">
            <wp:extent cx="5731510" cy="3627755"/>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510" cy="3627755"/>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44546a"/>
          <w:sz w:val="18"/>
          <w:szCs w:val="18"/>
          <w:u w:val="none"/>
          <w:shd w:fill="auto" w:val="clear"/>
          <w:vertAlign w:val="baseline"/>
        </w:rPr>
      </w:pPr>
      <w:bookmarkStart w:colFirst="0" w:colLast="0" w:name="_1t3h5sf" w:id="7"/>
      <w:bookmarkEnd w:id="7"/>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2. Culture visualisation – Spain</w:t>
      </w:r>
    </w:p>
    <w:p w:rsidR="00000000" w:rsidDel="00000000" w:rsidP="00000000" w:rsidRDefault="00000000" w:rsidRPr="00000000" w14:paraId="00000080">
      <w:pPr>
        <w:jc w:val="center"/>
        <w:rPr/>
      </w:pPr>
      <w:bookmarkStart w:colFirst="0" w:colLast="0" w:name="_4d34og8" w:id="8"/>
      <w:bookmarkEnd w:id="8"/>
      <w:r w:rsidDel="00000000" w:rsidR="00000000" w:rsidRPr="00000000">
        <w:rPr>
          <w:rtl w:val="0"/>
        </w:rPr>
        <w:t xml:space="preserve">Source: GLOBE Project, 2020a</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In Spain, leadership scores for outstanding leadership are the following: charismatic leadership contributes slightly, team-oriented leadership contributes slightly, participative leadership contributes slightly, humane-oriented leadership has no impact, autonomous leadership slightly inhibits, as well as self-protective leadership (GLOBE Project, 2020a). Please see the following figure for an illustration.</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drawing>
          <wp:inline distB="0" distT="0" distL="0" distR="0">
            <wp:extent cx="5731510" cy="3155315"/>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510" cy="3155315"/>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44546a"/>
          <w:sz w:val="18"/>
          <w:szCs w:val="18"/>
          <w:u w:val="none"/>
          <w:shd w:fill="auto" w:val="clear"/>
          <w:vertAlign w:val="baseline"/>
        </w:rPr>
      </w:pPr>
      <w:bookmarkStart w:colFirst="0" w:colLast="0" w:name="_2s8eyo1" w:id="9"/>
      <w:bookmarkEnd w:id="9"/>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3. Leadership visualisation - Spain</w:t>
      </w:r>
    </w:p>
    <w:p w:rsidR="00000000" w:rsidDel="00000000" w:rsidP="00000000" w:rsidRDefault="00000000" w:rsidRPr="00000000" w14:paraId="00000086">
      <w:pPr>
        <w:jc w:val="center"/>
        <w:rPr/>
      </w:pPr>
      <w:r w:rsidDel="00000000" w:rsidR="00000000" w:rsidRPr="00000000">
        <w:rPr>
          <w:rtl w:val="0"/>
        </w:rPr>
        <w:t xml:space="preserve">Source: GLOBE Project, 2020a</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pStyle w:val="Heading2"/>
        <w:rPr/>
      </w:pPr>
      <w:bookmarkStart w:colFirst="0" w:colLast="0" w:name="_17dp8vu" w:id="10"/>
      <w:bookmarkEnd w:id="10"/>
      <w:r w:rsidDel="00000000" w:rsidR="00000000" w:rsidRPr="00000000">
        <w:rPr>
          <w:rtl w:val="0"/>
        </w:rPr>
        <w:t xml:space="preserve">England</w:t>
      </w:r>
    </w:p>
    <w:p w:rsidR="00000000" w:rsidDel="00000000" w:rsidP="00000000" w:rsidRDefault="00000000" w:rsidRPr="00000000" w14:paraId="00000089">
      <w:pPr>
        <w:rPr/>
      </w:pPr>
      <w:r w:rsidDel="00000000" w:rsidR="00000000" w:rsidRPr="00000000">
        <w:rPr>
          <w:rtl w:val="0"/>
        </w:rPr>
        <w:t xml:space="preserve">In England, the performance orientation practices score is medium and the country value score is relatively high; the assertiveness practices score is medium, while the country value score is relatively low. The future orientation score is medium, while the country value score is relatively high; the humane orientation practices score is relatively low, while the country value score is relatively high; The institutional collectivism practices score is medium, as is the value score. in-group collectivism practices score is medium, while country value score is relatively high; gender egalitarianism practices score is relatively low, while country value score is relatively high; The power distance practices score is relatively high, while the country value score is relatively low. The uncertainty avoidance practices score is medium, as is the country value score (GLOBE Project, 2020b). Please see the following figure for an illustration.</w:t>
      </w:r>
    </w:p>
    <w:p w:rsidR="00000000" w:rsidDel="00000000" w:rsidP="00000000" w:rsidRDefault="00000000" w:rsidRPr="00000000" w14:paraId="0000008A">
      <w:pPr>
        <w:rPr/>
      </w:pPr>
      <w:r w:rsidDel="00000000" w:rsidR="00000000" w:rsidRPr="00000000">
        <w:rPr/>
        <w:drawing>
          <wp:inline distB="0" distT="0" distL="0" distR="0">
            <wp:extent cx="5731510" cy="3587115"/>
            <wp:effectExtent b="0" l="0" r="0" t="0"/>
            <wp:docPr descr="A screenshot of a graph&#10;&#10;Description automatically generated" id="5" name="image5.png"/>
            <a:graphic>
              <a:graphicData uri="http://schemas.openxmlformats.org/drawingml/2006/picture">
                <pic:pic>
                  <pic:nvPicPr>
                    <pic:cNvPr descr="A screenshot of a graph&#10;&#10;Description automatically generated" id="0" name="image5.png"/>
                    <pic:cNvPicPr preferRelativeResize="0"/>
                  </pic:nvPicPr>
                  <pic:blipFill>
                    <a:blip r:embed="rId9"/>
                    <a:srcRect b="0" l="0" r="0" t="0"/>
                    <a:stretch>
                      <a:fillRect/>
                    </a:stretch>
                  </pic:blipFill>
                  <pic:spPr>
                    <a:xfrm>
                      <a:off x="0" y="0"/>
                      <a:ext cx="5731510" cy="3587115"/>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44546a"/>
          <w:sz w:val="18"/>
          <w:szCs w:val="18"/>
          <w:u w:val="none"/>
          <w:shd w:fill="auto" w:val="clear"/>
          <w:vertAlign w:val="baseline"/>
        </w:rPr>
      </w:pPr>
      <w:bookmarkStart w:colFirst="0" w:colLast="0" w:name="_3rdcrjn" w:id="11"/>
      <w:bookmarkEnd w:id="11"/>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4. Culture visualization -England</w:t>
      </w:r>
    </w:p>
    <w:p w:rsidR="00000000" w:rsidDel="00000000" w:rsidP="00000000" w:rsidRDefault="00000000" w:rsidRPr="00000000" w14:paraId="0000008C">
      <w:pPr>
        <w:jc w:val="center"/>
        <w:rPr/>
      </w:pPr>
      <w:r w:rsidDel="00000000" w:rsidR="00000000" w:rsidRPr="00000000">
        <w:rPr>
          <w:rtl w:val="0"/>
        </w:rPr>
        <w:t xml:space="preserve">Source: GLOBE Project, 2020b</w:t>
      </w:r>
    </w:p>
    <w:p w:rsidR="00000000" w:rsidDel="00000000" w:rsidP="00000000" w:rsidRDefault="00000000" w:rsidRPr="00000000" w14:paraId="0000008D">
      <w:pPr>
        <w:rPr/>
      </w:pPr>
      <w:r w:rsidDel="00000000" w:rsidR="00000000" w:rsidRPr="00000000">
        <w:rPr>
          <w:rtl w:val="0"/>
        </w:rPr>
        <w:t xml:space="preserve">In England, leadership scores for outstanding leadership are the following: charismatic leadership contributes somewhat, team-oriented leadership contributes slightly, participative leadership contributes slightly, humane-oriented leadership has no impact, autonomous leadership slightly inhibits, as well as self-protective leadership (GLOBE Project, 2020b). Please see the following figure for an illustration.</w:t>
      </w:r>
    </w:p>
    <w:p w:rsidR="00000000" w:rsidDel="00000000" w:rsidP="00000000" w:rsidRDefault="00000000" w:rsidRPr="00000000" w14:paraId="0000008E">
      <w:pPr>
        <w:rPr/>
      </w:pPr>
      <w:r w:rsidDel="00000000" w:rsidR="00000000" w:rsidRPr="00000000">
        <w:rPr/>
        <w:drawing>
          <wp:inline distB="0" distT="0" distL="0" distR="0">
            <wp:extent cx="5731510" cy="3220085"/>
            <wp:effectExtent b="0" l="0" r="0" t="0"/>
            <wp:docPr descr="A graph of a company's performance&#10;&#10;Description automatically generated with medium confidence" id="4" name="image4.png"/>
            <a:graphic>
              <a:graphicData uri="http://schemas.openxmlformats.org/drawingml/2006/picture">
                <pic:pic>
                  <pic:nvPicPr>
                    <pic:cNvPr descr="A graph of a company's performance&#10;&#10;Description automatically generated with medium confidence" id="0" name="image4.png"/>
                    <pic:cNvPicPr preferRelativeResize="0"/>
                  </pic:nvPicPr>
                  <pic:blipFill>
                    <a:blip r:embed="rId10"/>
                    <a:srcRect b="0" l="0" r="0" t="0"/>
                    <a:stretch>
                      <a:fillRect/>
                    </a:stretch>
                  </pic:blipFill>
                  <pic:spPr>
                    <a:xfrm>
                      <a:off x="0" y="0"/>
                      <a:ext cx="5731510" cy="3220085"/>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44546a"/>
          <w:sz w:val="18"/>
          <w:szCs w:val="18"/>
          <w:u w:val="none"/>
          <w:shd w:fill="auto" w:val="clear"/>
          <w:vertAlign w:val="baseline"/>
        </w:rPr>
      </w:pPr>
      <w:bookmarkStart w:colFirst="0" w:colLast="0" w:name="_26in1rg" w:id="12"/>
      <w:bookmarkEnd w:id="12"/>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5. Leadership visualization – England</w:t>
      </w:r>
    </w:p>
    <w:p w:rsidR="00000000" w:rsidDel="00000000" w:rsidP="00000000" w:rsidRDefault="00000000" w:rsidRPr="00000000" w14:paraId="00000090">
      <w:pPr>
        <w:jc w:val="center"/>
        <w:rPr/>
      </w:pPr>
      <w:r w:rsidDel="00000000" w:rsidR="00000000" w:rsidRPr="00000000">
        <w:rPr>
          <w:rtl w:val="0"/>
        </w:rPr>
        <w:t xml:space="preserve">Source: GLOBE Project, 2020b</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Hence, Spain and England are very similar in terms of leadership scores for outstanding leadership, while there are few differences in cultural practices and values. Potential areas of conflict in managing an intercultural team include assertiveness practices, future orientation, institutional collectivism, in-group collectivism, and power distance.</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pStyle w:val="Heading1"/>
        <w:rPr/>
      </w:pPr>
      <w:bookmarkStart w:colFirst="0" w:colLast="0" w:name="_lnxbz9" w:id="13"/>
      <w:bookmarkEnd w:id="13"/>
      <w:r w:rsidDel="00000000" w:rsidR="00000000" w:rsidRPr="00000000">
        <w:rPr>
          <w:rtl w:val="0"/>
        </w:rPr>
        <w:t xml:space="preserve">Conclusion</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The report contributes to enhancing the understanding of international customs and culture that support a superior customer experience at the 5-star Inclusivity Hotel &amp; Spa in London, England, which is part of an international hotel chain headquartered in Spain. The report delivered a culture overview outlining the key differences between England and Spain, a country comparison, and an analysis using the GLOBE Project’s culture and leadership study.</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Spain and England are very similar in terms of leadership scores for outstanding leadership, while there are few differences in cultural practices and values. Potential areas of conflict in managing an intercultural team include assertiveness practices, future orientation, institutional collectivism, in-group collectivism, and power distance.</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pStyle w:val="Heading1"/>
        <w:rPr/>
      </w:pPr>
      <w:bookmarkStart w:colFirst="0" w:colLast="0" w:name="_35nkun2" w:id="14"/>
      <w:bookmarkEnd w:id="14"/>
      <w:r w:rsidDel="00000000" w:rsidR="00000000" w:rsidRPr="00000000">
        <w:rPr>
          <w:rtl w:val="0"/>
        </w:rPr>
        <w:t xml:space="preserve">Recommendations </w:t>
      </w:r>
    </w:p>
    <w:p w:rsidR="00000000" w:rsidDel="00000000" w:rsidP="00000000" w:rsidRDefault="00000000" w:rsidRPr="00000000" w14:paraId="0000009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Maintain the leadership approach.</w:t>
      </w:r>
    </w:p>
    <w:p w:rsidR="00000000" w:rsidDel="00000000" w:rsidP="00000000" w:rsidRDefault="00000000" w:rsidRPr="00000000" w14:paraId="0000009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Enhance assertiveness practices.</w:t>
      </w:r>
    </w:p>
    <w:p w:rsidR="00000000" w:rsidDel="00000000" w:rsidP="00000000" w:rsidRDefault="00000000" w:rsidRPr="00000000" w14:paraId="0000009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Clarify and implement key performance goals to avoid differences in future orientation.</w:t>
      </w:r>
    </w:p>
    <w:p w:rsidR="00000000" w:rsidDel="00000000" w:rsidP="00000000" w:rsidRDefault="00000000" w:rsidRPr="00000000" w14:paraId="0000009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 training programmes for teamwork and cultural awareness to diminish the differences regarding institutional collectivism, in-group collectivism, and power distance.</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pStyle w:val="Heading1"/>
        <w:rPr/>
      </w:pPr>
      <w:bookmarkStart w:colFirst="0" w:colLast="0" w:name="_1ksv4uv" w:id="15"/>
      <w:bookmarkEnd w:id="15"/>
      <w:r w:rsidDel="00000000" w:rsidR="00000000" w:rsidRPr="00000000">
        <w:rPr>
          <w:rtl w:val="0"/>
        </w:rPr>
        <w:t xml:space="preserve">References </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Globe Project (2020a) Spain. Available at: </w:t>
      </w:r>
      <w:hyperlink r:id="rId11">
        <w:r w:rsidDel="00000000" w:rsidR="00000000" w:rsidRPr="00000000">
          <w:rPr>
            <w:color w:val="0563c1"/>
            <w:u w:val="single"/>
            <w:rtl w:val="0"/>
          </w:rPr>
          <w:t xml:space="preserve">https://globeproject.com/results/countries/ESP%3Fmenu=list.html</w:t>
        </w:r>
      </w:hyperlink>
      <w:r w:rsidDel="00000000" w:rsidR="00000000" w:rsidRPr="00000000">
        <w:rPr>
          <w:rtl w:val="0"/>
        </w:rPr>
        <w:t xml:space="preserve"> (Accessed: 18 February 2024)</w:t>
      </w:r>
    </w:p>
    <w:p w:rsidR="00000000" w:rsidDel="00000000" w:rsidP="00000000" w:rsidRDefault="00000000" w:rsidRPr="00000000" w14:paraId="000000A5">
      <w:pPr>
        <w:rPr/>
      </w:pPr>
      <w:r w:rsidDel="00000000" w:rsidR="00000000" w:rsidRPr="00000000">
        <w:rPr>
          <w:rtl w:val="0"/>
        </w:rPr>
        <w:t xml:space="preserve">Globe Project (2020b) </w:t>
      </w:r>
      <w:r w:rsidDel="00000000" w:rsidR="00000000" w:rsidRPr="00000000">
        <w:rPr>
          <w:i w:val="1"/>
          <w:rtl w:val="0"/>
        </w:rPr>
        <w:t xml:space="preserve">England</w:t>
      </w:r>
      <w:r w:rsidDel="00000000" w:rsidR="00000000" w:rsidRPr="00000000">
        <w:rPr>
          <w:rtl w:val="0"/>
        </w:rPr>
        <w:t xml:space="preserve">. Available at: </w:t>
      </w:r>
      <w:hyperlink r:id="rId12">
        <w:r w:rsidDel="00000000" w:rsidR="00000000" w:rsidRPr="00000000">
          <w:rPr>
            <w:color w:val="0563c1"/>
            <w:u w:val="single"/>
            <w:rtl w:val="0"/>
          </w:rPr>
          <w:t xml:space="preserve">https://globeproject.com/results/countries/GBR%3Fmenu=list.html#list</w:t>
        </w:r>
      </w:hyperlink>
      <w:r w:rsidDel="00000000" w:rsidR="00000000" w:rsidRPr="00000000">
        <w:rPr>
          <w:rtl w:val="0"/>
        </w:rPr>
        <w:t xml:space="preserve"> (Accessed: 18 February 2024)</w:t>
      </w:r>
    </w:p>
    <w:p w:rsidR="00000000" w:rsidDel="00000000" w:rsidP="00000000" w:rsidRDefault="00000000" w:rsidRPr="00000000" w14:paraId="000000A6">
      <w:pPr>
        <w:rPr/>
      </w:pPr>
      <w:r w:rsidDel="00000000" w:rsidR="00000000" w:rsidRPr="00000000">
        <w:rPr>
          <w:rtl w:val="0"/>
        </w:rPr>
        <w:t xml:space="preserve">Gov.uk (2022) </w:t>
      </w:r>
      <w:r w:rsidDel="00000000" w:rsidR="00000000" w:rsidRPr="00000000">
        <w:rPr>
          <w:i w:val="1"/>
          <w:rtl w:val="0"/>
        </w:rPr>
        <w:t xml:space="preserve">Population of England and Wales</w:t>
      </w:r>
      <w:r w:rsidDel="00000000" w:rsidR="00000000" w:rsidRPr="00000000">
        <w:rPr>
          <w:rtl w:val="0"/>
        </w:rPr>
        <w:t xml:space="preserve">. Available at: </w:t>
      </w:r>
      <w:hyperlink r:id="rId13">
        <w:r w:rsidDel="00000000" w:rsidR="00000000" w:rsidRPr="00000000">
          <w:rPr>
            <w:color w:val="0563c1"/>
            <w:u w:val="single"/>
            <w:rtl w:val="0"/>
          </w:rPr>
          <w:t xml:space="preserve">https://www.ethnicity-facts-figures.service.gov.uk/uk-population-by-ethnicity/national-and-regional-populations/population-of-england-and-wales/latest/</w:t>
        </w:r>
      </w:hyperlink>
      <w:r w:rsidDel="00000000" w:rsidR="00000000" w:rsidRPr="00000000">
        <w:rPr>
          <w:rtl w:val="0"/>
        </w:rPr>
        <w:t xml:space="preserve"> (Accessed 1 February 2024)</w:t>
      </w:r>
    </w:p>
    <w:p w:rsidR="00000000" w:rsidDel="00000000" w:rsidP="00000000" w:rsidRDefault="00000000" w:rsidRPr="00000000" w14:paraId="000000A7">
      <w:pPr>
        <w:rPr/>
      </w:pPr>
      <w:r w:rsidDel="00000000" w:rsidR="00000000" w:rsidRPr="00000000">
        <w:rPr>
          <w:rtl w:val="0"/>
        </w:rPr>
        <w:t xml:space="preserve">Harrison, R.J., Richardson, J.S., and Schubert, A. (2024) </w:t>
      </w:r>
      <w:r w:rsidDel="00000000" w:rsidR="00000000" w:rsidRPr="00000000">
        <w:rPr>
          <w:i w:val="1"/>
          <w:rtl w:val="0"/>
        </w:rPr>
        <w:t xml:space="preserve">Spain.</w:t>
      </w:r>
      <w:r w:rsidDel="00000000" w:rsidR="00000000" w:rsidRPr="00000000">
        <w:rPr>
          <w:rtl w:val="0"/>
        </w:rPr>
        <w:t xml:space="preserve"> Available at: </w:t>
      </w:r>
      <w:hyperlink r:id="rId14">
        <w:r w:rsidDel="00000000" w:rsidR="00000000" w:rsidRPr="00000000">
          <w:rPr>
            <w:color w:val="0563c1"/>
            <w:u w:val="single"/>
            <w:rtl w:val="0"/>
          </w:rPr>
          <w:t xml:space="preserve">https://www.britannica.com/place/Spain</w:t>
        </w:r>
      </w:hyperlink>
      <w:r w:rsidDel="00000000" w:rsidR="00000000" w:rsidRPr="00000000">
        <w:rPr>
          <w:rtl w:val="0"/>
        </w:rPr>
        <w:t xml:space="preserve"> (Accessed: 14 February 2024)</w:t>
      </w:r>
    </w:p>
    <w:p w:rsidR="00000000" w:rsidDel="00000000" w:rsidP="00000000" w:rsidRDefault="00000000" w:rsidRPr="00000000" w14:paraId="000000A8">
      <w:pPr>
        <w:rPr/>
      </w:pPr>
      <w:r w:rsidDel="00000000" w:rsidR="00000000" w:rsidRPr="00000000">
        <w:rPr>
          <w:rtl w:val="0"/>
        </w:rPr>
        <w:t xml:space="preserve">Hofstede Insights (2024</w:t>
      </w:r>
      <w:r w:rsidDel="00000000" w:rsidR="00000000" w:rsidRPr="00000000">
        <w:rPr>
          <w:i w:val="1"/>
          <w:rtl w:val="0"/>
        </w:rPr>
        <w:t xml:space="preserve">) Country comparison tool – Spain vs United Kingdom</w:t>
      </w:r>
      <w:r w:rsidDel="00000000" w:rsidR="00000000" w:rsidRPr="00000000">
        <w:rPr>
          <w:rtl w:val="0"/>
        </w:rPr>
        <w:t xml:space="preserve">. Available at: </w:t>
      </w:r>
      <w:hyperlink r:id="rId15">
        <w:r w:rsidDel="00000000" w:rsidR="00000000" w:rsidRPr="00000000">
          <w:rPr>
            <w:color w:val="0563c1"/>
            <w:u w:val="single"/>
            <w:rtl w:val="0"/>
          </w:rPr>
          <w:t xml:space="preserve">https://www.hofstede-insights.com/country-comparison-tool?countries=spain%2Cunited+kingdom</w:t>
        </w:r>
      </w:hyperlink>
      <w:r w:rsidDel="00000000" w:rsidR="00000000" w:rsidRPr="00000000">
        <w:rPr>
          <w:rtl w:val="0"/>
        </w:rPr>
        <w:t xml:space="preserve"> (Accessed: 14 February 2024)</w:t>
      </w:r>
    </w:p>
    <w:p w:rsidR="00000000" w:rsidDel="00000000" w:rsidP="00000000" w:rsidRDefault="00000000" w:rsidRPr="00000000" w14:paraId="000000A9">
      <w:pPr>
        <w:rPr/>
      </w:pPr>
      <w:r w:rsidDel="00000000" w:rsidR="00000000" w:rsidRPr="00000000">
        <w:rPr>
          <w:rtl w:val="0"/>
        </w:rPr>
        <w:t xml:space="preserve">Jhaiyanuntana, A. and Nomnian, S. (2020) ‘Intercultural communication challenges and strategies for the Thai undergraduate hotel interns’. </w:t>
      </w:r>
      <w:r w:rsidDel="00000000" w:rsidR="00000000" w:rsidRPr="00000000">
        <w:rPr>
          <w:i w:val="1"/>
          <w:rtl w:val="0"/>
        </w:rPr>
        <w:t xml:space="preserve">PASAA: Journal of Language Teaching and Learning in Thailand</w:t>
      </w:r>
      <w:r w:rsidDel="00000000" w:rsidR="00000000" w:rsidRPr="00000000">
        <w:rPr>
          <w:rtl w:val="0"/>
        </w:rPr>
        <w:t xml:space="preserve">, 59, pp. 204-235. Valuable at: </w:t>
      </w:r>
      <w:hyperlink r:id="rId16">
        <w:r w:rsidDel="00000000" w:rsidR="00000000" w:rsidRPr="00000000">
          <w:rPr>
            <w:color w:val="0563c1"/>
            <w:u w:val="single"/>
            <w:rtl w:val="0"/>
          </w:rPr>
          <w:t xml:space="preserve">https://repository.li.mahidol.ac.th/handle/123456789/53548</w:t>
        </w:r>
      </w:hyperlink>
      <w:r w:rsidDel="00000000" w:rsidR="00000000" w:rsidRPr="00000000">
        <w:rPr>
          <w:rtl w:val="0"/>
        </w:rPr>
        <w:t xml:space="preserve"> (Accessed: 28 January 2024)</w:t>
      </w:r>
    </w:p>
    <w:p w:rsidR="00000000" w:rsidDel="00000000" w:rsidP="00000000" w:rsidRDefault="00000000" w:rsidRPr="00000000" w14:paraId="000000AA">
      <w:pPr>
        <w:rPr/>
      </w:pPr>
      <w:r w:rsidDel="00000000" w:rsidR="00000000" w:rsidRPr="00000000">
        <w:rPr>
          <w:rtl w:val="0"/>
        </w:rPr>
        <w:t xml:space="preserve">Kellner, P., and Thomas, W.H. (2024) </w:t>
      </w:r>
      <w:r w:rsidDel="00000000" w:rsidR="00000000" w:rsidRPr="00000000">
        <w:rPr>
          <w:i w:val="1"/>
          <w:rtl w:val="0"/>
        </w:rPr>
        <w:t xml:space="preserve">England</w:t>
      </w:r>
      <w:r w:rsidDel="00000000" w:rsidR="00000000" w:rsidRPr="00000000">
        <w:rPr>
          <w:rtl w:val="0"/>
        </w:rPr>
        <w:t xml:space="preserve">. Available at: </w:t>
      </w:r>
      <w:hyperlink r:id="rId17">
        <w:r w:rsidDel="00000000" w:rsidR="00000000" w:rsidRPr="00000000">
          <w:rPr>
            <w:color w:val="0563c1"/>
            <w:u w:val="single"/>
            <w:rtl w:val="0"/>
          </w:rPr>
          <w:t xml:space="preserve">https://www.britannica.com/place/England</w:t>
        </w:r>
      </w:hyperlink>
      <w:r w:rsidDel="00000000" w:rsidR="00000000" w:rsidRPr="00000000">
        <w:rPr>
          <w:rtl w:val="0"/>
        </w:rPr>
        <w:t xml:space="preserve"> (Accessed: 14 February 2024)</w:t>
      </w:r>
    </w:p>
    <w:p w:rsidR="00000000" w:rsidDel="00000000" w:rsidP="00000000" w:rsidRDefault="00000000" w:rsidRPr="00000000" w14:paraId="000000AB">
      <w:pPr>
        <w:rPr/>
      </w:pPr>
      <w:r w:rsidDel="00000000" w:rsidR="00000000" w:rsidRPr="00000000">
        <w:rPr>
          <w:rtl w:val="0"/>
        </w:rPr>
        <w:t xml:space="preserve">Korez-Vide, R., Tansek, V. and Milfelner, B. (2016) ‘Assessing intercultural competence of front office employees: the case of hotels in Slovenia’. </w:t>
      </w:r>
      <w:r w:rsidDel="00000000" w:rsidR="00000000" w:rsidRPr="00000000">
        <w:rPr>
          <w:i w:val="1"/>
          <w:rtl w:val="0"/>
        </w:rPr>
        <w:t xml:space="preserve">23rd Biennial International Congress, Tourism &amp; Hospitality Industry 2016 (THI2016), Trends and Challenges</w:t>
      </w:r>
      <w:r w:rsidDel="00000000" w:rsidR="00000000" w:rsidRPr="00000000">
        <w:rPr>
          <w:rtl w:val="0"/>
        </w:rPr>
        <w:t xml:space="preserve"> (Opatija, Croatia, pp. 158-173). Available at: </w:t>
      </w:r>
      <w:hyperlink r:id="rId18">
        <w:r w:rsidDel="00000000" w:rsidR="00000000" w:rsidRPr="00000000">
          <w:rPr>
            <w:color w:val="0563c1"/>
            <w:highlight w:val="white"/>
            <w:u w:val="single"/>
            <w:rtl w:val="0"/>
          </w:rPr>
          <w:t xml:space="preserve">https://thi.fthm.hr/congress-proceedi...</w:t>
        </w:r>
      </w:hyperlink>
      <w:r w:rsidDel="00000000" w:rsidR="00000000" w:rsidRPr="00000000">
        <w:rPr>
          <w:rtl w:val="0"/>
        </w:rPr>
        <w:t xml:space="preserve"> (Accessed: 28 January 2024)</w:t>
      </w:r>
    </w:p>
    <w:p w:rsidR="00000000" w:rsidDel="00000000" w:rsidP="00000000" w:rsidRDefault="00000000" w:rsidRPr="00000000" w14:paraId="000000AC">
      <w:pPr>
        <w:rPr/>
      </w:pPr>
      <w:r w:rsidDel="00000000" w:rsidR="00000000" w:rsidRPr="00000000">
        <w:rPr>
          <w:rtl w:val="0"/>
        </w:rPr>
        <w:t xml:space="preserve">Lacey, J. (2015) ‘Considerations on English as a global lingua franca’. </w:t>
      </w:r>
      <w:r w:rsidDel="00000000" w:rsidR="00000000" w:rsidRPr="00000000">
        <w:rPr>
          <w:i w:val="1"/>
          <w:rtl w:val="0"/>
        </w:rPr>
        <w:t xml:space="preserve">Political studies review</w:t>
      </w:r>
      <w:r w:rsidDel="00000000" w:rsidR="00000000" w:rsidRPr="00000000">
        <w:rPr>
          <w:rtl w:val="0"/>
        </w:rPr>
        <w:t xml:space="preserve">, 13(3), pp. 363-372.</w:t>
      </w:r>
    </w:p>
    <w:p w:rsidR="00000000" w:rsidDel="00000000" w:rsidP="00000000" w:rsidRDefault="00000000" w:rsidRPr="00000000" w14:paraId="000000AD">
      <w:pPr>
        <w:rPr/>
      </w:pPr>
      <w:r w:rsidDel="00000000" w:rsidR="00000000" w:rsidRPr="00000000">
        <w:rPr>
          <w:rtl w:val="0"/>
        </w:rPr>
        <w:t xml:space="preserve">Mar-Molinero, C. (2002) </w:t>
      </w:r>
      <w:r w:rsidDel="00000000" w:rsidR="00000000" w:rsidRPr="00000000">
        <w:rPr>
          <w:i w:val="1"/>
          <w:rtl w:val="0"/>
        </w:rPr>
        <w:t xml:space="preserve">The politics of language in the Spanish-speaking world: from colonization to globalization</w:t>
      </w:r>
      <w:r w:rsidDel="00000000" w:rsidR="00000000" w:rsidRPr="00000000">
        <w:rPr>
          <w:rtl w:val="0"/>
        </w:rPr>
        <w:t xml:space="preserve">. London: Routledge.</w:t>
      </w:r>
    </w:p>
    <w:p w:rsidR="00000000" w:rsidDel="00000000" w:rsidP="00000000" w:rsidRDefault="00000000" w:rsidRPr="00000000" w14:paraId="000000AE">
      <w:pPr>
        <w:rPr/>
      </w:pPr>
      <w:r w:rsidDel="00000000" w:rsidR="00000000" w:rsidRPr="00000000">
        <w:rPr>
          <w:rtl w:val="0"/>
        </w:rPr>
        <w:t xml:space="preserve">Vaughn, L. (2019) </w:t>
      </w:r>
      <w:r w:rsidDel="00000000" w:rsidR="00000000" w:rsidRPr="00000000">
        <w:rPr>
          <w:i w:val="1"/>
          <w:rtl w:val="0"/>
        </w:rPr>
        <w:t xml:space="preserve">Psychology and culture: Thinking, feeling and behaving in a global context</w:t>
      </w:r>
      <w:r w:rsidDel="00000000" w:rsidR="00000000" w:rsidRPr="00000000">
        <w:rPr>
          <w:rtl w:val="0"/>
        </w:rPr>
        <w:t xml:space="preserve">. 2</w:t>
      </w:r>
      <w:r w:rsidDel="00000000" w:rsidR="00000000" w:rsidRPr="00000000">
        <w:rPr>
          <w:vertAlign w:val="superscript"/>
          <w:rtl w:val="0"/>
        </w:rPr>
        <w:t xml:space="preserve">nd</w:t>
      </w:r>
      <w:r w:rsidDel="00000000" w:rsidR="00000000" w:rsidRPr="00000000">
        <w:rPr>
          <w:rtl w:val="0"/>
        </w:rPr>
        <w:t xml:space="preserve"> edn. London: Routledge.</w:t>
      </w:r>
    </w:p>
    <w:sectPr>
      <w:footerReference r:id="rId19"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left"/>
    </w:pPr>
    <w:rPr>
      <w:color w:val="2f5496"/>
      <w:sz w:val="32"/>
      <w:szCs w:val="32"/>
    </w:rPr>
  </w:style>
  <w:style w:type="paragraph" w:styleId="Heading2">
    <w:name w:val="heading 2"/>
    <w:basedOn w:val="Normal"/>
    <w:next w:val="Normal"/>
    <w:pPr>
      <w:keepNext w:val="1"/>
      <w:keepLines w:val="1"/>
      <w:spacing w:after="0" w:before="40" w:lineRule="auto"/>
      <w:jc w:val="left"/>
    </w:pPr>
    <w:rPr>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globeproject.com/results/countries/ESP%3Fmenu=list.html" TargetMode="External"/><Relationship Id="rId10" Type="http://schemas.openxmlformats.org/officeDocument/2006/relationships/image" Target="media/image4.png"/><Relationship Id="rId13" Type="http://schemas.openxmlformats.org/officeDocument/2006/relationships/hyperlink" Target="https://www.ethnicity-facts-figures.service.gov.uk/uk-population-by-ethnicity/national-and-regional-populations/population-of-england-and-wales/latest/" TargetMode="External"/><Relationship Id="rId12" Type="http://schemas.openxmlformats.org/officeDocument/2006/relationships/hyperlink" Target="https://globeproject.com/results/countries/GBR%3Fmenu=list.html#lis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yperlink" Target="https://www.hofstede-insights.com/country-comparison-tool?countries=spain%2Cunited+kingdom" TargetMode="External"/><Relationship Id="rId14" Type="http://schemas.openxmlformats.org/officeDocument/2006/relationships/hyperlink" Target="https://www.britannica.com/place/Spain" TargetMode="External"/><Relationship Id="rId17" Type="http://schemas.openxmlformats.org/officeDocument/2006/relationships/hyperlink" Target="https://www.britannica.com/place/England" TargetMode="External"/><Relationship Id="rId16" Type="http://schemas.openxmlformats.org/officeDocument/2006/relationships/hyperlink" Target="https://repository.li.mahidol.ac.th/handle/123456789/53548"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1.png"/><Relationship Id="rId18" Type="http://schemas.openxmlformats.org/officeDocument/2006/relationships/hyperlink" Target="https://thi.fthm.hr/congress-proceedings/send/3-2016/42-assessing-intercultural-competence-of-front-office-employees-the-case-of-hotels-in-slovenia" TargetMode="External"/><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